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F2CC2D" w14:textId="77777777" w:rsidR="009025F4" w:rsidRDefault="009025F4" w:rsidP="007766DA">
      <w:pPr>
        <w:spacing w:line="480" w:lineRule="auto"/>
        <w:jc w:val="center"/>
      </w:pPr>
      <w:r>
        <w:t>UNIVERSITY OF OKLAHOMA</w:t>
      </w:r>
    </w:p>
    <w:p w14:paraId="4B8FA01B" w14:textId="77777777" w:rsidR="009025F4" w:rsidRDefault="009025F4" w:rsidP="007766DA">
      <w:pPr>
        <w:spacing w:line="480" w:lineRule="auto"/>
        <w:jc w:val="center"/>
      </w:pPr>
      <w:r>
        <w:t>GRADUATE COLLEGE</w:t>
      </w:r>
    </w:p>
    <w:p w14:paraId="5FFE09C4" w14:textId="77777777" w:rsidR="009025F4" w:rsidRDefault="009025F4" w:rsidP="007766DA">
      <w:pPr>
        <w:spacing w:after="0" w:line="480" w:lineRule="auto"/>
      </w:pPr>
    </w:p>
    <w:p w14:paraId="4FC442FE" w14:textId="77777777" w:rsidR="009025F4" w:rsidRDefault="009025F4" w:rsidP="007766DA">
      <w:pPr>
        <w:spacing w:after="0" w:line="480" w:lineRule="auto"/>
        <w:jc w:val="center"/>
      </w:pPr>
    </w:p>
    <w:p w14:paraId="374AFA84" w14:textId="77777777" w:rsidR="009025F4" w:rsidRDefault="009025F4" w:rsidP="007766DA">
      <w:pPr>
        <w:spacing w:after="0" w:line="480" w:lineRule="auto"/>
      </w:pPr>
    </w:p>
    <w:p w14:paraId="5279778A" w14:textId="77777777" w:rsidR="009025F4" w:rsidRDefault="009025F4" w:rsidP="007766DA">
      <w:pPr>
        <w:spacing w:after="0" w:line="480" w:lineRule="auto"/>
        <w:jc w:val="center"/>
      </w:pPr>
      <w:r>
        <w:t>THE DYNAMICS OF IDENTITY IN DETERMINING FRENCH BILATERAL AID: AN EMPIRICAL STUDY OF COLONIALISM AND FRANÇAFRIQUE</w:t>
      </w:r>
    </w:p>
    <w:p w14:paraId="18EBBDF4" w14:textId="77777777" w:rsidR="009025F4" w:rsidRDefault="009025F4" w:rsidP="007766DA">
      <w:pPr>
        <w:spacing w:after="0" w:line="480" w:lineRule="auto"/>
        <w:jc w:val="center"/>
      </w:pPr>
    </w:p>
    <w:p w14:paraId="6E3BC0B3" w14:textId="77777777" w:rsidR="009025F4" w:rsidRDefault="009025F4" w:rsidP="007766DA">
      <w:pPr>
        <w:spacing w:after="0" w:line="480" w:lineRule="auto"/>
      </w:pPr>
    </w:p>
    <w:p w14:paraId="055C94E2" w14:textId="77777777" w:rsidR="009025F4" w:rsidRDefault="009025F4" w:rsidP="007766DA">
      <w:pPr>
        <w:spacing w:after="0" w:line="480" w:lineRule="auto"/>
        <w:jc w:val="center"/>
      </w:pPr>
    </w:p>
    <w:p w14:paraId="4BC84D56" w14:textId="77777777" w:rsidR="009025F4" w:rsidRDefault="009025F4" w:rsidP="007766DA">
      <w:pPr>
        <w:spacing w:after="0" w:line="480" w:lineRule="auto"/>
        <w:jc w:val="center"/>
      </w:pPr>
    </w:p>
    <w:p w14:paraId="5E4BAEA9" w14:textId="77777777" w:rsidR="009025F4" w:rsidRDefault="009025F4" w:rsidP="007766DA">
      <w:pPr>
        <w:spacing w:line="480" w:lineRule="auto"/>
        <w:jc w:val="center"/>
      </w:pPr>
      <w:r>
        <w:t>A THESIS</w:t>
      </w:r>
    </w:p>
    <w:p w14:paraId="1878821B" w14:textId="77777777" w:rsidR="009025F4" w:rsidRDefault="009025F4" w:rsidP="007766DA">
      <w:pPr>
        <w:spacing w:line="480" w:lineRule="auto"/>
        <w:jc w:val="center"/>
      </w:pPr>
      <w:r>
        <w:t>SUBMITTED TO THE GRADUATE FACULTY</w:t>
      </w:r>
    </w:p>
    <w:p w14:paraId="6224112F" w14:textId="77777777" w:rsidR="009025F4" w:rsidRDefault="009025F4" w:rsidP="007766DA">
      <w:pPr>
        <w:spacing w:line="480" w:lineRule="auto"/>
        <w:jc w:val="center"/>
      </w:pPr>
      <w:r>
        <w:t xml:space="preserve">in partial fulfillment of the requirements for the </w:t>
      </w:r>
    </w:p>
    <w:p w14:paraId="1CB42DF0" w14:textId="77777777" w:rsidR="009025F4" w:rsidRDefault="009025F4" w:rsidP="007766DA">
      <w:pPr>
        <w:spacing w:line="480" w:lineRule="auto"/>
        <w:jc w:val="center"/>
      </w:pPr>
      <w:r>
        <w:t>Degree of</w:t>
      </w:r>
    </w:p>
    <w:p w14:paraId="210B9102" w14:textId="4BF5586F" w:rsidR="009025F4" w:rsidRDefault="009025F4" w:rsidP="007766DA">
      <w:pPr>
        <w:spacing w:line="480" w:lineRule="auto"/>
        <w:jc w:val="center"/>
      </w:pPr>
      <w:r>
        <w:t>MASTER OF ARTS IN INTERNATIONAL STUDIES</w:t>
      </w:r>
    </w:p>
    <w:p w14:paraId="53C6B8BE" w14:textId="77777777" w:rsidR="009025F4" w:rsidRDefault="009025F4" w:rsidP="009025F4"/>
    <w:p w14:paraId="41B18D9B" w14:textId="77777777" w:rsidR="007766DA" w:rsidRDefault="007766DA" w:rsidP="009025F4"/>
    <w:p w14:paraId="09AA21A6" w14:textId="77777777" w:rsidR="009025F4" w:rsidRDefault="009025F4" w:rsidP="009025F4">
      <w:pPr>
        <w:jc w:val="center"/>
      </w:pPr>
      <w:r>
        <w:t>By</w:t>
      </w:r>
    </w:p>
    <w:p w14:paraId="5ED9A1DD" w14:textId="77777777" w:rsidR="009025F4" w:rsidRDefault="009025F4" w:rsidP="009025F4">
      <w:pPr>
        <w:spacing w:after="0"/>
        <w:jc w:val="center"/>
      </w:pPr>
      <w:r>
        <w:t>NICOLE SMITH</w:t>
      </w:r>
    </w:p>
    <w:p w14:paraId="5E237CD7" w14:textId="77777777" w:rsidR="009025F4" w:rsidRDefault="009025F4" w:rsidP="009025F4">
      <w:pPr>
        <w:spacing w:after="0"/>
        <w:jc w:val="center"/>
      </w:pPr>
      <w:r>
        <w:t>Norman, Oklahoma</w:t>
      </w:r>
    </w:p>
    <w:p w14:paraId="127930FB" w14:textId="77777777" w:rsidR="009025F4" w:rsidRPr="007D06D1" w:rsidRDefault="009025F4" w:rsidP="009025F4">
      <w:pPr>
        <w:spacing w:after="0"/>
        <w:jc w:val="center"/>
      </w:pPr>
      <w:r>
        <w:t>2017</w:t>
      </w:r>
      <w:r>
        <w:rPr>
          <w:u w:val="single"/>
        </w:rPr>
        <w:br w:type="page"/>
      </w:r>
    </w:p>
    <w:p w14:paraId="4E58BDBD" w14:textId="77777777" w:rsidR="009025F4" w:rsidRDefault="009025F4" w:rsidP="00344BA9">
      <w:pPr>
        <w:spacing w:after="0"/>
        <w:jc w:val="center"/>
      </w:pPr>
      <w:r>
        <w:lastRenderedPageBreak/>
        <w:t>THE DYNAMICS OF IDENTITY IN DETERMINING FRENCH BILATERAL AID: AN EMPIRICAL STUDY OF COLONIALISM AND FRANÇAFRIQUE</w:t>
      </w:r>
    </w:p>
    <w:p w14:paraId="3D73CA1C" w14:textId="77777777" w:rsidR="009025F4" w:rsidRDefault="009025F4" w:rsidP="00344BA9">
      <w:pPr>
        <w:spacing w:after="0"/>
        <w:jc w:val="center"/>
      </w:pPr>
    </w:p>
    <w:p w14:paraId="47F01B1E" w14:textId="77777777" w:rsidR="00344BA9" w:rsidRDefault="00344BA9" w:rsidP="00344BA9">
      <w:pPr>
        <w:spacing w:after="0"/>
        <w:jc w:val="center"/>
      </w:pPr>
    </w:p>
    <w:p w14:paraId="1E1D74D5" w14:textId="77777777" w:rsidR="009025F4" w:rsidRDefault="009025F4" w:rsidP="00344BA9">
      <w:pPr>
        <w:spacing w:after="0"/>
        <w:jc w:val="center"/>
      </w:pPr>
      <w:r>
        <w:t xml:space="preserve">A THESIS APPROVED FOR THE </w:t>
      </w:r>
    </w:p>
    <w:p w14:paraId="6B17CEFE" w14:textId="533A03F1" w:rsidR="009025F4" w:rsidRDefault="009025F4" w:rsidP="00344BA9">
      <w:pPr>
        <w:spacing w:after="0"/>
        <w:jc w:val="center"/>
      </w:pPr>
      <w:r>
        <w:t>COLLEGE OF INTERNATIONAL STUDIES</w:t>
      </w:r>
    </w:p>
    <w:p w14:paraId="74945ABD" w14:textId="77777777" w:rsidR="009025F4" w:rsidRDefault="009025F4" w:rsidP="00344BA9">
      <w:pPr>
        <w:spacing w:after="0"/>
        <w:jc w:val="center"/>
        <w:rPr>
          <w:u w:val="single"/>
        </w:rPr>
      </w:pPr>
    </w:p>
    <w:p w14:paraId="028B55BE" w14:textId="77777777" w:rsidR="00344BA9" w:rsidRDefault="00344BA9" w:rsidP="00344BA9">
      <w:pPr>
        <w:spacing w:after="0"/>
        <w:jc w:val="center"/>
        <w:rPr>
          <w:u w:val="single"/>
        </w:rPr>
      </w:pPr>
    </w:p>
    <w:p w14:paraId="36650A6E" w14:textId="77777777" w:rsidR="00344BA9" w:rsidRDefault="00344BA9" w:rsidP="00344BA9">
      <w:pPr>
        <w:spacing w:after="0"/>
        <w:jc w:val="center"/>
        <w:rPr>
          <w:u w:val="single"/>
        </w:rPr>
      </w:pPr>
    </w:p>
    <w:p w14:paraId="5D4DDE7A" w14:textId="77777777" w:rsidR="00344BA9" w:rsidRDefault="00344BA9" w:rsidP="00344BA9">
      <w:pPr>
        <w:spacing w:after="0"/>
        <w:jc w:val="center"/>
        <w:rPr>
          <w:u w:val="single"/>
        </w:rPr>
      </w:pPr>
    </w:p>
    <w:p w14:paraId="0F5CC7DD" w14:textId="77777777" w:rsidR="00344BA9" w:rsidRDefault="00344BA9" w:rsidP="00344BA9">
      <w:pPr>
        <w:spacing w:after="0"/>
        <w:jc w:val="center"/>
        <w:rPr>
          <w:u w:val="single"/>
        </w:rPr>
      </w:pPr>
    </w:p>
    <w:p w14:paraId="756C1F15" w14:textId="77777777" w:rsidR="00344BA9" w:rsidRDefault="00344BA9" w:rsidP="00344BA9">
      <w:pPr>
        <w:spacing w:after="0"/>
        <w:jc w:val="center"/>
        <w:rPr>
          <w:u w:val="single"/>
        </w:rPr>
      </w:pPr>
    </w:p>
    <w:p w14:paraId="4FF15280" w14:textId="77777777" w:rsidR="00344BA9" w:rsidRDefault="00344BA9" w:rsidP="00344BA9">
      <w:pPr>
        <w:spacing w:after="0"/>
        <w:jc w:val="center"/>
        <w:rPr>
          <w:u w:val="single"/>
        </w:rPr>
      </w:pPr>
    </w:p>
    <w:p w14:paraId="77F6EBA9" w14:textId="77777777" w:rsidR="00344BA9" w:rsidRDefault="00344BA9" w:rsidP="00344BA9">
      <w:pPr>
        <w:spacing w:after="0"/>
        <w:jc w:val="center"/>
        <w:rPr>
          <w:u w:val="single"/>
        </w:rPr>
      </w:pPr>
    </w:p>
    <w:p w14:paraId="56BBB990" w14:textId="77777777" w:rsidR="00344BA9" w:rsidRDefault="00344BA9" w:rsidP="00344BA9">
      <w:pPr>
        <w:spacing w:after="0"/>
        <w:jc w:val="center"/>
        <w:rPr>
          <w:u w:val="single"/>
        </w:rPr>
      </w:pPr>
    </w:p>
    <w:p w14:paraId="7ACABD39" w14:textId="77777777" w:rsidR="00344BA9" w:rsidRDefault="00344BA9" w:rsidP="00344BA9">
      <w:pPr>
        <w:spacing w:after="0"/>
        <w:jc w:val="center"/>
        <w:rPr>
          <w:u w:val="single"/>
        </w:rPr>
      </w:pPr>
    </w:p>
    <w:p w14:paraId="4ECA33D5" w14:textId="77777777" w:rsidR="00344BA9" w:rsidRDefault="00344BA9" w:rsidP="00344BA9">
      <w:pPr>
        <w:spacing w:after="0"/>
        <w:jc w:val="center"/>
        <w:rPr>
          <w:u w:val="single"/>
        </w:rPr>
      </w:pPr>
    </w:p>
    <w:p w14:paraId="3E336399" w14:textId="77777777" w:rsidR="00344BA9" w:rsidRDefault="00344BA9" w:rsidP="00344BA9">
      <w:pPr>
        <w:spacing w:after="0"/>
        <w:jc w:val="center"/>
        <w:rPr>
          <w:u w:val="single"/>
        </w:rPr>
      </w:pPr>
    </w:p>
    <w:p w14:paraId="7A6A0DA0" w14:textId="77777777" w:rsidR="009025F4" w:rsidRDefault="009025F4" w:rsidP="00344BA9">
      <w:pPr>
        <w:spacing w:after="0"/>
        <w:jc w:val="center"/>
      </w:pPr>
      <w:r>
        <w:t xml:space="preserve">BY </w:t>
      </w:r>
    </w:p>
    <w:p w14:paraId="5199B4D3" w14:textId="77777777" w:rsidR="009025F4" w:rsidRDefault="009025F4" w:rsidP="00344BA9">
      <w:pPr>
        <w:spacing w:after="0"/>
        <w:jc w:val="center"/>
      </w:pPr>
    </w:p>
    <w:p w14:paraId="57C58D02" w14:textId="77777777" w:rsidR="00344BA9" w:rsidRDefault="00344BA9" w:rsidP="00344BA9">
      <w:pPr>
        <w:spacing w:after="0"/>
        <w:jc w:val="center"/>
      </w:pPr>
    </w:p>
    <w:p w14:paraId="61842FA8" w14:textId="77777777" w:rsidR="00344BA9" w:rsidRDefault="00344BA9" w:rsidP="00344BA9">
      <w:pPr>
        <w:spacing w:after="0"/>
        <w:jc w:val="right"/>
      </w:pPr>
    </w:p>
    <w:p w14:paraId="272529E9" w14:textId="77777777" w:rsidR="00344BA9" w:rsidRDefault="00344BA9" w:rsidP="00344BA9">
      <w:pPr>
        <w:spacing w:after="0"/>
        <w:jc w:val="right"/>
      </w:pPr>
    </w:p>
    <w:p w14:paraId="10BAECAE" w14:textId="77777777" w:rsidR="009025F4" w:rsidRDefault="009025F4" w:rsidP="00344BA9">
      <w:pPr>
        <w:spacing w:after="0"/>
        <w:jc w:val="right"/>
      </w:pPr>
      <w:r>
        <w:t>_____________________________</w:t>
      </w:r>
    </w:p>
    <w:p w14:paraId="6E168382" w14:textId="670D1BCC" w:rsidR="009025F4" w:rsidRDefault="005545A7" w:rsidP="005545A7">
      <w:pPr>
        <w:spacing w:after="0"/>
        <w:jc w:val="right"/>
      </w:pPr>
      <w:r>
        <w:t>Dr. Robin Grier</w:t>
      </w:r>
      <w:r w:rsidR="009025F4">
        <w:t>, Chair</w:t>
      </w:r>
    </w:p>
    <w:p w14:paraId="70C00A2F" w14:textId="77777777" w:rsidR="009025F4" w:rsidRDefault="009025F4" w:rsidP="00344BA9">
      <w:pPr>
        <w:spacing w:after="0"/>
        <w:jc w:val="right"/>
      </w:pPr>
    </w:p>
    <w:p w14:paraId="1253A5F0" w14:textId="77777777" w:rsidR="009025F4" w:rsidRDefault="009025F4" w:rsidP="00344BA9">
      <w:pPr>
        <w:spacing w:after="0"/>
        <w:jc w:val="right"/>
      </w:pPr>
    </w:p>
    <w:p w14:paraId="2E119B37" w14:textId="77777777" w:rsidR="009025F4" w:rsidRDefault="009025F4" w:rsidP="00344BA9">
      <w:pPr>
        <w:spacing w:after="0"/>
        <w:jc w:val="right"/>
      </w:pPr>
    </w:p>
    <w:p w14:paraId="50BF7CDD" w14:textId="77777777" w:rsidR="00344BA9" w:rsidRDefault="00344BA9" w:rsidP="00344BA9">
      <w:pPr>
        <w:spacing w:after="0"/>
        <w:jc w:val="right"/>
      </w:pPr>
    </w:p>
    <w:p w14:paraId="747C5B34" w14:textId="77777777" w:rsidR="009025F4" w:rsidRDefault="009025F4" w:rsidP="00344BA9">
      <w:pPr>
        <w:spacing w:after="0"/>
        <w:jc w:val="right"/>
      </w:pPr>
      <w:r>
        <w:t>_____________________________</w:t>
      </w:r>
    </w:p>
    <w:p w14:paraId="2F7634C8" w14:textId="27D8A507" w:rsidR="009025F4" w:rsidRDefault="005545A7" w:rsidP="00344BA9">
      <w:pPr>
        <w:spacing w:after="0"/>
        <w:jc w:val="right"/>
      </w:pPr>
      <w:r>
        <w:t>Dr. Noah Theriault</w:t>
      </w:r>
    </w:p>
    <w:p w14:paraId="7CF0401D" w14:textId="77777777" w:rsidR="005545A7" w:rsidRDefault="005545A7" w:rsidP="00344BA9">
      <w:pPr>
        <w:spacing w:after="0"/>
        <w:jc w:val="right"/>
      </w:pPr>
    </w:p>
    <w:p w14:paraId="64D39E24" w14:textId="77777777" w:rsidR="009025F4" w:rsidRDefault="009025F4" w:rsidP="00344BA9">
      <w:pPr>
        <w:spacing w:after="0"/>
      </w:pPr>
    </w:p>
    <w:p w14:paraId="2566C1D7" w14:textId="77777777" w:rsidR="009025F4" w:rsidRDefault="009025F4" w:rsidP="00344BA9">
      <w:pPr>
        <w:spacing w:after="0"/>
        <w:jc w:val="right"/>
      </w:pPr>
    </w:p>
    <w:p w14:paraId="5D25FCC8" w14:textId="77777777" w:rsidR="00344BA9" w:rsidRDefault="00344BA9" w:rsidP="00344BA9">
      <w:pPr>
        <w:spacing w:after="0"/>
        <w:jc w:val="right"/>
      </w:pPr>
    </w:p>
    <w:p w14:paraId="72272B1F" w14:textId="77777777" w:rsidR="009025F4" w:rsidRDefault="009025F4" w:rsidP="00344BA9">
      <w:pPr>
        <w:spacing w:after="0"/>
        <w:jc w:val="right"/>
      </w:pPr>
      <w:r>
        <w:t>_____________________________</w:t>
      </w:r>
    </w:p>
    <w:p w14:paraId="63AE322E" w14:textId="77777777" w:rsidR="009025F4" w:rsidRDefault="009025F4" w:rsidP="00344BA9">
      <w:pPr>
        <w:spacing w:after="0"/>
        <w:jc w:val="right"/>
        <w:rPr>
          <w:u w:val="single"/>
        </w:rPr>
      </w:pPr>
      <w:r>
        <w:t>Dr. Dan Hicks</w:t>
      </w:r>
      <w:r>
        <w:rPr>
          <w:u w:val="single"/>
        </w:rPr>
        <w:br w:type="page"/>
      </w:r>
    </w:p>
    <w:p w14:paraId="2CC7FA89" w14:textId="77777777" w:rsidR="009025F4" w:rsidRDefault="009025F4" w:rsidP="009025F4">
      <w:pPr>
        <w:rPr>
          <w:u w:val="single"/>
        </w:rPr>
      </w:pPr>
    </w:p>
    <w:p w14:paraId="0EE31BDC" w14:textId="77777777" w:rsidR="009025F4" w:rsidRDefault="009025F4" w:rsidP="009025F4">
      <w:pPr>
        <w:rPr>
          <w:u w:val="single"/>
        </w:rPr>
      </w:pPr>
    </w:p>
    <w:p w14:paraId="39B08257" w14:textId="77777777" w:rsidR="009025F4" w:rsidRDefault="009025F4" w:rsidP="009025F4">
      <w:pPr>
        <w:rPr>
          <w:u w:val="single"/>
        </w:rPr>
      </w:pPr>
    </w:p>
    <w:p w14:paraId="43851F05" w14:textId="77777777" w:rsidR="009025F4" w:rsidRDefault="009025F4" w:rsidP="009025F4">
      <w:pPr>
        <w:rPr>
          <w:u w:val="single"/>
        </w:rPr>
      </w:pPr>
    </w:p>
    <w:p w14:paraId="6503CD5E" w14:textId="77777777" w:rsidR="009025F4" w:rsidRDefault="009025F4" w:rsidP="009025F4">
      <w:pPr>
        <w:rPr>
          <w:u w:val="single"/>
        </w:rPr>
      </w:pPr>
    </w:p>
    <w:p w14:paraId="5DEA8516" w14:textId="77777777" w:rsidR="009025F4" w:rsidRDefault="009025F4" w:rsidP="009025F4">
      <w:pPr>
        <w:rPr>
          <w:u w:val="single"/>
        </w:rPr>
      </w:pPr>
    </w:p>
    <w:p w14:paraId="09007317" w14:textId="77777777" w:rsidR="009025F4" w:rsidRDefault="009025F4" w:rsidP="009025F4">
      <w:pPr>
        <w:rPr>
          <w:u w:val="single"/>
        </w:rPr>
      </w:pPr>
    </w:p>
    <w:p w14:paraId="714BE184" w14:textId="77777777" w:rsidR="009025F4" w:rsidRDefault="009025F4" w:rsidP="009025F4">
      <w:pPr>
        <w:rPr>
          <w:u w:val="single"/>
        </w:rPr>
      </w:pPr>
    </w:p>
    <w:p w14:paraId="07176C95" w14:textId="77777777" w:rsidR="009025F4" w:rsidRDefault="009025F4" w:rsidP="009025F4">
      <w:pPr>
        <w:rPr>
          <w:u w:val="single"/>
        </w:rPr>
      </w:pPr>
    </w:p>
    <w:p w14:paraId="28AD4BB3" w14:textId="77777777" w:rsidR="009025F4" w:rsidRDefault="009025F4" w:rsidP="009025F4">
      <w:pPr>
        <w:rPr>
          <w:u w:val="single"/>
        </w:rPr>
      </w:pPr>
    </w:p>
    <w:p w14:paraId="1B3DD504" w14:textId="77777777" w:rsidR="009025F4" w:rsidRDefault="009025F4" w:rsidP="009025F4">
      <w:pPr>
        <w:rPr>
          <w:u w:val="single"/>
        </w:rPr>
      </w:pPr>
    </w:p>
    <w:p w14:paraId="2E21BCC4" w14:textId="77777777" w:rsidR="009025F4" w:rsidRDefault="009025F4" w:rsidP="009025F4">
      <w:pPr>
        <w:rPr>
          <w:u w:val="single"/>
        </w:rPr>
      </w:pPr>
    </w:p>
    <w:p w14:paraId="5F537B86" w14:textId="77777777" w:rsidR="009025F4" w:rsidRDefault="009025F4" w:rsidP="009025F4">
      <w:pPr>
        <w:rPr>
          <w:u w:val="single"/>
        </w:rPr>
      </w:pPr>
    </w:p>
    <w:p w14:paraId="20B6B918" w14:textId="77777777" w:rsidR="009025F4" w:rsidRDefault="009025F4" w:rsidP="009025F4">
      <w:pPr>
        <w:rPr>
          <w:u w:val="single"/>
        </w:rPr>
      </w:pPr>
    </w:p>
    <w:p w14:paraId="1CE79966" w14:textId="77777777" w:rsidR="009025F4" w:rsidRDefault="009025F4" w:rsidP="009025F4">
      <w:pPr>
        <w:rPr>
          <w:u w:val="single"/>
        </w:rPr>
      </w:pPr>
    </w:p>
    <w:p w14:paraId="7BF4A30F" w14:textId="77777777" w:rsidR="009025F4" w:rsidRDefault="009025F4" w:rsidP="009025F4">
      <w:pPr>
        <w:rPr>
          <w:u w:val="single"/>
        </w:rPr>
      </w:pPr>
    </w:p>
    <w:p w14:paraId="732081D0" w14:textId="77777777" w:rsidR="009025F4" w:rsidRDefault="009025F4" w:rsidP="009025F4">
      <w:pPr>
        <w:rPr>
          <w:u w:val="single"/>
        </w:rPr>
      </w:pPr>
    </w:p>
    <w:p w14:paraId="41210312" w14:textId="77777777" w:rsidR="009025F4" w:rsidRDefault="009025F4" w:rsidP="009025F4">
      <w:pPr>
        <w:rPr>
          <w:u w:val="single"/>
        </w:rPr>
      </w:pPr>
    </w:p>
    <w:p w14:paraId="2A7FA2C8" w14:textId="77777777" w:rsidR="009025F4" w:rsidRDefault="009025F4" w:rsidP="009025F4">
      <w:pPr>
        <w:rPr>
          <w:u w:val="single"/>
        </w:rPr>
      </w:pPr>
    </w:p>
    <w:p w14:paraId="7D9492F1" w14:textId="77777777" w:rsidR="009025F4" w:rsidRDefault="009025F4" w:rsidP="009025F4">
      <w:pPr>
        <w:rPr>
          <w:u w:val="single"/>
        </w:rPr>
      </w:pPr>
    </w:p>
    <w:p w14:paraId="47D621E9" w14:textId="77777777" w:rsidR="009025F4" w:rsidRDefault="009025F4" w:rsidP="009025F4">
      <w:pPr>
        <w:rPr>
          <w:u w:val="single"/>
        </w:rPr>
      </w:pPr>
    </w:p>
    <w:p w14:paraId="7CDFB2F2" w14:textId="77777777" w:rsidR="009025F4" w:rsidRDefault="009025F4" w:rsidP="009025F4">
      <w:pPr>
        <w:rPr>
          <w:u w:val="single"/>
        </w:rPr>
      </w:pPr>
    </w:p>
    <w:p w14:paraId="2CE0DCCF" w14:textId="77777777" w:rsidR="009025F4" w:rsidRDefault="009025F4" w:rsidP="009025F4">
      <w:pPr>
        <w:rPr>
          <w:u w:val="single"/>
        </w:rPr>
      </w:pPr>
    </w:p>
    <w:p w14:paraId="4983C472" w14:textId="77777777" w:rsidR="009025F4" w:rsidRDefault="009025F4" w:rsidP="009025F4">
      <w:pPr>
        <w:rPr>
          <w:u w:val="single"/>
        </w:rPr>
      </w:pPr>
    </w:p>
    <w:p w14:paraId="5F141BAF" w14:textId="77777777" w:rsidR="009025F4" w:rsidRDefault="009025F4" w:rsidP="009025F4">
      <w:pPr>
        <w:rPr>
          <w:u w:val="single"/>
        </w:rPr>
      </w:pPr>
    </w:p>
    <w:p w14:paraId="2176F359" w14:textId="77777777" w:rsidR="009025F4" w:rsidRDefault="009025F4" w:rsidP="009025F4">
      <w:pPr>
        <w:rPr>
          <w:u w:val="single"/>
        </w:rPr>
      </w:pPr>
    </w:p>
    <w:p w14:paraId="6B6270F3" w14:textId="77777777" w:rsidR="009025F4" w:rsidRDefault="009025F4" w:rsidP="009025F4">
      <w:pPr>
        <w:spacing w:after="0"/>
        <w:jc w:val="center"/>
      </w:pPr>
      <w:r w:rsidRPr="00EA7D2F">
        <w:t>©</w:t>
      </w:r>
      <w:r>
        <w:t xml:space="preserve"> Copyright by NICOLE SMITH 2017</w:t>
      </w:r>
    </w:p>
    <w:p w14:paraId="62423318" w14:textId="77777777" w:rsidR="00E463E5" w:rsidRDefault="009025F4" w:rsidP="00E463E5">
      <w:pPr>
        <w:spacing w:after="0"/>
        <w:jc w:val="center"/>
        <w:sectPr w:rsidR="00E463E5" w:rsidSect="00D0314C">
          <w:footerReference w:type="even" r:id="rId7"/>
          <w:footerReference w:type="default" r:id="rId8"/>
          <w:pgSz w:w="12240" w:h="15840"/>
          <w:pgMar w:top="1440" w:right="1440" w:bottom="1440" w:left="2520" w:header="720" w:footer="720" w:gutter="0"/>
          <w:pgNumType w:fmt="lowerRoman" w:start="4"/>
          <w:cols w:space="720"/>
        </w:sectPr>
      </w:pPr>
      <w:r>
        <w:t>All Rights Reserved.</w:t>
      </w:r>
    </w:p>
    <w:p w14:paraId="5D1F4592" w14:textId="445A963B" w:rsidR="009025F4" w:rsidRPr="00762169" w:rsidRDefault="009025F4" w:rsidP="00344BA9">
      <w:pPr>
        <w:jc w:val="center"/>
        <w:rPr>
          <w:b/>
          <w:sz w:val="28"/>
          <w:szCs w:val="28"/>
        </w:rPr>
      </w:pPr>
      <w:r w:rsidRPr="00762169">
        <w:rPr>
          <w:b/>
          <w:sz w:val="28"/>
          <w:szCs w:val="28"/>
        </w:rPr>
        <w:t>Acknowledgements</w:t>
      </w:r>
    </w:p>
    <w:p w14:paraId="13BCCE81" w14:textId="77777777" w:rsidR="009025F4" w:rsidRDefault="009025F4" w:rsidP="009025F4">
      <w:pPr>
        <w:jc w:val="center"/>
        <w:rPr>
          <w:u w:val="single"/>
        </w:rPr>
      </w:pPr>
    </w:p>
    <w:p w14:paraId="4D4AE3E2" w14:textId="41D9C454" w:rsidR="009025F4" w:rsidRDefault="009025F4" w:rsidP="00344BA9">
      <w:pPr>
        <w:spacing w:after="0" w:line="480" w:lineRule="auto"/>
        <w:ind w:firstLine="720"/>
        <w:jc w:val="both"/>
      </w:pPr>
      <w:r>
        <w:t>I would like to thank my entire committee for their continuous support and patience t</w:t>
      </w:r>
      <w:r w:rsidR="00D01FFA">
        <w:t>hroughout this project. I express gratitude to</w:t>
      </w:r>
      <w:r>
        <w:t xml:space="preserve"> </w:t>
      </w:r>
      <w:r w:rsidR="005545A7">
        <w:t xml:space="preserve">Dr. Robin Grier for her advice on the bigger picture of my research; </w:t>
      </w:r>
      <w:r>
        <w:t xml:space="preserve">Dr. Noah Theriault for his </w:t>
      </w:r>
      <w:r w:rsidR="00F86CB6">
        <w:t>constant encouragement</w:t>
      </w:r>
      <w:r>
        <w:t xml:space="preserve"> and exquisite grammar skills; and Dr. Dan Hicks for his expertise in econometric analysis. </w:t>
      </w:r>
    </w:p>
    <w:p w14:paraId="4D1537B5" w14:textId="6F146F53" w:rsidR="009025F4" w:rsidRDefault="009025F4" w:rsidP="00344BA9">
      <w:pPr>
        <w:spacing w:after="0" w:line="480" w:lineRule="auto"/>
        <w:ind w:firstLine="720"/>
        <w:jc w:val="both"/>
      </w:pPr>
      <w:r>
        <w:t>Additionally, I thank the University of Oklahoma, and specifically the College of International Studies and t</w:t>
      </w:r>
      <w:r w:rsidR="00D01FFA">
        <w:t>he Department of International and</w:t>
      </w:r>
      <w:r>
        <w:t xml:space="preserve"> Area Studies for the opportunity to pursue a graduate degree at a phenomenal institution. A special thank you to Katie Watkins and Rhonda Hill for all they do for the graduate students. </w:t>
      </w:r>
    </w:p>
    <w:p w14:paraId="4206F617" w14:textId="77777777" w:rsidR="009025F4" w:rsidRDefault="009025F4" w:rsidP="00344BA9">
      <w:pPr>
        <w:spacing w:after="0" w:line="480" w:lineRule="auto"/>
        <w:ind w:firstLine="720"/>
        <w:jc w:val="both"/>
      </w:pPr>
      <w:r>
        <w:t xml:space="preserve">I would not have succeeded in this program or research project without the support and encouragement of my fellow graduate students. I would like to thank two students in particular. Thank you to Nela Mrchkovska for being constantly uplifting and always having ice cream when times get tough. Extra thanks to Stefanie Neumeier for being my friend and always proofreading my chapters and research papers. You are my academic role model, and your support has made me a better student and researcher. </w:t>
      </w:r>
    </w:p>
    <w:p w14:paraId="201BBA4E" w14:textId="77777777" w:rsidR="009025F4" w:rsidRDefault="009025F4" w:rsidP="00344BA9">
      <w:pPr>
        <w:spacing w:after="0" w:line="480" w:lineRule="auto"/>
        <w:ind w:firstLine="720"/>
        <w:jc w:val="both"/>
      </w:pPr>
      <w:r>
        <w:t xml:space="preserve">I would like to thank my family and their support of me being a life-long student. I would never have made it this far without your love, encouragement, and support. Thank you, mom and dad, for always answering my calls and reminding me of the good things in life. I am eternally grateful for you! </w:t>
      </w:r>
    </w:p>
    <w:p w14:paraId="77FBFA2B" w14:textId="559845CF" w:rsidR="009025F4" w:rsidRDefault="009025F4" w:rsidP="00344BA9">
      <w:pPr>
        <w:spacing w:after="0" w:line="480" w:lineRule="auto"/>
        <w:ind w:firstLine="720"/>
        <w:jc w:val="both"/>
      </w:pPr>
      <w:r>
        <w:t xml:space="preserve">Finally, a quick shout-out to my cat for </w:t>
      </w:r>
      <w:r w:rsidR="00745688">
        <w:t xml:space="preserve">consistently </w:t>
      </w:r>
      <w:r>
        <w:t>walking across my</w:t>
      </w:r>
      <w:r w:rsidR="00745688">
        <w:t xml:space="preserve"> keyboard at the most inopportune times. </w:t>
      </w:r>
      <w:r>
        <w:t xml:space="preserve"> </w:t>
      </w:r>
    </w:p>
    <w:p w14:paraId="2ED99F02" w14:textId="77777777" w:rsidR="00722658" w:rsidRPr="00762169" w:rsidRDefault="00722658" w:rsidP="00722658">
      <w:pPr>
        <w:jc w:val="center"/>
        <w:rPr>
          <w:b/>
          <w:sz w:val="28"/>
          <w:szCs w:val="28"/>
        </w:rPr>
      </w:pPr>
      <w:r w:rsidRPr="00762169">
        <w:rPr>
          <w:b/>
          <w:sz w:val="28"/>
          <w:szCs w:val="28"/>
        </w:rPr>
        <w:t>Table of Contents</w:t>
      </w:r>
    </w:p>
    <w:p w14:paraId="6DB5E6A4" w14:textId="77777777" w:rsidR="00722658" w:rsidRDefault="00722658" w:rsidP="00722658"/>
    <w:p w14:paraId="765E1663" w14:textId="77777777" w:rsidR="00722658" w:rsidRDefault="00722658" w:rsidP="00722658">
      <w:r>
        <w:t>Introduction …………………………………………………………………………. 1</w:t>
      </w:r>
    </w:p>
    <w:p w14:paraId="128DDB10" w14:textId="77777777" w:rsidR="00722658" w:rsidRDefault="00722658" w:rsidP="00722658">
      <w:r>
        <w:tab/>
        <w:t>Franco-African Aid Relationship …………………………………………… 4</w:t>
      </w:r>
    </w:p>
    <w:p w14:paraId="6719BB78" w14:textId="77777777" w:rsidR="00722658" w:rsidRDefault="00722658" w:rsidP="00722658">
      <w:r>
        <w:tab/>
        <w:t>Identity Theory ………………………………………………………….…... 6</w:t>
      </w:r>
    </w:p>
    <w:p w14:paraId="6139CF72" w14:textId="77777777" w:rsidR="00722658" w:rsidRDefault="00722658" w:rsidP="00722658">
      <w:r>
        <w:tab/>
        <w:t>Chapter Overview …………………………………………………………. 12</w:t>
      </w:r>
    </w:p>
    <w:p w14:paraId="01D834FD" w14:textId="77777777" w:rsidR="00722658" w:rsidRDefault="00722658" w:rsidP="00722658">
      <w:r>
        <w:t>Chapter 1: Historical French African Identity …………………………………….. 14</w:t>
      </w:r>
    </w:p>
    <w:p w14:paraId="5E7588F4" w14:textId="77777777" w:rsidR="00722658" w:rsidRPr="007118F3" w:rsidRDefault="00722658" w:rsidP="00722658">
      <w:r>
        <w:tab/>
      </w:r>
      <w:r>
        <w:rPr>
          <w:i/>
        </w:rPr>
        <w:t xml:space="preserve">Assimilation </w:t>
      </w:r>
      <w:r>
        <w:t xml:space="preserve">and </w:t>
      </w:r>
      <w:r>
        <w:rPr>
          <w:i/>
        </w:rPr>
        <w:t xml:space="preserve">Association </w:t>
      </w:r>
      <w:r w:rsidRPr="00F31766">
        <w:t>………</w:t>
      </w:r>
      <w:r>
        <w:t>..</w:t>
      </w:r>
      <w:r w:rsidRPr="00F31766">
        <w:t>……………………………………..</w:t>
      </w:r>
      <w:r>
        <w:rPr>
          <w:i/>
        </w:rPr>
        <w:t xml:space="preserve"> </w:t>
      </w:r>
      <w:r>
        <w:t>16</w:t>
      </w:r>
    </w:p>
    <w:p w14:paraId="5E13D793" w14:textId="77777777" w:rsidR="00722658" w:rsidRDefault="00722658" w:rsidP="00722658">
      <w:r>
        <w:tab/>
        <w:t>Identity at the Individual Level ……………………………………………. 22</w:t>
      </w:r>
    </w:p>
    <w:p w14:paraId="3A421891" w14:textId="77777777" w:rsidR="00722658" w:rsidRDefault="00722658" w:rsidP="00722658">
      <w:r>
        <w:tab/>
        <w:t>Identity at the Regional Level ……………………………………………... 34</w:t>
      </w:r>
    </w:p>
    <w:p w14:paraId="14B53750" w14:textId="77777777" w:rsidR="00722658" w:rsidRDefault="00722658" w:rsidP="00722658">
      <w:r>
        <w:tab/>
        <w:t>French Union and French Community ……………………………………. 38</w:t>
      </w:r>
    </w:p>
    <w:p w14:paraId="0717BA3A" w14:textId="77777777" w:rsidR="00722658" w:rsidRDefault="00722658" w:rsidP="00722658">
      <w:r>
        <w:tab/>
        <w:t>Conclusion ………………………………………………………………… 46</w:t>
      </w:r>
    </w:p>
    <w:p w14:paraId="34500575" w14:textId="77777777" w:rsidR="00722658" w:rsidRDefault="00722658" w:rsidP="00722658">
      <w:r>
        <w:t>Chapter 2: The Role of Françafrique in Post-Colonial Identity Formation ……….. 48</w:t>
      </w:r>
    </w:p>
    <w:p w14:paraId="7CEE30CB" w14:textId="77777777" w:rsidR="00722658" w:rsidRDefault="00722658" w:rsidP="00722658">
      <w:r>
        <w:tab/>
        <w:t>Françafrique and Identity ………………………………………………….. 51</w:t>
      </w:r>
    </w:p>
    <w:p w14:paraId="58D2CD09" w14:textId="77777777" w:rsidR="00722658" w:rsidRDefault="00722658" w:rsidP="00722658">
      <w:r>
        <w:tab/>
        <w:t>The Channels of Françafrique …………………………………………….. 52</w:t>
      </w:r>
    </w:p>
    <w:p w14:paraId="2A10C4B0" w14:textId="77777777" w:rsidR="00722658" w:rsidRDefault="00722658" w:rsidP="00722658">
      <w:r>
        <w:tab/>
        <w:t>Conclusion ………………………………………………………………… 81</w:t>
      </w:r>
    </w:p>
    <w:p w14:paraId="6056556C" w14:textId="77777777" w:rsidR="00722658" w:rsidRDefault="00722658" w:rsidP="00722658">
      <w:r>
        <w:t>Chapter 3: Identity as a Determinant in Aid Allocation …………………………... 82</w:t>
      </w:r>
    </w:p>
    <w:p w14:paraId="6B1806FE" w14:textId="77777777" w:rsidR="00722658" w:rsidRDefault="00722658" w:rsidP="00722658">
      <w:r>
        <w:tab/>
        <w:t>Background Literature …………………………………………………….. 84</w:t>
      </w:r>
    </w:p>
    <w:p w14:paraId="13D13AA8" w14:textId="77777777" w:rsidR="00722658" w:rsidRDefault="00722658" w:rsidP="00722658">
      <w:r>
        <w:tab/>
        <w:t>Data and Methodology ……………………………………………………. 87</w:t>
      </w:r>
    </w:p>
    <w:p w14:paraId="5CC40696" w14:textId="77777777" w:rsidR="00722658" w:rsidRDefault="00722658" w:rsidP="00722658">
      <w:r>
        <w:tab/>
        <w:t>Results …………………………………………………………………….. 92</w:t>
      </w:r>
    </w:p>
    <w:p w14:paraId="673D943D" w14:textId="77777777" w:rsidR="00722658" w:rsidRDefault="00722658" w:rsidP="00722658">
      <w:r>
        <w:tab/>
        <w:t>Other Explanations ………………………….…………………………….. 99</w:t>
      </w:r>
    </w:p>
    <w:p w14:paraId="406CC9A4" w14:textId="77777777" w:rsidR="00722658" w:rsidRDefault="00722658" w:rsidP="00722658">
      <w:r>
        <w:tab/>
        <w:t>Conclusion ………………………………….……………………………. 100</w:t>
      </w:r>
    </w:p>
    <w:p w14:paraId="28807E7B" w14:textId="77777777" w:rsidR="00722658" w:rsidRDefault="00722658" w:rsidP="00722658">
      <w:r>
        <w:t>Conclusion ……………………………………………………………………….. 105</w:t>
      </w:r>
    </w:p>
    <w:p w14:paraId="64810FB8" w14:textId="77777777" w:rsidR="00722658" w:rsidRDefault="00722658" w:rsidP="00722658">
      <w:r>
        <w:tab/>
        <w:t>Future Research ………………………………………….………………. 107</w:t>
      </w:r>
    </w:p>
    <w:p w14:paraId="4644FA48" w14:textId="77777777" w:rsidR="00722658" w:rsidRDefault="00722658" w:rsidP="00722658">
      <w:r>
        <w:tab/>
        <w:t>Policy Implications ………………………………………………….…… 109</w:t>
      </w:r>
    </w:p>
    <w:p w14:paraId="5F428055" w14:textId="7B7C71EC" w:rsidR="00722658" w:rsidRDefault="00722658" w:rsidP="00722658">
      <w:r>
        <w:t>Bibliography ……………………………………………………………………...</w:t>
      </w:r>
      <w:r w:rsidR="00F618FE">
        <w:t xml:space="preserve"> 111</w:t>
      </w:r>
    </w:p>
    <w:p w14:paraId="28568A01" w14:textId="0924D3F1" w:rsidR="00722658" w:rsidRDefault="00722658" w:rsidP="00F618FE">
      <w:r>
        <w:t>Appendices  ………………</w:t>
      </w:r>
      <w:r w:rsidR="00F618FE">
        <w:t>.</w:t>
      </w:r>
      <w:r w:rsidR="00F602F7">
        <w:t>……………………………………………………...</w:t>
      </w:r>
      <w:r>
        <w:t xml:space="preserve"> 121</w:t>
      </w:r>
    </w:p>
    <w:p w14:paraId="07719FC2" w14:textId="1AF8FD91" w:rsidR="009025F4" w:rsidRPr="00762169" w:rsidRDefault="009025F4" w:rsidP="00722658">
      <w:pPr>
        <w:jc w:val="center"/>
        <w:rPr>
          <w:b/>
          <w:sz w:val="28"/>
          <w:szCs w:val="28"/>
        </w:rPr>
      </w:pPr>
      <w:r w:rsidRPr="00762169">
        <w:rPr>
          <w:b/>
          <w:sz w:val="28"/>
          <w:szCs w:val="28"/>
        </w:rPr>
        <w:t>List of Tables</w:t>
      </w:r>
    </w:p>
    <w:p w14:paraId="2D0A9CE2" w14:textId="77777777" w:rsidR="009025F4" w:rsidRDefault="009025F4" w:rsidP="009025F4">
      <w:pPr>
        <w:jc w:val="center"/>
      </w:pPr>
    </w:p>
    <w:p w14:paraId="393A2889" w14:textId="18FD106A" w:rsidR="001D2816" w:rsidRDefault="001D2816" w:rsidP="001D2816">
      <w:r>
        <w:t xml:space="preserve">1.1. </w:t>
      </w:r>
      <w:r>
        <w:tab/>
        <w:t xml:space="preserve">Service conditions for </w:t>
      </w:r>
      <w:r>
        <w:rPr>
          <w:i/>
        </w:rPr>
        <w:t xml:space="preserve">originaires </w:t>
      </w:r>
      <w:r>
        <w:t xml:space="preserve">and </w:t>
      </w:r>
      <w:r w:rsidR="00127EC1">
        <w:t xml:space="preserve">other </w:t>
      </w:r>
      <w:r>
        <w:t>Africans, 1915 ……</w:t>
      </w:r>
      <w:r w:rsidR="00956384">
        <w:t>…</w:t>
      </w:r>
      <w:r>
        <w:t>…</w:t>
      </w:r>
      <w:r w:rsidR="00D01FFA">
        <w:t>……</w:t>
      </w:r>
      <w:r>
        <w:t>. 25</w:t>
      </w:r>
    </w:p>
    <w:p w14:paraId="0731DD06" w14:textId="77777777" w:rsidR="001D2816" w:rsidRDefault="001D2816" w:rsidP="001D2816">
      <w:r>
        <w:t xml:space="preserve">1.2 </w:t>
      </w:r>
      <w:r>
        <w:tab/>
        <w:t>Citizenship in the French Union …………………………………………… 43</w:t>
      </w:r>
    </w:p>
    <w:p w14:paraId="1EF8ED13" w14:textId="1A233A91" w:rsidR="001D2816" w:rsidRDefault="001D2816" w:rsidP="001D2816">
      <w:r>
        <w:t xml:space="preserve">2.1. </w:t>
      </w:r>
      <w:r>
        <w:tab/>
        <w:t>Members of a CFA franc zone …………………………………</w:t>
      </w:r>
      <w:r w:rsidR="00A84BF1">
        <w:t>.</w:t>
      </w:r>
      <w:r>
        <w:t>………….. 71</w:t>
      </w:r>
    </w:p>
    <w:p w14:paraId="4EABA6BA" w14:textId="77777777" w:rsidR="001D2816" w:rsidRDefault="001D2816" w:rsidP="001D2816">
      <w:r>
        <w:t xml:space="preserve">2.2. </w:t>
      </w:r>
      <w:r>
        <w:tab/>
        <w:t>Exports and imports with France …………………………………………... 76</w:t>
      </w:r>
    </w:p>
    <w:p w14:paraId="2A280995" w14:textId="77777777" w:rsidR="001D2816" w:rsidRDefault="001D2816" w:rsidP="001D2816">
      <w:r>
        <w:t xml:space="preserve">3.1. </w:t>
      </w:r>
      <w:r>
        <w:tab/>
        <w:t>Descriptive statistics ……………………………………………………….. 89</w:t>
      </w:r>
    </w:p>
    <w:p w14:paraId="5D047511" w14:textId="77777777" w:rsidR="001D2816" w:rsidRDefault="001D2816" w:rsidP="001D2816">
      <w:r>
        <w:t xml:space="preserve">3.2. </w:t>
      </w:r>
      <w:r>
        <w:tab/>
        <w:t>Bilateral aid committed (ln), full sample …………………………………... 94</w:t>
      </w:r>
    </w:p>
    <w:p w14:paraId="0F0BE226" w14:textId="11EA8209" w:rsidR="001D2816" w:rsidRDefault="001D2816" w:rsidP="001D2816">
      <w:r>
        <w:t xml:space="preserve">3.3. </w:t>
      </w:r>
      <w:r>
        <w:tab/>
        <w:t>Bilateral aid committed (ln), for</w:t>
      </w:r>
      <w:r w:rsidR="00E00126">
        <w:t>mer French colonies only ………………...</w:t>
      </w:r>
      <w:r>
        <w:t xml:space="preserve"> 97</w:t>
      </w:r>
    </w:p>
    <w:p w14:paraId="55EF7E88" w14:textId="77777777" w:rsidR="001D2816" w:rsidRDefault="001D2816" w:rsidP="001D2816">
      <w:pPr>
        <w:ind w:left="720" w:hanging="720"/>
      </w:pPr>
      <w:r>
        <w:t xml:space="preserve">3.4. </w:t>
      </w:r>
      <w:r>
        <w:tab/>
        <w:t>Bilateral aid committed, individual components of Françafrique, full sample  ……………………………………………………………………………….99</w:t>
      </w:r>
    </w:p>
    <w:p w14:paraId="5FD6001F" w14:textId="77777777" w:rsidR="001D2816" w:rsidRDefault="001D2816" w:rsidP="001D2816">
      <w:r>
        <w:t xml:space="preserve">C.1. </w:t>
      </w:r>
      <w:r>
        <w:tab/>
        <w:t>Summary of data ………………………………………………………….. 126</w:t>
      </w:r>
    </w:p>
    <w:p w14:paraId="2FCF8180" w14:textId="77777777" w:rsidR="001D2816" w:rsidRDefault="001D2816" w:rsidP="001D2816">
      <w:r>
        <w:t xml:space="preserve">D.1. </w:t>
      </w:r>
      <w:r>
        <w:tab/>
        <w:t>Bilateral aid committed (ln) with UN voting affinity, full sample ……….. 131</w:t>
      </w:r>
    </w:p>
    <w:p w14:paraId="46A7D5FB" w14:textId="77777777" w:rsidR="001D2816" w:rsidRDefault="001D2816" w:rsidP="001D2816">
      <w:pPr>
        <w:ind w:left="720" w:hanging="720"/>
      </w:pPr>
      <w:r>
        <w:t xml:space="preserve">D.2. </w:t>
      </w:r>
      <w:r>
        <w:tab/>
        <w:t>Bilateral aid committed (ln) with UN voting affinity, former French colonies only ……………………………………………………………………….. 133</w:t>
      </w:r>
    </w:p>
    <w:p w14:paraId="2FC8C6CA" w14:textId="548A98F4" w:rsidR="001D2816" w:rsidRDefault="001D2816" w:rsidP="001D2816">
      <w:r>
        <w:t xml:space="preserve">D.3. </w:t>
      </w:r>
      <w:r>
        <w:tab/>
        <w:t>UN voting affinity, full sample …………………………………</w:t>
      </w:r>
      <w:r w:rsidR="00A84BF1">
        <w:t>.</w:t>
      </w:r>
      <w:r>
        <w:t>………... 135</w:t>
      </w:r>
    </w:p>
    <w:p w14:paraId="447F0D99" w14:textId="77777777" w:rsidR="001D2816" w:rsidRDefault="001D2816" w:rsidP="001D2816">
      <w:r>
        <w:t xml:space="preserve">D.4. </w:t>
      </w:r>
      <w:r>
        <w:tab/>
        <w:t>UN voting affinity, former French colonies only ………………………… 137</w:t>
      </w:r>
    </w:p>
    <w:p w14:paraId="543CF37B" w14:textId="0D673F77" w:rsidR="009025F4" w:rsidRDefault="001D2816" w:rsidP="001D2816">
      <w:pPr>
        <w:ind w:left="720" w:hanging="720"/>
      </w:pPr>
      <w:r>
        <w:t xml:space="preserve">D.5. </w:t>
      </w:r>
      <w:r>
        <w:tab/>
        <w:t>Bilateral aid committed, individual components of Françafrique, former coloni</w:t>
      </w:r>
      <w:r w:rsidR="00E00126">
        <w:t>es only ……………………………………………………………...</w:t>
      </w:r>
      <w:r>
        <w:t xml:space="preserve"> 140</w:t>
      </w:r>
      <w:r w:rsidR="009025F4">
        <w:br w:type="page"/>
      </w:r>
    </w:p>
    <w:p w14:paraId="4155906C" w14:textId="7215178C" w:rsidR="009025F4" w:rsidRPr="00762169" w:rsidRDefault="009025F4" w:rsidP="009025F4">
      <w:pPr>
        <w:jc w:val="center"/>
        <w:rPr>
          <w:b/>
          <w:sz w:val="28"/>
          <w:szCs w:val="28"/>
        </w:rPr>
      </w:pPr>
      <w:r w:rsidRPr="00762169">
        <w:rPr>
          <w:b/>
          <w:sz w:val="28"/>
          <w:szCs w:val="28"/>
        </w:rPr>
        <w:t xml:space="preserve">List of </w:t>
      </w:r>
      <w:r w:rsidR="00A12CB2" w:rsidRPr="00762169">
        <w:rPr>
          <w:b/>
          <w:sz w:val="28"/>
          <w:szCs w:val="28"/>
        </w:rPr>
        <w:t>Figures</w:t>
      </w:r>
    </w:p>
    <w:p w14:paraId="0A9257CE" w14:textId="77777777" w:rsidR="009025F4" w:rsidRDefault="009025F4" w:rsidP="009025F4">
      <w:pPr>
        <w:jc w:val="center"/>
      </w:pPr>
    </w:p>
    <w:p w14:paraId="71BE2FA6" w14:textId="28032DD2" w:rsidR="001D2816" w:rsidRDefault="001D2816" w:rsidP="001D2816">
      <w:pPr>
        <w:jc w:val="both"/>
      </w:pPr>
      <w:r>
        <w:t xml:space="preserve">1. </w:t>
      </w:r>
      <w:r>
        <w:tab/>
        <w:t>French ODA in 2011, millions of USD …………………………………</w:t>
      </w:r>
      <w:r w:rsidR="00956384">
        <w:t>.</w:t>
      </w:r>
      <w:r>
        <w:t>… 2</w:t>
      </w:r>
    </w:p>
    <w:p w14:paraId="2836ECEA" w14:textId="09B2B62A" w:rsidR="001D2816" w:rsidRDefault="001D2816" w:rsidP="001D2816">
      <w:r>
        <w:t xml:space="preserve">2.1. </w:t>
      </w:r>
      <w:r>
        <w:tab/>
        <w:t>Total French migrant stock in</w:t>
      </w:r>
      <w:r w:rsidR="00956384">
        <w:t xml:space="preserve"> French West Africa ………………………. 57</w:t>
      </w:r>
    </w:p>
    <w:p w14:paraId="5E2B9F5A" w14:textId="77777777" w:rsidR="001D2816" w:rsidRDefault="001D2816" w:rsidP="001D2816">
      <w:r>
        <w:t xml:space="preserve">2.2. </w:t>
      </w:r>
      <w:r>
        <w:tab/>
        <w:t>Total French migrant stock in French Equatorial Africa ………………… 57</w:t>
      </w:r>
    </w:p>
    <w:p w14:paraId="4A8D3170" w14:textId="77777777" w:rsidR="001D2816" w:rsidRDefault="001D2816" w:rsidP="001D2816">
      <w:r>
        <w:t xml:space="preserve">2.3. </w:t>
      </w:r>
      <w:r>
        <w:tab/>
        <w:t>Military bases and operations in Sub-Saharan Africa …………………… 68</w:t>
      </w:r>
    </w:p>
    <w:p w14:paraId="25AE6530" w14:textId="77777777" w:rsidR="001D2816" w:rsidRDefault="001D2816" w:rsidP="001D2816">
      <w:r>
        <w:t xml:space="preserve">3.1. </w:t>
      </w:r>
      <w:r>
        <w:tab/>
        <w:t>“Frenchness” index in former colonies ………………………………….. 91</w:t>
      </w:r>
    </w:p>
    <w:p w14:paraId="5670B10D" w14:textId="2E6CB190" w:rsidR="009025F4" w:rsidRDefault="001D2816" w:rsidP="001D2816">
      <w:r>
        <w:t>3.2.</w:t>
      </w:r>
      <w:r>
        <w:tab/>
        <w:t>“Frenchness” index in non-former colonies ……………………...……… 91</w:t>
      </w:r>
      <w:r w:rsidR="009025F4">
        <w:br w:type="page"/>
      </w:r>
    </w:p>
    <w:p w14:paraId="12468933" w14:textId="196F27E4" w:rsidR="00745688" w:rsidRPr="00762169" w:rsidRDefault="009025F4" w:rsidP="00745688">
      <w:pPr>
        <w:jc w:val="center"/>
        <w:rPr>
          <w:b/>
          <w:sz w:val="28"/>
          <w:szCs w:val="28"/>
        </w:rPr>
      </w:pPr>
      <w:r w:rsidRPr="00762169">
        <w:rPr>
          <w:b/>
          <w:sz w:val="28"/>
          <w:szCs w:val="28"/>
        </w:rPr>
        <w:t>Abstract</w:t>
      </w:r>
    </w:p>
    <w:p w14:paraId="585A2374" w14:textId="77777777" w:rsidR="00745688" w:rsidRPr="00745688" w:rsidRDefault="00745688" w:rsidP="00745688">
      <w:pPr>
        <w:jc w:val="center"/>
      </w:pPr>
    </w:p>
    <w:p w14:paraId="762655FF" w14:textId="145CA57C" w:rsidR="00745688" w:rsidRDefault="00745688" w:rsidP="00016C84">
      <w:pPr>
        <w:spacing w:after="0" w:line="480" w:lineRule="auto"/>
        <w:jc w:val="both"/>
      </w:pPr>
      <w:r w:rsidRPr="007F3B61">
        <w:rPr>
          <w:rFonts w:cs="Times New Roman"/>
        </w:rPr>
        <w:t xml:space="preserve">In 2013, France sent more than $3 billion in Official Development Assistance (ODA) to the African continent. The biggest aid recipients were Senegal and Morocco, both former members of the short-lived French Union. Senegal was fully colonized in nineteenth century, and Morocco was established as a protectorate in 1912. Although Senegal was an outlier in French West Africa because of the status of the </w:t>
      </w:r>
      <w:r w:rsidRPr="00745688">
        <w:rPr>
          <w:rFonts w:cs="Times New Roman"/>
          <w:i/>
        </w:rPr>
        <w:t>originaires</w:t>
      </w:r>
      <w:r w:rsidRPr="007F3B61">
        <w:rPr>
          <w:rFonts w:cs="Times New Roman"/>
        </w:rPr>
        <w:t xml:space="preserve"> as French citizens in the Four Communes, it lacked</w:t>
      </w:r>
      <w:r>
        <w:rPr>
          <w:rFonts w:cs="Times New Roman"/>
        </w:rPr>
        <w:t xml:space="preserve"> full sovereignty</w:t>
      </w:r>
      <w:r w:rsidRPr="007F3B61">
        <w:rPr>
          <w:rFonts w:cs="Times New Roman"/>
        </w:rPr>
        <w:t xml:space="preserve"> until </w:t>
      </w:r>
      <w:r>
        <w:rPr>
          <w:rFonts w:cs="Times New Roman"/>
        </w:rPr>
        <w:t>1960</w:t>
      </w:r>
      <w:r w:rsidRPr="007F3B61">
        <w:rPr>
          <w:rFonts w:cs="Times New Roman"/>
        </w:rPr>
        <w:t xml:space="preserve">. On the other hand, France was not the sovereign entity in Morocco due to the preexisting legitimacy of the sultan’s rule. This discrimination continued during the French Union as colonies (both old and new), protectorates, and mandates had varying numbers of representation based on their assigned roles. Although official colonization ended over fifty years ago, the presence of the French, through Françafrique, has remained. </w:t>
      </w:r>
      <w:r>
        <w:rPr>
          <w:rFonts w:cs="Times New Roman"/>
        </w:rPr>
        <w:t xml:space="preserve">Françafrique is the post-colonial French policy in Africa that included a mix of covert and official </w:t>
      </w:r>
      <w:bookmarkStart w:id="0" w:name="_GoBack"/>
      <w:bookmarkEnd w:id="0"/>
      <w:r>
        <w:rPr>
          <w:rFonts w:cs="Times New Roman"/>
        </w:rPr>
        <w:t xml:space="preserve">networks between French and African actors. </w:t>
      </w:r>
      <w:r w:rsidR="00016C84">
        <w:rPr>
          <w:rFonts w:cs="Times New Roman"/>
        </w:rPr>
        <w:t xml:space="preserve">Under the guise of Françafrique, </w:t>
      </w:r>
      <w:r w:rsidRPr="007F3B61">
        <w:rPr>
          <w:rFonts w:cs="Times New Roman"/>
        </w:rPr>
        <w:t xml:space="preserve">France has frequently led military interventions and upheld specific monetary agreements with the CFA Zone. </w:t>
      </w:r>
      <w:r>
        <w:rPr>
          <w:rFonts w:cs="Times New Roman"/>
        </w:rPr>
        <w:t xml:space="preserve">Françafrique has varied based on the acceptance of African heads of state. Because of this, variation in French identity can be observed through the channels of Françafrique. In this thesis, I argue that levels of “Frenchness,” an index composed from the remnants of identity from colonialism and Françafrique, determine French bilateral aid allocations to former colonies in Africa. </w:t>
      </w:r>
      <w:r w:rsidRPr="007F3B61">
        <w:rPr>
          <w:rFonts w:cs="Times New Roman"/>
        </w:rPr>
        <w:t xml:space="preserve"> </w:t>
      </w:r>
    </w:p>
    <w:p w14:paraId="0B0FBF30" w14:textId="77777777" w:rsidR="00745688" w:rsidRDefault="00745688" w:rsidP="007C57B9">
      <w:pPr>
        <w:jc w:val="center"/>
        <w:rPr>
          <w:b/>
          <w:sz w:val="28"/>
          <w:szCs w:val="28"/>
        </w:rPr>
        <w:sectPr w:rsidR="00745688" w:rsidSect="00D0314C">
          <w:footerReference w:type="default" r:id="rId9"/>
          <w:pgSz w:w="12240" w:h="15840"/>
          <w:pgMar w:top="1440" w:right="1440" w:bottom="1440" w:left="2520" w:header="720" w:footer="720" w:gutter="0"/>
          <w:pgNumType w:fmt="lowerRoman" w:start="4"/>
          <w:cols w:space="720"/>
        </w:sectPr>
      </w:pPr>
    </w:p>
    <w:p w14:paraId="22CE1C1A" w14:textId="21234B51" w:rsidR="009025F4" w:rsidRPr="006B7446" w:rsidRDefault="009025F4" w:rsidP="007C57B9">
      <w:pPr>
        <w:jc w:val="center"/>
        <w:rPr>
          <w:b/>
          <w:sz w:val="28"/>
          <w:szCs w:val="28"/>
        </w:rPr>
      </w:pPr>
      <w:r w:rsidRPr="006B7446">
        <w:rPr>
          <w:b/>
          <w:sz w:val="28"/>
          <w:szCs w:val="28"/>
        </w:rPr>
        <w:t>Introduction</w:t>
      </w:r>
    </w:p>
    <w:p w14:paraId="5818C43F" w14:textId="77777777" w:rsidR="009025F4" w:rsidRDefault="009025F4" w:rsidP="009025F4">
      <w:pPr>
        <w:spacing w:after="0" w:line="480" w:lineRule="auto"/>
        <w:rPr>
          <w:b/>
        </w:rPr>
      </w:pPr>
    </w:p>
    <w:p w14:paraId="492D8492" w14:textId="77777777" w:rsidR="009025F4" w:rsidRDefault="009025F4" w:rsidP="009025F4">
      <w:pPr>
        <w:spacing w:after="0"/>
        <w:jc w:val="both"/>
      </w:pPr>
      <w:r w:rsidRPr="00B12CEE">
        <w:t xml:space="preserve"> “Classic colonialism may be dead, but France continues to be the political and economic epicenter of its former colonies.”</w:t>
      </w:r>
      <w:r w:rsidRPr="00B12CEE">
        <w:rPr>
          <w:rStyle w:val="FootnoteReference"/>
        </w:rPr>
        <w:footnoteReference w:id="1"/>
      </w:r>
    </w:p>
    <w:p w14:paraId="7243AD27" w14:textId="77777777" w:rsidR="009025F4" w:rsidRPr="000F08D5" w:rsidRDefault="009025F4" w:rsidP="009025F4">
      <w:pPr>
        <w:spacing w:after="0"/>
        <w:jc w:val="both"/>
      </w:pPr>
    </w:p>
    <w:p w14:paraId="2956A263" w14:textId="6F91D277" w:rsidR="009025F4" w:rsidRDefault="009025F4" w:rsidP="008A7F70">
      <w:pPr>
        <w:spacing w:after="0" w:line="480" w:lineRule="auto"/>
        <w:ind w:firstLine="720"/>
        <w:jc w:val="both"/>
      </w:pPr>
      <w:r>
        <w:t xml:space="preserve">The official French website </w:t>
      </w:r>
      <w:r w:rsidR="00D01FFA">
        <w:t>(</w:t>
      </w:r>
      <w:r w:rsidR="00D01FFA" w:rsidRPr="00D0314C">
        <w:rPr>
          <w:i/>
        </w:rPr>
        <w:t>France</w:t>
      </w:r>
      <w:r w:rsidR="00D01FFA">
        <w:t xml:space="preserve"> </w:t>
      </w:r>
      <w:r w:rsidR="00D01FFA" w:rsidRPr="00D0314C">
        <w:rPr>
          <w:i/>
        </w:rPr>
        <w:t>Diplomatie</w:t>
      </w:r>
      <w:r w:rsidR="00D01FFA">
        <w:t xml:space="preserve">) </w:t>
      </w:r>
      <w:r>
        <w:t>for bilateral aid provides statistics and specific country information that allude to the generosity of the French government. With quotes like “France provides 10% of global ODA, [Official Development Assistance, OECD] despite its economy only accounting for 4% of the world’s GDP,” the French government attempts to portray a France that supports global development</w:t>
      </w:r>
      <w:r w:rsidR="00D01FFA">
        <w:t xml:space="preserve"> in lower income nations</w:t>
      </w:r>
      <w:r>
        <w:t>.</w:t>
      </w:r>
      <w:r>
        <w:rPr>
          <w:rStyle w:val="FootnoteReference"/>
        </w:rPr>
        <w:footnoteReference w:id="2"/>
      </w:r>
      <w:r>
        <w:t xml:space="preserve"> The largesse again appears: “the international target of ODA equivalent to 0.7% of gross national income (GNI) by 2015 has not been met by France, whose rate of 0.45% of GNI is nonetheless above the global average of 0.31%.”</w:t>
      </w:r>
      <w:r>
        <w:rPr>
          <w:rStyle w:val="FootnoteReference"/>
        </w:rPr>
        <w:footnoteReference w:id="3"/>
      </w:r>
      <w:r>
        <w:t xml:space="preserve"> In other words, the French government has yet to meet the target goal but still fares better than most other developed countries. Although the statistics and themes of French generosity are valid as France provides more bilateral aid than other developed countries, they do not provide a complete account of why Paris gives aid to developing countries. More than altruism, France distributes aid in order to further strategic interests, both </w:t>
      </w:r>
      <w:r w:rsidR="00D01FFA">
        <w:t>maintaining their</w:t>
      </w:r>
      <w:r>
        <w:t xml:space="preserve"> sphere of influence and </w:t>
      </w:r>
      <w:r w:rsidR="00D01FFA">
        <w:t xml:space="preserve">increasing </w:t>
      </w:r>
      <w:r>
        <w:t xml:space="preserve">access to </w:t>
      </w:r>
      <w:r w:rsidR="00D01FFA">
        <w:t xml:space="preserve">world </w:t>
      </w:r>
      <w:r>
        <w:t>markets. Because the role of French influence prompts aid allocation, scholars have argued and statistically illustrated that historical relationships, like colonialism, are a key determinant of aid receipts.</w:t>
      </w:r>
      <w:r>
        <w:rPr>
          <w:rStyle w:val="FootnoteReference"/>
        </w:rPr>
        <w:footnoteReference w:id="4"/>
      </w:r>
      <w:r>
        <w:t xml:space="preserve"> Although most developing countries receive bilateral aid from France, those with colonial history receive a greater proportion, which is illustrated in Figure 1.</w:t>
      </w:r>
      <w:r>
        <w:rPr>
          <w:rStyle w:val="FootnoteReference"/>
        </w:rPr>
        <w:footnoteReference w:id="5"/>
      </w:r>
      <w:r>
        <w:t xml:space="preserve"> </w:t>
      </w:r>
    </w:p>
    <w:p w14:paraId="7BA0751F" w14:textId="77777777" w:rsidR="009025F4" w:rsidRDefault="009025F4" w:rsidP="009025F4">
      <w:pPr>
        <w:spacing w:after="0" w:line="480" w:lineRule="auto"/>
        <w:jc w:val="both"/>
      </w:pPr>
      <w:r>
        <w:rPr>
          <w:noProof/>
          <w:lang w:eastAsia="en-US"/>
        </w:rPr>
        <w:drawing>
          <wp:inline distT="0" distB="0" distL="0" distR="0" wp14:anchorId="715EF210" wp14:editId="6380EA52">
            <wp:extent cx="5715000" cy="34163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F918DF4" w14:textId="6A03CE44" w:rsidR="009025F4" w:rsidRDefault="009025F4" w:rsidP="009025F4">
      <w:pPr>
        <w:spacing w:after="0" w:line="480" w:lineRule="auto"/>
        <w:jc w:val="both"/>
      </w:pPr>
      <w:r>
        <w:t>Figure 1. French ODA in 2011, millions of USD</w:t>
      </w:r>
    </w:p>
    <w:p w14:paraId="2F0D0436" w14:textId="77777777" w:rsidR="00127EC1" w:rsidRDefault="00127EC1" w:rsidP="009025F4">
      <w:pPr>
        <w:spacing w:after="0" w:line="480" w:lineRule="auto"/>
        <w:jc w:val="both"/>
      </w:pPr>
    </w:p>
    <w:p w14:paraId="265BF487" w14:textId="52F52BE5" w:rsidR="006E46F5" w:rsidRPr="006E46F5" w:rsidRDefault="008A7F70" w:rsidP="008A7F70">
      <w:pPr>
        <w:spacing w:after="0" w:line="480" w:lineRule="auto"/>
        <w:ind w:firstLine="720"/>
        <w:jc w:val="both"/>
      </w:pPr>
      <w:r>
        <w:t>P</w:t>
      </w:r>
      <w:r w:rsidR="009025F4">
        <w:t xml:space="preserve">revious scholarship fails to consider the variations within the French colonial empire, as well as post-independent relationships. </w:t>
      </w:r>
      <w:r w:rsidR="009025F4" w:rsidRPr="00E74FA4">
        <w:t xml:space="preserve">This thesis contributes to postcolonial studies and culture studies, as I provide additional understanding about the relationship between the West and the developing world and how the historical relations </w:t>
      </w:r>
      <w:r w:rsidR="00D01FFA">
        <w:t xml:space="preserve">between them </w:t>
      </w:r>
      <w:r w:rsidR="009025F4" w:rsidRPr="00E74FA4">
        <w:t>have shaped the present.</w:t>
      </w:r>
      <w:r w:rsidR="009025F4">
        <w:t xml:space="preserve"> In this thesis, I expand upon the existing literature by disaggregating the </w:t>
      </w:r>
      <w:r w:rsidR="00D01FFA">
        <w:t xml:space="preserve">French </w:t>
      </w:r>
      <w:r w:rsidR="009025F4">
        <w:t>colonial relationships and emphasizing the importance of Françafrique in present-day French-Africa relations. I argue that identity, primarily identity of belonging to the “in-group” of Fr</w:t>
      </w:r>
      <w:r w:rsidR="00D01FFA">
        <w:t xml:space="preserve">ance, is the main driver of aid. </w:t>
      </w:r>
      <w:r w:rsidR="009025F4">
        <w:t>Identity is more influential than altruism or the support of democratic norms, good governance, and human rights for F</w:t>
      </w:r>
      <w:r w:rsidR="00D01FFA">
        <w:t xml:space="preserve">rench bilateral aid allocation, although these are also minor motivations. </w:t>
      </w:r>
      <w:r w:rsidR="009025F4">
        <w:t xml:space="preserve">Françafrique, as </w:t>
      </w:r>
      <w:r w:rsidR="00D01FFA">
        <w:t>will be presented in detail in C</w:t>
      </w:r>
      <w:r w:rsidR="009025F4">
        <w:t xml:space="preserve">hapter 2, is the official yet covert policy of most French administrations, which is comprised of various networks among corporations, French politicians, and African heads of state. Françafrique is </w:t>
      </w:r>
      <w:r w:rsidR="00D01FFA">
        <w:t>a form of</w:t>
      </w:r>
      <w:r w:rsidR="009025F4">
        <w:t xml:space="preserve"> neocolonialism, where French actors attempt to influence and manage African heads of state in exchange for access to natural resources and a solidified sphere of influence. </w:t>
      </w:r>
      <w:r w:rsidR="009025F4" w:rsidRPr="001F79AB">
        <w:t xml:space="preserve">By clarifying the colonial relationships that were dependent on identity, I show how regional and individual statuses shaped the French Empire. </w:t>
      </w:r>
      <w:r w:rsidR="006E46F5" w:rsidRPr="001F79AB">
        <w:t>For</w:t>
      </w:r>
      <w:r w:rsidR="006E46F5">
        <w:t xml:space="preserve"> example, the </w:t>
      </w:r>
      <w:r w:rsidR="006E46F5">
        <w:rPr>
          <w:i/>
        </w:rPr>
        <w:t>originaires—</w:t>
      </w:r>
      <w:r w:rsidR="006E46F5">
        <w:t xml:space="preserve">who were </w:t>
      </w:r>
      <w:r w:rsidR="00D01FFA">
        <w:t xml:space="preserve">a </w:t>
      </w:r>
      <w:r w:rsidR="006E46F5">
        <w:t>privileged group of Africans that were granted voting right</w:t>
      </w:r>
      <w:r w:rsidR="00D01FFA">
        <w:t>s</w:t>
      </w:r>
      <w:r w:rsidR="006E46F5">
        <w:t xml:space="preserve"> in the nineteenth century—had a greater sense of political belonging within the French Empire and therefore had a more French “identity.”</w:t>
      </w:r>
    </w:p>
    <w:p w14:paraId="5F65ABF1" w14:textId="6D62056C" w:rsidR="009025F4" w:rsidRDefault="009025F4" w:rsidP="008A7F70">
      <w:pPr>
        <w:spacing w:after="0" w:line="480" w:lineRule="auto"/>
        <w:ind w:firstLine="720"/>
        <w:jc w:val="both"/>
      </w:pPr>
      <w:r w:rsidRPr="00B12CEE">
        <w:t>In</w:t>
      </w:r>
      <w:r>
        <w:t xml:space="preserve"> addition to presenting a detailed history of French colonization and the </w:t>
      </w:r>
      <w:r w:rsidR="00D01FFA">
        <w:t>mechanisms of</w:t>
      </w:r>
      <w:r>
        <w:t xml:space="preserve"> Françafrique, I create an index to measure the amount of “Frenchness” present in each African nation-state. “Frenchness” is the shared identity between France and former French colonies and is </w:t>
      </w:r>
      <w:r w:rsidRPr="003F7E95">
        <w:t>composed</w:t>
      </w:r>
      <w:r>
        <w:t xml:space="preserve"> of political, economic, and social factors. </w:t>
      </w:r>
      <w:r w:rsidR="00D01FFA">
        <w:t xml:space="preserve">“Frenchness” varies according to relations with France and includes non-former French colonies. </w:t>
      </w:r>
      <w:r>
        <w:t xml:space="preserve">Although the French Empire did not colonize all of Africa, many countries have </w:t>
      </w:r>
      <w:r w:rsidR="00D01FFA">
        <w:t xml:space="preserve">interacted with France, either during colonization or in the policies of Françafrique. </w:t>
      </w:r>
      <w:r>
        <w:t xml:space="preserve">“Frenchness” is created using principal component analysis, which constructs an index based on the colonial history and the presence of Françafrique in each country. This will be further explained in chapter 3.  </w:t>
      </w:r>
    </w:p>
    <w:p w14:paraId="5A822466" w14:textId="77777777" w:rsidR="009025F4" w:rsidRDefault="009025F4" w:rsidP="009025F4">
      <w:pPr>
        <w:spacing w:after="0" w:line="480" w:lineRule="auto"/>
        <w:jc w:val="both"/>
      </w:pPr>
      <w:r>
        <w:tab/>
        <w:t>The remainder of this introduction will provide a historical background of the aid relationship between France and Africa and establish the relevant identity theory necessary for evaluating its use in determining aid.</w:t>
      </w:r>
    </w:p>
    <w:p w14:paraId="4DBB53D1" w14:textId="77777777" w:rsidR="009025F4" w:rsidRPr="006757B4" w:rsidRDefault="009025F4" w:rsidP="009025F4">
      <w:pPr>
        <w:spacing w:after="0" w:line="480" w:lineRule="auto"/>
        <w:jc w:val="both"/>
      </w:pPr>
    </w:p>
    <w:p w14:paraId="268B4EF2" w14:textId="77777777" w:rsidR="009025F4" w:rsidRPr="00AE6186" w:rsidRDefault="009025F4" w:rsidP="009025F4">
      <w:pPr>
        <w:spacing w:after="0" w:line="480" w:lineRule="auto"/>
        <w:jc w:val="center"/>
        <w:rPr>
          <w:b/>
        </w:rPr>
      </w:pPr>
      <w:r>
        <w:rPr>
          <w:b/>
        </w:rPr>
        <w:t>Franco-African Aid Relationship</w:t>
      </w:r>
    </w:p>
    <w:p w14:paraId="49606178" w14:textId="3B93D9E0" w:rsidR="009025F4" w:rsidRDefault="009025F4" w:rsidP="009025F4">
      <w:pPr>
        <w:spacing w:after="0" w:line="480" w:lineRule="auto"/>
        <w:ind w:firstLine="720"/>
        <w:jc w:val="both"/>
      </w:pPr>
      <w:r>
        <w:t xml:space="preserve">Prior </w:t>
      </w:r>
      <w:r w:rsidR="00D01FFA">
        <w:t>to the end of colonialism, aid allocations</w:t>
      </w:r>
      <w:r>
        <w:t xml:space="preserve"> were concentrated between Western nations. Empires were responsible for financing their colonial possessions, and other nations could not intervene</w:t>
      </w:r>
      <w:r w:rsidR="00D01FFA">
        <w:t xml:space="preserve"> financially or militarily</w:t>
      </w:r>
      <w:r>
        <w:t>. In the immediate postwar era, the discourse around colonial possessions shifted. Following the Atlantic Charter and the right for self-determination, colonial powers argued</w:t>
      </w:r>
      <w:r w:rsidR="00D01FFA">
        <w:t xml:space="preserve"> for the right</w:t>
      </w:r>
      <w:r>
        <w:t xml:space="preserve"> to keep their territorial possessions in order to facilitate state building and development. In 1946, the French government created the </w:t>
      </w:r>
      <w:r>
        <w:rPr>
          <w:i/>
        </w:rPr>
        <w:t xml:space="preserve">Fonds d’Investissement pour le Développement Economique et Social </w:t>
      </w:r>
      <w:r>
        <w:t>(Investment Fund for Economic and Social Development or FIDES) to finance development projects in colonial territories.</w:t>
      </w:r>
      <w:r>
        <w:rPr>
          <w:rStyle w:val="FootnoteReference"/>
        </w:rPr>
        <w:footnoteReference w:id="6"/>
      </w:r>
      <w:r>
        <w:t xml:space="preserve"> This fund altered the previous financing of territories by transferring responsibility from the colonies themselves to the metropole.</w:t>
      </w:r>
      <w:r>
        <w:rPr>
          <w:rStyle w:val="FootnoteReference"/>
        </w:rPr>
        <w:footnoteReference w:id="7"/>
      </w:r>
      <w:r>
        <w:t xml:space="preserve"> </w:t>
      </w:r>
    </w:p>
    <w:p w14:paraId="11882458" w14:textId="35D61BDE" w:rsidR="009025F4" w:rsidRDefault="00D01FFA" w:rsidP="009025F4">
      <w:pPr>
        <w:spacing w:after="0" w:line="480" w:lineRule="auto"/>
        <w:ind w:firstLine="720"/>
        <w:jc w:val="both"/>
      </w:pPr>
      <w:r>
        <w:t xml:space="preserve">In addition to financing development in its colonies, President de Gaulle proposed an increasing role for Africans in French institutions through the French Union. </w:t>
      </w:r>
      <w:r w:rsidR="009025F4">
        <w:t xml:space="preserve">The French Assembly proposed the French Union, and later the French Community, as a compromise between colonial possession and full-fledged state. The French Union was the end of the French Empire and transferred power from French to African hands. Under the creation of the French Union, </w:t>
      </w:r>
      <w:r>
        <w:t xml:space="preserve">all </w:t>
      </w:r>
      <w:r w:rsidR="009025F4">
        <w:t>Africans had a vote and direct representation in the French Assembly, and many soon-to-be African heads of states served as representatives. However, the French Union failed to appease the demands of African actors, and independence movements ensued in 1958 when Guinea declined to participate in the French Community. The implementation of the colonial development fund and the proposal of the French Union were in direct response to United Nations negotiations as “France and Britain feared pressures to apply the model of mandates to all colonies.”</w:t>
      </w:r>
      <w:r w:rsidR="009025F4">
        <w:rPr>
          <w:rStyle w:val="FootnoteReference"/>
        </w:rPr>
        <w:footnoteReference w:id="8"/>
      </w:r>
    </w:p>
    <w:p w14:paraId="2EE6FF17" w14:textId="77777777" w:rsidR="009025F4" w:rsidRPr="0036402C" w:rsidRDefault="009025F4" w:rsidP="009025F4">
      <w:pPr>
        <w:spacing w:after="0" w:line="480" w:lineRule="auto"/>
        <w:ind w:firstLine="720"/>
        <w:jc w:val="both"/>
      </w:pPr>
      <w:r>
        <w:t xml:space="preserve">After former French colonies gained their independence, France signed bilateral treaties with the goal of state building and the maintenance of French influence. Not surprisingly given the historical, exploitative nature of colonialism, these treaties primarily benefited the donor country through high interest loans and unfair access to natural resources. These bilateral treaties make up one aspect of Françafrique and attempts for control through neocolonialist policies. The de Gaulle administration initially prioritized former possessions in terms of networks and trade negotiations because of the existing influence France had in former colonies, or the level of “Frenchness.” However, subsequent French administrations have expanded to other African states and attempted to facilitate a French influence in former Belgian, British, and Portuguese colonies. This expansion has occasionally resulted in closer ties and lower level of “Frenchness” when non-former colonies join French institutions, like </w:t>
      </w:r>
      <w:r>
        <w:rPr>
          <w:i/>
        </w:rPr>
        <w:t xml:space="preserve">la Francophonie </w:t>
      </w:r>
      <w:r>
        <w:t xml:space="preserve">and the CFA franc zone, as will be analyzed in Chapter 2. </w:t>
      </w:r>
    </w:p>
    <w:p w14:paraId="6ED4D4E4" w14:textId="77777777" w:rsidR="009025F4" w:rsidRPr="006757B4" w:rsidRDefault="009025F4" w:rsidP="009025F4">
      <w:pPr>
        <w:spacing w:after="0" w:line="480" w:lineRule="auto"/>
        <w:jc w:val="both"/>
      </w:pPr>
      <w:r>
        <w:tab/>
      </w:r>
    </w:p>
    <w:p w14:paraId="75F8303A" w14:textId="77777777" w:rsidR="009025F4" w:rsidRDefault="009025F4" w:rsidP="009025F4">
      <w:pPr>
        <w:spacing w:after="0" w:line="480" w:lineRule="auto"/>
        <w:jc w:val="center"/>
        <w:rPr>
          <w:b/>
        </w:rPr>
      </w:pPr>
      <w:r w:rsidRPr="00787C05">
        <w:rPr>
          <w:b/>
        </w:rPr>
        <w:t>Identity Theory</w:t>
      </w:r>
    </w:p>
    <w:p w14:paraId="4D5F1595" w14:textId="77777777" w:rsidR="009025F4" w:rsidRDefault="009025F4" w:rsidP="009025F4">
      <w:pPr>
        <w:spacing w:after="0" w:line="480" w:lineRule="auto"/>
        <w:ind w:firstLine="720"/>
        <w:jc w:val="both"/>
      </w:pPr>
      <w:r>
        <w:t>In order to argue that identity matters for aid allocation, it is necessary to clarify what I mean by identity. In this section, I outline the relevant international relations theory, borrowed from constructivist literature, and I refer back to this theory to illustrate specific identity formation in the following chapters. Constructivism is a theoretical framework within international relations theory that emphasizes how international actors are socialized through norms, rules, and practices.</w:t>
      </w:r>
      <w:r>
        <w:rPr>
          <w:rStyle w:val="FootnoteReference"/>
        </w:rPr>
        <w:footnoteReference w:id="9"/>
      </w:r>
      <w:r>
        <w:t xml:space="preserve"> In opposition to realist theory, which advocates that power and material capabilities are the most important factors in understanding why states behave in certain ways, constructivism instead proposes how social constructs and understandings of such influence state behavior. Identity “references mutually constructed and evolving images of the self and other.”</w:t>
      </w:r>
      <w:r>
        <w:rPr>
          <w:rStyle w:val="FootnoteReference"/>
        </w:rPr>
        <w:footnoteReference w:id="10"/>
      </w:r>
      <w:r>
        <w:t xml:space="preserve"> The construct of identity is important as it clarifies how and to what extent France and former colonies engage with each other and perceive one another, both historically </w:t>
      </w:r>
      <w:r w:rsidRPr="00B12CEE">
        <w:t>and contemporarily</w:t>
      </w:r>
      <w:r>
        <w:t>. Social identities are “cognitive schemas that enable an actor to determine ‘who I am/we are’ in a situation and positions in a social role structure of shared understandings and expectations.”</w:t>
      </w:r>
      <w:r>
        <w:rPr>
          <w:rStyle w:val="FootnoteReference"/>
        </w:rPr>
        <w:footnoteReference w:id="11"/>
      </w:r>
      <w:r>
        <w:t xml:space="preserve"> </w:t>
      </w:r>
      <w:r w:rsidRPr="00B12CEE">
        <w:t>From</w:t>
      </w:r>
      <w:r>
        <w:t xml:space="preserve"> this literature, we know that identity changes slowly and is based on historical interactions between states, as well as norms and behaviors. International relations theory also claims that identity is socially constructed and dependent upon the shared understanding between two states.</w:t>
      </w:r>
    </w:p>
    <w:p w14:paraId="53CBE05A" w14:textId="77777777" w:rsidR="009025F4" w:rsidRDefault="009025F4" w:rsidP="009025F4">
      <w:pPr>
        <w:spacing w:after="0" w:line="480" w:lineRule="auto"/>
        <w:ind w:firstLine="720"/>
        <w:jc w:val="both"/>
      </w:pPr>
      <w:r>
        <w:t>International relations theory, as well as economic theory on identity, is essential for understanding why France has consistently intervened in former colonies. The relationship between France and French West or Equatorial Africa is based on an identity where the other “is an extension of the self.”</w:t>
      </w:r>
      <w:r>
        <w:rPr>
          <w:rStyle w:val="FootnoteReference"/>
        </w:rPr>
        <w:footnoteReference w:id="12"/>
      </w:r>
      <w:r>
        <w:t xml:space="preserve"> According to the constructivist literature, identity is socially constructed and based on shared understandings between two individuals, or states in this instance.</w:t>
      </w:r>
      <w:r>
        <w:rPr>
          <w:rStyle w:val="FootnoteReference"/>
        </w:rPr>
        <w:footnoteReference w:id="13"/>
      </w:r>
      <w:r>
        <w:t xml:space="preserve"> Identity distinguishes between that of the self (the state) and the other, which can result in an in-group and out-group categorization, where those belonging to the in-group receive privileged treatment from various French actors, both political and economic. The French government has most often considered some African states, both during colonization and post-independence, to be within the French sphere of influence or </w:t>
      </w:r>
      <w:r>
        <w:rPr>
          <w:i/>
        </w:rPr>
        <w:t>pré carré.</w:t>
      </w:r>
      <w:r>
        <w:rPr>
          <w:rStyle w:val="FootnoteReference"/>
          <w:i/>
        </w:rPr>
        <w:footnoteReference w:id="14"/>
      </w:r>
      <w:r>
        <w:rPr>
          <w:i/>
        </w:rPr>
        <w:t xml:space="preserve"> </w:t>
      </w:r>
      <w:r>
        <w:t>Those with collective identity—a group level identity that shares expectations and behavior—begin to consider each other’s welfare when making decisions. As President Giscard d’Estaing has famously said French policy is “help for friends first.”</w:t>
      </w:r>
      <w:r>
        <w:rPr>
          <w:rStyle w:val="FootnoteReference"/>
        </w:rPr>
        <w:footnoteReference w:id="15"/>
      </w:r>
      <w:r>
        <w:t xml:space="preserve"> African heads of state that align with French presidents belong to the in-group and receive special treatment, such as the special relationship between President Omar Bongo of Gabon and six different French administrations. However, when members of the in-group violate this collective identity, other members may reject said member.</w:t>
      </w:r>
      <w:r>
        <w:rPr>
          <w:rStyle w:val="FootnoteReference"/>
        </w:rPr>
        <w:footnoteReference w:id="16"/>
      </w:r>
      <w:r>
        <w:t xml:space="preserve"> </w:t>
      </w:r>
    </w:p>
    <w:p w14:paraId="4F6AB3C3" w14:textId="77777777" w:rsidR="009025F4" w:rsidRDefault="009025F4" w:rsidP="009025F4">
      <w:pPr>
        <w:spacing w:after="0" w:line="480" w:lineRule="auto"/>
        <w:ind w:firstLine="720"/>
        <w:jc w:val="both"/>
      </w:pPr>
      <w:r>
        <w:t>Furthermore, identity is dependent upon history, as previous interactions with other states form the present relationship between two or more states.</w:t>
      </w:r>
      <w:r>
        <w:rPr>
          <w:rStyle w:val="FootnoteReference"/>
        </w:rPr>
        <w:footnoteReference w:id="17"/>
      </w:r>
      <w:r>
        <w:t xml:space="preserve"> The result of interactions in identity formation is evident in Chapters 1 and 2, which detail the colonial history and policy of Françafrique. Various French actors have interacted with African actors since the mid-fifteenth century. These interactions have not always been viewed positively, but the accumulated history has led to modern understandings of the relationship between French and African actors. This French-African relationship continued to form during the post-colonial period, as will be made clear in Chapter 2. Although not immune to change, identity changes slowly based on interactions and perceived interests.</w:t>
      </w:r>
      <w:r>
        <w:rPr>
          <w:rStyle w:val="FootnoteReference"/>
        </w:rPr>
        <w:footnoteReference w:id="18"/>
      </w:r>
      <w:r>
        <w:t xml:space="preserve"> One of the main conclusions from the constructivist literature is that identity shapes interests, and such interests can lead to specific actions by individuals and states.</w:t>
      </w:r>
      <w:r>
        <w:rPr>
          <w:rStyle w:val="FootnoteReference"/>
        </w:rPr>
        <w:footnoteReference w:id="19"/>
      </w:r>
      <w:r>
        <w:t xml:space="preserve"> Because of this element of interaction, France, based on its historical role and identity as a dominant power in Africa, provides aid to its former colonies based on the identity facilitated throughout colonialism and neocolonialism.</w:t>
      </w:r>
      <w:r>
        <w:rPr>
          <w:rStyle w:val="FootnoteReference"/>
        </w:rPr>
        <w:footnoteReference w:id="20"/>
      </w:r>
      <w:r>
        <w:t xml:space="preserve"> Some argue that France has an obligation and moral responsibility, due to colonization, to continue investing in democracy and the economies of former colonies.</w:t>
      </w:r>
      <w:r>
        <w:rPr>
          <w:rStyle w:val="FootnoteReference"/>
        </w:rPr>
        <w:footnoteReference w:id="21"/>
      </w:r>
      <w:r>
        <w:t xml:space="preserve"> However, I argue that it is the notion of identity, rather than the promotion of democracy and economic growth, that determines foreign aid.</w:t>
      </w:r>
    </w:p>
    <w:p w14:paraId="4B7F1C3A" w14:textId="12D03F24" w:rsidR="009025F4" w:rsidRDefault="009025F4" w:rsidP="009025F4">
      <w:pPr>
        <w:spacing w:after="0" w:line="480" w:lineRule="auto"/>
        <w:ind w:firstLine="720"/>
        <w:jc w:val="both"/>
      </w:pPr>
      <w:r>
        <w:t>States seek ontological security or the security of the self, which guides states’ behaviors and upholds specific identities in an attempt to avoid future uncertainty.</w:t>
      </w:r>
      <w:r>
        <w:rPr>
          <w:rStyle w:val="FootnoteReference"/>
        </w:rPr>
        <w:footnoteReference w:id="22"/>
      </w:r>
      <w:r>
        <w:t xml:space="preserve"> If states prioritize self-preservation and collective identity changes slowly, then this provides an explanation for why France has continued neocolonial practices despite international criticism. French administrations have internalized an interventionist norm in Africa, rooted in colonial history. In recent years, France has faced scandals for both supporting authoritarian regimes and harboring wealth of such authoritarian leaders. However, this has only slightly, if at all, shifted French policy in Africa. In addition to being motivated by these norms, France is influenced by domestic and international expectation</w:t>
      </w:r>
      <w:r w:rsidR="00D01FFA">
        <w:t>s, rules, and cost-benefit analyse</w:t>
      </w:r>
      <w:r>
        <w:t>s.</w:t>
      </w:r>
      <w:r>
        <w:rPr>
          <w:rStyle w:val="FootnoteReference"/>
        </w:rPr>
        <w:footnoteReference w:id="23"/>
      </w:r>
      <w:r>
        <w:t xml:space="preserve"> Together, these theoretical concepts explain why France continuously seeks world power status and why France gives a significant portion of French GDP as aid.</w:t>
      </w:r>
      <w:r>
        <w:rPr>
          <w:rStyle w:val="FootnoteReference"/>
        </w:rPr>
        <w:footnoteReference w:id="24"/>
      </w:r>
      <w:r>
        <w:t xml:space="preserve"> The international community expects France—based on historical relationships, the French level of development, their position on the UN Security Council, the use of conditionalities, etc.—to give aid as appropriate. Due to the persistence of history, the international community further expects France to initiate intervention when former colonies turn to violence.</w:t>
      </w:r>
      <w:r>
        <w:rPr>
          <w:rStyle w:val="FootnoteReference"/>
        </w:rPr>
        <w:footnoteReference w:id="25"/>
      </w:r>
      <w:r>
        <w:t xml:space="preserve"> Because France has internalized paternalistic actions as a norm or identity, the “aid relationship has persisted with little change despite the progressive normalization of underlying economic ties of trade and investment.”</w:t>
      </w:r>
      <w:r>
        <w:rPr>
          <w:rStyle w:val="FootnoteReference"/>
        </w:rPr>
        <w:footnoteReference w:id="26"/>
      </w:r>
      <w:r>
        <w:t xml:space="preserve"> </w:t>
      </w:r>
    </w:p>
    <w:p w14:paraId="666AB57C" w14:textId="77777777" w:rsidR="009025F4" w:rsidRDefault="009025F4" w:rsidP="009025F4">
      <w:pPr>
        <w:spacing w:after="0" w:line="480" w:lineRule="auto"/>
        <w:ind w:firstLine="720"/>
        <w:jc w:val="both"/>
      </w:pPr>
      <w:r>
        <w:t>An evaluation of potential consequences does not fully explain why France favors specific former colonies with a similar identity over others amid criticism by the international community.</w:t>
      </w:r>
      <w:r>
        <w:rPr>
          <w:rStyle w:val="FootnoteReference"/>
        </w:rPr>
        <w:footnoteReference w:id="27"/>
      </w:r>
      <w:r w:rsidRPr="00DC25B4">
        <w:t xml:space="preserve"> </w:t>
      </w:r>
      <w:r>
        <w:t>France has consistently showed favoritism towards African heads of state that belong to the in-group. In recent years, however, France has experienced reputational consequences for favoring influence and relationships over democratic principles and human rights.</w:t>
      </w:r>
      <w:r>
        <w:rPr>
          <w:rStyle w:val="FootnoteReference"/>
        </w:rPr>
        <w:footnoteReference w:id="28"/>
      </w:r>
      <w:r>
        <w:t xml:space="preserve"> These reputational costs were prominent during the Elf scandal in the early 1990s, when the national oil company was accused of supporting authoritarian regimes that in turn funded French political campaigns.</w:t>
      </w:r>
      <w:r>
        <w:rPr>
          <w:rStyle w:val="FootnoteReference"/>
        </w:rPr>
        <w:footnoteReference w:id="29"/>
      </w:r>
      <w:r>
        <w:t xml:space="preserve"> Furthermore, France has been accused of contributing to the lag in democratic development among French-speaking countries by propping up these authoritarian regimes that allow secret economic deals and an French interference in African domestic affairs</w:t>
      </w:r>
      <w:r w:rsidRPr="00521109">
        <w:t>.</w:t>
      </w:r>
      <w:r w:rsidRPr="00521109">
        <w:rPr>
          <w:rStyle w:val="FootnoteReference"/>
        </w:rPr>
        <w:footnoteReference w:id="30"/>
      </w:r>
      <w:r>
        <w:t xml:space="preserve"> The presence of such criticisms illustrate why France has slowly begun to shift towards “political conditionalities” amid pressure from the international community.</w:t>
      </w:r>
      <w:r>
        <w:rPr>
          <w:rStyle w:val="FootnoteReference"/>
        </w:rPr>
        <w:footnoteReference w:id="31"/>
      </w:r>
      <w:r>
        <w:t xml:space="preserve"> </w:t>
      </w:r>
    </w:p>
    <w:p w14:paraId="26C13CC7" w14:textId="3EB5E7D0" w:rsidR="009025F4" w:rsidRDefault="009025F4" w:rsidP="009025F4">
      <w:pPr>
        <w:spacing w:after="0" w:line="480" w:lineRule="auto"/>
        <w:jc w:val="both"/>
      </w:pPr>
      <w:r>
        <w:tab/>
      </w:r>
      <w:r w:rsidRPr="00521109">
        <w:t>Identity is n</w:t>
      </w:r>
      <w:r w:rsidR="00D01FFA">
        <w:t>ot singularly composed, and there</w:t>
      </w:r>
      <w:r w:rsidRPr="00521109">
        <w:t xml:space="preserve"> are hierarchies of identities within an individual, state, or region.</w:t>
      </w:r>
      <w:r>
        <w:t xml:space="preserve"> For example, some of France’s identities are rooted in membership in institutions, like the United Nations Security Council (UNSC) and the European Union (EU), whereas other identities are constituted through values, such as the support of democracy and human rights. Although French identity incorporates French exceptionalism and Françafrique, these uniquely French identities may conflict with a European Union identity that advocates for an “ever closer union” and consistent multilateral aid approaches. </w:t>
      </w:r>
      <w:r w:rsidRPr="00F739D5">
        <w:t xml:space="preserve">The EU consistently practices aid contingency as a means for promoting democratic norms and good governance, and French administrations have struggled to reconcile these differences with </w:t>
      </w:r>
      <w:r w:rsidR="00F739D5" w:rsidRPr="00F739D5">
        <w:t xml:space="preserve">their policy of rewarding friends </w:t>
      </w:r>
      <w:r w:rsidR="00D01FFA">
        <w:t>irrespective of</w:t>
      </w:r>
      <w:r w:rsidR="00F739D5" w:rsidRPr="00F739D5">
        <w:t xml:space="preserve"> democratic and human rights violations. </w:t>
      </w:r>
      <w:r w:rsidRPr="00F739D5">
        <w:t>However</w:t>
      </w:r>
      <w:r>
        <w:t xml:space="preserve">, French bilateral aid allocations are under the jurisdiction of the French government. Because of this structure, French aid institutions are influenced by EU multilateral agencies </w:t>
      </w:r>
      <w:r w:rsidRPr="001F79AB">
        <w:t>but</w:t>
      </w:r>
      <w:r>
        <w:t xml:space="preserve"> not</w:t>
      </w:r>
      <w:r w:rsidR="001F79AB">
        <w:t xml:space="preserve"> forced to alter their behavior.</w:t>
      </w:r>
      <w:r>
        <w:t xml:space="preserve"> </w:t>
      </w:r>
      <w:r w:rsidR="001F79AB">
        <w:t>However,</w:t>
      </w:r>
      <w:r>
        <w:t xml:space="preserve"> these repeated interactions may over time alter the current policies of the French aid. The primary lessons from identity theory that matter for aid receipts are as follows: </w:t>
      </w:r>
      <w:r w:rsidRPr="00AD16FB">
        <w:t>(1) identity is formed through repeated interaction and changes slowly; (2) those with collective identity behave differently; and (3) identity also influences state behavior, in additional to material capabilities.</w:t>
      </w:r>
      <w:r>
        <w:t xml:space="preserve"> For the purpose of this thesis, identity is the understanding of the self (the state)</w:t>
      </w:r>
      <w:r w:rsidR="00D01FFA">
        <w:t>,</w:t>
      </w:r>
      <w:r>
        <w:t xml:space="preserve"> and therefore </w:t>
      </w:r>
      <w:r w:rsidR="00022801">
        <w:t>the approach towards appropriate actions</w:t>
      </w:r>
      <w:r>
        <w:t xml:space="preserve"> in a given situation based on </w:t>
      </w:r>
      <w:r w:rsidR="001F79AB">
        <w:t xml:space="preserve">such perceived </w:t>
      </w:r>
      <w:r>
        <w:t xml:space="preserve">identity. </w:t>
      </w:r>
      <w:r w:rsidRPr="00DC67A2">
        <w:t>France, as a state, perceives its identity as a world power</w:t>
      </w:r>
      <w:r>
        <w:t xml:space="preserve"> </w:t>
      </w:r>
      <w:r w:rsidR="00DC67A2">
        <w:t xml:space="preserve">and furthers this status by creating spheres of influence based on shared French identity in former colonies. </w:t>
      </w:r>
    </w:p>
    <w:p w14:paraId="5E4552E4" w14:textId="77777777" w:rsidR="009025F4" w:rsidRDefault="009025F4" w:rsidP="009025F4">
      <w:pPr>
        <w:spacing w:after="0" w:line="480" w:lineRule="auto"/>
        <w:ind w:firstLine="720"/>
        <w:jc w:val="both"/>
      </w:pPr>
    </w:p>
    <w:p w14:paraId="2489E24D" w14:textId="77777777" w:rsidR="009025F4" w:rsidRDefault="009025F4" w:rsidP="009025F4">
      <w:pPr>
        <w:spacing w:line="480" w:lineRule="auto"/>
        <w:jc w:val="center"/>
        <w:rPr>
          <w:b/>
        </w:rPr>
      </w:pPr>
      <w:r w:rsidRPr="00AE720F">
        <w:rPr>
          <w:b/>
        </w:rPr>
        <w:t xml:space="preserve">Chapter Summary </w:t>
      </w:r>
    </w:p>
    <w:p w14:paraId="58BB65E9" w14:textId="77777777" w:rsidR="009025F4" w:rsidRDefault="009025F4" w:rsidP="009025F4">
      <w:pPr>
        <w:spacing w:after="0" w:line="480" w:lineRule="auto"/>
        <w:ind w:firstLine="720"/>
        <w:jc w:val="both"/>
      </w:pPr>
      <w:r>
        <w:t xml:space="preserve">French bilateral aid to former colonies is motivated by a variety of factors, including material gains, reputational hazard, and international norms. Despite these factors, identity is the most prominent determinant of French foreign aid to former colonies. By this, I mean a unique French identity that was established throughout colonization and facilitated through the channels of Françafrique, as will be presented in subsequent chapters. </w:t>
      </w:r>
    </w:p>
    <w:p w14:paraId="28416F7E" w14:textId="77777777" w:rsidR="009025F4" w:rsidRPr="00AE720F" w:rsidRDefault="009025F4" w:rsidP="009025F4">
      <w:pPr>
        <w:spacing w:line="480" w:lineRule="auto"/>
        <w:ind w:firstLine="720"/>
        <w:jc w:val="both"/>
        <w:rPr>
          <w:b/>
        </w:rPr>
      </w:pPr>
      <w:r>
        <w:t xml:space="preserve">In Chapter 1, I argue that a French “identity” was formed within the French colonial empire through the use of regional and individual statuses, which facilitated a closer relationship with French institutions, culture, and language. Regional statuses—department, colony, mandate, and protectorate—clarify the different approaches to French colonial rule in various territories. The French Colonial Empires granted individual, or person-level, statuses to Africans. These individual statuses are </w:t>
      </w:r>
      <w:r>
        <w:rPr>
          <w:i/>
        </w:rPr>
        <w:t xml:space="preserve">sujets, tirailleurs, originaires, métis, </w:t>
      </w:r>
      <w:r>
        <w:t xml:space="preserve">and </w:t>
      </w:r>
      <w:r>
        <w:rPr>
          <w:i/>
        </w:rPr>
        <w:t>évolués.</w:t>
      </w:r>
      <w:r>
        <w:t xml:space="preserve"> In Chapter 2, I posit that the various channels of Françafrique, which were established post-independence, have continued to influence the “Frenchness” of African heads of states and other African actors. Finally, in Chapter 3, I present the economic analysis to test my overall hypothesis that identity of former colonies, formed throughout colonialism and influenced by Françafrique, is a key determinant in French bilateral aid allocation. </w:t>
      </w:r>
    </w:p>
    <w:p w14:paraId="37E544E9" w14:textId="77777777" w:rsidR="009025F4" w:rsidRDefault="009025F4">
      <w:pPr>
        <w:rPr>
          <w:b/>
          <w:sz w:val="28"/>
          <w:szCs w:val="28"/>
        </w:rPr>
      </w:pPr>
      <w:r>
        <w:rPr>
          <w:b/>
          <w:sz w:val="28"/>
          <w:szCs w:val="28"/>
        </w:rPr>
        <w:br w:type="page"/>
      </w:r>
    </w:p>
    <w:p w14:paraId="03390B77" w14:textId="38DE0151" w:rsidR="00AF16A8" w:rsidRPr="00790E0E" w:rsidRDefault="00AF16A8" w:rsidP="00AF16A8">
      <w:pPr>
        <w:spacing w:after="0" w:line="480" w:lineRule="auto"/>
        <w:jc w:val="center"/>
        <w:rPr>
          <w:b/>
          <w:sz w:val="28"/>
          <w:szCs w:val="28"/>
        </w:rPr>
      </w:pPr>
      <w:r w:rsidRPr="00790E0E">
        <w:rPr>
          <w:b/>
          <w:sz w:val="28"/>
          <w:szCs w:val="28"/>
        </w:rPr>
        <w:t>Chapter 1: Historical French-African Relations</w:t>
      </w:r>
    </w:p>
    <w:p w14:paraId="3E799797" w14:textId="77777777" w:rsidR="00AF16A8" w:rsidRPr="00754AD0" w:rsidRDefault="00AF16A8" w:rsidP="00AF16A8">
      <w:pPr>
        <w:spacing w:after="0" w:line="480" w:lineRule="auto"/>
        <w:jc w:val="center"/>
        <w:rPr>
          <w:b/>
        </w:rPr>
      </w:pPr>
    </w:p>
    <w:p w14:paraId="59B96102" w14:textId="46AE6E22" w:rsidR="00AF16A8" w:rsidRDefault="00AF16A8" w:rsidP="00AF16A8">
      <w:pPr>
        <w:spacing w:after="0" w:line="480" w:lineRule="auto"/>
        <w:ind w:firstLine="720"/>
        <w:jc w:val="both"/>
      </w:pPr>
      <w:r>
        <w:t>French explorers arrived on the African continent in 1445 at the mouth of the river in present-day Senegal and eventually established the first settler community of Saint-Louis in 1659.</w:t>
      </w:r>
      <w:r w:rsidR="0019171D">
        <w:rPr>
          <w:rStyle w:val="FootnoteReference"/>
        </w:rPr>
        <w:footnoteReference w:id="32"/>
      </w:r>
      <w:r>
        <w:t xml:space="preserve"> The French quickly began to export slaves as part of the transatlantic slave trade and have continued to exploit Africa’s natural resources and fertile soil ever since. Much has changed in the l</w:t>
      </w:r>
      <w:r w:rsidR="00D01FFA">
        <w:t>ast three hundred years, but</w:t>
      </w:r>
      <w:r>
        <w:t xml:space="preserve"> </w:t>
      </w:r>
      <w:r w:rsidR="00D01FFA">
        <w:t>French presence</w:t>
      </w:r>
      <w:r>
        <w:t xml:space="preserve"> has stayed constant, despite the official end of French colonialism and the formation of independent African nation-states. France has frequently intervened in the economic and political affairs of various African nations, under the guise of foreign aid and international institutions, of not only its former African colonies but also colonies formerly under British, German, Belgian and Portuguese rule. </w:t>
      </w:r>
    </w:p>
    <w:p w14:paraId="37CB82D0" w14:textId="4D2CACC6" w:rsidR="00AF16A8" w:rsidRPr="0066694B" w:rsidRDefault="00AF16A8" w:rsidP="00AF16A8">
      <w:pPr>
        <w:spacing w:after="0" w:line="480" w:lineRule="auto"/>
        <w:ind w:firstLine="720"/>
        <w:jc w:val="both"/>
      </w:pPr>
      <w:r w:rsidRPr="00C255B9">
        <w:t xml:space="preserve">International relations theory, as </w:t>
      </w:r>
      <w:r>
        <w:t>was established in the introduction</w:t>
      </w:r>
      <w:r w:rsidRPr="00C255B9">
        <w:t xml:space="preserve">, asserts that identities </w:t>
      </w:r>
      <w:r>
        <w:t>are socially constructed, plastic, and shaped by the understanding of identity amongst states.</w:t>
      </w:r>
      <w:r w:rsidRPr="00C255B9">
        <w:rPr>
          <w:rStyle w:val="FootnoteReference"/>
        </w:rPr>
        <w:footnoteReference w:id="33"/>
      </w:r>
      <w:r>
        <w:t xml:space="preserve"> </w:t>
      </w:r>
      <w:r w:rsidR="00D01FFA">
        <w:t>States</w:t>
      </w:r>
      <w:r>
        <w:t xml:space="preserve"> can possess multiple identities, which depend on both historical relationship</w:t>
      </w:r>
      <w:r w:rsidR="00D01FFA">
        <w:t>s and the present-day day socio-political</w:t>
      </w:r>
      <w:r>
        <w:t xml:space="preserve"> environment.</w:t>
      </w:r>
      <w:r w:rsidRPr="00C255B9">
        <w:t xml:space="preserve"> </w:t>
      </w:r>
      <w:r>
        <w:t xml:space="preserve">Interactions between states and individuals create a shared, or collective, identity. </w:t>
      </w:r>
      <w:r w:rsidRPr="00C255B9">
        <w:t>Identity, defined in this manner, is essential to the relationships of Franco-Africa</w:t>
      </w:r>
      <w:r>
        <w:t xml:space="preserve"> as the colonial institutions, which subsequently bind the economic and political spheres, shaped it</w:t>
      </w:r>
      <w:r w:rsidRPr="00C255B9">
        <w:t xml:space="preserve">. </w:t>
      </w:r>
      <w:r>
        <w:t xml:space="preserve">Regional identities—colony, department, protectorate, or mandate—are facilitated based on the level of autonomy within the region. Political rights and a sense of belonging within the French Empire fostered a French “identity.” At the </w:t>
      </w:r>
      <w:r w:rsidR="00D01FFA">
        <w:t>individual</w:t>
      </w:r>
      <w:r>
        <w:t xml:space="preserve"> </w:t>
      </w:r>
      <w:r w:rsidR="00D01FFA">
        <w:t>(or person)</w:t>
      </w:r>
      <w:r>
        <w:t xml:space="preserve"> level, France discriminated based on citizenship status: </w:t>
      </w:r>
      <w:r>
        <w:rPr>
          <w:i/>
        </w:rPr>
        <w:t xml:space="preserve">sujets, tirailleurs, originaires, méits, </w:t>
      </w:r>
      <w:r>
        <w:t xml:space="preserve">or </w:t>
      </w:r>
      <w:r>
        <w:rPr>
          <w:i/>
        </w:rPr>
        <w:t xml:space="preserve">assimilés. </w:t>
      </w:r>
      <w:r w:rsidR="00D01FFA">
        <w:t xml:space="preserve">Each </w:t>
      </w:r>
      <w:r>
        <w:t>status had rights or duties in the French Empire. Political rights were hinged upon voting rights, education, and leg</w:t>
      </w:r>
      <w:r w:rsidR="00D01FFA">
        <w:t xml:space="preserve">al courts, which contributed to a </w:t>
      </w:r>
      <w:r>
        <w:t xml:space="preserve">sense of “Frenchness” among individual persons. </w:t>
      </w:r>
    </w:p>
    <w:p w14:paraId="15662D6C" w14:textId="346D5ABA" w:rsidR="00AF16A8" w:rsidRDefault="00AF16A8" w:rsidP="00AF16A8">
      <w:pPr>
        <w:spacing w:after="0" w:line="480" w:lineRule="auto"/>
        <w:ind w:firstLine="720"/>
        <w:jc w:val="both"/>
      </w:pPr>
      <w:r>
        <w:t xml:space="preserve">This chapter will provide the historical background essential to understanding how French colonization is relevant to the Franco-African aid relationship in the present. Based on </w:t>
      </w:r>
      <w:r w:rsidRPr="00D13DC4">
        <w:t>existing economic literature investigating the long-term impacts of historical institutions, like colonial history and the specific colonial ruler</w:t>
      </w:r>
      <w:r w:rsidRPr="00D13DC4">
        <w:sym w:font="Symbol" w:char="F0BE"/>
      </w:r>
      <w:r w:rsidRPr="00D13DC4">
        <w:t>Belgium, France, Great Britain, or Portugal</w:t>
      </w:r>
      <w:r w:rsidRPr="00D13DC4">
        <w:sym w:font="Symbol" w:char="F0BE"/>
      </w:r>
      <w:r w:rsidRPr="00D13DC4">
        <w:t>have significant consequences for economic growth in the present.</w:t>
      </w:r>
      <w:r w:rsidRPr="00D13DC4">
        <w:rPr>
          <w:rStyle w:val="FootnoteReference"/>
        </w:rPr>
        <w:footnoteReference w:id="34"/>
      </w:r>
      <w:r w:rsidRPr="00D13DC4">
        <w:t xml:space="preserve"> Furthermore, these institutions and histories are “persistent,” meaning that they have long-term effects that spillover into the present.</w:t>
      </w:r>
      <w:r w:rsidRPr="00D13DC4">
        <w:rPr>
          <w:rStyle w:val="FootnoteReference"/>
        </w:rPr>
        <w:footnoteReference w:id="35"/>
      </w:r>
      <w:r w:rsidR="00D01FFA">
        <w:t xml:space="preserve"> This is observed in the variations </w:t>
      </w:r>
      <w:r>
        <w:t>between countries who provide substantial aid but lack colonial history and former colonizers, especially France, which gives “to former colonies tied by political alliances without much regard to other factors, including poverty levels or choice of politico-economic regimes.”</w:t>
      </w:r>
      <w:r>
        <w:rPr>
          <w:rStyle w:val="FootnoteReference"/>
        </w:rPr>
        <w:footnoteReference w:id="36"/>
      </w:r>
      <w:r>
        <w:t xml:space="preserve"> </w:t>
      </w:r>
    </w:p>
    <w:p w14:paraId="0BE94322" w14:textId="2C61CCE2" w:rsidR="00AF16A8" w:rsidRDefault="00AF16A8" w:rsidP="00AF16A8">
      <w:pPr>
        <w:spacing w:after="0" w:line="480" w:lineRule="auto"/>
        <w:ind w:firstLine="720"/>
        <w:jc w:val="both"/>
      </w:pPr>
      <w:r w:rsidRPr="009E0460">
        <w:t>In this chapter, I argue that</w:t>
      </w:r>
      <w:r>
        <w:t xml:space="preserve"> discrimination of status resulted in a particular sense of political belonging within the French Empire. This sense of political belonging, based on participation and access to rights, created a French “identity” among those who </w:t>
      </w:r>
      <w:r w:rsidR="003D0E55">
        <w:t>belonged to</w:t>
      </w:r>
      <w:r>
        <w:t xml:space="preserve"> the French Empire. First, I will provide a brief description of the policies of </w:t>
      </w:r>
      <w:r w:rsidRPr="00F768C3">
        <w:rPr>
          <w:i/>
        </w:rPr>
        <w:t>assimilation</w:t>
      </w:r>
      <w:r>
        <w:t xml:space="preserve">, </w:t>
      </w:r>
      <w:r w:rsidRPr="00F768C3">
        <w:rPr>
          <w:i/>
        </w:rPr>
        <w:t>association</w:t>
      </w:r>
      <w:r>
        <w:t xml:space="preserve"> and other French colonial practices, as well as </w:t>
      </w:r>
      <w:r>
        <w:rPr>
          <w:i/>
        </w:rPr>
        <w:t xml:space="preserve">mise en valeur </w:t>
      </w:r>
      <w:r w:rsidRPr="005A45B6">
        <w:t>(development or improvement)</w:t>
      </w:r>
      <w:r w:rsidRPr="005A45B6">
        <w:rPr>
          <w:i/>
        </w:rPr>
        <w:t>.</w:t>
      </w:r>
      <w:r>
        <w:rPr>
          <w:i/>
        </w:rPr>
        <w:t xml:space="preserve"> </w:t>
      </w:r>
      <w:r>
        <w:t xml:space="preserve">Then, I will </w:t>
      </w:r>
      <w:r w:rsidR="003D0E55">
        <w:t>illustrate how the</w:t>
      </w:r>
      <w:r>
        <w:t xml:space="preserve"> variation in such policies at the level of the individual person followed by differences at the regional level, represented by each colony. Lastly, I will detail the role of each territory in the formation of the French Union, as well as the beginnings of the relationships between newly independent nations and their former colonizer. </w:t>
      </w:r>
    </w:p>
    <w:p w14:paraId="0EC119FD" w14:textId="77777777" w:rsidR="00AF16A8" w:rsidRDefault="00AF16A8" w:rsidP="00AF16A8">
      <w:pPr>
        <w:spacing w:after="0" w:line="480" w:lineRule="auto"/>
        <w:jc w:val="center"/>
        <w:rPr>
          <w:b/>
        </w:rPr>
      </w:pPr>
    </w:p>
    <w:p w14:paraId="210EBFF3" w14:textId="77777777" w:rsidR="00AF16A8" w:rsidRPr="00D21A19" w:rsidRDefault="00AF16A8" w:rsidP="00AF16A8">
      <w:pPr>
        <w:spacing w:after="0" w:line="480" w:lineRule="auto"/>
        <w:jc w:val="center"/>
        <w:rPr>
          <w:b/>
        </w:rPr>
      </w:pPr>
      <w:r w:rsidRPr="00D21A19">
        <w:rPr>
          <w:b/>
          <w:i/>
        </w:rPr>
        <w:t>Assimilation</w:t>
      </w:r>
      <w:r w:rsidRPr="00D21A19">
        <w:rPr>
          <w:b/>
        </w:rPr>
        <w:t xml:space="preserve"> and </w:t>
      </w:r>
      <w:r w:rsidRPr="00D21A19">
        <w:rPr>
          <w:b/>
          <w:i/>
        </w:rPr>
        <w:t>Association</w:t>
      </w:r>
    </w:p>
    <w:p w14:paraId="4DE69A3A" w14:textId="77777777" w:rsidR="00AF16A8" w:rsidRDefault="00AF16A8" w:rsidP="00AF16A8">
      <w:pPr>
        <w:spacing w:after="0" w:line="480" w:lineRule="auto"/>
        <w:ind w:firstLine="720"/>
        <w:jc w:val="both"/>
        <w:rPr>
          <w:i/>
        </w:rPr>
      </w:pPr>
      <w:r>
        <w:t xml:space="preserve">Before we delve into the current Franco-African relations, it is essential to understand how the historical relationship between France and Africa could have lasting effects with the potential to impact contemporary identity. First, I analyze the historical context of the beginnings and end of colonization with specific attention to how colonists attempted to create Africans with a French identity through the policy of </w:t>
      </w:r>
      <w:r w:rsidRPr="00E35C27">
        <w:rPr>
          <w:i/>
        </w:rPr>
        <w:t>assimilation</w:t>
      </w:r>
      <w:r>
        <w:rPr>
          <w:i/>
        </w:rPr>
        <w:t xml:space="preserve"> </w:t>
      </w:r>
      <w:r>
        <w:t xml:space="preserve">(assimilation). Although France had a grip on the African continent in the fifteenth century, the greater colonization effort took place following the Berlin Conference in 1895, which specified the rules for claiming African lands as an official colony. </w:t>
      </w:r>
      <w:r w:rsidRPr="00790722">
        <w:t>France</w:t>
      </w:r>
      <w:r>
        <w:t>, at this point in time, was competing for possessions in interior Africa with other European powers</w:t>
      </w:r>
      <w:r>
        <w:sym w:font="Symbol" w:char="F0BE"/>
      </w:r>
      <w:r>
        <w:t xml:space="preserve">Britain, Germany, Spain, Portugal, and Belgium. Unlike other European powers, who favored indirect rule or rule by corporation, France ruled its colonies directly, by using French administration rather than existing chiefs to administer its colonial objectives. This rule was furthered by the policies of </w:t>
      </w:r>
      <w:r>
        <w:rPr>
          <w:i/>
        </w:rPr>
        <w:t>assimilation</w:t>
      </w:r>
      <w:r>
        <w:t xml:space="preserve"> and </w:t>
      </w:r>
      <w:r>
        <w:rPr>
          <w:i/>
        </w:rPr>
        <w:t xml:space="preserve">la mission civilisatrice </w:t>
      </w:r>
      <w:r>
        <w:t>(civilizing mission)</w:t>
      </w:r>
      <w:r>
        <w:rPr>
          <w:i/>
        </w:rPr>
        <w:t xml:space="preserve">. </w:t>
      </w:r>
    </w:p>
    <w:p w14:paraId="22B791D1" w14:textId="43507B8D" w:rsidR="00AF16A8" w:rsidRDefault="00AF16A8" w:rsidP="00AF16A8">
      <w:pPr>
        <w:spacing w:after="0" w:line="480" w:lineRule="auto"/>
        <w:ind w:firstLine="720"/>
        <w:jc w:val="both"/>
      </w:pPr>
      <w:r>
        <w:rPr>
          <w:i/>
        </w:rPr>
        <w:t xml:space="preserve">Assimilation </w:t>
      </w:r>
      <w:r>
        <w:t>was influenced by French rationalism and the thought that science could be the “key to regenerating humanity.”</w:t>
      </w:r>
      <w:r>
        <w:rPr>
          <w:rStyle w:val="FootnoteReference"/>
        </w:rPr>
        <w:footnoteReference w:id="37"/>
      </w:r>
      <w:r>
        <w:t xml:space="preserve"> French colonial possessions were sometimes viewed as “laboratories” for understanding how “savages” could become civilized. This was the policy of </w:t>
      </w:r>
      <w:r>
        <w:rPr>
          <w:i/>
        </w:rPr>
        <w:t xml:space="preserve">la mission civilisatrice, </w:t>
      </w:r>
      <w:r>
        <w:t>where Frenchmen argued that the</w:t>
      </w:r>
      <w:r w:rsidR="003D0E55">
        <w:t xml:space="preserve"> spread of the</w:t>
      </w:r>
      <w:r>
        <w:t xml:space="preserve"> principles of republicanism and rationalism could bring about civilized cultures. </w:t>
      </w:r>
      <w:r>
        <w:rPr>
          <w:i/>
        </w:rPr>
        <w:t>Assimilation</w:t>
      </w:r>
      <w:r>
        <w:t xml:space="preserve"> defended the notion that the Declaration of the Rights of Man, an ideology heavily influential in the French Revolution, were “applicable everywhere, since it was thought that if men were given equal opportunity they would become civilized, rational, and free.”</w:t>
      </w:r>
      <w:r>
        <w:rPr>
          <w:rStyle w:val="FootnoteReference"/>
        </w:rPr>
        <w:footnoteReference w:id="38"/>
      </w:r>
      <w:r>
        <w:t xml:space="preserve"> </w:t>
      </w:r>
      <w:r w:rsidR="003D0E55">
        <w:t xml:space="preserve">Many thought the differences in development between cultures was not necessarily due to a biological difference but a lack of access to rational and republican principles. </w:t>
      </w:r>
      <w:r>
        <w:rPr>
          <w:i/>
        </w:rPr>
        <w:t xml:space="preserve">La mission civilisatrice </w:t>
      </w:r>
      <w:r w:rsidR="003D0E55">
        <w:t>was both a</w:t>
      </w:r>
      <w:r>
        <w:t xml:space="preserve"> justi</w:t>
      </w:r>
      <w:r w:rsidR="003D0E55">
        <w:t>fication for colonialism and an</w:t>
      </w:r>
      <w:r>
        <w:t xml:space="preserve"> obligation to civilize the African savages. The implementation of </w:t>
      </w:r>
      <w:r w:rsidRPr="00E35C27">
        <w:rPr>
          <w:i/>
        </w:rPr>
        <w:t>assimilation</w:t>
      </w:r>
      <w:r>
        <w:t xml:space="preserve"> resulted in the initial formations of a French identity as “colonization was expected to produce Africans with French cultural values.”</w:t>
      </w:r>
      <w:r>
        <w:rPr>
          <w:rStyle w:val="FootnoteReference"/>
        </w:rPr>
        <w:footnoteReference w:id="39"/>
      </w:r>
      <w:r>
        <w:t xml:space="preserve"> It would be accomplished through educatio</w:t>
      </w:r>
      <w:r w:rsidR="003D0E55">
        <w:t xml:space="preserve">n, labor participation, and </w:t>
      </w:r>
      <w:r>
        <w:rPr>
          <w:i/>
        </w:rPr>
        <w:t xml:space="preserve">mise en valeur, </w:t>
      </w:r>
      <w:r>
        <w:t>which was the rational development of natural and human resources.</w:t>
      </w:r>
      <w:r>
        <w:rPr>
          <w:rStyle w:val="FootnoteReference"/>
        </w:rPr>
        <w:footnoteReference w:id="40"/>
      </w:r>
      <w:r>
        <w:t xml:space="preserve"> </w:t>
      </w:r>
      <w:r w:rsidRPr="00E35C27">
        <w:rPr>
          <w:i/>
        </w:rPr>
        <w:t>Assimilation</w:t>
      </w:r>
      <w:r>
        <w:t xml:space="preserve">, if successfully implemented, would result in French-like citizens, while </w:t>
      </w:r>
      <w:r>
        <w:rPr>
          <w:i/>
        </w:rPr>
        <w:t xml:space="preserve">mise en valeur </w:t>
      </w:r>
      <w:r>
        <w:t xml:space="preserve">led to subjects who were both loyal to the French Empire and productive members of society. Although this approach of </w:t>
      </w:r>
      <w:r w:rsidRPr="002F6A46">
        <w:rPr>
          <w:i/>
        </w:rPr>
        <w:t>la mission civilisatrice</w:t>
      </w:r>
      <w:r>
        <w:t xml:space="preserve"> has been evaluated with modern conceptions of ‘race,’ it was the dominant theory at the time of colonization and will not be evaluated on its ethical integrity but rather its importance in establishing identity. </w:t>
      </w:r>
    </w:p>
    <w:p w14:paraId="7761C43B" w14:textId="77777777" w:rsidR="00AF16A8" w:rsidRDefault="00AF16A8" w:rsidP="00AF16A8">
      <w:pPr>
        <w:spacing w:after="0" w:line="480" w:lineRule="auto"/>
        <w:jc w:val="both"/>
      </w:pPr>
    </w:p>
    <w:p w14:paraId="7CB20C4F" w14:textId="77777777" w:rsidR="00AF16A8" w:rsidRPr="00B75F16" w:rsidRDefault="00AF16A8" w:rsidP="00AF16A8">
      <w:pPr>
        <w:spacing w:after="0" w:line="480" w:lineRule="auto"/>
        <w:jc w:val="center"/>
        <w:rPr>
          <w:i/>
        </w:rPr>
      </w:pPr>
      <w:r w:rsidRPr="00B75F16">
        <w:rPr>
          <w:i/>
        </w:rPr>
        <w:t>Mise en valeur</w:t>
      </w:r>
    </w:p>
    <w:p w14:paraId="558F1CB9" w14:textId="7BC5C939" w:rsidR="00AF16A8" w:rsidRDefault="00AF16A8" w:rsidP="00AF16A8">
      <w:pPr>
        <w:spacing w:after="0" w:line="480" w:lineRule="auto"/>
        <w:ind w:firstLine="720"/>
        <w:jc w:val="both"/>
      </w:pPr>
      <w:r>
        <w:t xml:space="preserve">At the beginning of French colonization, </w:t>
      </w:r>
      <w:r>
        <w:rPr>
          <w:i/>
        </w:rPr>
        <w:t xml:space="preserve">mise en </w:t>
      </w:r>
      <w:r w:rsidRPr="00700C56">
        <w:rPr>
          <w:i/>
        </w:rPr>
        <w:t>valeur</w:t>
      </w:r>
      <w:r>
        <w:rPr>
          <w:i/>
        </w:rPr>
        <w:t xml:space="preserve"> </w:t>
      </w:r>
      <w:r>
        <w:t>represented the development of the colonies particularly in terms of the construction of railroads and telecommunications network, but a</w:t>
      </w:r>
      <w:r w:rsidRPr="00700C56">
        <w:t>s</w:t>
      </w:r>
      <w:r>
        <w:t xml:space="preserve"> French rule in Africa continued, </w:t>
      </w:r>
      <w:r>
        <w:rPr>
          <w:i/>
        </w:rPr>
        <w:t xml:space="preserve">mise en valeur </w:t>
      </w:r>
      <w:r>
        <w:t>shifted to include education, agriculture, health, and trade with the metropole. Despite the benevolent appearance in promoting education and health for Africans, beh</w:t>
      </w:r>
      <w:r w:rsidR="003D0E55">
        <w:t>ind the façade was French self-</w:t>
      </w:r>
      <w:r>
        <w:t>interest. Health improvements for Africans were implemented to protect colonial administrators living in close proximity to Africans and to protect settlers, especially in Algeria.</w:t>
      </w:r>
      <w:r>
        <w:rPr>
          <w:rStyle w:val="FootnoteReference"/>
        </w:rPr>
        <w:footnoteReference w:id="41"/>
      </w:r>
      <w:r>
        <w:t xml:space="preserve"> Additionally, education, in the French language, used </w:t>
      </w:r>
      <w:r>
        <w:rPr>
          <w:i/>
        </w:rPr>
        <w:t xml:space="preserve">en faire des homes utiles </w:t>
      </w:r>
      <w:r>
        <w:t xml:space="preserve">(the creation of useful men), meaning that </w:t>
      </w:r>
      <w:r w:rsidR="003D0E55">
        <w:t>Africans in French-like schools</w:t>
      </w:r>
      <w:r>
        <w:t xml:space="preserve"> would be trained as an educated labor force to be manipulated by French officials for better production and resource extraction.</w:t>
      </w:r>
      <w:r>
        <w:rPr>
          <w:rStyle w:val="FootnoteReference"/>
        </w:rPr>
        <w:footnoteReference w:id="42"/>
      </w:r>
      <w:r>
        <w:t xml:space="preserve"> Furthermore, “agricultural instruction was to be the main focus of the village school,” in order to make the most productive use of the African population.</w:t>
      </w:r>
      <w:r>
        <w:rPr>
          <w:rStyle w:val="FootnoteReference"/>
        </w:rPr>
        <w:footnoteReference w:id="43"/>
      </w:r>
      <w:r>
        <w:t xml:space="preserve"> Trade has clear economic implications, especially with the monopoly that France held over Africa. Additionally, </w:t>
      </w:r>
      <w:r>
        <w:rPr>
          <w:i/>
        </w:rPr>
        <w:t xml:space="preserve">mise en valeur </w:t>
      </w:r>
      <w:r>
        <w:t>argued that civilization needed to alleviate poverty alongside development of the colonies.</w:t>
      </w:r>
      <w:r>
        <w:rPr>
          <w:rStyle w:val="FootnoteReference"/>
        </w:rPr>
        <w:footnoteReference w:id="44"/>
      </w:r>
      <w:r>
        <w:t xml:space="preserve"> In order to accomplish the motives of </w:t>
      </w:r>
      <w:r>
        <w:rPr>
          <w:i/>
        </w:rPr>
        <w:t>mise en valeur</w:t>
      </w:r>
      <w:r>
        <w:t xml:space="preserve">, France frequently used military force to pacify its subjects. Although prone to adaptation, </w:t>
      </w:r>
      <w:r>
        <w:rPr>
          <w:i/>
        </w:rPr>
        <w:t xml:space="preserve">mise en valeur </w:t>
      </w:r>
      <w:r>
        <w:t xml:space="preserve">was practiced throughout French colonial rule in Africa, under the policies of both </w:t>
      </w:r>
      <w:r w:rsidRPr="00E35C27">
        <w:rPr>
          <w:i/>
        </w:rPr>
        <w:t>assimilation</w:t>
      </w:r>
      <w:r>
        <w:t xml:space="preserve"> and </w:t>
      </w:r>
      <w:r w:rsidRPr="00E35C27">
        <w:rPr>
          <w:i/>
        </w:rPr>
        <w:t>association</w:t>
      </w:r>
      <w:r>
        <w:t>.</w:t>
      </w:r>
    </w:p>
    <w:p w14:paraId="6E4DBFF1" w14:textId="77777777" w:rsidR="00AF16A8" w:rsidRDefault="00AF16A8" w:rsidP="00AF16A8">
      <w:pPr>
        <w:spacing w:after="0" w:line="480" w:lineRule="auto"/>
        <w:ind w:firstLine="720"/>
        <w:jc w:val="both"/>
      </w:pPr>
    </w:p>
    <w:p w14:paraId="37C97F7B" w14:textId="77777777" w:rsidR="00AF16A8" w:rsidRPr="00D21A19" w:rsidRDefault="00AF16A8" w:rsidP="00AF16A8">
      <w:pPr>
        <w:spacing w:after="0" w:line="480" w:lineRule="auto"/>
        <w:jc w:val="center"/>
      </w:pPr>
      <w:r w:rsidRPr="00D21A19">
        <w:t>Education</w:t>
      </w:r>
    </w:p>
    <w:p w14:paraId="482C6022" w14:textId="3973D0FE" w:rsidR="00AF16A8" w:rsidRDefault="00AF16A8" w:rsidP="00AF16A8">
      <w:pPr>
        <w:spacing w:after="0" w:line="480" w:lineRule="auto"/>
        <w:contextualSpacing/>
        <w:jc w:val="both"/>
      </w:pPr>
      <w:r>
        <w:tab/>
        <w:t xml:space="preserve">Education was a primary means for imposing a French identity </w:t>
      </w:r>
      <w:r w:rsidR="003D0E55">
        <w:t>upon both</w:t>
      </w:r>
      <w:r>
        <w:t xml:space="preserve"> citizens and subjects </w:t>
      </w:r>
      <w:r w:rsidR="003D0E55">
        <w:t xml:space="preserve">in </w:t>
      </w:r>
      <w:r>
        <w:t>French West an</w:t>
      </w:r>
      <w:r w:rsidR="003D0E55">
        <w:t>d Equatorial Africa. However, access to education</w:t>
      </w:r>
      <w:r>
        <w:t xml:space="preserve"> was not evenly distributed throughout the colonies and often favored areas where colonial ministers and their families reside</w:t>
      </w:r>
      <w:r w:rsidRPr="00D13DC4">
        <w:t xml:space="preserve">d. </w:t>
      </w:r>
      <w:r w:rsidR="003D0E55">
        <w:t xml:space="preserve">Because of this variation in accessibility and the kinds of schooling, colonial residents interacted with the French in various ways and created different levels of “Frenchness.” </w:t>
      </w:r>
      <w:r w:rsidRPr="00D13DC4">
        <w:t>Three levels of schools possessed separate curricula to fulfill a specific purpose.</w:t>
      </w:r>
      <w:r w:rsidRPr="00D13DC4">
        <w:rPr>
          <w:rStyle w:val="FootnoteReference"/>
        </w:rPr>
        <w:footnoteReference w:id="45"/>
      </w:r>
      <w:r w:rsidRPr="00D13DC4">
        <w:t xml:space="preserve"> The most basic level of education was for autochthonous Africans, who were able to attend village schools for 2-3 years of rudimentary instruction from African teachers.</w:t>
      </w:r>
      <w:r>
        <w:t xml:space="preserve"> Village schools were both “of and for the masses.”</w:t>
      </w:r>
      <w:r>
        <w:rPr>
          <w:rStyle w:val="FootnoteReference"/>
        </w:rPr>
        <w:footnoteReference w:id="46"/>
      </w:r>
      <w:r>
        <w:t xml:space="preserve"> </w:t>
      </w:r>
      <w:r w:rsidRPr="00D13DC4">
        <w:t>The purpose of village schools was to create loyal subjects or civilized peoples rather than patriotic citizens, which was the motivation behind education in the metropole.</w:t>
      </w:r>
      <w:r w:rsidRPr="00D13DC4">
        <w:rPr>
          <w:rStyle w:val="FootnoteReference"/>
        </w:rPr>
        <w:footnoteReference w:id="47"/>
      </w:r>
      <w:r w:rsidRPr="00D13DC4">
        <w:t xml:space="preserve"> A slightly improved version of the village school was the regional school. Students were selected to attend such schools in order to further </w:t>
      </w:r>
      <w:r w:rsidRPr="00D13DC4">
        <w:rPr>
          <w:i/>
        </w:rPr>
        <w:t xml:space="preserve">mise en valeur, </w:t>
      </w:r>
      <w:r w:rsidRPr="00D13DC4">
        <w:t>as these institutions trained Africans in practical skills, like agriculture and trade. Upon completion of the curricula and proof of some French fluency, students received certificates of their professional studies instead of degrees. In addition to supporting the constant need for African</w:t>
      </w:r>
      <w:r w:rsidR="003D0E55">
        <w:t xml:space="preserve"> workers in the colonies, French administrators, especially the governor general,</w:t>
      </w:r>
      <w:r w:rsidRPr="00D13DC4">
        <w:t xml:space="preserve"> believed that education could also “engender support for French rule” and prevent rebellions.</w:t>
      </w:r>
      <w:r w:rsidRPr="00D13DC4">
        <w:rPr>
          <w:rStyle w:val="FootnoteReference"/>
        </w:rPr>
        <w:footnoteReference w:id="48"/>
      </w:r>
      <w:r w:rsidRPr="00D13DC4">
        <w:t xml:space="preserve"> The most prestigious school in colonial Africa was the urban school, which closely resembled schooling in mainland France and primarily concentrated in the </w:t>
      </w:r>
      <w:r w:rsidRPr="00D13DC4">
        <w:rPr>
          <w:i/>
        </w:rPr>
        <w:t xml:space="preserve">Quatre Communes </w:t>
      </w:r>
      <w:r w:rsidRPr="00D13DC4">
        <w:t xml:space="preserve">of Senegal. Urban schools were primarily available to children of French administrators, </w:t>
      </w:r>
      <w:r w:rsidRPr="00D13DC4">
        <w:rPr>
          <w:i/>
        </w:rPr>
        <w:t>métis</w:t>
      </w:r>
      <w:r>
        <w:rPr>
          <w:i/>
        </w:rPr>
        <w:t xml:space="preserve"> </w:t>
      </w:r>
      <w:r w:rsidRPr="00244733">
        <w:t>(mulattos)</w:t>
      </w:r>
      <w:r w:rsidRPr="00244733">
        <w:rPr>
          <w:i/>
        </w:rPr>
        <w:t>,</w:t>
      </w:r>
      <w:r w:rsidRPr="00D13DC4">
        <w:rPr>
          <w:i/>
        </w:rPr>
        <w:t xml:space="preserve"> </w:t>
      </w:r>
      <w:r w:rsidRPr="00D13DC4">
        <w:t xml:space="preserve">and </w:t>
      </w:r>
      <w:r>
        <w:rPr>
          <w:i/>
        </w:rPr>
        <w:t xml:space="preserve">originaires </w:t>
      </w:r>
      <w:r w:rsidRPr="00E769DA">
        <w:t>(a unique type of French citizenship for Africans living in the Four Communes)</w:t>
      </w:r>
      <w:r w:rsidRPr="00E769DA">
        <w:rPr>
          <w:i/>
        </w:rPr>
        <w:t>.</w:t>
      </w:r>
      <w:r w:rsidRPr="00D13DC4">
        <w:rPr>
          <w:i/>
        </w:rPr>
        <w:t xml:space="preserve"> </w:t>
      </w:r>
      <w:r w:rsidRPr="00D13DC4">
        <w:t>The curricula followed that of France, and students were taught primarily by Europeans in only the French language.</w:t>
      </w:r>
      <w:r w:rsidRPr="00D13DC4">
        <w:rPr>
          <w:rStyle w:val="FootnoteReference"/>
        </w:rPr>
        <w:footnoteReference w:id="49"/>
      </w:r>
      <w:r w:rsidRPr="00D13DC4">
        <w:t xml:space="preserve"> Unlike the Br</w:t>
      </w:r>
      <w:r>
        <w:t>itish colonial education system, French schools were nonreligious and publicly funded.</w:t>
      </w:r>
      <w:r>
        <w:rPr>
          <w:rStyle w:val="FootnoteReference"/>
        </w:rPr>
        <w:footnoteReference w:id="50"/>
      </w:r>
    </w:p>
    <w:p w14:paraId="6970D902" w14:textId="77777777" w:rsidR="00AF16A8" w:rsidRDefault="00AF16A8" w:rsidP="00AF16A8">
      <w:pPr>
        <w:spacing w:after="0" w:line="480" w:lineRule="auto"/>
        <w:jc w:val="both"/>
      </w:pPr>
    </w:p>
    <w:p w14:paraId="294207B5" w14:textId="77777777" w:rsidR="00AF16A8" w:rsidRPr="00B75F16" w:rsidRDefault="00AF16A8" w:rsidP="00AF16A8">
      <w:pPr>
        <w:spacing w:after="0" w:line="480" w:lineRule="auto"/>
        <w:jc w:val="center"/>
        <w:rPr>
          <w:i/>
        </w:rPr>
      </w:pPr>
      <w:r w:rsidRPr="00B75F16">
        <w:rPr>
          <w:i/>
        </w:rPr>
        <w:t>Association</w:t>
      </w:r>
    </w:p>
    <w:p w14:paraId="652E6665" w14:textId="77777777" w:rsidR="00AF16A8" w:rsidRDefault="00AF16A8" w:rsidP="00AF16A8">
      <w:pPr>
        <w:spacing w:after="0" w:line="480" w:lineRule="auto"/>
        <w:ind w:firstLine="720"/>
        <w:jc w:val="both"/>
      </w:pPr>
      <w:r>
        <w:t xml:space="preserve">This </w:t>
      </w:r>
      <w:r w:rsidRPr="00E35C27">
        <w:rPr>
          <w:i/>
        </w:rPr>
        <w:t>assimilation</w:t>
      </w:r>
      <w:r>
        <w:t xml:space="preserve">ist policy shifted over time to one of </w:t>
      </w:r>
      <w:r>
        <w:rPr>
          <w:i/>
        </w:rPr>
        <w:t xml:space="preserve">association, </w:t>
      </w:r>
      <w:r>
        <w:t xml:space="preserve">where Africans could, in theory, evolve within their own cultures and avoid a forced assimilation, which was viewed critically by the international community. </w:t>
      </w:r>
      <w:r w:rsidRPr="00E35C27">
        <w:rPr>
          <w:i/>
        </w:rPr>
        <w:t>Association</w:t>
      </w:r>
      <w:r>
        <w:t xml:space="preserve">, implemented in the early twentieth century, advocated that African customs should be fostered as long as they did not conflict with the ideas of French civilization. The concept of </w:t>
      </w:r>
      <w:r>
        <w:rPr>
          <w:i/>
        </w:rPr>
        <w:t xml:space="preserve">association </w:t>
      </w:r>
      <w:r>
        <w:t xml:space="preserve">is built on two intertwined premises: </w:t>
      </w:r>
    </w:p>
    <w:p w14:paraId="6BCE2E47" w14:textId="4A36319B" w:rsidR="00AF16A8" w:rsidRDefault="00AF16A8" w:rsidP="007C0606">
      <w:pPr>
        <w:spacing w:after="0"/>
        <w:ind w:left="720"/>
        <w:jc w:val="both"/>
      </w:pPr>
      <w:r>
        <w:t>the first was that some form of sharing power with the old and new elite in West Africa was necessary to preserve French authority. The second was that power sharing, in the proper doses surrounded by the proper safeguards, was also in the best interests of its subjects and thus consistent with France’s civilizing mission in West Africa.</w:t>
      </w:r>
      <w:r>
        <w:rPr>
          <w:rStyle w:val="FootnoteReference"/>
        </w:rPr>
        <w:footnoteReference w:id="51"/>
      </w:r>
      <w:r>
        <w:t xml:space="preserve"> </w:t>
      </w:r>
    </w:p>
    <w:p w14:paraId="1C19E7BE" w14:textId="77777777" w:rsidR="007C0606" w:rsidRDefault="007C0606" w:rsidP="007C0606">
      <w:pPr>
        <w:spacing w:after="0"/>
        <w:ind w:left="720"/>
        <w:jc w:val="both"/>
      </w:pPr>
    </w:p>
    <w:p w14:paraId="5FD250DA" w14:textId="77777777" w:rsidR="00AF16A8" w:rsidRDefault="00AF16A8" w:rsidP="00AF16A8">
      <w:pPr>
        <w:spacing w:after="0" w:line="480" w:lineRule="auto"/>
        <w:jc w:val="both"/>
        <w:rPr>
          <w:b/>
        </w:rPr>
      </w:pPr>
      <w:r>
        <w:t xml:space="preserve">Despite its positive language, </w:t>
      </w:r>
      <w:r w:rsidRPr="00E35C27">
        <w:rPr>
          <w:i/>
        </w:rPr>
        <w:t>association</w:t>
      </w:r>
      <w:r>
        <w:t xml:space="preserve"> policy was likely caused by the strain on French administrators and the French government to finance the implementation of </w:t>
      </w:r>
      <w:r w:rsidRPr="00E35C27">
        <w:rPr>
          <w:i/>
        </w:rPr>
        <w:t>assimilation</w:t>
      </w:r>
      <w:r>
        <w:t xml:space="preserve">. </w:t>
      </w:r>
      <w:r w:rsidRPr="00E35C27">
        <w:rPr>
          <w:i/>
        </w:rPr>
        <w:t>Association</w:t>
      </w:r>
      <w:r>
        <w:t xml:space="preserve"> is present in the foreign policy approach of Françafrique as France constantly intervenes in the economic, political, and military situations in francophone Africa with the subtle notion of evolving African civilization within its own culture.</w:t>
      </w:r>
      <w:r>
        <w:rPr>
          <w:b/>
        </w:rPr>
        <w:t xml:space="preserve"> </w:t>
      </w:r>
    </w:p>
    <w:p w14:paraId="2274AD2A" w14:textId="2B2569C8" w:rsidR="00AF16A8" w:rsidRDefault="00AF16A8" w:rsidP="00AF16A8">
      <w:pPr>
        <w:spacing w:after="0" w:line="480" w:lineRule="auto"/>
        <w:ind w:firstLine="720"/>
        <w:jc w:val="both"/>
      </w:pPr>
      <w:r>
        <w:t xml:space="preserve">In the end, the outcomes of the policy of </w:t>
      </w:r>
      <w:r w:rsidRPr="00790722">
        <w:rPr>
          <w:i/>
        </w:rPr>
        <w:t>assimilation</w:t>
      </w:r>
      <w:r>
        <w:t xml:space="preserve"> and </w:t>
      </w:r>
      <w:r w:rsidRPr="0033272B">
        <w:rPr>
          <w:i/>
        </w:rPr>
        <w:t>la mission civilisatrice</w:t>
      </w:r>
      <w:r>
        <w:t xml:space="preserve"> were different for each territory and the classification of such within the French Empire. </w:t>
      </w:r>
      <w:r w:rsidRPr="00E35C27">
        <w:rPr>
          <w:i/>
        </w:rPr>
        <w:t>Assimilation</w:t>
      </w:r>
      <w:r>
        <w:t xml:space="preserve"> was a universal policy for all French colonies, but it was applied to varying degrees depending on the needs</w:t>
      </w:r>
      <w:r w:rsidR="003D0E55">
        <w:t xml:space="preserve"> and purpose</w:t>
      </w:r>
      <w:r>
        <w:t xml:space="preserve"> of each colony. The uneven effects of </w:t>
      </w:r>
      <w:r>
        <w:rPr>
          <w:i/>
        </w:rPr>
        <w:t xml:space="preserve">assimilation </w:t>
      </w:r>
      <w:r>
        <w:t>can be best observed in the number of Africans who achieved French citizenship. For example, in Algeria in 1944, less than one percent of the population had been granted citizenship, which was considered one of the more successful cases.</w:t>
      </w:r>
      <w:r>
        <w:rPr>
          <w:rStyle w:val="FootnoteReference"/>
        </w:rPr>
        <w:footnoteReference w:id="52"/>
      </w:r>
      <w:r>
        <w:t xml:space="preserve"> Some colonies, such as Senegal, had thousands of citizens in addition to the </w:t>
      </w:r>
      <w:r>
        <w:rPr>
          <w:i/>
        </w:rPr>
        <w:t>originaires</w:t>
      </w:r>
      <w:r>
        <w:t>, whereas others in central Africa were denied such status, as they were less “French” than others based on their limited interaction with French officials and the differing levels of education. However, it is clear that former French colonies perceived themselves as more “française” than their British counterparts felt they belonged to the Commonwealth.</w:t>
      </w:r>
      <w:r>
        <w:rPr>
          <w:rStyle w:val="FootnoteReference"/>
        </w:rPr>
        <w:footnoteReference w:id="53"/>
      </w:r>
      <w:r>
        <w:t xml:space="preserve"> With this basic understanding of the overarching themes and policies of French colonization, through the enforcement of </w:t>
      </w:r>
      <w:r w:rsidRPr="00E35C27">
        <w:rPr>
          <w:i/>
        </w:rPr>
        <w:t>assimilation</w:t>
      </w:r>
      <w:r>
        <w:t xml:space="preserve"> and </w:t>
      </w:r>
      <w:r w:rsidRPr="00E35C27">
        <w:rPr>
          <w:i/>
        </w:rPr>
        <w:t>association</w:t>
      </w:r>
      <w:r>
        <w:t>, the next essential step is to complicate the story by looking at the individual and colony-level discrepancies in applying such policies, which further contributes to the “in-group” countries of francophone Africa.</w:t>
      </w:r>
    </w:p>
    <w:p w14:paraId="7123E24C" w14:textId="77777777" w:rsidR="00AF16A8" w:rsidRDefault="00AF16A8" w:rsidP="00AF16A8">
      <w:pPr>
        <w:spacing w:after="0" w:line="480" w:lineRule="auto"/>
        <w:ind w:firstLine="720"/>
        <w:jc w:val="both"/>
      </w:pPr>
    </w:p>
    <w:p w14:paraId="08AD66BD" w14:textId="77777777" w:rsidR="00AF16A8" w:rsidRPr="00D21A19" w:rsidRDefault="00AF16A8" w:rsidP="00AF16A8">
      <w:pPr>
        <w:spacing w:after="0" w:line="480" w:lineRule="auto"/>
        <w:jc w:val="center"/>
        <w:rPr>
          <w:b/>
        </w:rPr>
      </w:pPr>
      <w:r>
        <w:rPr>
          <w:b/>
        </w:rPr>
        <w:t>Identity at</w:t>
      </w:r>
      <w:r w:rsidRPr="00D21A19">
        <w:rPr>
          <w:b/>
        </w:rPr>
        <w:t xml:space="preserve"> the Individual Level</w:t>
      </w:r>
    </w:p>
    <w:p w14:paraId="7F4B0E23" w14:textId="2839F9F7" w:rsidR="00AF16A8" w:rsidRDefault="00AF16A8" w:rsidP="00AF16A8">
      <w:pPr>
        <w:spacing w:after="0" w:line="480" w:lineRule="auto"/>
        <w:ind w:firstLine="720"/>
        <w:contextualSpacing/>
        <w:jc w:val="both"/>
      </w:pPr>
      <w:r>
        <w:t>Until the Lamine Guèye law in 1946</w:t>
      </w:r>
      <w:r>
        <w:sym w:font="Symbol" w:char="F0BE"/>
      </w:r>
      <w:r>
        <w:t>which on paper granted citizenship to every resident in a French territory, including women</w:t>
      </w:r>
      <w:r>
        <w:sym w:font="Symbol" w:char="F0BE"/>
      </w:r>
      <w:r>
        <w:t xml:space="preserve">individual categorization of colonial residents determined their access to resources such as education, health, and political representation or office. Africans were separated into two broad groups: </w:t>
      </w:r>
      <w:r w:rsidR="003D0E55">
        <w:t xml:space="preserve">(1) </w:t>
      </w:r>
      <w:r>
        <w:t xml:space="preserve">subjects </w:t>
      </w:r>
      <w:r w:rsidRPr="00D13DC4">
        <w:t>and</w:t>
      </w:r>
      <w:r w:rsidR="003D0E55">
        <w:t xml:space="preserve"> (2)</w:t>
      </w:r>
      <w:r w:rsidRPr="00D13DC4">
        <w:t xml:space="preserve"> citizens. However, this</w:t>
      </w:r>
      <w:r>
        <w:t xml:space="preserve"> grouping</w:t>
      </w:r>
      <w:r w:rsidRPr="00D13DC4">
        <w:t xml:space="preserve"> would combine </w:t>
      </w:r>
      <w:r w:rsidRPr="00D13DC4">
        <w:rPr>
          <w:i/>
        </w:rPr>
        <w:t xml:space="preserve">originaires </w:t>
      </w:r>
      <w:r w:rsidRPr="00D13DC4">
        <w:t xml:space="preserve">and </w:t>
      </w:r>
      <w:r w:rsidRPr="00D13DC4">
        <w:rPr>
          <w:i/>
        </w:rPr>
        <w:t xml:space="preserve">métis </w:t>
      </w:r>
      <w:r w:rsidRPr="00D13DC4">
        <w:t xml:space="preserve">and Frenchmen into one classification, which obscures the diversity and privilege within each group and also disregards the special place of African soldiers, or </w:t>
      </w:r>
      <w:r w:rsidRPr="00D13DC4">
        <w:rPr>
          <w:i/>
        </w:rPr>
        <w:t>tirailleurs</w:t>
      </w:r>
      <w:r w:rsidRPr="00D13DC4">
        <w:t>, within the French Empire. Because Frenchmen are simply citizens from France residing in Africa, most likely as businessmen or working for colonial administration, it is not necessary to analyze their place of privilege or their access to education and welfare programs</w:t>
      </w:r>
      <w:r>
        <w:t>, as</w:t>
      </w:r>
      <w:r w:rsidRPr="00D13DC4">
        <w:t xml:space="preserve"> they represented the highest status by directly belonging to the French race. The status of individual classification portrays the </w:t>
      </w:r>
      <w:r>
        <w:t>variable</w:t>
      </w:r>
      <w:r w:rsidRPr="00D13DC4">
        <w:t xml:space="preserve"> levels of “Frenchness” that remain</w:t>
      </w:r>
      <w:r>
        <w:t xml:space="preserve"> in former African colonies today, which is a remnant of these historical identities at the individual level. Because each individual status had particular interactions with French settlers and administrators as well as access to French services—education, legal rights, government positions, etc.—these person-level statuses yield</w:t>
      </w:r>
      <w:r w:rsidR="003D0E55">
        <w:t>ed</w:t>
      </w:r>
      <w:r>
        <w:t xml:space="preserve"> </w:t>
      </w:r>
      <w:r w:rsidRPr="00E769DA">
        <w:t>varying degrees</w:t>
      </w:r>
      <w:r>
        <w:t xml:space="preserve"> of “Frenchness.” The identities will be discussed in the order of their level of “Frenchness,” with </w:t>
      </w:r>
      <w:r>
        <w:rPr>
          <w:i/>
        </w:rPr>
        <w:t xml:space="preserve">originaires, evolués, </w:t>
      </w:r>
      <w:r>
        <w:t xml:space="preserve">and </w:t>
      </w:r>
      <w:r>
        <w:rPr>
          <w:i/>
        </w:rPr>
        <w:t xml:space="preserve">métis </w:t>
      </w:r>
      <w:r>
        <w:t xml:space="preserve">possessing a similar level of “Frenchness” but in different ways, such as language or access to education. </w:t>
      </w:r>
    </w:p>
    <w:p w14:paraId="7D6A5EBB" w14:textId="77777777" w:rsidR="00AF16A8" w:rsidRPr="00304DBF" w:rsidRDefault="00AF16A8" w:rsidP="00AF16A8">
      <w:pPr>
        <w:spacing w:after="0" w:line="480" w:lineRule="auto"/>
        <w:ind w:firstLine="720"/>
        <w:jc w:val="both"/>
      </w:pPr>
    </w:p>
    <w:p w14:paraId="74C11C40" w14:textId="77777777" w:rsidR="00AF16A8" w:rsidRDefault="00AF16A8" w:rsidP="00AF16A8">
      <w:pPr>
        <w:spacing w:after="0" w:line="480" w:lineRule="auto"/>
        <w:jc w:val="center"/>
        <w:rPr>
          <w:i/>
        </w:rPr>
      </w:pPr>
      <w:r>
        <w:rPr>
          <w:i/>
        </w:rPr>
        <w:t>Sujets</w:t>
      </w:r>
    </w:p>
    <w:p w14:paraId="64704B62" w14:textId="77777777" w:rsidR="003D0E55" w:rsidRDefault="00AF16A8" w:rsidP="00AF16A8">
      <w:pPr>
        <w:spacing w:after="0" w:line="480" w:lineRule="auto"/>
        <w:ind w:firstLine="720"/>
        <w:jc w:val="both"/>
      </w:pPr>
      <w:r>
        <w:rPr>
          <w:i/>
        </w:rPr>
        <w:t xml:space="preserve">Sujets </w:t>
      </w:r>
      <w:r>
        <w:t xml:space="preserve">were the most </w:t>
      </w:r>
      <w:r w:rsidRPr="00D13DC4">
        <w:t xml:space="preserve">elemental members within the French territories, and they had little access to the resources that France theoretically provided. </w:t>
      </w:r>
      <w:r w:rsidRPr="00790722">
        <w:rPr>
          <w:i/>
        </w:rPr>
        <w:t>Sujets</w:t>
      </w:r>
      <w:r>
        <w:t xml:space="preserve"> possessed duties</w:t>
      </w:r>
      <w:r w:rsidRPr="00D13DC4">
        <w:t xml:space="preserve"> to the French Republic rather than rights within it.</w:t>
      </w:r>
      <w:r w:rsidRPr="00D13DC4">
        <w:rPr>
          <w:rStyle w:val="FootnoteReference"/>
        </w:rPr>
        <w:footnoteReference w:id="54"/>
      </w:r>
      <w:r>
        <w:t xml:space="preserve"> Access to education beyond primary school was scarce, as French facilities were not extended to many villages or rural areas. Most of the schools were near coastal cities or settler areas, except the village schools that </w:t>
      </w:r>
      <w:r w:rsidR="003D0E55">
        <w:t xml:space="preserve">focused on </w:t>
      </w:r>
      <w:r w:rsidR="003D0E55">
        <w:rPr>
          <w:i/>
        </w:rPr>
        <w:t>mise en valeur</w:t>
      </w:r>
      <w:r>
        <w:t xml:space="preserve">. Additionally, </w:t>
      </w:r>
      <w:r w:rsidRPr="00E35C27">
        <w:rPr>
          <w:i/>
        </w:rPr>
        <w:t>sujets</w:t>
      </w:r>
      <w:r>
        <w:t xml:space="preserve"> were further distinguished under a separate court of law known as the </w:t>
      </w:r>
      <w:r>
        <w:rPr>
          <w:i/>
        </w:rPr>
        <w:t>indigé</w:t>
      </w:r>
      <w:r w:rsidRPr="00D803D2">
        <w:rPr>
          <w:i/>
        </w:rPr>
        <w:t>nat</w:t>
      </w:r>
      <w:r w:rsidR="003D0E55">
        <w:rPr>
          <w:i/>
        </w:rPr>
        <w:t xml:space="preserve"> </w:t>
      </w:r>
      <w:r w:rsidR="003D0E55">
        <w:t>(</w:t>
      </w:r>
      <w:r>
        <w:t>native courts</w:t>
      </w:r>
      <w:r w:rsidR="003D0E55">
        <w:t>)</w:t>
      </w:r>
      <w:r>
        <w:t xml:space="preserve">. The </w:t>
      </w:r>
      <w:r>
        <w:rPr>
          <w:i/>
        </w:rPr>
        <w:t xml:space="preserve">indigénat </w:t>
      </w:r>
      <w:r>
        <w:t>was one of the most discriminatory institutions</w:t>
      </w:r>
      <w:r w:rsidR="003D0E55">
        <w:t xml:space="preserve"> for the “lesser” members of a</w:t>
      </w:r>
      <w:r>
        <w:t xml:space="preserve"> French territory. Although the French advocated that the </w:t>
      </w:r>
      <w:r>
        <w:rPr>
          <w:i/>
        </w:rPr>
        <w:t xml:space="preserve">indigénat </w:t>
      </w:r>
      <w:r>
        <w:t xml:space="preserve">was a way for Africans to remain under their cultural laws and traditions, the court instead </w:t>
      </w:r>
    </w:p>
    <w:p w14:paraId="468ABFDB" w14:textId="704F428D" w:rsidR="003D0E55" w:rsidRDefault="00AF16A8" w:rsidP="003D0E55">
      <w:pPr>
        <w:spacing w:after="0"/>
        <w:jc w:val="both"/>
      </w:pPr>
      <w:r>
        <w:t>consisted of regulations that allowed colonial administrators to inflict punishment on African subjects without obtaining a court judgment or approval from the metropolis. It allowed the colonial officers to jail any African for up to two years without trial, to impose heavy taxes and punitive fines, or to burn the villages of those who refused to pay.</w:t>
      </w:r>
      <w:r>
        <w:rPr>
          <w:rStyle w:val="FootnoteReference"/>
        </w:rPr>
        <w:footnoteReference w:id="55"/>
      </w:r>
      <w:r>
        <w:t xml:space="preserve"> </w:t>
      </w:r>
    </w:p>
    <w:p w14:paraId="76DC9C3C" w14:textId="77777777" w:rsidR="003D0E55" w:rsidRDefault="003D0E55" w:rsidP="003D0E55">
      <w:pPr>
        <w:spacing w:after="0" w:line="480" w:lineRule="auto"/>
        <w:jc w:val="both"/>
      </w:pPr>
    </w:p>
    <w:p w14:paraId="2F65A7E1" w14:textId="53EF100C" w:rsidR="00AF16A8" w:rsidRPr="004A39EC" w:rsidRDefault="00AF16A8" w:rsidP="003D0E55">
      <w:pPr>
        <w:spacing w:after="0" w:line="480" w:lineRule="auto"/>
        <w:jc w:val="both"/>
      </w:pPr>
      <w:r>
        <w:t xml:space="preserve">This court resulted in unfair and extreme punishment for minor crimes committed by </w:t>
      </w:r>
      <w:r>
        <w:rPr>
          <w:i/>
        </w:rPr>
        <w:t xml:space="preserve">sujets. </w:t>
      </w:r>
      <w:r>
        <w:t xml:space="preserve">Furthermore, </w:t>
      </w:r>
      <w:r>
        <w:rPr>
          <w:i/>
        </w:rPr>
        <w:t xml:space="preserve">sujets </w:t>
      </w:r>
      <w:r>
        <w:t>were completely excluded from the right to law in a French court, unless they had been naturalized. They also lacked any voting rights, including indirect voting through representation.</w:t>
      </w:r>
    </w:p>
    <w:p w14:paraId="69E63A7A" w14:textId="77777777" w:rsidR="00AF16A8" w:rsidRDefault="00AF16A8" w:rsidP="00AF16A8">
      <w:pPr>
        <w:spacing w:after="0" w:line="480" w:lineRule="auto"/>
        <w:jc w:val="both"/>
        <w:rPr>
          <w:i/>
        </w:rPr>
      </w:pPr>
    </w:p>
    <w:p w14:paraId="405E4F0F" w14:textId="77777777" w:rsidR="00AF16A8" w:rsidRPr="00D803D2" w:rsidRDefault="00AF16A8" w:rsidP="00AF16A8">
      <w:pPr>
        <w:spacing w:after="0" w:line="480" w:lineRule="auto"/>
        <w:jc w:val="center"/>
        <w:rPr>
          <w:i/>
        </w:rPr>
      </w:pPr>
      <w:r>
        <w:rPr>
          <w:i/>
        </w:rPr>
        <w:t>Tirailleurs</w:t>
      </w:r>
    </w:p>
    <w:p w14:paraId="7D0BCC23" w14:textId="425BCFA8" w:rsidR="00AF16A8" w:rsidRDefault="00AF16A8" w:rsidP="00AF16A8">
      <w:pPr>
        <w:spacing w:after="0" w:line="480" w:lineRule="auto"/>
        <w:ind w:firstLine="720"/>
        <w:contextualSpacing/>
        <w:jc w:val="both"/>
      </w:pPr>
      <w:r>
        <w:rPr>
          <w:i/>
        </w:rPr>
        <w:t xml:space="preserve">Tirailleurs </w:t>
      </w:r>
      <w:r>
        <w:t>often existed in betwee</w:t>
      </w:r>
      <w:r w:rsidR="003D0E55">
        <w:t>n the subject and the citizen because</w:t>
      </w:r>
      <w:r>
        <w:t xml:space="preserve"> promised rights and statuses were not always granted. </w:t>
      </w:r>
      <w:r>
        <w:rPr>
          <w:i/>
        </w:rPr>
        <w:t xml:space="preserve">Tirailleurs </w:t>
      </w:r>
      <w:r>
        <w:t>were African soldiers responsible for protecting French colonies, both in Africa and Indochina and fighting for France in World War I and World War II.</w:t>
      </w:r>
      <w:r w:rsidR="003D0E55">
        <w:rPr>
          <w:rStyle w:val="FootnoteReference"/>
        </w:rPr>
        <w:footnoteReference w:id="56"/>
      </w:r>
      <w:r>
        <w:t xml:space="preserve"> These soldiers remained subjects but were no longer under the jurisdiction of the </w:t>
      </w:r>
      <w:r>
        <w:rPr>
          <w:i/>
        </w:rPr>
        <w:t>indigénat.</w:t>
      </w:r>
      <w:r>
        <w:rPr>
          <w:rStyle w:val="FootnoteReference"/>
          <w:i/>
        </w:rPr>
        <w:footnoteReference w:id="57"/>
      </w:r>
      <w:r>
        <w:rPr>
          <w:i/>
        </w:rPr>
        <w:t xml:space="preserve"> </w:t>
      </w:r>
      <w:r>
        <w:t xml:space="preserve">The </w:t>
      </w:r>
      <w:r>
        <w:rPr>
          <w:i/>
        </w:rPr>
        <w:t xml:space="preserve">tirailleurs </w:t>
      </w:r>
      <w:r>
        <w:t>originated in the favored colony of Senegal in 1857 and were originally used to diminish revolts and strikes in other French colonies, including Algeria and Indoc</w:t>
      </w:r>
      <w:r w:rsidR="003D0E55">
        <w:t>hina. At the advent of the World War I</w:t>
      </w:r>
      <w:r>
        <w:t xml:space="preserve">, soldiers were recruited from the remaining colonies in French West Africa and Central Africa, typically from a low social status or forced by the local chief as a bargaining tool with the French administration. Chiefs and </w:t>
      </w:r>
      <w:r w:rsidRPr="00EE3252">
        <w:rPr>
          <w:i/>
        </w:rPr>
        <w:t>chefs de canton</w:t>
      </w:r>
      <w:r>
        <w:t xml:space="preserve"> could obtain special benefits</w:t>
      </w:r>
      <w:r w:rsidR="003D0E55">
        <w:t>, as well as limited power in their respective canton,</w:t>
      </w:r>
      <w:r>
        <w:t xml:space="preserve"> based on the number of soldiers they provided for French-African troops. During </w:t>
      </w:r>
      <w:r w:rsidR="003D0E55">
        <w:t>World War I,</w:t>
      </w:r>
      <w:r>
        <w:t xml:space="preserve"> over 200,000 men from the African colonies fought for France. As further evidence of the discriminatory policy and the importance of identities, </w:t>
      </w:r>
      <w:r w:rsidRPr="00E137F2">
        <w:rPr>
          <w:i/>
        </w:rPr>
        <w:t>sujets</w:t>
      </w:r>
      <w:r>
        <w:t xml:space="preserve"> and </w:t>
      </w:r>
      <w:r w:rsidRPr="00E137F2">
        <w:rPr>
          <w:i/>
        </w:rPr>
        <w:t>originaires</w:t>
      </w:r>
      <w:r>
        <w:t xml:space="preserve"> of </w:t>
      </w:r>
      <w:r w:rsidRPr="00E137F2">
        <w:rPr>
          <w:i/>
        </w:rPr>
        <w:t>tirailleurs</w:t>
      </w:r>
      <w:r>
        <w:t xml:space="preserve"> statuses were split into separate regiments. </w:t>
      </w:r>
      <w:r>
        <w:rPr>
          <w:i/>
        </w:rPr>
        <w:t xml:space="preserve">Originaires </w:t>
      </w:r>
      <w:r>
        <w:t xml:space="preserve">fought alongside other French troops as citizens, </w:t>
      </w:r>
      <w:r w:rsidRPr="00D13DC4">
        <w:t xml:space="preserve">whereas </w:t>
      </w:r>
      <w:r w:rsidRPr="00D13DC4">
        <w:rPr>
          <w:i/>
        </w:rPr>
        <w:t xml:space="preserve">sujet </w:t>
      </w:r>
      <w:r w:rsidRPr="00D13DC4">
        <w:t xml:space="preserve">soldiers fought in all black regiments or all Arab regiments known as </w:t>
      </w:r>
      <w:r w:rsidRPr="00D13DC4">
        <w:rPr>
          <w:i/>
        </w:rPr>
        <w:t>spahis. Originaires</w:t>
      </w:r>
      <w:r w:rsidRPr="00D13DC4">
        <w:t xml:space="preserve"> belonging to the regular French army had access to goods and services equal to that of the French military, as Table </w:t>
      </w:r>
      <w:r>
        <w:t>1.1.</w:t>
      </w:r>
      <w:r w:rsidRPr="00F9320F">
        <w:rPr>
          <w:rStyle w:val="FootnoteReference"/>
        </w:rPr>
        <w:t xml:space="preserve"> </w:t>
      </w:r>
      <w:r>
        <w:rPr>
          <w:rStyle w:val="FootnoteReference"/>
        </w:rPr>
        <w:footnoteReference w:id="58"/>
      </w:r>
      <w:r w:rsidRPr="00D13DC4">
        <w:t xml:space="preserve"> clearly reveals.</w:t>
      </w:r>
    </w:p>
    <w:p w14:paraId="5DFF8C8D" w14:textId="77777777" w:rsidR="009025F4" w:rsidRDefault="009025F4" w:rsidP="00AF16A8">
      <w:pPr>
        <w:spacing w:after="0" w:line="480" w:lineRule="auto"/>
        <w:ind w:firstLine="720"/>
        <w:contextualSpacing/>
        <w:jc w:val="both"/>
      </w:pPr>
    </w:p>
    <w:p w14:paraId="48A344D0" w14:textId="6F917444" w:rsidR="00AF16A8" w:rsidRPr="00710694" w:rsidRDefault="00AF16A8" w:rsidP="00AF16A8">
      <w:pPr>
        <w:spacing w:after="0"/>
      </w:pPr>
      <w:r>
        <w:t>Table 1.1. Service c</w:t>
      </w:r>
      <w:r w:rsidRPr="009370D6">
        <w:t xml:space="preserve">onditions for </w:t>
      </w:r>
      <w:r w:rsidRPr="000F3CB8">
        <w:rPr>
          <w:i/>
        </w:rPr>
        <w:t>originaires</w:t>
      </w:r>
      <w:r>
        <w:t xml:space="preserve"> and </w:t>
      </w:r>
      <w:r w:rsidR="003D0E55">
        <w:t>other</w:t>
      </w:r>
      <w:r>
        <w:t xml:space="preserve"> Africans,</w:t>
      </w:r>
      <w:r w:rsidRPr="009370D6">
        <w:t xml:space="preserve"> 1915</w:t>
      </w:r>
    </w:p>
    <w:tbl>
      <w:tblPr>
        <w:tblStyle w:val="TableGrid"/>
        <w:tblW w:w="8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3240"/>
        <w:gridCol w:w="3240"/>
      </w:tblGrid>
      <w:tr w:rsidR="00AF16A8" w14:paraId="1C3E9B2A" w14:textId="77777777" w:rsidTr="009025F4">
        <w:tc>
          <w:tcPr>
            <w:tcW w:w="1998" w:type="dxa"/>
            <w:tcBorders>
              <w:top w:val="single" w:sz="4" w:space="0" w:color="auto"/>
              <w:bottom w:val="single" w:sz="4" w:space="0" w:color="auto"/>
            </w:tcBorders>
          </w:tcPr>
          <w:p w14:paraId="3A93C132" w14:textId="77777777" w:rsidR="00AF16A8" w:rsidRDefault="00AF16A8" w:rsidP="009025F4">
            <w:r>
              <w:t>Condition</w:t>
            </w:r>
          </w:p>
        </w:tc>
        <w:tc>
          <w:tcPr>
            <w:tcW w:w="3240" w:type="dxa"/>
            <w:tcBorders>
              <w:top w:val="single" w:sz="4" w:space="0" w:color="auto"/>
              <w:bottom w:val="single" w:sz="4" w:space="0" w:color="auto"/>
            </w:tcBorders>
          </w:tcPr>
          <w:p w14:paraId="516768A4" w14:textId="77777777" w:rsidR="00AF16A8" w:rsidRDefault="00AF16A8" w:rsidP="009025F4">
            <w:r w:rsidRPr="00E35C27">
              <w:rPr>
                <w:i/>
              </w:rPr>
              <w:t>Originaires</w:t>
            </w:r>
            <w:r>
              <w:t xml:space="preserve"> in regular army</w:t>
            </w:r>
          </w:p>
        </w:tc>
        <w:tc>
          <w:tcPr>
            <w:tcW w:w="3240" w:type="dxa"/>
            <w:tcBorders>
              <w:top w:val="single" w:sz="4" w:space="0" w:color="auto"/>
              <w:bottom w:val="single" w:sz="4" w:space="0" w:color="auto"/>
            </w:tcBorders>
          </w:tcPr>
          <w:p w14:paraId="07262E61" w14:textId="77777777" w:rsidR="00AF16A8" w:rsidRDefault="00AF16A8" w:rsidP="009025F4">
            <w:r>
              <w:t>Colonial troops</w:t>
            </w:r>
          </w:p>
          <w:p w14:paraId="5ECDE7B3" w14:textId="77777777" w:rsidR="00AF16A8" w:rsidRDefault="00AF16A8" w:rsidP="009025F4"/>
        </w:tc>
      </w:tr>
      <w:tr w:rsidR="00AF16A8" w14:paraId="3CEDA12D" w14:textId="77777777" w:rsidTr="009025F4">
        <w:tc>
          <w:tcPr>
            <w:tcW w:w="1998" w:type="dxa"/>
            <w:tcBorders>
              <w:top w:val="single" w:sz="4" w:space="0" w:color="auto"/>
            </w:tcBorders>
          </w:tcPr>
          <w:p w14:paraId="28D36BA2" w14:textId="77777777" w:rsidR="00AF16A8" w:rsidRDefault="00AF16A8" w:rsidP="009025F4">
            <w:r>
              <w:t>Service liability</w:t>
            </w:r>
          </w:p>
        </w:tc>
        <w:tc>
          <w:tcPr>
            <w:tcW w:w="3240" w:type="dxa"/>
            <w:tcBorders>
              <w:top w:val="single" w:sz="4" w:space="0" w:color="auto"/>
            </w:tcBorders>
          </w:tcPr>
          <w:p w14:paraId="51D4E35E" w14:textId="77777777" w:rsidR="00AF16A8" w:rsidRDefault="00AF16A8" w:rsidP="009025F4">
            <w:r>
              <w:t>Initial three-year enlistment</w:t>
            </w:r>
          </w:p>
        </w:tc>
        <w:tc>
          <w:tcPr>
            <w:tcW w:w="3240" w:type="dxa"/>
            <w:tcBorders>
              <w:top w:val="single" w:sz="4" w:space="0" w:color="auto"/>
            </w:tcBorders>
          </w:tcPr>
          <w:p w14:paraId="6F236BDB" w14:textId="77777777" w:rsidR="00AF16A8" w:rsidRDefault="00AF16A8" w:rsidP="009025F4">
            <w:r>
              <w:t>Same</w:t>
            </w:r>
          </w:p>
        </w:tc>
      </w:tr>
      <w:tr w:rsidR="00AF16A8" w14:paraId="62FD7D5A" w14:textId="77777777" w:rsidTr="009025F4">
        <w:tc>
          <w:tcPr>
            <w:tcW w:w="1998" w:type="dxa"/>
          </w:tcPr>
          <w:p w14:paraId="034D157E" w14:textId="77777777" w:rsidR="00AF16A8" w:rsidRDefault="00AF16A8" w:rsidP="009025F4">
            <w:r>
              <w:t>Pay</w:t>
            </w:r>
          </w:p>
        </w:tc>
        <w:tc>
          <w:tcPr>
            <w:tcW w:w="3240" w:type="dxa"/>
          </w:tcPr>
          <w:p w14:paraId="3F3E2398" w14:textId="77777777" w:rsidR="00AF16A8" w:rsidRDefault="00AF16A8" w:rsidP="009025F4">
            <w:r>
              <w:t>Same as French soldiers</w:t>
            </w:r>
          </w:p>
        </w:tc>
        <w:tc>
          <w:tcPr>
            <w:tcW w:w="3240" w:type="dxa"/>
          </w:tcPr>
          <w:p w14:paraId="4DE84720" w14:textId="77777777" w:rsidR="00AF16A8" w:rsidRDefault="00AF16A8" w:rsidP="009025F4">
            <w:r>
              <w:t xml:space="preserve">One-half </w:t>
            </w:r>
            <w:r w:rsidRPr="00E35C27">
              <w:rPr>
                <w:i/>
              </w:rPr>
              <w:t>originaires’</w:t>
            </w:r>
            <w:r>
              <w:t xml:space="preserve"> pay</w:t>
            </w:r>
          </w:p>
        </w:tc>
      </w:tr>
      <w:tr w:rsidR="00AF16A8" w14:paraId="4FEDB451" w14:textId="77777777" w:rsidTr="009025F4">
        <w:tc>
          <w:tcPr>
            <w:tcW w:w="1998" w:type="dxa"/>
          </w:tcPr>
          <w:p w14:paraId="31BEC0A9" w14:textId="77777777" w:rsidR="00AF16A8" w:rsidRDefault="00AF16A8" w:rsidP="009025F4">
            <w:r>
              <w:t>Quarters</w:t>
            </w:r>
          </w:p>
        </w:tc>
        <w:tc>
          <w:tcPr>
            <w:tcW w:w="3240" w:type="dxa"/>
          </w:tcPr>
          <w:p w14:paraId="7DF1DA7F" w14:textId="77777777" w:rsidR="00AF16A8" w:rsidRDefault="00AF16A8" w:rsidP="009025F4">
            <w:r>
              <w:t>Barracks, with bed</w:t>
            </w:r>
          </w:p>
        </w:tc>
        <w:tc>
          <w:tcPr>
            <w:tcW w:w="3240" w:type="dxa"/>
          </w:tcPr>
          <w:p w14:paraId="425848CD" w14:textId="77777777" w:rsidR="00AF16A8" w:rsidRDefault="00AF16A8" w:rsidP="009025F4">
            <w:r>
              <w:t>No provision for beds; sleep on ground or floor; blankets issued</w:t>
            </w:r>
          </w:p>
        </w:tc>
      </w:tr>
      <w:tr w:rsidR="00AF16A8" w14:paraId="671F2C5C" w14:textId="77777777" w:rsidTr="009025F4">
        <w:tc>
          <w:tcPr>
            <w:tcW w:w="1998" w:type="dxa"/>
          </w:tcPr>
          <w:p w14:paraId="6D2B6B14" w14:textId="77777777" w:rsidR="00AF16A8" w:rsidRDefault="00AF16A8" w:rsidP="009025F4">
            <w:r>
              <w:t>Food</w:t>
            </w:r>
          </w:p>
        </w:tc>
        <w:tc>
          <w:tcPr>
            <w:tcW w:w="3240" w:type="dxa"/>
          </w:tcPr>
          <w:p w14:paraId="35B7CE6F" w14:textId="77777777" w:rsidR="00AF16A8" w:rsidRDefault="00AF16A8" w:rsidP="009025F4">
            <w:r>
              <w:t>European food; food allowance 3.76 francs per ration</w:t>
            </w:r>
          </w:p>
        </w:tc>
        <w:tc>
          <w:tcPr>
            <w:tcW w:w="3240" w:type="dxa"/>
          </w:tcPr>
          <w:p w14:paraId="67774F04" w14:textId="77777777" w:rsidR="00AF16A8" w:rsidRDefault="00AF16A8" w:rsidP="009025F4">
            <w:r>
              <w:t>Traditional African food prepared by Senegalese women accompanying the troops; allowance 1.68 francs per ration</w:t>
            </w:r>
          </w:p>
        </w:tc>
      </w:tr>
      <w:tr w:rsidR="00AF16A8" w14:paraId="68EEE3D1" w14:textId="77777777" w:rsidTr="009025F4">
        <w:tc>
          <w:tcPr>
            <w:tcW w:w="1998" w:type="dxa"/>
          </w:tcPr>
          <w:p w14:paraId="31F5B272" w14:textId="77777777" w:rsidR="00AF16A8" w:rsidRDefault="00AF16A8" w:rsidP="009025F4">
            <w:r>
              <w:t>Promotion</w:t>
            </w:r>
          </w:p>
        </w:tc>
        <w:tc>
          <w:tcPr>
            <w:tcW w:w="3240" w:type="dxa"/>
          </w:tcPr>
          <w:p w14:paraId="39CB7DE8" w14:textId="77777777" w:rsidR="00AF16A8" w:rsidRDefault="00AF16A8" w:rsidP="009025F4">
            <w:r>
              <w:t>Same as Frenchmen; can become officers in regular army</w:t>
            </w:r>
          </w:p>
        </w:tc>
        <w:tc>
          <w:tcPr>
            <w:tcW w:w="3240" w:type="dxa"/>
          </w:tcPr>
          <w:p w14:paraId="4EA9F37D" w14:textId="77777777" w:rsidR="00AF16A8" w:rsidRDefault="00AF16A8" w:rsidP="009025F4">
            <w:r>
              <w:t>No promotion beyond noncommissioned rank; authority over African troops only</w:t>
            </w:r>
          </w:p>
        </w:tc>
      </w:tr>
      <w:tr w:rsidR="00AF16A8" w14:paraId="2B68D738" w14:textId="77777777" w:rsidTr="009025F4">
        <w:tc>
          <w:tcPr>
            <w:tcW w:w="1998" w:type="dxa"/>
            <w:tcBorders>
              <w:bottom w:val="single" w:sz="4" w:space="0" w:color="auto"/>
            </w:tcBorders>
          </w:tcPr>
          <w:p w14:paraId="2FA6A7DC" w14:textId="77777777" w:rsidR="00AF16A8" w:rsidRDefault="00AF16A8" w:rsidP="009025F4">
            <w:r>
              <w:t>Pension (25 years service)</w:t>
            </w:r>
          </w:p>
        </w:tc>
        <w:tc>
          <w:tcPr>
            <w:tcW w:w="3240" w:type="dxa"/>
            <w:tcBorders>
              <w:bottom w:val="single" w:sz="4" w:space="0" w:color="auto"/>
            </w:tcBorders>
          </w:tcPr>
          <w:p w14:paraId="27828215" w14:textId="77777777" w:rsidR="00AF16A8" w:rsidRDefault="00AF16A8" w:rsidP="009025F4">
            <w:r>
              <w:t>1,500 to 1,800 francs</w:t>
            </w:r>
          </w:p>
        </w:tc>
        <w:tc>
          <w:tcPr>
            <w:tcW w:w="3240" w:type="dxa"/>
            <w:tcBorders>
              <w:bottom w:val="single" w:sz="4" w:space="0" w:color="auto"/>
            </w:tcBorders>
          </w:tcPr>
          <w:p w14:paraId="54C52D54" w14:textId="77777777" w:rsidR="00AF16A8" w:rsidRDefault="00AF16A8" w:rsidP="009025F4">
            <w:r>
              <w:t>437 to 572 francs</w:t>
            </w:r>
          </w:p>
        </w:tc>
      </w:tr>
    </w:tbl>
    <w:p w14:paraId="701541CD" w14:textId="77777777" w:rsidR="00AF16A8" w:rsidRDefault="00AF16A8" w:rsidP="00AF16A8">
      <w:pPr>
        <w:spacing w:after="0" w:line="480" w:lineRule="auto"/>
        <w:ind w:firstLine="720"/>
        <w:jc w:val="both"/>
        <w:rPr>
          <w:sz w:val="20"/>
          <w:szCs w:val="20"/>
        </w:rPr>
      </w:pPr>
    </w:p>
    <w:p w14:paraId="2FBFDEEE" w14:textId="77777777" w:rsidR="009025F4" w:rsidRDefault="009025F4" w:rsidP="00AF16A8">
      <w:pPr>
        <w:spacing w:after="0" w:line="480" w:lineRule="auto"/>
        <w:ind w:firstLine="720"/>
        <w:jc w:val="both"/>
        <w:rPr>
          <w:sz w:val="20"/>
          <w:szCs w:val="20"/>
        </w:rPr>
      </w:pPr>
    </w:p>
    <w:p w14:paraId="7A8A5A18" w14:textId="77777777" w:rsidR="00AF16A8" w:rsidRPr="00EF77D9" w:rsidRDefault="00AF16A8" w:rsidP="00AF16A8">
      <w:pPr>
        <w:spacing w:after="0" w:line="480" w:lineRule="auto"/>
        <w:ind w:firstLine="720"/>
        <w:jc w:val="both"/>
      </w:pPr>
      <w:r>
        <w:t xml:space="preserve">In addition to being distinguished based on their colonial residence, soldiers were further divided based on their position; </w:t>
      </w:r>
      <w:r>
        <w:rPr>
          <w:i/>
        </w:rPr>
        <w:t xml:space="preserve">tirailleurs </w:t>
      </w:r>
      <w:r>
        <w:t xml:space="preserve">were either </w:t>
      </w:r>
      <w:r>
        <w:rPr>
          <w:i/>
        </w:rPr>
        <w:t xml:space="preserve">ancien combattants </w:t>
      </w:r>
      <w:r>
        <w:t xml:space="preserve">(combat veterans) or </w:t>
      </w:r>
      <w:r>
        <w:rPr>
          <w:i/>
        </w:rPr>
        <w:t xml:space="preserve">ancien militaires </w:t>
      </w:r>
      <w:r>
        <w:t xml:space="preserve">(career soldiers). Combat veterans and career soldiers had varying access to general benefits for their service to the French Empire. All </w:t>
      </w:r>
      <w:r>
        <w:rPr>
          <w:i/>
        </w:rPr>
        <w:t xml:space="preserve">tirailleurs </w:t>
      </w:r>
      <w:r>
        <w:t xml:space="preserve">were supposed to receive a pension and have better access to employment, especially within the colonial administration. However, the lack of the </w:t>
      </w:r>
      <w:r>
        <w:rPr>
          <w:i/>
        </w:rPr>
        <w:t xml:space="preserve">état-civil </w:t>
      </w:r>
      <w:r>
        <w:t>(civil registry)</w:t>
      </w:r>
      <w:r>
        <w:sym w:font="Symbol" w:char="F0BE"/>
      </w:r>
      <w:r>
        <w:t>which would continue to be the source of problems with citizenship in 1946</w:t>
      </w:r>
      <w:r>
        <w:sym w:font="Symbol" w:char="F0BE"/>
      </w:r>
      <w:r>
        <w:t xml:space="preserve">limited the ability of France to fulfill its promises as it struggled to rebuild mainland France after the destruction of World War II. Many veterans did not receive their pensions and honors due to the bureaucracy’s failure to keep track of them, which was made especially difficult since </w:t>
      </w:r>
      <w:r>
        <w:rPr>
          <w:i/>
        </w:rPr>
        <w:t xml:space="preserve">tirailleurs </w:t>
      </w:r>
      <w:r>
        <w:t>frequently changed their name before or after service, as they were forced to adopt the surname of their chief before the war and changed it back after service.</w:t>
      </w:r>
      <w:r>
        <w:rPr>
          <w:rStyle w:val="FootnoteReference"/>
        </w:rPr>
        <w:footnoteReference w:id="59"/>
      </w:r>
      <w:r>
        <w:t xml:space="preserve"> However, France still attempted to pay the “blood tax” to former soldiers and eventually extended various citizenship rights to family members of </w:t>
      </w:r>
      <w:r>
        <w:rPr>
          <w:i/>
        </w:rPr>
        <w:t xml:space="preserve">tirailleurs. </w:t>
      </w:r>
      <w:r>
        <w:t xml:space="preserve">France continued to pay military pensions after African colonies gained independence, perpetuating the link between the colonizer and colonized. </w:t>
      </w:r>
    </w:p>
    <w:p w14:paraId="6505B212" w14:textId="2A102C23" w:rsidR="00AF16A8" w:rsidRDefault="00AF16A8" w:rsidP="009025F4">
      <w:pPr>
        <w:spacing w:after="0" w:line="480" w:lineRule="auto"/>
        <w:ind w:firstLine="720"/>
        <w:jc w:val="both"/>
      </w:pPr>
      <w:r>
        <w:t xml:space="preserve">After fighting for the survival of the French </w:t>
      </w:r>
      <w:r w:rsidR="003D0E55">
        <w:t>republic</w:t>
      </w:r>
      <w:r>
        <w:t>, soldiers began to demand “reciprocity, entitlement, and state responsibility.”</w:t>
      </w:r>
      <w:r>
        <w:rPr>
          <w:rStyle w:val="FootnoteReference"/>
        </w:rPr>
        <w:footnoteReference w:id="60"/>
      </w:r>
      <w:r>
        <w:t xml:space="preserve"> They often used their military uniforms as a way to outwardly illustrate their power and status within the community</w:t>
      </w:r>
      <w:r w:rsidRPr="00D13DC4">
        <w:t>.</w:t>
      </w:r>
      <w:r w:rsidRPr="00D13DC4">
        <w:rPr>
          <w:b/>
        </w:rPr>
        <w:t xml:space="preserve"> </w:t>
      </w:r>
      <w:r w:rsidRPr="00D13DC4">
        <w:t xml:space="preserve">This increase in privilege within the French </w:t>
      </w:r>
      <w:r w:rsidR="003D0E55">
        <w:t>empire</w:t>
      </w:r>
      <w:r w:rsidRPr="00D13DC4">
        <w:t xml:space="preserve"> may have motivated soldiers to become politically active in advocating for rights as citizens under colonialism and pushing for independence during the formation of the French Union. However, </w:t>
      </w:r>
      <w:r>
        <w:t xml:space="preserve">historian </w:t>
      </w:r>
      <w:r w:rsidRPr="00D13DC4">
        <w:t xml:space="preserve">Gregory Mann claims that the evidence for soldiers fighting for independence is “rarely substantiated,” </w:t>
      </w:r>
      <w:r w:rsidR="003D0E55">
        <w:t xml:space="preserve">and </w:t>
      </w:r>
      <w:r w:rsidRPr="00D13DC4">
        <w:t>rather “political independence arose from the intersection of variety of factors most of which</w:t>
      </w:r>
      <w:r>
        <w:t xml:space="preserve"> were beyond veteran</w:t>
      </w:r>
      <w:r w:rsidRPr="00D13DC4">
        <w:t>s</w:t>
      </w:r>
      <w:r>
        <w:t>’</w:t>
      </w:r>
      <w:r w:rsidRPr="00D13DC4">
        <w:t xml:space="preserve"> control</w:t>
      </w:r>
      <w:r>
        <w:t>.”</w:t>
      </w:r>
      <w:r w:rsidRPr="00960566">
        <w:rPr>
          <w:rStyle w:val="FootnoteReference"/>
        </w:rPr>
        <w:t xml:space="preserve"> </w:t>
      </w:r>
      <w:r w:rsidRPr="00D13DC4">
        <w:rPr>
          <w:rStyle w:val="FootnoteReference"/>
        </w:rPr>
        <w:footnoteReference w:id="61"/>
      </w:r>
      <w:r>
        <w:t xml:space="preserve"> Veterans did engage in obtaining the privileges from serving in the French military, mostly material benefits through soldier pensions. This political activism often led to increased access to services and other rights, even though </w:t>
      </w:r>
      <w:r>
        <w:rPr>
          <w:i/>
        </w:rPr>
        <w:t xml:space="preserve">tirailleurs </w:t>
      </w:r>
      <w:r>
        <w:t xml:space="preserve">were often grouped with the </w:t>
      </w:r>
      <w:r>
        <w:rPr>
          <w:i/>
        </w:rPr>
        <w:t>sujets.</w:t>
      </w:r>
      <w:r>
        <w:t xml:space="preserve"> </w:t>
      </w:r>
      <w:r w:rsidRPr="00D13DC4">
        <w:t xml:space="preserve">Regardless of their role in the independence movements, </w:t>
      </w:r>
      <w:r w:rsidRPr="00D13DC4">
        <w:rPr>
          <w:i/>
        </w:rPr>
        <w:t xml:space="preserve">tirailleurs </w:t>
      </w:r>
      <w:r w:rsidRPr="00D13DC4">
        <w:t>represented a unique part</w:t>
      </w:r>
      <w:r>
        <w:t xml:space="preserve"> of French-African society, which </w:t>
      </w:r>
      <w:r w:rsidRPr="00D13DC4">
        <w:t xml:space="preserve">allotted </w:t>
      </w:r>
      <w:r>
        <w:t xml:space="preserve">them </w:t>
      </w:r>
      <w:r w:rsidRPr="00D13DC4">
        <w:t>certain privileges and prestige because of their service to maintaining greater France.</w:t>
      </w:r>
      <w:r>
        <w:t xml:space="preserve"> </w:t>
      </w:r>
    </w:p>
    <w:p w14:paraId="3330ECFF" w14:textId="77777777" w:rsidR="009025F4" w:rsidRPr="009025F4" w:rsidRDefault="009025F4" w:rsidP="009025F4">
      <w:pPr>
        <w:spacing w:after="0" w:line="480" w:lineRule="auto"/>
        <w:ind w:firstLine="720"/>
        <w:jc w:val="both"/>
      </w:pPr>
    </w:p>
    <w:p w14:paraId="268D3F99" w14:textId="77777777" w:rsidR="00AF16A8" w:rsidRDefault="00AF16A8" w:rsidP="00AF16A8">
      <w:pPr>
        <w:spacing w:after="0" w:line="480" w:lineRule="auto"/>
        <w:jc w:val="center"/>
        <w:rPr>
          <w:i/>
        </w:rPr>
      </w:pPr>
      <w:r>
        <w:rPr>
          <w:i/>
        </w:rPr>
        <w:t>Originaires</w:t>
      </w:r>
    </w:p>
    <w:p w14:paraId="13CD8902" w14:textId="7EF66BCF" w:rsidR="00AF16A8" w:rsidRDefault="00AF16A8" w:rsidP="004A1BEE">
      <w:pPr>
        <w:spacing w:after="0" w:line="480" w:lineRule="auto"/>
        <w:ind w:firstLine="720"/>
        <w:jc w:val="both"/>
        <w:rPr>
          <w:i/>
        </w:rPr>
      </w:pPr>
      <w:r w:rsidRPr="00D72708">
        <w:t xml:space="preserve">As briefly alluded above, </w:t>
      </w:r>
      <w:r w:rsidRPr="00D72708">
        <w:rPr>
          <w:i/>
        </w:rPr>
        <w:t>originaires</w:t>
      </w:r>
      <w:r w:rsidRPr="00D72708">
        <w:t xml:space="preserve"> </w:t>
      </w:r>
      <w:r w:rsidR="003D0E55">
        <w:t>occupied a unique space</w:t>
      </w:r>
      <w:r w:rsidRPr="00D72708">
        <w:t xml:space="preserve"> within the French colonial system. </w:t>
      </w:r>
      <w:r w:rsidRPr="00D72708">
        <w:rPr>
          <w:i/>
        </w:rPr>
        <w:t xml:space="preserve">Originaires </w:t>
      </w:r>
      <w:r w:rsidRPr="00D72708">
        <w:t xml:space="preserve">belonged to the </w:t>
      </w:r>
      <w:r>
        <w:t>Four</w:t>
      </w:r>
      <w:r w:rsidRPr="00D72708">
        <w:t xml:space="preserve"> Communes of Senegal</w:t>
      </w:r>
      <w:r w:rsidRPr="00D72708">
        <w:sym w:font="Symbol" w:char="F0BE"/>
      </w:r>
      <w:r w:rsidRPr="00D72708">
        <w:t>Dakar, Saint Louis, Rufisque, and Gorée</w:t>
      </w:r>
      <w:r w:rsidRPr="00D72708">
        <w:sym w:font="Symbol" w:char="F0BE"/>
      </w:r>
      <w:r w:rsidRPr="00D72708">
        <w:t>and were granted French citizenship in 1848. At this same time, residents in the old colonies in the Caribbean and South America ended slavery and also gained citizenship in the French Empire</w:t>
      </w:r>
      <w:r>
        <w:t xml:space="preserve">, </w:t>
      </w:r>
      <w:r w:rsidRPr="00D72708">
        <w:t>most of which are still overseas departments.</w:t>
      </w:r>
      <w:r>
        <w:t xml:space="preserve"> Unlike </w:t>
      </w:r>
      <w:r w:rsidR="003D0E55">
        <w:t>later Africans granted French citizenship,</w:t>
      </w:r>
      <w:r>
        <w:t xml:space="preserve"> who were required to renounce their personal status, </w:t>
      </w:r>
      <w:r>
        <w:rPr>
          <w:i/>
        </w:rPr>
        <w:t xml:space="preserve">originaires </w:t>
      </w:r>
      <w:r>
        <w:t xml:space="preserve">had “the rights of the citizen, including the rights to vote, while keeping their personal and family affairs under the jurisdiction of Islamic courts” and are sometimes referred to as </w:t>
      </w:r>
      <w:r>
        <w:rPr>
          <w:i/>
        </w:rPr>
        <w:t xml:space="preserve">citoyenneté dans le statut </w:t>
      </w:r>
      <w:r w:rsidRPr="005F7A56">
        <w:t>(</w:t>
      </w:r>
      <w:r w:rsidRPr="008A2581">
        <w:t>citizenship status</w:t>
      </w:r>
      <w:r>
        <w:t>)</w:t>
      </w:r>
      <w:r>
        <w:rPr>
          <w:i/>
        </w:rPr>
        <w:t>.</w:t>
      </w:r>
      <w:r>
        <w:rPr>
          <w:rStyle w:val="FootnoteReference"/>
          <w:i/>
        </w:rPr>
        <w:footnoteReference w:id="62"/>
      </w:r>
      <w:r>
        <w:rPr>
          <w:i/>
        </w:rPr>
        <w:t xml:space="preserve"> Originaires </w:t>
      </w:r>
      <w:r>
        <w:t>possessed citizenship status nearly 100 years prior to the re</w:t>
      </w:r>
      <w:r w:rsidR="003D0E55">
        <w:t xml:space="preserve">st of the French Empire, which allotted </w:t>
      </w:r>
      <w:r>
        <w:t xml:space="preserve">them special privileges. This status as a citizen of France combined with the ability to remain Muslim was even more extraordinary within the French Empire. </w:t>
      </w:r>
      <w:r>
        <w:rPr>
          <w:i/>
        </w:rPr>
        <w:t xml:space="preserve">Originaires </w:t>
      </w:r>
      <w:r>
        <w:t xml:space="preserve">could continue to practice polygamy and abide by their inheritance laws but also be politically active </w:t>
      </w:r>
      <w:r w:rsidR="003D0E55">
        <w:t>in the Four Communes</w:t>
      </w:r>
      <w:r>
        <w:t xml:space="preserve">. They were not under the jurisdiction of the discriminatory </w:t>
      </w:r>
      <w:r>
        <w:rPr>
          <w:i/>
        </w:rPr>
        <w:t>indigé</w:t>
      </w:r>
      <w:r w:rsidRPr="00CC0939">
        <w:rPr>
          <w:i/>
        </w:rPr>
        <w:t>nat</w:t>
      </w:r>
      <w:r>
        <w:rPr>
          <w:i/>
        </w:rPr>
        <w:t xml:space="preserve"> </w:t>
      </w:r>
      <w:r>
        <w:t xml:space="preserve">but rather the French judicial system. </w:t>
      </w:r>
      <w:r>
        <w:rPr>
          <w:i/>
        </w:rPr>
        <w:t xml:space="preserve">Originaires </w:t>
      </w:r>
      <w:r>
        <w:t>“were French politically and economically,” but they maintained their personal status.</w:t>
      </w:r>
      <w:r>
        <w:rPr>
          <w:rStyle w:val="FootnoteReference"/>
        </w:rPr>
        <w:footnoteReference w:id="63"/>
      </w:r>
      <w:r w:rsidR="004A6766">
        <w:t xml:space="preserve"> P</w:t>
      </w:r>
      <w:r>
        <w:t xml:space="preserve">ersonal status would later prove an issue for the </w:t>
      </w:r>
      <w:r>
        <w:rPr>
          <w:i/>
        </w:rPr>
        <w:t xml:space="preserve">évolués </w:t>
      </w:r>
      <w:r>
        <w:t xml:space="preserve">of Algeria and the remaining African </w:t>
      </w:r>
      <w:r>
        <w:rPr>
          <w:i/>
        </w:rPr>
        <w:t xml:space="preserve">sujets </w:t>
      </w:r>
      <w:r>
        <w:t xml:space="preserve">when citizenship was </w:t>
      </w:r>
      <w:r w:rsidR="004A6766">
        <w:t xml:space="preserve">extended </w:t>
      </w:r>
      <w:r>
        <w:t xml:space="preserve">to the entire French Empire in 1946. </w:t>
      </w:r>
    </w:p>
    <w:p w14:paraId="4F0DBC96" w14:textId="153CFFDD" w:rsidR="00AF16A8" w:rsidRPr="00E37263" w:rsidRDefault="00AF16A8" w:rsidP="004A1BEE">
      <w:pPr>
        <w:spacing w:after="0" w:line="480" w:lineRule="auto"/>
        <w:ind w:firstLine="720"/>
        <w:jc w:val="both"/>
      </w:pPr>
      <w:r>
        <w:rPr>
          <w:i/>
        </w:rPr>
        <w:t xml:space="preserve">Originaires </w:t>
      </w:r>
      <w:r>
        <w:t xml:space="preserve">were unique in their ability to demand and gain political rights within the French Empire. Women living in the Four Communes also followed the activist model. </w:t>
      </w:r>
      <w:r w:rsidR="004A6766">
        <w:t>African w</w:t>
      </w:r>
      <w:r>
        <w:t xml:space="preserve">omen did not have </w:t>
      </w:r>
      <w:r>
        <w:rPr>
          <w:i/>
        </w:rPr>
        <w:t xml:space="preserve">originaires </w:t>
      </w:r>
      <w:r>
        <w:t>status because women in France did not have the right to vote until 1945. Although women’s suffrage in France should have implied suffrage in the Four Communes, Senegalese women still had to protest against the Governor General for this specific status and gained citizenship privileges briefly after mainland France.</w:t>
      </w:r>
      <w:r>
        <w:rPr>
          <w:rStyle w:val="FootnoteReference"/>
        </w:rPr>
        <w:footnoteReference w:id="64"/>
      </w:r>
      <w:r>
        <w:t xml:space="preserve"> Female </w:t>
      </w:r>
      <w:r>
        <w:rPr>
          <w:i/>
        </w:rPr>
        <w:t xml:space="preserve">originaires </w:t>
      </w:r>
      <w:r>
        <w:t xml:space="preserve">demanded to have a specific status within the French colonial empire because it solidified their access to political rights and belonging. </w:t>
      </w:r>
    </w:p>
    <w:p w14:paraId="5D089C6F" w14:textId="1FFCCE6F" w:rsidR="00AF16A8" w:rsidRPr="00032C64" w:rsidRDefault="00AF16A8" w:rsidP="00AF16A8">
      <w:pPr>
        <w:pStyle w:val="NormalWeb"/>
        <w:spacing w:before="0" w:beforeAutospacing="0" w:after="0" w:afterAutospacing="0" w:line="480" w:lineRule="auto"/>
        <w:ind w:firstLine="720"/>
        <w:jc w:val="both"/>
        <w:rPr>
          <w:rFonts w:ascii="Times New Roman" w:hAnsi="Times New Roman"/>
          <w:sz w:val="24"/>
          <w:szCs w:val="24"/>
        </w:rPr>
      </w:pPr>
      <w:r w:rsidRPr="00D13DC4">
        <w:rPr>
          <w:rFonts w:ascii="Times New Roman" w:hAnsi="Times New Roman"/>
          <w:sz w:val="24"/>
          <w:szCs w:val="24"/>
        </w:rPr>
        <w:t xml:space="preserve">The </w:t>
      </w:r>
      <w:r w:rsidR="004A6766">
        <w:rPr>
          <w:rFonts w:ascii="Times New Roman" w:hAnsi="Times New Roman"/>
          <w:sz w:val="24"/>
          <w:szCs w:val="24"/>
        </w:rPr>
        <w:t xml:space="preserve">citizens of the </w:t>
      </w:r>
      <w:r w:rsidRPr="00D13DC4">
        <w:rPr>
          <w:rFonts w:ascii="Times New Roman" w:hAnsi="Times New Roman"/>
          <w:sz w:val="24"/>
          <w:szCs w:val="24"/>
        </w:rPr>
        <w:t xml:space="preserve">Four Communes not only possessed unique rights compared to that of interior Senegal, but each city also had a distinct responsibility in the quotidian and long-term operations of the colony </w:t>
      </w:r>
      <w:r w:rsidR="004A6766">
        <w:rPr>
          <w:rFonts w:ascii="Times New Roman" w:hAnsi="Times New Roman"/>
          <w:sz w:val="24"/>
          <w:szCs w:val="24"/>
        </w:rPr>
        <w:t>as well as</w:t>
      </w:r>
      <w:r w:rsidRPr="00D13DC4">
        <w:rPr>
          <w:rFonts w:ascii="Times New Roman" w:hAnsi="Times New Roman"/>
          <w:sz w:val="24"/>
          <w:szCs w:val="24"/>
        </w:rPr>
        <w:t xml:space="preserve"> </w:t>
      </w:r>
      <w:r>
        <w:rPr>
          <w:rFonts w:ascii="Times New Roman" w:hAnsi="Times New Roman"/>
          <w:sz w:val="24"/>
          <w:szCs w:val="24"/>
        </w:rPr>
        <w:t xml:space="preserve">those of </w:t>
      </w:r>
      <w:r w:rsidRPr="00D13DC4">
        <w:rPr>
          <w:rFonts w:ascii="Times New Roman" w:hAnsi="Times New Roman"/>
          <w:sz w:val="24"/>
          <w:szCs w:val="24"/>
        </w:rPr>
        <w:t xml:space="preserve">greater French West Africa. For example, Saint-Louis was the colonial capital city until 1902 and contained the largest population of </w:t>
      </w:r>
      <w:r w:rsidRPr="00D13DC4">
        <w:rPr>
          <w:rFonts w:ascii="Times New Roman" w:hAnsi="Times New Roman"/>
          <w:i/>
          <w:sz w:val="24"/>
          <w:szCs w:val="24"/>
        </w:rPr>
        <w:t>métis</w:t>
      </w:r>
      <w:r w:rsidRPr="00D13DC4">
        <w:rPr>
          <w:rFonts w:ascii="Times New Roman" w:hAnsi="Times New Roman"/>
          <w:sz w:val="24"/>
          <w:szCs w:val="24"/>
        </w:rPr>
        <w:t>, Gorée served as the headquarters for colonial naval operations, Rufisque was the commercial center for the southern markets especially for peanuts due to its proximity to the inland areas growing crops, and Dakar was the administrative powerhouse, containing the Governor General’s palace and administration for all of French West Africa.</w:t>
      </w:r>
      <w:r w:rsidRPr="00D13DC4">
        <w:rPr>
          <w:rStyle w:val="FootnoteReference"/>
          <w:rFonts w:ascii="Times New Roman" w:hAnsi="Times New Roman"/>
          <w:sz w:val="24"/>
          <w:szCs w:val="24"/>
        </w:rPr>
        <w:footnoteReference w:id="65"/>
      </w:r>
      <w:r w:rsidRPr="00D13DC4">
        <w:rPr>
          <w:rFonts w:ascii="Times New Roman" w:hAnsi="Times New Roman"/>
          <w:sz w:val="24"/>
          <w:szCs w:val="24"/>
        </w:rPr>
        <w:t xml:space="preserve"> Furthermore, in terms of geographic location, Saint-Louis was unique as it was a combination of both Islamic culture, influenced primarily by the nearby city of Médine, and the presence of French colonial administrators as well as </w:t>
      </w:r>
      <w:r w:rsidRPr="00D13DC4">
        <w:rPr>
          <w:rFonts w:ascii="Times New Roman" w:hAnsi="Times New Roman"/>
          <w:i/>
          <w:iCs/>
          <w:sz w:val="24"/>
          <w:szCs w:val="24"/>
        </w:rPr>
        <w:t xml:space="preserve">métis </w:t>
      </w:r>
      <w:r w:rsidRPr="00D13DC4">
        <w:rPr>
          <w:rFonts w:ascii="Times New Roman" w:hAnsi="Times New Roman"/>
          <w:sz w:val="24"/>
          <w:szCs w:val="24"/>
        </w:rPr>
        <w:t>traders.</w:t>
      </w:r>
      <w:r w:rsidRPr="00D13DC4">
        <w:rPr>
          <w:rStyle w:val="FootnoteReference"/>
          <w:rFonts w:ascii="Times New Roman" w:hAnsi="Times New Roman"/>
          <w:sz w:val="24"/>
          <w:szCs w:val="24"/>
        </w:rPr>
        <w:footnoteReference w:id="66"/>
      </w:r>
      <w:r w:rsidRPr="00D13DC4">
        <w:rPr>
          <w:rFonts w:ascii="Times New Roman" w:hAnsi="Times New Roman"/>
          <w:sz w:val="24"/>
          <w:szCs w:val="24"/>
        </w:rPr>
        <w:t xml:space="preserve"> Because the Communes underwent urbanization in the late nineteenth century, they maintained an advantage over other African cities and are better adjusted to living communities composed of diverse peoples and backgrounds.</w:t>
      </w:r>
      <w:r w:rsidRPr="00D13DC4">
        <w:rPr>
          <w:rStyle w:val="FootnoteReference"/>
          <w:rFonts w:ascii="Times New Roman" w:hAnsi="Times New Roman"/>
          <w:sz w:val="24"/>
          <w:szCs w:val="24"/>
        </w:rPr>
        <w:footnoteReference w:id="67"/>
      </w:r>
    </w:p>
    <w:p w14:paraId="2E663547" w14:textId="45F08785" w:rsidR="00AF16A8" w:rsidRPr="00C372C5" w:rsidRDefault="00AF16A8" w:rsidP="00AF16A8">
      <w:pPr>
        <w:spacing w:after="0" w:line="480" w:lineRule="auto"/>
        <w:ind w:firstLine="720"/>
        <w:jc w:val="both"/>
        <w:rPr>
          <w:b/>
        </w:rPr>
      </w:pPr>
      <w:r>
        <w:t xml:space="preserve">Because </w:t>
      </w:r>
      <w:r>
        <w:rPr>
          <w:i/>
        </w:rPr>
        <w:t>originaires</w:t>
      </w:r>
      <w:r>
        <w:t xml:space="preserve"> possessed such a unique status, they demanded political representation from one of their own</w:t>
      </w:r>
      <w:r w:rsidR="004A6766">
        <w:t xml:space="preserve">. </w:t>
      </w:r>
      <w:r>
        <w:t xml:space="preserve">Blaise Diagne won the deputy election to the French National Assembly in 1914 becoming the first African to hold such a prestigious position. Diagne was able to secure additional rights for both </w:t>
      </w:r>
      <w:r w:rsidRPr="00F73CE9">
        <w:rPr>
          <w:i/>
        </w:rPr>
        <w:t>originaires</w:t>
      </w:r>
      <w:r>
        <w:t xml:space="preserve"> and Africans. In 1916, he forced the French government to give permission to </w:t>
      </w:r>
      <w:r w:rsidRPr="00F73CE9">
        <w:rPr>
          <w:i/>
        </w:rPr>
        <w:t>originaires</w:t>
      </w:r>
      <w:r>
        <w:t xml:space="preserve"> access to jobs in mainland France.</w:t>
      </w:r>
      <w:r>
        <w:rPr>
          <w:rStyle w:val="FootnoteReference"/>
        </w:rPr>
        <w:footnoteReference w:id="68"/>
      </w:r>
      <w:r>
        <w:t xml:space="preserve"> He also fought to extend citizenship to </w:t>
      </w:r>
      <w:r w:rsidRPr="00F73CE9">
        <w:rPr>
          <w:i/>
        </w:rPr>
        <w:t>originaires’</w:t>
      </w:r>
      <w:r>
        <w:t xml:space="preserve"> descendants living outside of the Four Communes, adding more support for subsequent elections. Diagne had also contributed to the recruitment of </w:t>
      </w:r>
      <w:r>
        <w:rPr>
          <w:i/>
        </w:rPr>
        <w:t xml:space="preserve">tirailleurs </w:t>
      </w:r>
      <w:r>
        <w:t>fighting for the French army, under the notions that they would be rewarded for their services with citizenship and social benefits.</w:t>
      </w:r>
      <w:r>
        <w:rPr>
          <w:rStyle w:val="FootnoteReference"/>
        </w:rPr>
        <w:footnoteReference w:id="69"/>
      </w:r>
      <w:r>
        <w:t xml:space="preserve"> His significance for individual identity is that he believed that “the Senegalese were first of all Frenchmen and only secondarily black men.”</w:t>
      </w:r>
      <w:r>
        <w:rPr>
          <w:rStyle w:val="FootnoteReference"/>
        </w:rPr>
        <w:footnoteReference w:id="70"/>
      </w:r>
    </w:p>
    <w:p w14:paraId="735B2561" w14:textId="77777777" w:rsidR="009025F4" w:rsidRDefault="009025F4" w:rsidP="00AF16A8">
      <w:pPr>
        <w:spacing w:after="0" w:line="480" w:lineRule="auto"/>
        <w:jc w:val="both"/>
        <w:rPr>
          <w:i/>
        </w:rPr>
      </w:pPr>
    </w:p>
    <w:p w14:paraId="5B297AB7" w14:textId="77777777" w:rsidR="00AF16A8" w:rsidRPr="007E6B44" w:rsidRDefault="00AF16A8" w:rsidP="00AF16A8">
      <w:pPr>
        <w:spacing w:after="0" w:line="480" w:lineRule="auto"/>
        <w:jc w:val="center"/>
        <w:rPr>
          <w:i/>
        </w:rPr>
      </w:pPr>
      <w:r>
        <w:rPr>
          <w:i/>
        </w:rPr>
        <w:t>Évolués</w:t>
      </w:r>
    </w:p>
    <w:p w14:paraId="6155A7E7" w14:textId="4B4725AD" w:rsidR="00AF16A8" w:rsidRPr="00B6181D" w:rsidRDefault="00AF16A8" w:rsidP="00AF16A8">
      <w:pPr>
        <w:spacing w:after="0" w:line="480" w:lineRule="auto"/>
        <w:ind w:firstLine="720"/>
        <w:jc w:val="both"/>
        <w:rPr>
          <w:b/>
        </w:rPr>
      </w:pPr>
      <w:r>
        <w:t xml:space="preserve">Differing from </w:t>
      </w:r>
      <w:r w:rsidRPr="00F73CE9">
        <w:rPr>
          <w:i/>
        </w:rPr>
        <w:t xml:space="preserve">originaires </w:t>
      </w:r>
      <w:r>
        <w:t xml:space="preserve">status but still considered as a French citizen, was that of the </w:t>
      </w:r>
      <w:r w:rsidRPr="00CC0939">
        <w:rPr>
          <w:i/>
        </w:rPr>
        <w:t>évolué</w:t>
      </w:r>
      <w:r>
        <w:t xml:space="preserve"> or the </w:t>
      </w:r>
      <w:r w:rsidRPr="00CC0939">
        <w:rPr>
          <w:i/>
        </w:rPr>
        <w:t>assimilé</w:t>
      </w:r>
      <w:r>
        <w:t xml:space="preserve">, who were originally Algerian Muslims that renounced their personal status in order to attain voting rights and trial under French courts. Although this form of citizenship was initially advocated as the most desirable and as a fulfillment of </w:t>
      </w:r>
      <w:r>
        <w:rPr>
          <w:i/>
        </w:rPr>
        <w:t>la mission civilisatrice</w:t>
      </w:r>
      <w:r>
        <w:t xml:space="preserve">, Algerians and other Africans who possessed such title were few and far between. </w:t>
      </w:r>
      <w:r>
        <w:rPr>
          <w:i/>
        </w:rPr>
        <w:t xml:space="preserve">Évolués </w:t>
      </w:r>
      <w:r>
        <w:t>were considered to be the educated African elite because they had frequently been educated in France and, additionally, could prove that they upheld the ideals of French republicanism. If granted such a distinct status, they were incorporated into French institutions in Africa. Such a status was not easily granted; during the period 1937-</w:t>
      </w:r>
      <w:r w:rsidR="004A6766">
        <w:t>1943 only 73 Africans achieved French</w:t>
      </w:r>
      <w:r>
        <w:t xml:space="preserve"> citizenship (out of 276 who applied) through one of two mechanisms, </w:t>
      </w:r>
      <w:r>
        <w:rPr>
          <w:i/>
        </w:rPr>
        <w:t>plein droit (</w:t>
      </w:r>
      <w:r>
        <w:t>full rights)</w:t>
      </w:r>
      <w:r>
        <w:rPr>
          <w:i/>
        </w:rPr>
        <w:t xml:space="preserve"> </w:t>
      </w:r>
      <w:r>
        <w:t xml:space="preserve">or voluntary admission. </w:t>
      </w:r>
      <w:r>
        <w:rPr>
          <w:i/>
        </w:rPr>
        <w:t xml:space="preserve">Plein droit </w:t>
      </w:r>
      <w:r>
        <w:t>was “an entitlement stemming from having won a Legion of Honor or other award or marriage to a French women in certain circumstances,” whereas voluntary admission required proving the qualities that the French administration deemed as assimilated to French society.</w:t>
      </w:r>
      <w:r>
        <w:rPr>
          <w:rStyle w:val="FootnoteReference"/>
        </w:rPr>
        <w:footnoteReference w:id="71"/>
      </w:r>
      <w:r>
        <w:t xml:space="preserve"> </w:t>
      </w:r>
      <w:r>
        <w:rPr>
          <w:i/>
        </w:rPr>
        <w:t xml:space="preserve">Évolués </w:t>
      </w:r>
      <w:r>
        <w:t>status was based on proving one’s identity</w:t>
      </w:r>
      <w:r w:rsidR="004A6766">
        <w:t xml:space="preserve"> as “French” and abiding by </w:t>
      </w:r>
      <w:r>
        <w:t xml:space="preserve">civil requirements consistently and throughout their life. Achieving this status was made increasing difficult as applicants had to prove that their entire family members were also “French,” meaning that they had registered their monogamous marriage and births of children with the </w:t>
      </w:r>
      <w:r>
        <w:rPr>
          <w:i/>
        </w:rPr>
        <w:t xml:space="preserve">état-civil </w:t>
      </w:r>
      <w:r>
        <w:t>and</w:t>
      </w:r>
      <w:r>
        <w:rPr>
          <w:i/>
        </w:rPr>
        <w:t xml:space="preserve"> </w:t>
      </w:r>
      <w:r>
        <w:t>their children were receiving a French education as they happened.</w:t>
      </w:r>
      <w:r>
        <w:rPr>
          <w:rStyle w:val="FootnoteReference"/>
        </w:rPr>
        <w:footnoteReference w:id="72"/>
      </w:r>
      <w:r>
        <w:t xml:space="preserve"> Because of the tedious legal requirements prior to requesting such status, many Africans were denied such a privileged status due to minor infractions.</w:t>
      </w:r>
    </w:p>
    <w:p w14:paraId="2E173890" w14:textId="77777777" w:rsidR="00AF16A8" w:rsidRDefault="00AF16A8" w:rsidP="00AF16A8">
      <w:pPr>
        <w:spacing w:after="0" w:line="480" w:lineRule="auto"/>
        <w:jc w:val="both"/>
        <w:rPr>
          <w:i/>
        </w:rPr>
      </w:pPr>
    </w:p>
    <w:p w14:paraId="4BE1B884" w14:textId="77777777" w:rsidR="00AF16A8" w:rsidRPr="007E6B44" w:rsidRDefault="00AF16A8" w:rsidP="00AF16A8">
      <w:pPr>
        <w:spacing w:after="0" w:line="480" w:lineRule="auto"/>
        <w:jc w:val="center"/>
      </w:pPr>
      <w:r>
        <w:rPr>
          <w:i/>
        </w:rPr>
        <w:t>Métis</w:t>
      </w:r>
    </w:p>
    <w:p w14:paraId="2D706F61" w14:textId="57B4EE6E" w:rsidR="00AF16A8" w:rsidRDefault="00AF16A8" w:rsidP="00AF16A8">
      <w:pPr>
        <w:spacing w:after="0" w:line="480" w:lineRule="auto"/>
        <w:ind w:firstLine="720"/>
        <w:contextualSpacing/>
        <w:jc w:val="both"/>
      </w:pPr>
      <w:r>
        <w:t xml:space="preserve">The last distinct </w:t>
      </w:r>
      <w:r w:rsidRPr="00D13DC4">
        <w:t xml:space="preserve">category among residents in French colonies was that of the </w:t>
      </w:r>
      <w:r w:rsidRPr="00D13DC4">
        <w:rPr>
          <w:i/>
        </w:rPr>
        <w:t>métis</w:t>
      </w:r>
      <w:r w:rsidR="004A6766">
        <w:t xml:space="preserve">, or </w:t>
      </w:r>
      <w:r w:rsidRPr="00D13DC4">
        <w:t>a person of mixed parentage.</w:t>
      </w:r>
      <w:r w:rsidRPr="00D21A19">
        <w:rPr>
          <w:rStyle w:val="FootnoteReference"/>
          <w:i/>
        </w:rPr>
        <w:t xml:space="preserve"> </w:t>
      </w:r>
      <w:r>
        <w:rPr>
          <w:rStyle w:val="FootnoteReference"/>
          <w:i/>
        </w:rPr>
        <w:footnoteReference w:id="73"/>
      </w:r>
      <w:r w:rsidRPr="00D13DC4">
        <w:t xml:space="preserve"> French colonial administrators, because of their need to be close to the African </w:t>
      </w:r>
      <w:r w:rsidRPr="00D13DC4">
        <w:rPr>
          <w:i/>
        </w:rPr>
        <w:t xml:space="preserve">sujets </w:t>
      </w:r>
      <w:r w:rsidRPr="00D13DC4">
        <w:t xml:space="preserve">in order to provide stability and enforce labor, were required to live in French West Africa for several yearlong periods. Oftentimes, these men would marry </w:t>
      </w:r>
      <w:r w:rsidRPr="00D13DC4">
        <w:rPr>
          <w:i/>
        </w:rPr>
        <w:t>signares</w:t>
      </w:r>
      <w:r w:rsidR="004A6766">
        <w:t xml:space="preserve"> (</w:t>
      </w:r>
      <w:r w:rsidRPr="00D13DC4">
        <w:t>elite African women</w:t>
      </w:r>
      <w:r w:rsidR="004A6766">
        <w:t>)</w:t>
      </w:r>
      <w:r w:rsidRPr="00D13DC4">
        <w:t>. Because Frenchwomen were lacking in the colonies, France originally encouraged inter-racial marriages “to produce a more stable community.”</w:t>
      </w:r>
      <w:r w:rsidRPr="00D13DC4">
        <w:rPr>
          <w:rStyle w:val="FootnoteReference"/>
        </w:rPr>
        <w:footnoteReference w:id="74"/>
      </w:r>
      <w:r w:rsidRPr="00D13DC4">
        <w:t xml:space="preserve"> However, these marriages were often not official in terms of Catholic rites and frequently dissolved when men returned to France. The </w:t>
      </w:r>
      <w:r w:rsidRPr="00D13DC4">
        <w:rPr>
          <w:i/>
        </w:rPr>
        <w:t>signares</w:t>
      </w:r>
      <w:r w:rsidRPr="00D13DC4">
        <w:t>, as well as their children, possessed certain privileges in colonial French West Africa including inheritance of property and trade, which provided them with greater economic security and capacity.</w:t>
      </w:r>
      <w:r w:rsidRPr="00D13DC4">
        <w:rPr>
          <w:rStyle w:val="FootnoteReference"/>
        </w:rPr>
        <w:footnoteReference w:id="75"/>
      </w:r>
      <w:r w:rsidRPr="00D13DC4">
        <w:t xml:space="preserve"> Offspring of a Frenchman and a native woman resulted in children of mixed parentage, referred to as </w:t>
      </w:r>
      <w:r w:rsidRPr="00D13DC4">
        <w:rPr>
          <w:i/>
        </w:rPr>
        <w:t xml:space="preserve">métis </w:t>
      </w:r>
      <w:r w:rsidRPr="00D13DC4">
        <w:t>in French</w:t>
      </w:r>
      <w:r w:rsidRPr="00D13DC4">
        <w:rPr>
          <w:i/>
        </w:rPr>
        <w:t xml:space="preserve">. </w:t>
      </w:r>
      <w:r w:rsidRPr="00D13DC4">
        <w:t xml:space="preserve">The status of </w:t>
      </w:r>
      <w:r w:rsidRPr="00D13DC4">
        <w:rPr>
          <w:i/>
        </w:rPr>
        <w:t xml:space="preserve">métis </w:t>
      </w:r>
      <w:r w:rsidRPr="00D13DC4">
        <w:t>was unique because they were considered to be French</w:t>
      </w:r>
      <w:r w:rsidRPr="00D13DC4">
        <w:sym w:font="Symbol" w:char="F0BE"/>
      </w:r>
      <w:r w:rsidRPr="00D13DC4">
        <w:t>unlike the principle of hypodescent of mulattos in the Americas</w:t>
      </w:r>
      <w:r w:rsidRPr="00D13DC4">
        <w:sym w:font="Symbol" w:char="F0BE"/>
      </w:r>
      <w:r w:rsidRPr="00D13DC4">
        <w:t>and were granted French political rights and social benefits at birth.</w:t>
      </w:r>
      <w:r>
        <w:t xml:space="preserve"> </w:t>
      </w:r>
    </w:p>
    <w:p w14:paraId="5956E6CA" w14:textId="77777777" w:rsidR="004A6766" w:rsidRDefault="00AF16A8" w:rsidP="00AF16A8">
      <w:pPr>
        <w:spacing w:after="0" w:line="480" w:lineRule="auto"/>
        <w:ind w:firstLine="720"/>
        <w:jc w:val="both"/>
      </w:pPr>
      <w:r>
        <w:t xml:space="preserve">Because of the presence of French blood, </w:t>
      </w:r>
      <w:r>
        <w:rPr>
          <w:i/>
        </w:rPr>
        <w:t xml:space="preserve">métis </w:t>
      </w:r>
      <w:r>
        <w:t>children were typically educated in the French system. These children, typically born out of wedlock, were a “symbolic threat” for the French Empire as they could demand certain rights based on their French ancestry but were not completely assimilated to the republican ideals of a French citizen and their appearance still resembled those of indigenous Africans.</w:t>
      </w:r>
      <w:r>
        <w:rPr>
          <w:rStyle w:val="FootnoteReference"/>
        </w:rPr>
        <w:footnoteReference w:id="76"/>
      </w:r>
      <w:r>
        <w:t xml:space="preserve"> </w:t>
      </w:r>
      <w:r>
        <w:rPr>
          <w:i/>
        </w:rPr>
        <w:t xml:space="preserve">Métis </w:t>
      </w:r>
      <w:r>
        <w:t xml:space="preserve">were granted full French citizenship, differing from the </w:t>
      </w:r>
      <w:r>
        <w:rPr>
          <w:i/>
        </w:rPr>
        <w:t>originaires</w:t>
      </w:r>
      <w:r>
        <w:t xml:space="preserve"> and </w:t>
      </w:r>
      <w:r>
        <w:rPr>
          <w:i/>
        </w:rPr>
        <w:t xml:space="preserve">évolués </w:t>
      </w:r>
      <w:r>
        <w:t xml:space="preserve">citizenship status, meaning that social services of the French metropole were extended to these, often unclaimed, children. </w:t>
      </w:r>
      <w:r>
        <w:rPr>
          <w:i/>
        </w:rPr>
        <w:t xml:space="preserve">Métis </w:t>
      </w:r>
      <w:r>
        <w:t>did not inherit a unique identity but rather adopted their French citizenship as identity; they belonged to the “poor white” group or the elite natives of French colonies.</w:t>
      </w:r>
      <w:r>
        <w:rPr>
          <w:rStyle w:val="FootnoteReference"/>
        </w:rPr>
        <w:footnoteReference w:id="77"/>
      </w:r>
      <w:r>
        <w:t xml:space="preserve"> They were considered more French in some instances compared to the other </w:t>
      </w:r>
      <w:r w:rsidR="004A6766">
        <w:t xml:space="preserve">colonial </w:t>
      </w:r>
      <w:r>
        <w:t xml:space="preserve">statuses </w:t>
      </w:r>
      <w:r w:rsidR="004A6766">
        <w:t>because of the French blood in their veins</w:t>
      </w:r>
      <w:r>
        <w:t xml:space="preserve">. However, despite the negative association of the </w:t>
      </w:r>
      <w:r>
        <w:rPr>
          <w:i/>
        </w:rPr>
        <w:t xml:space="preserve">métis </w:t>
      </w:r>
      <w:r>
        <w:t>as a representation of unfaithful Frenchmen</w:t>
      </w:r>
      <w:r>
        <w:rPr>
          <w:i/>
        </w:rPr>
        <w:t xml:space="preserve">, </w:t>
      </w:r>
      <w:r>
        <w:t>they were also viewed as an intermediary between France and the colonies since they possessed qualities of “acclimatization, bilingualism, and the ability to command the natives.”</w:t>
      </w:r>
      <w:r>
        <w:rPr>
          <w:rStyle w:val="FootnoteReference"/>
        </w:rPr>
        <w:footnoteReference w:id="78"/>
      </w:r>
      <w:r>
        <w:t xml:space="preserve"> </w:t>
      </w:r>
    </w:p>
    <w:p w14:paraId="4D6DA465" w14:textId="75E0AB6C" w:rsidR="00AF16A8" w:rsidRPr="00C05A1A" w:rsidRDefault="00AF16A8" w:rsidP="00AF16A8">
      <w:pPr>
        <w:spacing w:after="0" w:line="480" w:lineRule="auto"/>
        <w:ind w:firstLine="720"/>
        <w:jc w:val="both"/>
      </w:pPr>
      <w:r>
        <w:rPr>
          <w:i/>
        </w:rPr>
        <w:t xml:space="preserve">Métis </w:t>
      </w:r>
      <w:r>
        <w:t xml:space="preserve">had a unique place within the French colonial system, which provided more privileges and opportunities if they were able to prove their </w:t>
      </w:r>
      <w:r w:rsidRPr="00D13DC4">
        <w:t xml:space="preserve">French heritage. This intermediary position and dual identity resulted in an elite status that allowed and encouraged </w:t>
      </w:r>
      <w:r w:rsidRPr="00D13DC4">
        <w:rPr>
          <w:i/>
        </w:rPr>
        <w:t xml:space="preserve">métis </w:t>
      </w:r>
      <w:r w:rsidRPr="00D13DC4">
        <w:t>to serve in positions of power, such as lower administrative positions and eventually mayors of the Communes and deputies representing Senegal to the French National Assembly.</w:t>
      </w:r>
      <w:r w:rsidRPr="00D13DC4">
        <w:rPr>
          <w:rStyle w:val="FootnoteReference"/>
        </w:rPr>
        <w:footnoteReference w:id="79"/>
      </w:r>
      <w:r w:rsidRPr="00D13DC4">
        <w:t xml:space="preserve"> Although </w:t>
      </w:r>
      <w:r w:rsidRPr="00D13DC4">
        <w:rPr>
          <w:i/>
        </w:rPr>
        <w:t xml:space="preserve">métis </w:t>
      </w:r>
      <w:r w:rsidRPr="00D13DC4">
        <w:t xml:space="preserve">could be recognized as French </w:t>
      </w:r>
      <w:r w:rsidRPr="00D13DC4">
        <w:rPr>
          <w:i/>
        </w:rPr>
        <w:t>jus soli</w:t>
      </w:r>
      <w:r w:rsidRPr="00D13DC4">
        <w:t>, “colonial soil did not have the same power as metropolitan soil to confer nationality,” and they were still distinguished from colonial citizens and French nationals.</w:t>
      </w:r>
      <w:r w:rsidRPr="00D13DC4">
        <w:rPr>
          <w:rStyle w:val="FootnoteReference"/>
        </w:rPr>
        <w:footnoteReference w:id="80"/>
      </w:r>
      <w:r>
        <w:rPr>
          <w:b/>
        </w:rPr>
        <w:t xml:space="preserve"> </w:t>
      </w:r>
    </w:p>
    <w:p w14:paraId="010821CE" w14:textId="2167489C" w:rsidR="009025F4" w:rsidRDefault="00AF16A8" w:rsidP="00127EC1">
      <w:pPr>
        <w:pStyle w:val="NormalWeb"/>
        <w:spacing w:before="0" w:beforeAutospacing="0" w:after="0" w:afterAutospacing="0" w:line="480" w:lineRule="auto"/>
        <w:ind w:firstLine="720"/>
        <w:jc w:val="both"/>
        <w:rPr>
          <w:rFonts w:ascii="Times New Roman" w:hAnsi="Times New Roman"/>
          <w:sz w:val="24"/>
          <w:szCs w:val="24"/>
        </w:rPr>
      </w:pPr>
      <w:r>
        <w:rPr>
          <w:rFonts w:ascii="Times New Roman" w:hAnsi="Times New Roman"/>
          <w:sz w:val="24"/>
          <w:szCs w:val="24"/>
        </w:rPr>
        <w:t>Based on the citizenship status one possessed in the French colony, one had varying access to education, political representation, and overall social services. Those who were seen as “more French” possessed better access and more equality with French citizens. The people who were “most French” include: “</w:t>
      </w:r>
      <w:r w:rsidRPr="005D73FF">
        <w:rPr>
          <w:rFonts w:ascii="Times New Roman" w:hAnsi="Times New Roman"/>
          <w:sz w:val="24"/>
          <w:szCs w:val="24"/>
        </w:rPr>
        <w:t xml:space="preserve">métis, </w:t>
      </w:r>
      <w:r w:rsidRPr="005D73FF">
        <w:rPr>
          <w:rFonts w:ascii="Times New Roman" w:hAnsi="Times New Roman"/>
          <w:i/>
          <w:iCs/>
          <w:sz w:val="24"/>
          <w:szCs w:val="24"/>
        </w:rPr>
        <w:t xml:space="preserve">originaires </w:t>
      </w:r>
      <w:r w:rsidRPr="005D73FF">
        <w:rPr>
          <w:rFonts w:ascii="Times New Roman" w:hAnsi="Times New Roman"/>
          <w:sz w:val="24"/>
          <w:szCs w:val="24"/>
        </w:rPr>
        <w:t>of the Quatre Communes, civil servants in State Services, former soldiers, Malians who had renounced their personal status and chosen to come under the French civil code</w:t>
      </w:r>
      <w:r>
        <w:rPr>
          <w:rFonts w:ascii="Times New Roman" w:hAnsi="Times New Roman"/>
          <w:sz w:val="24"/>
          <w:szCs w:val="24"/>
        </w:rPr>
        <w:t>.</w:t>
      </w:r>
      <w:r w:rsidRPr="005D73FF">
        <w:rPr>
          <w:rFonts w:ascii="Times New Roman" w:hAnsi="Times New Roman"/>
          <w:sz w:val="24"/>
          <w:szCs w:val="24"/>
        </w:rPr>
        <w:t>"</w:t>
      </w:r>
      <w:r>
        <w:rPr>
          <w:rStyle w:val="FootnoteReference"/>
          <w:rFonts w:ascii="Times New Roman" w:hAnsi="Times New Roman"/>
          <w:sz w:val="24"/>
          <w:szCs w:val="24"/>
        </w:rPr>
        <w:footnoteReference w:id="81"/>
      </w:r>
      <w:r>
        <w:rPr>
          <w:rFonts w:ascii="Times New Roman" w:hAnsi="Times New Roman"/>
          <w:sz w:val="24"/>
          <w:szCs w:val="24"/>
        </w:rPr>
        <w:t xml:space="preserve"> Civil servants were often prestigious Africans, such as chiefs, who advanced through the French administration to concede to policies of </w:t>
      </w:r>
      <w:r w:rsidRPr="00E35C27">
        <w:rPr>
          <w:rFonts w:ascii="Times New Roman" w:hAnsi="Times New Roman"/>
          <w:i/>
          <w:sz w:val="24"/>
          <w:szCs w:val="24"/>
        </w:rPr>
        <w:t>association</w:t>
      </w:r>
      <w:r>
        <w:rPr>
          <w:rFonts w:ascii="Times New Roman" w:hAnsi="Times New Roman"/>
          <w:sz w:val="24"/>
          <w:szCs w:val="24"/>
        </w:rPr>
        <w:t xml:space="preserve"> and the fulfillment of </w:t>
      </w:r>
      <w:r w:rsidRPr="00E35C27">
        <w:rPr>
          <w:rFonts w:ascii="Times New Roman" w:hAnsi="Times New Roman"/>
          <w:i/>
          <w:sz w:val="24"/>
          <w:szCs w:val="24"/>
        </w:rPr>
        <w:t>assimilation</w:t>
      </w:r>
      <w:r>
        <w:rPr>
          <w:rFonts w:ascii="Times New Roman" w:hAnsi="Times New Roman"/>
          <w:sz w:val="24"/>
          <w:szCs w:val="24"/>
        </w:rPr>
        <w:t>.</w:t>
      </w:r>
      <w:r>
        <w:rPr>
          <w:rFonts w:ascii="Times New Roman" w:hAnsi="Times New Roman"/>
          <w:b/>
          <w:sz w:val="24"/>
          <w:szCs w:val="24"/>
        </w:rPr>
        <w:t xml:space="preserve"> </w:t>
      </w:r>
      <w:r w:rsidRPr="00A120AE">
        <w:rPr>
          <w:rFonts w:ascii="Times New Roman" w:hAnsi="Times New Roman"/>
          <w:sz w:val="24"/>
          <w:szCs w:val="24"/>
        </w:rPr>
        <w:t xml:space="preserve">This discrimination based on personal status furthered the unequal access of the benefits of French society, such as education and health care. </w:t>
      </w:r>
      <w:r>
        <w:rPr>
          <w:rFonts w:ascii="Times New Roman" w:hAnsi="Times New Roman"/>
          <w:sz w:val="24"/>
          <w:szCs w:val="24"/>
        </w:rPr>
        <w:t xml:space="preserve">Because this discrimination unequally favored the citizens of the Four Communes, Senegal illustrates how France has continued relations into the present with the Senegalese because a majority of its citizens are “most French” compared to other African nations. </w:t>
      </w:r>
    </w:p>
    <w:p w14:paraId="6ED824E7" w14:textId="77777777" w:rsidR="009025F4" w:rsidRDefault="009025F4" w:rsidP="009025F4">
      <w:pPr>
        <w:pStyle w:val="NormalWeb"/>
        <w:spacing w:before="0" w:beforeAutospacing="0" w:after="0" w:afterAutospacing="0" w:line="480" w:lineRule="auto"/>
        <w:rPr>
          <w:rFonts w:ascii="Times New Roman" w:hAnsi="Times New Roman"/>
          <w:sz w:val="24"/>
          <w:szCs w:val="24"/>
        </w:rPr>
      </w:pPr>
    </w:p>
    <w:p w14:paraId="07B37A25" w14:textId="77777777" w:rsidR="00AF16A8" w:rsidRPr="00D21A19" w:rsidRDefault="00AF16A8" w:rsidP="00AF16A8">
      <w:pPr>
        <w:pStyle w:val="NormalWeb"/>
        <w:spacing w:before="0" w:beforeAutospacing="0" w:after="0" w:afterAutospacing="0" w:line="480" w:lineRule="auto"/>
        <w:jc w:val="center"/>
        <w:rPr>
          <w:rFonts w:ascii="Times New Roman" w:hAnsi="Times New Roman"/>
          <w:b/>
          <w:sz w:val="24"/>
          <w:szCs w:val="24"/>
        </w:rPr>
      </w:pPr>
      <w:r>
        <w:rPr>
          <w:rFonts w:ascii="Times New Roman" w:hAnsi="Times New Roman"/>
          <w:b/>
          <w:sz w:val="24"/>
          <w:szCs w:val="24"/>
        </w:rPr>
        <w:t>Identity at the Regional L</w:t>
      </w:r>
      <w:r w:rsidRPr="00D21A19">
        <w:rPr>
          <w:rFonts w:ascii="Times New Roman" w:hAnsi="Times New Roman"/>
          <w:b/>
          <w:sz w:val="24"/>
          <w:szCs w:val="24"/>
        </w:rPr>
        <w:t>evel</w:t>
      </w:r>
    </w:p>
    <w:p w14:paraId="0B618CF3" w14:textId="4DBE6096" w:rsidR="00AF16A8" w:rsidRDefault="004A6766" w:rsidP="00AF16A8">
      <w:pPr>
        <w:pStyle w:val="NormalWeb"/>
        <w:spacing w:before="0" w:beforeAutospacing="0" w:after="0" w:afterAutospacing="0" w:line="480" w:lineRule="auto"/>
        <w:ind w:firstLine="720"/>
        <w:jc w:val="both"/>
        <w:rPr>
          <w:rFonts w:ascii="Times New Roman" w:hAnsi="Times New Roman"/>
          <w:sz w:val="24"/>
          <w:szCs w:val="24"/>
        </w:rPr>
      </w:pPr>
      <w:r>
        <w:rPr>
          <w:rFonts w:ascii="Times New Roman" w:hAnsi="Times New Roman"/>
          <w:sz w:val="24"/>
          <w:szCs w:val="24"/>
        </w:rPr>
        <w:t>At the</w:t>
      </w:r>
      <w:r w:rsidR="00AF16A8">
        <w:rPr>
          <w:rFonts w:ascii="Times New Roman" w:hAnsi="Times New Roman"/>
          <w:sz w:val="24"/>
          <w:szCs w:val="24"/>
        </w:rPr>
        <w:t xml:space="preserve"> “state” level, France categorized colonial regions in unique ways, ranging from department to League of Nations mandate (UN trust territory) to protectorate to a full-fledged colony. Regional level identity is important, primarily because territorial borders are similar to state borders today, which encompasses the individuals residing within each region. Each category received resources according to their “Frenchness,” with Algeria receiving more than others as it contained the largest number of French/European settlers. Based on the regional status, France had varying levels of authority, as will be made clear in the discussion of protectorates. This level of authority is significant because it help French settlers to establish a rule of law and French culture within respective regions. </w:t>
      </w:r>
    </w:p>
    <w:p w14:paraId="3868FFE6" w14:textId="77777777" w:rsidR="00AF16A8" w:rsidRDefault="00AF16A8" w:rsidP="00AF16A8">
      <w:pPr>
        <w:pStyle w:val="NormalWeb"/>
        <w:spacing w:before="0" w:beforeAutospacing="0" w:after="0" w:afterAutospacing="0" w:line="480" w:lineRule="auto"/>
        <w:ind w:firstLine="720"/>
        <w:jc w:val="both"/>
        <w:rPr>
          <w:rFonts w:ascii="Times New Roman" w:hAnsi="Times New Roman"/>
          <w:sz w:val="24"/>
          <w:szCs w:val="24"/>
        </w:rPr>
      </w:pPr>
    </w:p>
    <w:p w14:paraId="2F2DE82F" w14:textId="77777777" w:rsidR="00AF16A8" w:rsidRPr="00282097" w:rsidRDefault="00AF16A8" w:rsidP="00AF16A8">
      <w:pPr>
        <w:pStyle w:val="NormalWeb"/>
        <w:spacing w:before="0" w:beforeAutospacing="0" w:after="0" w:afterAutospacing="0" w:line="480" w:lineRule="auto"/>
        <w:jc w:val="center"/>
        <w:rPr>
          <w:rFonts w:ascii="Times New Roman" w:hAnsi="Times New Roman"/>
          <w:sz w:val="24"/>
          <w:szCs w:val="24"/>
        </w:rPr>
      </w:pPr>
      <w:r>
        <w:rPr>
          <w:rFonts w:ascii="Times New Roman" w:hAnsi="Times New Roman"/>
          <w:i/>
          <w:sz w:val="24"/>
          <w:szCs w:val="24"/>
        </w:rPr>
        <w:t xml:space="preserve">Department </w:t>
      </w:r>
    </w:p>
    <w:p w14:paraId="0F310D72" w14:textId="6FC7A24D" w:rsidR="00AF16A8" w:rsidRDefault="00AF16A8" w:rsidP="004A1BEE">
      <w:pPr>
        <w:spacing w:after="0" w:line="480" w:lineRule="auto"/>
        <w:ind w:firstLine="720"/>
        <w:jc w:val="both"/>
        <w:rPr>
          <w:b/>
        </w:rPr>
      </w:pPr>
      <w:r>
        <w:t xml:space="preserve">Officially colonized in 1832, Algeria became a part of France and was considered a department (although overseas) of the Empire in the same way that Paris and Rhône are departments within the territorial borders of European France. The </w:t>
      </w:r>
      <w:r w:rsidRPr="00DD4B05">
        <w:rPr>
          <w:i/>
        </w:rPr>
        <w:t>colons</w:t>
      </w:r>
      <w:r>
        <w:t xml:space="preserve"> or </w:t>
      </w:r>
      <w:r w:rsidRPr="00DD4B05">
        <w:rPr>
          <w:i/>
        </w:rPr>
        <w:t>pieds</w:t>
      </w:r>
      <w:r>
        <w:t>-</w:t>
      </w:r>
      <w:r w:rsidRPr="00DD4B05">
        <w:rPr>
          <w:i/>
        </w:rPr>
        <w:t>noirs</w:t>
      </w:r>
      <w:r>
        <w:t>,</w:t>
      </w:r>
      <w:r w:rsidRPr="00DD4B05">
        <w:t xml:space="preserve"> </w:t>
      </w:r>
      <w:r>
        <w:t xml:space="preserve">who were of French descent but immigrated to Algeria or were born in the department to French parents, living in Algeria furthered the unique status of the department because local Algerians had frequent interactions with French citizens. </w:t>
      </w:r>
      <w:r>
        <w:rPr>
          <w:i/>
        </w:rPr>
        <w:t xml:space="preserve">Colons </w:t>
      </w:r>
      <w:r>
        <w:t xml:space="preserve">had French citizenship, although some had never stepped foot on </w:t>
      </w:r>
      <w:r w:rsidR="004A6766">
        <w:t>French</w:t>
      </w:r>
      <w:r>
        <w:t xml:space="preserve"> soil</w:t>
      </w:r>
      <w:r w:rsidR="004A6766">
        <w:t xml:space="preserve"> in continental Europe</w:t>
      </w:r>
      <w:r>
        <w:t xml:space="preserve">. This was not considered odd because Algeria was an overseas department and therefore a part of France. There were just over 1 million </w:t>
      </w:r>
      <w:r>
        <w:rPr>
          <w:i/>
        </w:rPr>
        <w:t xml:space="preserve">colons </w:t>
      </w:r>
      <w:r>
        <w:t>living in Algeria at the time of independence, compared to nearly 12 million Algerians.</w:t>
      </w:r>
      <w:r>
        <w:rPr>
          <w:b/>
        </w:rPr>
        <w:t xml:space="preserve"> </w:t>
      </w:r>
    </w:p>
    <w:p w14:paraId="67DD94FF" w14:textId="77777777" w:rsidR="00AF16A8" w:rsidRDefault="00AF16A8" w:rsidP="004A1BEE">
      <w:pPr>
        <w:spacing w:after="0" w:line="480" w:lineRule="auto"/>
        <w:ind w:firstLine="720"/>
        <w:jc w:val="both"/>
      </w:pPr>
      <w:r>
        <w:t xml:space="preserve">On May 8, 1945, several Algerians erupted in protest in what became known as the Masscre de Sétif, where </w:t>
      </w:r>
      <w:r>
        <w:rPr>
          <w:i/>
        </w:rPr>
        <w:t xml:space="preserve">pieds-noirs </w:t>
      </w:r>
      <w:r>
        <w:t>(European settlers) were killed, and the French army retaliated by killing Muslim Algerians. The close integration and favoritism towards Algeria meant that President de Gaulle was unwilling to lose an integral part of France. Violence was manifested in war (1958-1962), which resulted in Algerians fighting and taking independence by force rather than declaration. This gruesome and bloody war has stained—especially due to the mass disappearances and torture of Algerians—French relations with Algeria since its resolve with the Evian accords in 1962.</w:t>
      </w:r>
      <w:r>
        <w:rPr>
          <w:rStyle w:val="FootnoteReference"/>
        </w:rPr>
        <w:footnoteReference w:id="82"/>
      </w:r>
      <w:r>
        <w:t xml:space="preserve"> Despite the special colonial status, Algeria has not succumbed to French influence in the present. </w:t>
      </w:r>
    </w:p>
    <w:p w14:paraId="3AA9D886" w14:textId="77777777" w:rsidR="00AF16A8" w:rsidRDefault="00AF16A8" w:rsidP="00AF16A8">
      <w:pPr>
        <w:pStyle w:val="NormalWeb"/>
        <w:spacing w:before="0" w:beforeAutospacing="0" w:after="0" w:afterAutospacing="0" w:line="480" w:lineRule="auto"/>
        <w:jc w:val="both"/>
        <w:rPr>
          <w:rFonts w:ascii="Times New Roman" w:hAnsi="Times New Roman"/>
          <w:i/>
          <w:sz w:val="24"/>
          <w:szCs w:val="24"/>
        </w:rPr>
      </w:pPr>
    </w:p>
    <w:p w14:paraId="20E45703" w14:textId="77777777" w:rsidR="00AF16A8" w:rsidRPr="00B25FD2" w:rsidRDefault="00AF16A8" w:rsidP="00AF16A8">
      <w:pPr>
        <w:pStyle w:val="NormalWeb"/>
        <w:spacing w:before="0" w:beforeAutospacing="0" w:after="0" w:afterAutospacing="0" w:line="480" w:lineRule="auto"/>
        <w:jc w:val="center"/>
        <w:rPr>
          <w:rFonts w:ascii="Times New Roman" w:hAnsi="Times New Roman"/>
          <w:i/>
          <w:sz w:val="24"/>
          <w:szCs w:val="24"/>
        </w:rPr>
      </w:pPr>
      <w:r>
        <w:rPr>
          <w:rFonts w:ascii="Times New Roman" w:hAnsi="Times New Roman"/>
          <w:i/>
          <w:sz w:val="24"/>
          <w:szCs w:val="24"/>
        </w:rPr>
        <w:t xml:space="preserve">Protectorates </w:t>
      </w:r>
    </w:p>
    <w:p w14:paraId="72EAC8C2" w14:textId="77777777" w:rsidR="00AF16A8" w:rsidRDefault="00AF16A8" w:rsidP="00AF16A8">
      <w:pPr>
        <w:pStyle w:val="NormalWeb"/>
        <w:spacing w:before="0" w:beforeAutospacing="0" w:after="0" w:afterAutospacing="0" w:line="480" w:lineRule="auto"/>
        <w:ind w:firstLine="720"/>
        <w:jc w:val="both"/>
        <w:rPr>
          <w:rFonts w:ascii="Times New Roman" w:hAnsi="Times New Roman"/>
          <w:sz w:val="24"/>
          <w:szCs w:val="24"/>
        </w:rPr>
      </w:pPr>
      <w:r>
        <w:rPr>
          <w:rFonts w:ascii="Times New Roman" w:hAnsi="Times New Roman"/>
          <w:sz w:val="24"/>
          <w:szCs w:val="24"/>
        </w:rPr>
        <w:t>Protectorates</w:t>
      </w:r>
      <w:r>
        <w:rPr>
          <w:rFonts w:ascii="Times New Roman" w:hAnsi="Times New Roman"/>
          <w:sz w:val="24"/>
          <w:szCs w:val="24"/>
        </w:rPr>
        <w:sym w:font="Symbol" w:char="F0BE"/>
      </w:r>
      <w:r>
        <w:rPr>
          <w:rFonts w:ascii="Times New Roman" w:hAnsi="Times New Roman"/>
          <w:sz w:val="24"/>
          <w:szCs w:val="24"/>
        </w:rPr>
        <w:t>Morocco and Tunisia</w:t>
      </w:r>
      <w:r>
        <w:rPr>
          <w:rFonts w:ascii="Times New Roman" w:hAnsi="Times New Roman"/>
          <w:sz w:val="24"/>
          <w:szCs w:val="24"/>
        </w:rPr>
        <w:sym w:font="Symbol" w:char="F0BE"/>
      </w:r>
      <w:r>
        <w:rPr>
          <w:rFonts w:ascii="Times New Roman" w:hAnsi="Times New Roman"/>
          <w:sz w:val="24"/>
          <w:szCs w:val="24"/>
        </w:rPr>
        <w:t>were autonomous under French rule as both countries were under the jurisdiction of legitimate authorities, the Sultan of Morocco and the Bey of Tunis. Tunisia was conquered in 1881, whereas Morocco maintained its de facto independence until 1912. In some instances, previous rulers were allowed to maintain various levels of control and administration in exchange for taxes and labor to France.</w:t>
      </w:r>
      <w:r>
        <w:rPr>
          <w:rStyle w:val="FootnoteReference"/>
          <w:rFonts w:ascii="Times New Roman" w:hAnsi="Times New Roman"/>
          <w:sz w:val="24"/>
          <w:szCs w:val="24"/>
        </w:rPr>
        <w:footnoteReference w:id="83"/>
      </w:r>
      <w:r>
        <w:rPr>
          <w:rFonts w:ascii="Times New Roman" w:hAnsi="Times New Roman"/>
          <w:sz w:val="24"/>
          <w:szCs w:val="24"/>
        </w:rPr>
        <w:t xml:space="preserve"> Because of the protectorates’ experience in limited self-rule, France quickly granted independence for Morocco and Tunisia. The positive experience of decolonization in the protectorates has contributed to good relations with France today. </w:t>
      </w:r>
    </w:p>
    <w:p w14:paraId="34249CEF" w14:textId="77777777" w:rsidR="00AF16A8" w:rsidRDefault="00AF16A8" w:rsidP="00AF16A8">
      <w:pPr>
        <w:pStyle w:val="NormalWeb"/>
        <w:spacing w:before="0" w:beforeAutospacing="0" w:after="0" w:afterAutospacing="0" w:line="480" w:lineRule="auto"/>
        <w:ind w:firstLine="720"/>
        <w:jc w:val="both"/>
        <w:rPr>
          <w:rFonts w:ascii="Times New Roman" w:hAnsi="Times New Roman"/>
          <w:sz w:val="24"/>
          <w:szCs w:val="24"/>
        </w:rPr>
      </w:pPr>
    </w:p>
    <w:p w14:paraId="7BA54A5F" w14:textId="77777777" w:rsidR="00AF16A8" w:rsidRDefault="00AF16A8" w:rsidP="00AF16A8">
      <w:pPr>
        <w:pStyle w:val="NormalWeb"/>
        <w:spacing w:before="0" w:beforeAutospacing="0" w:after="0" w:afterAutospacing="0" w:line="480" w:lineRule="auto"/>
        <w:jc w:val="center"/>
        <w:rPr>
          <w:rFonts w:ascii="Times New Roman" w:hAnsi="Times New Roman"/>
          <w:i/>
          <w:sz w:val="24"/>
          <w:szCs w:val="24"/>
        </w:rPr>
      </w:pPr>
      <w:r>
        <w:rPr>
          <w:rFonts w:ascii="Times New Roman" w:hAnsi="Times New Roman"/>
          <w:i/>
          <w:sz w:val="24"/>
          <w:szCs w:val="24"/>
        </w:rPr>
        <w:t>Mandates</w:t>
      </w:r>
    </w:p>
    <w:p w14:paraId="515B446E" w14:textId="28DC3519" w:rsidR="00AF16A8" w:rsidRPr="007C0606" w:rsidRDefault="00AF16A8" w:rsidP="007C0606">
      <w:pPr>
        <w:pStyle w:val="NormalWeb"/>
        <w:spacing w:before="0" w:beforeAutospacing="0" w:after="0" w:afterAutospacing="0" w:line="480" w:lineRule="auto"/>
        <w:ind w:firstLine="720"/>
        <w:jc w:val="both"/>
        <w:rPr>
          <w:rFonts w:ascii="Times New Roman" w:hAnsi="Times New Roman"/>
          <w:sz w:val="24"/>
          <w:szCs w:val="24"/>
        </w:rPr>
      </w:pPr>
      <w:r>
        <w:rPr>
          <w:rFonts w:ascii="Times New Roman" w:hAnsi="Times New Roman"/>
          <w:sz w:val="24"/>
          <w:szCs w:val="24"/>
        </w:rPr>
        <w:t>Mandates from the League of Nations</w:t>
      </w:r>
      <w:r>
        <w:rPr>
          <w:rFonts w:ascii="Times New Roman" w:hAnsi="Times New Roman"/>
          <w:sz w:val="24"/>
          <w:szCs w:val="24"/>
        </w:rPr>
        <w:sym w:font="Symbol" w:char="F0BE"/>
      </w:r>
      <w:r>
        <w:rPr>
          <w:rFonts w:ascii="Times New Roman" w:hAnsi="Times New Roman"/>
          <w:sz w:val="24"/>
          <w:szCs w:val="24"/>
        </w:rPr>
        <w:t>Togo and Cameroon</w:t>
      </w:r>
      <w:r>
        <w:rPr>
          <w:rFonts w:ascii="Times New Roman" w:hAnsi="Times New Roman"/>
          <w:sz w:val="24"/>
          <w:szCs w:val="24"/>
        </w:rPr>
        <w:sym w:font="Symbol" w:char="F0BE"/>
      </w:r>
      <w:r>
        <w:rPr>
          <w:rFonts w:ascii="Times New Roman" w:hAnsi="Times New Roman"/>
          <w:sz w:val="24"/>
          <w:szCs w:val="24"/>
        </w:rPr>
        <w:t xml:space="preserve">were former German colonies that were allotted to France after the </w:t>
      </w:r>
      <w:r w:rsidR="004A6766">
        <w:rPr>
          <w:rFonts w:ascii="Times New Roman" w:hAnsi="Times New Roman"/>
          <w:sz w:val="24"/>
          <w:szCs w:val="24"/>
        </w:rPr>
        <w:t>World War I</w:t>
      </w:r>
      <w:r>
        <w:rPr>
          <w:rFonts w:ascii="Times New Roman" w:hAnsi="Times New Roman"/>
          <w:sz w:val="24"/>
          <w:szCs w:val="24"/>
        </w:rPr>
        <w:t>. Because Germany was unfit to keep its colonies, and the international community did not believe that African nations should have independence, these two nations were given to France for administrative purposes and protection. Togo and Cameroon were not seen as colonies because the United Nations (League of Nations) oversaw many of F</w:t>
      </w:r>
      <w:r w:rsidR="004A6766">
        <w:rPr>
          <w:rFonts w:ascii="Times New Roman" w:hAnsi="Times New Roman"/>
          <w:sz w:val="24"/>
          <w:szCs w:val="24"/>
        </w:rPr>
        <w:t>rench</w:t>
      </w:r>
      <w:r>
        <w:rPr>
          <w:rFonts w:ascii="Times New Roman" w:hAnsi="Times New Roman"/>
          <w:sz w:val="24"/>
          <w:szCs w:val="24"/>
        </w:rPr>
        <w:t xml:space="preserve"> administrative and diplomatic actions in these two territories.</w:t>
      </w:r>
      <w:r>
        <w:rPr>
          <w:rStyle w:val="FootnoteReference"/>
          <w:rFonts w:ascii="Times New Roman" w:hAnsi="Times New Roman"/>
          <w:sz w:val="24"/>
          <w:szCs w:val="24"/>
        </w:rPr>
        <w:footnoteReference w:id="84"/>
      </w:r>
      <w:r>
        <w:rPr>
          <w:rFonts w:ascii="Times New Roman" w:hAnsi="Times New Roman"/>
          <w:sz w:val="24"/>
          <w:szCs w:val="24"/>
        </w:rPr>
        <w:t xml:space="preserve"> However, </w:t>
      </w:r>
      <w:r w:rsidRPr="00B07228">
        <w:rPr>
          <w:rFonts w:ascii="Times New Roman" w:hAnsi="Times New Roman"/>
          <w:sz w:val="24"/>
          <w:szCs w:val="24"/>
        </w:rPr>
        <w:t>“</w:t>
      </w:r>
      <w:r>
        <w:rPr>
          <w:rFonts w:ascii="Times New Roman" w:hAnsi="Times New Roman"/>
          <w:sz w:val="24"/>
          <w:szCs w:val="24"/>
        </w:rPr>
        <w:t>t</w:t>
      </w:r>
      <w:r w:rsidRPr="00B07228">
        <w:rPr>
          <w:rFonts w:ascii="Times New Roman" w:hAnsi="Times New Roman"/>
          <w:sz w:val="24"/>
          <w:szCs w:val="24"/>
        </w:rPr>
        <w:t>he day-to-day administration of mandates was in most respects assimilated to that of colonies, but France neither assumed sovereignty over its mandates nor conferred its nationality on their people.”</w:t>
      </w:r>
      <w:r>
        <w:rPr>
          <w:rStyle w:val="FootnoteReference"/>
          <w:rFonts w:ascii="Times New Roman" w:hAnsi="Times New Roman"/>
          <w:sz w:val="24"/>
          <w:szCs w:val="24"/>
        </w:rPr>
        <w:footnoteReference w:id="85"/>
      </w:r>
      <w:r>
        <w:t xml:space="preserve">  </w:t>
      </w:r>
      <w:r w:rsidR="004A6766">
        <w:rPr>
          <w:rFonts w:ascii="Times New Roman" w:hAnsi="Times New Roman"/>
          <w:sz w:val="24"/>
          <w:szCs w:val="24"/>
        </w:rPr>
        <w:t>Rule over</w:t>
      </w:r>
      <w:r>
        <w:rPr>
          <w:rFonts w:ascii="Times New Roman" w:hAnsi="Times New Roman"/>
          <w:sz w:val="24"/>
          <w:szCs w:val="24"/>
        </w:rPr>
        <w:t xml:space="preserve"> mandates was similar to colonial rule as government officials and clerks were required to speak the French language. French remains the working language of Togo and the French parts of Cameroon. Although French control over mandates was limited and shorter than full-fledged colonial rule, France still facilitated the spread of French “identity” by implementing colonial institutions, such as education, language, and access to government services. </w:t>
      </w:r>
    </w:p>
    <w:p w14:paraId="30058127" w14:textId="77777777" w:rsidR="009025F4" w:rsidRDefault="009025F4" w:rsidP="00AF16A8">
      <w:pPr>
        <w:pStyle w:val="NormalWeb"/>
        <w:spacing w:before="0" w:beforeAutospacing="0" w:after="0" w:afterAutospacing="0" w:line="480" w:lineRule="auto"/>
        <w:jc w:val="both"/>
        <w:rPr>
          <w:rFonts w:ascii="Times New Roman" w:hAnsi="Times New Roman"/>
          <w:i/>
          <w:sz w:val="24"/>
          <w:szCs w:val="24"/>
        </w:rPr>
      </w:pPr>
    </w:p>
    <w:p w14:paraId="355D1B69" w14:textId="77777777" w:rsidR="00AF16A8" w:rsidRPr="00B25FD2" w:rsidRDefault="00AF16A8" w:rsidP="00AF16A8">
      <w:pPr>
        <w:pStyle w:val="NormalWeb"/>
        <w:spacing w:before="0" w:beforeAutospacing="0" w:after="0" w:afterAutospacing="0" w:line="480" w:lineRule="auto"/>
        <w:jc w:val="center"/>
        <w:rPr>
          <w:rFonts w:ascii="Times New Roman" w:hAnsi="Times New Roman"/>
          <w:sz w:val="24"/>
          <w:szCs w:val="24"/>
        </w:rPr>
      </w:pPr>
      <w:r>
        <w:rPr>
          <w:rFonts w:ascii="Times New Roman" w:hAnsi="Times New Roman"/>
          <w:i/>
          <w:sz w:val="24"/>
          <w:szCs w:val="24"/>
        </w:rPr>
        <w:t>Colonies</w:t>
      </w:r>
    </w:p>
    <w:p w14:paraId="4FF150C1" w14:textId="2FE39E0D" w:rsidR="00AF16A8" w:rsidRDefault="00AF16A8" w:rsidP="00AF16A8">
      <w:pPr>
        <w:pStyle w:val="NormalWeb"/>
        <w:spacing w:before="0" w:beforeAutospacing="0" w:after="0" w:afterAutospacing="0" w:line="480" w:lineRule="auto"/>
        <w:ind w:firstLine="720"/>
        <w:jc w:val="both"/>
        <w:rPr>
          <w:rFonts w:ascii="Times New Roman" w:hAnsi="Times New Roman"/>
          <w:sz w:val="24"/>
          <w:szCs w:val="24"/>
        </w:rPr>
      </w:pPr>
      <w:r>
        <w:rPr>
          <w:rFonts w:ascii="Times New Roman" w:hAnsi="Times New Roman"/>
          <w:sz w:val="24"/>
          <w:szCs w:val="24"/>
        </w:rPr>
        <w:t xml:space="preserve">The last classification encompasses the majority of French possessions, and it is the status of colony. Colonies were subject to the strictest forms of direct rule and </w:t>
      </w:r>
      <w:r w:rsidR="004A6766">
        <w:rPr>
          <w:rFonts w:ascii="Times New Roman" w:hAnsi="Times New Roman"/>
          <w:i/>
          <w:sz w:val="24"/>
          <w:szCs w:val="24"/>
        </w:rPr>
        <w:t>assimilation</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Colonies were ruled by the Governor General and were separated into two distinct regions: French West Africa (AOF) and French Equatorial Africa (AEF). The French West Africa</w:t>
      </w:r>
      <w:r w:rsidR="004A6766">
        <w:rPr>
          <w:rFonts w:ascii="Times New Roman" w:hAnsi="Times New Roman"/>
          <w:sz w:val="24"/>
          <w:szCs w:val="24"/>
        </w:rPr>
        <w:t>n</w:t>
      </w:r>
      <w:r>
        <w:rPr>
          <w:rFonts w:ascii="Times New Roman" w:hAnsi="Times New Roman"/>
          <w:sz w:val="24"/>
          <w:szCs w:val="24"/>
        </w:rPr>
        <w:t xml:space="preserve"> territory included Benin (Dahomey), Burkina Faso (Upper Volta), Côte d’Ivoire, Guinea, Mali (French Soudan), Mauritania, Niger, and Senegal. While the French Equatorial Africa</w:t>
      </w:r>
      <w:r w:rsidR="004A6766">
        <w:rPr>
          <w:rFonts w:ascii="Times New Roman" w:hAnsi="Times New Roman"/>
          <w:sz w:val="24"/>
          <w:szCs w:val="24"/>
        </w:rPr>
        <w:t>n</w:t>
      </w:r>
      <w:r>
        <w:rPr>
          <w:rFonts w:ascii="Times New Roman" w:hAnsi="Times New Roman"/>
          <w:sz w:val="24"/>
          <w:szCs w:val="24"/>
        </w:rPr>
        <w:t xml:space="preserve"> territory included Central African Republic (Ubangui-Chari), Chad, </w:t>
      </w:r>
      <w:r w:rsidR="004A6766">
        <w:rPr>
          <w:rFonts w:ascii="Times New Roman" w:hAnsi="Times New Roman"/>
          <w:sz w:val="24"/>
          <w:szCs w:val="24"/>
        </w:rPr>
        <w:t>Republic of Congo,</w:t>
      </w:r>
      <w:r>
        <w:rPr>
          <w:rFonts w:ascii="Times New Roman" w:hAnsi="Times New Roman"/>
          <w:sz w:val="24"/>
          <w:szCs w:val="24"/>
        </w:rPr>
        <w:t xml:space="preserve"> and Gabon. Although Madagascar was also considered a colony, its geographic location separated it from the AOF and AEF colonies. </w:t>
      </w:r>
    </w:p>
    <w:p w14:paraId="77B3CC22" w14:textId="16B91BBD" w:rsidR="00AF16A8" w:rsidRDefault="00AF16A8" w:rsidP="00AF16A8">
      <w:pPr>
        <w:pStyle w:val="NormalWeb"/>
        <w:spacing w:before="0" w:beforeAutospacing="0" w:after="0" w:afterAutospacing="0" w:line="480" w:lineRule="auto"/>
        <w:ind w:firstLine="720"/>
        <w:jc w:val="both"/>
        <w:rPr>
          <w:rFonts w:ascii="Times New Roman" w:hAnsi="Times New Roman"/>
          <w:sz w:val="24"/>
          <w:szCs w:val="24"/>
        </w:rPr>
      </w:pPr>
      <w:r>
        <w:rPr>
          <w:rFonts w:ascii="Times New Roman" w:hAnsi="Times New Roman"/>
          <w:sz w:val="24"/>
          <w:szCs w:val="24"/>
        </w:rPr>
        <w:t xml:space="preserve">French possessions, where </w:t>
      </w:r>
      <w:r w:rsidR="004A6766">
        <w:rPr>
          <w:rFonts w:ascii="Times New Roman" w:hAnsi="Times New Roman"/>
          <w:sz w:val="24"/>
          <w:szCs w:val="24"/>
        </w:rPr>
        <w:t>French officials</w:t>
      </w:r>
      <w:r>
        <w:rPr>
          <w:rFonts w:ascii="Times New Roman" w:hAnsi="Times New Roman"/>
          <w:sz w:val="24"/>
          <w:szCs w:val="24"/>
        </w:rPr>
        <w:t xml:space="preserve"> had complete jurisdiction, were divided up and ruled at four levels: (1) territories, (2) colonies, (3) circles, and (4) provinces, cantons, or villages</w:t>
      </w:r>
      <w:r w:rsidR="004A6766">
        <w:rPr>
          <w:rFonts w:ascii="Times New Roman" w:hAnsi="Times New Roman"/>
          <w:sz w:val="24"/>
          <w:szCs w:val="24"/>
        </w:rPr>
        <w:t xml:space="preserve"> depending on the region</w:t>
      </w:r>
      <w:r>
        <w:rPr>
          <w:rFonts w:ascii="Times New Roman" w:hAnsi="Times New Roman"/>
          <w:sz w:val="24"/>
          <w:szCs w:val="24"/>
        </w:rPr>
        <w:t>. A Governor General presided over each territory</w:t>
      </w:r>
      <w:r>
        <w:rPr>
          <w:rFonts w:ascii="Times New Roman" w:hAnsi="Times New Roman"/>
          <w:sz w:val="24"/>
          <w:szCs w:val="24"/>
        </w:rPr>
        <w:sym w:font="Symbol" w:char="F0BE"/>
      </w:r>
      <w:r>
        <w:rPr>
          <w:rFonts w:ascii="Times New Roman" w:hAnsi="Times New Roman"/>
          <w:sz w:val="24"/>
          <w:szCs w:val="24"/>
        </w:rPr>
        <w:t>one in Dakar</w:t>
      </w:r>
      <w:r w:rsidR="004A6766">
        <w:rPr>
          <w:rFonts w:ascii="Times New Roman" w:hAnsi="Times New Roman"/>
          <w:sz w:val="24"/>
          <w:szCs w:val="24"/>
        </w:rPr>
        <w:t>, Senegal</w:t>
      </w:r>
      <w:r>
        <w:rPr>
          <w:rFonts w:ascii="Times New Roman" w:hAnsi="Times New Roman"/>
          <w:sz w:val="24"/>
          <w:szCs w:val="24"/>
        </w:rPr>
        <w:t xml:space="preserve"> (AOF) and one in Brazzaville</w:t>
      </w:r>
      <w:r w:rsidR="004A6766">
        <w:rPr>
          <w:rFonts w:ascii="Times New Roman" w:hAnsi="Times New Roman"/>
          <w:sz w:val="24"/>
          <w:szCs w:val="24"/>
        </w:rPr>
        <w:t>, Congo</w:t>
      </w:r>
      <w:r>
        <w:rPr>
          <w:rFonts w:ascii="Times New Roman" w:hAnsi="Times New Roman"/>
          <w:sz w:val="24"/>
          <w:szCs w:val="24"/>
        </w:rPr>
        <w:t xml:space="preserve"> (AEF)</w:t>
      </w:r>
      <w:r>
        <w:rPr>
          <w:rFonts w:ascii="Times New Roman" w:hAnsi="Times New Roman"/>
          <w:sz w:val="24"/>
          <w:szCs w:val="24"/>
        </w:rPr>
        <w:sym w:font="Symbol" w:char="F0BE"/>
      </w:r>
      <w:r>
        <w:rPr>
          <w:rFonts w:ascii="Times New Roman" w:hAnsi="Times New Roman"/>
          <w:sz w:val="24"/>
          <w:szCs w:val="24"/>
        </w:rPr>
        <w:t xml:space="preserve">and administrative duties and tax collections were further organized into </w:t>
      </w:r>
      <w:r w:rsidRPr="006F0925">
        <w:rPr>
          <w:rFonts w:ascii="Times New Roman" w:hAnsi="Times New Roman"/>
          <w:i/>
          <w:sz w:val="24"/>
          <w:szCs w:val="24"/>
        </w:rPr>
        <w:t>chefs de canton</w:t>
      </w:r>
      <w:r>
        <w:rPr>
          <w:rFonts w:ascii="Times New Roman" w:hAnsi="Times New Roman"/>
          <w:sz w:val="24"/>
          <w:szCs w:val="24"/>
        </w:rPr>
        <w:t>, which were sometimes the existing African chiefs. The lower levels of administrative and official positions were eventually held by Africans since French officials would outsource less appealing jobs, such as collecting taxes from residents, to local African chiefs in order to avoid the negative association. The French viewed these canton chiefs as symbolic</w:t>
      </w:r>
      <w:r w:rsidR="004A6766">
        <w:rPr>
          <w:rFonts w:ascii="Times New Roman" w:hAnsi="Times New Roman"/>
          <w:sz w:val="24"/>
          <w:szCs w:val="24"/>
        </w:rPr>
        <w:t xml:space="preserve"> and were hesitant to give power</w:t>
      </w:r>
      <w:r>
        <w:rPr>
          <w:rFonts w:ascii="Times New Roman" w:hAnsi="Times New Roman"/>
          <w:sz w:val="24"/>
          <w:szCs w:val="24"/>
        </w:rPr>
        <w:t>. However, in Guinea-Conakry and Senegal, the French could not maintain control or remove the canton chiefs without revolt. To avoid losing their legitimate rule in these colonies, France excluded the most powerful and traditional rulers from holding administrative positions but allowed those with similar ideals to rise within the administration.</w:t>
      </w:r>
      <w:r>
        <w:rPr>
          <w:rStyle w:val="FootnoteReference"/>
          <w:rFonts w:ascii="Times New Roman" w:hAnsi="Times New Roman"/>
          <w:sz w:val="24"/>
          <w:szCs w:val="24"/>
        </w:rPr>
        <w:footnoteReference w:id="86"/>
      </w:r>
      <w:r>
        <w:rPr>
          <w:rFonts w:ascii="Times New Roman" w:hAnsi="Times New Roman"/>
          <w:sz w:val="24"/>
          <w:szCs w:val="24"/>
        </w:rPr>
        <w:t xml:space="preserve"> Under </w:t>
      </w:r>
      <w:r w:rsidRPr="00E769DA">
        <w:rPr>
          <w:rFonts w:ascii="Times New Roman" w:hAnsi="Times New Roman"/>
          <w:i/>
          <w:sz w:val="24"/>
          <w:szCs w:val="24"/>
        </w:rPr>
        <w:t>association</w:t>
      </w:r>
      <w:r>
        <w:rPr>
          <w:rFonts w:ascii="Times New Roman" w:hAnsi="Times New Roman"/>
          <w:sz w:val="24"/>
          <w:szCs w:val="24"/>
        </w:rPr>
        <w:t xml:space="preserve">, elite Africans gained more French education and could be identified as more French due to education in the French language and culture. They were able to hold elite positions within the French colonies and territories; one such position was that of the Deputy of the Four Communes of Senegal, which was first held by Blaise Diagne. With an understanding of how different regions were ruled by France, we next look at the contributions that each region played in the formation of the French Union. </w:t>
      </w:r>
    </w:p>
    <w:p w14:paraId="47AB3441" w14:textId="77777777" w:rsidR="00AF16A8" w:rsidRDefault="00AF16A8" w:rsidP="00AF16A8">
      <w:pPr>
        <w:pStyle w:val="NormalWeb"/>
        <w:spacing w:before="0" w:beforeAutospacing="0" w:after="0" w:afterAutospacing="0" w:line="480" w:lineRule="auto"/>
        <w:jc w:val="center"/>
        <w:rPr>
          <w:rFonts w:ascii="Times New Roman" w:hAnsi="Times New Roman"/>
          <w:sz w:val="24"/>
          <w:szCs w:val="24"/>
        </w:rPr>
      </w:pPr>
    </w:p>
    <w:p w14:paraId="0E007DDA" w14:textId="77777777" w:rsidR="00AF16A8" w:rsidRPr="00D21A19" w:rsidRDefault="00AF16A8" w:rsidP="00AF16A8">
      <w:pPr>
        <w:pStyle w:val="NormalWeb"/>
        <w:spacing w:before="0" w:beforeAutospacing="0" w:after="0" w:afterAutospacing="0" w:line="480" w:lineRule="auto"/>
        <w:jc w:val="center"/>
        <w:rPr>
          <w:rFonts w:ascii="Times New Roman" w:hAnsi="Times New Roman"/>
          <w:b/>
          <w:sz w:val="24"/>
          <w:szCs w:val="24"/>
        </w:rPr>
      </w:pPr>
      <w:r w:rsidRPr="00D21A19">
        <w:rPr>
          <w:rFonts w:ascii="Times New Roman" w:hAnsi="Times New Roman"/>
          <w:b/>
          <w:sz w:val="24"/>
          <w:szCs w:val="24"/>
        </w:rPr>
        <w:t>French Union and French Community</w:t>
      </w:r>
    </w:p>
    <w:p w14:paraId="084FA943" w14:textId="77777777" w:rsidR="007C0606" w:rsidRDefault="00AF16A8" w:rsidP="00AF16A8">
      <w:pPr>
        <w:pStyle w:val="NormalWeb"/>
        <w:spacing w:before="0" w:beforeAutospacing="0" w:after="0" w:afterAutospacing="0" w:line="480" w:lineRule="auto"/>
        <w:jc w:val="both"/>
        <w:rPr>
          <w:rFonts w:ascii="Times New Roman" w:hAnsi="Times New Roman"/>
          <w:sz w:val="24"/>
          <w:szCs w:val="24"/>
        </w:rPr>
      </w:pPr>
      <w:r>
        <w:rPr>
          <w:rFonts w:ascii="Times New Roman" w:hAnsi="Times New Roman"/>
          <w:sz w:val="24"/>
          <w:szCs w:val="24"/>
        </w:rPr>
        <w:tab/>
        <w:t>Although many scholars argue that independence was motivated by the ideas of self-determination from the Atlantic Charter and pushed further by the French-African soldiers from the World Wars, a closer examination of history illustrates how political leaders</w:t>
      </w:r>
      <w:r w:rsidRPr="00371424">
        <w:rPr>
          <w:rFonts w:ascii="Times New Roman" w:hAnsi="Times New Roman"/>
          <w:sz w:val="24"/>
          <w:szCs w:val="24"/>
        </w:rPr>
        <w:t xml:space="preserve"> </w:t>
      </w:r>
      <w:r>
        <w:rPr>
          <w:rFonts w:ascii="Times New Roman" w:hAnsi="Times New Roman"/>
          <w:sz w:val="24"/>
          <w:szCs w:val="24"/>
        </w:rPr>
        <w:t>in francophone Africa, especially Leopold Senghor and Felix Houphouët-Boigny, were instead advocating for equality and closeness with the rest of the French Empire rather than complete independence.</w:t>
      </w:r>
      <w:r>
        <w:rPr>
          <w:rStyle w:val="FootnoteReference"/>
          <w:rFonts w:ascii="Times New Roman" w:hAnsi="Times New Roman"/>
          <w:sz w:val="24"/>
          <w:szCs w:val="24"/>
        </w:rPr>
        <w:footnoteReference w:id="87"/>
      </w:r>
      <w:r>
        <w:rPr>
          <w:rFonts w:ascii="Times New Roman" w:hAnsi="Times New Roman"/>
          <w:sz w:val="24"/>
          <w:szCs w:val="24"/>
        </w:rPr>
        <w:t xml:space="preserve"> This advocacy for forming a union with France illustrates how states were aware of their levels of “Frenchness” prior to independence. In 1946, due to the demands of the </w:t>
      </w:r>
      <w:r>
        <w:rPr>
          <w:rFonts w:ascii="Times New Roman" w:hAnsi="Times New Roman"/>
          <w:i/>
          <w:sz w:val="24"/>
          <w:szCs w:val="24"/>
        </w:rPr>
        <w:t xml:space="preserve">originaires </w:t>
      </w:r>
      <w:r>
        <w:rPr>
          <w:rFonts w:ascii="Times New Roman" w:hAnsi="Times New Roman"/>
          <w:sz w:val="24"/>
          <w:szCs w:val="24"/>
        </w:rPr>
        <w:t xml:space="preserve">and </w:t>
      </w:r>
      <w:r>
        <w:rPr>
          <w:rFonts w:ascii="Times New Roman" w:hAnsi="Times New Roman"/>
          <w:i/>
          <w:sz w:val="24"/>
          <w:szCs w:val="24"/>
        </w:rPr>
        <w:t xml:space="preserve">évolués, </w:t>
      </w:r>
      <w:r>
        <w:rPr>
          <w:rFonts w:ascii="Times New Roman" w:hAnsi="Times New Roman"/>
          <w:sz w:val="24"/>
          <w:szCs w:val="24"/>
        </w:rPr>
        <w:t xml:space="preserve">who were members of the </w:t>
      </w:r>
      <w:r w:rsidRPr="009370D6">
        <w:rPr>
          <w:rFonts w:ascii="Times New Roman" w:hAnsi="Times New Roman"/>
          <w:i/>
          <w:sz w:val="24"/>
          <w:szCs w:val="24"/>
        </w:rPr>
        <w:t>Assemblée National</w:t>
      </w:r>
      <w:r>
        <w:rPr>
          <w:rFonts w:ascii="Times New Roman" w:hAnsi="Times New Roman"/>
          <w:sz w:val="24"/>
          <w:szCs w:val="24"/>
        </w:rPr>
        <w:t xml:space="preserve"> (National Assembly), every person living under French rule would be given citizenship, through the Lamine Guèye law. However, in the Four Communes and the exclusive African elite, citizenship was not applied homogenously throughout the empire. Prior to this “universal” citizenship law, French Muslims achieved full citizenship rights under the Ord</w:t>
      </w:r>
      <w:r w:rsidR="007C0606">
        <w:rPr>
          <w:rFonts w:ascii="Times New Roman" w:hAnsi="Times New Roman"/>
          <w:sz w:val="24"/>
          <w:szCs w:val="24"/>
        </w:rPr>
        <w:t xml:space="preserve">inance of March 7, 1944, which </w:t>
      </w:r>
    </w:p>
    <w:p w14:paraId="5E8236E3" w14:textId="77777777" w:rsidR="007C0606" w:rsidRDefault="00AF16A8" w:rsidP="007C0606">
      <w:pPr>
        <w:pStyle w:val="NormalWeb"/>
        <w:spacing w:before="0" w:beforeAutospacing="0" w:after="0" w:afterAutospacing="0"/>
        <w:ind w:left="720"/>
        <w:jc w:val="both"/>
        <w:rPr>
          <w:rFonts w:ascii="Times New Roman" w:hAnsi="Times New Roman"/>
          <w:sz w:val="24"/>
          <w:szCs w:val="24"/>
        </w:rPr>
      </w:pPr>
      <w:r>
        <w:rPr>
          <w:rFonts w:ascii="Times New Roman" w:hAnsi="Times New Roman"/>
          <w:sz w:val="24"/>
          <w:szCs w:val="24"/>
        </w:rPr>
        <w:t>applied to former military officers, holders of certain diplomas, active or retired civil servants, current and former members of chambers of commerce or agriculture, certain councilors, holders of various civilian and military honors or medals, members of councils of indigenous cooperatives, and several categories of auxiliaries to the administration.</w:t>
      </w:r>
      <w:r>
        <w:rPr>
          <w:rStyle w:val="FootnoteReference"/>
          <w:rFonts w:ascii="Times New Roman" w:hAnsi="Times New Roman"/>
          <w:sz w:val="24"/>
          <w:szCs w:val="24"/>
        </w:rPr>
        <w:footnoteReference w:id="88"/>
      </w:r>
      <w:r>
        <w:rPr>
          <w:rFonts w:ascii="Times New Roman" w:hAnsi="Times New Roman"/>
          <w:sz w:val="24"/>
          <w:szCs w:val="24"/>
        </w:rPr>
        <w:t xml:space="preserve"> </w:t>
      </w:r>
    </w:p>
    <w:p w14:paraId="11DF9A7C" w14:textId="77777777" w:rsidR="007C0606" w:rsidRDefault="007C0606" w:rsidP="007C0606">
      <w:pPr>
        <w:pStyle w:val="NormalWeb"/>
        <w:spacing w:before="0" w:beforeAutospacing="0" w:after="0" w:afterAutospacing="0"/>
        <w:jc w:val="both"/>
        <w:rPr>
          <w:rFonts w:ascii="Times New Roman" w:hAnsi="Times New Roman"/>
          <w:sz w:val="24"/>
          <w:szCs w:val="24"/>
        </w:rPr>
      </w:pPr>
    </w:p>
    <w:p w14:paraId="43E8DEAD" w14:textId="1721E330" w:rsidR="00AF16A8" w:rsidRPr="00886FFB" w:rsidRDefault="00AF16A8" w:rsidP="00AF16A8">
      <w:pPr>
        <w:pStyle w:val="NormalWeb"/>
        <w:spacing w:before="0" w:beforeAutospacing="0" w:after="0" w:afterAutospacing="0" w:line="480" w:lineRule="auto"/>
        <w:jc w:val="both"/>
        <w:rPr>
          <w:rFonts w:ascii="Times New Roman" w:hAnsi="Times New Roman"/>
          <w:sz w:val="24"/>
          <w:szCs w:val="24"/>
        </w:rPr>
      </w:pPr>
      <w:r>
        <w:rPr>
          <w:rFonts w:ascii="Times New Roman" w:hAnsi="Times New Roman"/>
          <w:sz w:val="24"/>
          <w:szCs w:val="24"/>
        </w:rPr>
        <w:t>Those who were eligible for citizenship participated more than others in French institutions. The empha</w:t>
      </w:r>
      <w:r w:rsidR="007C0606">
        <w:rPr>
          <w:rFonts w:ascii="Times New Roman" w:hAnsi="Times New Roman"/>
          <w:sz w:val="24"/>
          <w:szCs w:val="24"/>
        </w:rPr>
        <w:t>sis on civil status and social</w:t>
      </w:r>
      <w:r>
        <w:rPr>
          <w:rFonts w:ascii="Times New Roman" w:hAnsi="Times New Roman"/>
          <w:sz w:val="24"/>
          <w:szCs w:val="24"/>
        </w:rPr>
        <w:t xml:space="preserve"> involvement, plus the distinction of the category French Muslims perpetuated the inequality within the French Empire, soon to be the French Union. Algerian Muslims maintained a unique position in the quantity who were able to achieve citizenship, whereas the rest of French Africa were still obligated to their duties as </w:t>
      </w:r>
      <w:r>
        <w:rPr>
          <w:rFonts w:ascii="Times New Roman" w:hAnsi="Times New Roman"/>
          <w:i/>
          <w:sz w:val="24"/>
          <w:szCs w:val="24"/>
        </w:rPr>
        <w:t xml:space="preserve">sujets </w:t>
      </w:r>
      <w:r>
        <w:rPr>
          <w:rFonts w:ascii="Times New Roman" w:hAnsi="Times New Roman"/>
          <w:sz w:val="24"/>
          <w:szCs w:val="24"/>
        </w:rPr>
        <w:t>rather than French citizens.</w:t>
      </w:r>
    </w:p>
    <w:p w14:paraId="57B35B74" w14:textId="0A157132" w:rsidR="00AF16A8" w:rsidRDefault="00AF16A8" w:rsidP="00AF16A8">
      <w:pPr>
        <w:pStyle w:val="NormalWeb"/>
        <w:spacing w:before="0" w:beforeAutospacing="0" w:after="0" w:afterAutospacing="0" w:line="480" w:lineRule="auto"/>
        <w:ind w:firstLine="720"/>
        <w:jc w:val="both"/>
        <w:rPr>
          <w:rFonts w:ascii="Times New Roman" w:hAnsi="Times New Roman"/>
          <w:sz w:val="24"/>
          <w:szCs w:val="24"/>
        </w:rPr>
      </w:pPr>
      <w:r>
        <w:rPr>
          <w:rFonts w:ascii="Times New Roman" w:hAnsi="Times New Roman"/>
          <w:sz w:val="24"/>
          <w:szCs w:val="24"/>
        </w:rPr>
        <w:t xml:space="preserve">Despite this move towards equality, actual implementation of citizenship proved more challenging and led to further distinction between statuses. This differentiation was rooted in the lack of an </w:t>
      </w:r>
      <w:r>
        <w:rPr>
          <w:rFonts w:ascii="Times New Roman" w:hAnsi="Times New Roman"/>
          <w:i/>
          <w:sz w:val="24"/>
          <w:szCs w:val="24"/>
        </w:rPr>
        <w:t xml:space="preserve">état-civil </w:t>
      </w:r>
      <w:r>
        <w:rPr>
          <w:rFonts w:ascii="Times New Roman" w:hAnsi="Times New Roman"/>
          <w:sz w:val="24"/>
          <w:szCs w:val="24"/>
        </w:rPr>
        <w:t>in the French territories</w:t>
      </w:r>
      <w:r>
        <w:rPr>
          <w:rFonts w:ascii="Times New Roman" w:hAnsi="Times New Roman"/>
          <w:sz w:val="24"/>
          <w:szCs w:val="24"/>
        </w:rPr>
        <w:sym w:font="Symbol" w:char="F0BE"/>
      </w:r>
      <w:r w:rsidRPr="00886FFB">
        <w:rPr>
          <w:rFonts w:ascii="Times New Roman" w:hAnsi="Times New Roman"/>
          <w:sz w:val="24"/>
          <w:szCs w:val="24"/>
        </w:rPr>
        <w:t xml:space="preserve">the </w:t>
      </w:r>
      <w:r>
        <w:rPr>
          <w:rFonts w:ascii="Times New Roman" w:hAnsi="Times New Roman"/>
          <w:sz w:val="24"/>
          <w:szCs w:val="24"/>
        </w:rPr>
        <w:t xml:space="preserve">alternate </w:t>
      </w:r>
      <w:r w:rsidRPr="00886FFB">
        <w:rPr>
          <w:rFonts w:ascii="Times New Roman" w:hAnsi="Times New Roman"/>
          <w:sz w:val="24"/>
          <w:szCs w:val="24"/>
        </w:rPr>
        <w:t>name for colonies post-W</w:t>
      </w:r>
      <w:r>
        <w:rPr>
          <w:rFonts w:ascii="Times New Roman" w:hAnsi="Times New Roman"/>
          <w:sz w:val="24"/>
          <w:szCs w:val="24"/>
        </w:rPr>
        <w:t xml:space="preserve">orld </w:t>
      </w:r>
      <w:r w:rsidRPr="00886FFB">
        <w:rPr>
          <w:rFonts w:ascii="Times New Roman" w:hAnsi="Times New Roman"/>
          <w:sz w:val="24"/>
          <w:szCs w:val="24"/>
        </w:rPr>
        <w:t>W</w:t>
      </w:r>
      <w:r>
        <w:rPr>
          <w:rFonts w:ascii="Times New Roman" w:hAnsi="Times New Roman"/>
          <w:sz w:val="24"/>
          <w:szCs w:val="24"/>
        </w:rPr>
        <w:t xml:space="preserve">ar </w:t>
      </w:r>
      <w:r w:rsidRPr="00886FFB">
        <w:rPr>
          <w:rFonts w:ascii="Times New Roman" w:hAnsi="Times New Roman"/>
          <w:sz w:val="24"/>
          <w:szCs w:val="24"/>
        </w:rPr>
        <w:t>II</w:t>
      </w:r>
      <w:r>
        <w:rPr>
          <w:rFonts w:ascii="Times New Roman" w:hAnsi="Times New Roman"/>
          <w:sz w:val="24"/>
          <w:szCs w:val="24"/>
        </w:rPr>
        <w:t xml:space="preserve"> to illustrate a more inclusive French nation</w:t>
      </w:r>
      <w:r>
        <w:rPr>
          <w:rFonts w:ascii="Times New Roman" w:hAnsi="Times New Roman"/>
          <w:sz w:val="24"/>
          <w:szCs w:val="24"/>
        </w:rPr>
        <w:sym w:font="Symbol" w:char="F0BE"/>
      </w:r>
      <w:r>
        <w:rPr>
          <w:rFonts w:ascii="Times New Roman" w:hAnsi="Times New Roman"/>
          <w:sz w:val="24"/>
          <w:szCs w:val="24"/>
        </w:rPr>
        <w:t xml:space="preserve">and the absence of education among all citizens. Because France unevenly provided social services in the colonies, the </w:t>
      </w:r>
      <w:r>
        <w:rPr>
          <w:rFonts w:ascii="Times New Roman" w:hAnsi="Times New Roman"/>
          <w:i/>
          <w:sz w:val="24"/>
          <w:szCs w:val="24"/>
        </w:rPr>
        <w:t xml:space="preserve">état-civil </w:t>
      </w:r>
      <w:r>
        <w:rPr>
          <w:rFonts w:ascii="Times New Roman" w:hAnsi="Times New Roman"/>
          <w:sz w:val="24"/>
          <w:szCs w:val="24"/>
        </w:rPr>
        <w:t>was not present throughout the French African territory. Some claim that this absence should not have limited civil participation, since the majority of the Frenchmen after the French Revolution “were illiterate… [and] technical difficulties were not invoked when it came to collecting taxes” from the colonies</w:t>
      </w:r>
      <w:r w:rsidR="007C0606">
        <w:rPr>
          <w:rFonts w:ascii="Times New Roman" w:hAnsi="Times New Roman"/>
          <w:sz w:val="24"/>
          <w:szCs w:val="24"/>
        </w:rPr>
        <w:t>; however it limited citizenship</w:t>
      </w:r>
      <w:r>
        <w:rPr>
          <w:rFonts w:ascii="Times New Roman" w:hAnsi="Times New Roman"/>
          <w:sz w:val="24"/>
          <w:szCs w:val="24"/>
        </w:rPr>
        <w:t>.</w:t>
      </w:r>
      <w:r>
        <w:rPr>
          <w:rStyle w:val="FootnoteReference"/>
          <w:rFonts w:ascii="Times New Roman" w:hAnsi="Times New Roman"/>
          <w:sz w:val="24"/>
          <w:szCs w:val="24"/>
        </w:rPr>
        <w:footnoteReference w:id="89"/>
      </w:r>
      <w:r>
        <w:rPr>
          <w:rFonts w:ascii="Times New Roman" w:hAnsi="Times New Roman"/>
          <w:sz w:val="24"/>
          <w:szCs w:val="24"/>
        </w:rPr>
        <w:t xml:space="preserve"> Because of this difference in implementing the </w:t>
      </w:r>
      <w:r w:rsidRPr="0049466A">
        <w:rPr>
          <w:rFonts w:ascii="Times New Roman" w:hAnsi="Times New Roman"/>
          <w:i/>
          <w:sz w:val="24"/>
          <w:szCs w:val="24"/>
        </w:rPr>
        <w:t>état civil</w:t>
      </w:r>
      <w:r>
        <w:rPr>
          <w:rFonts w:ascii="Times New Roman" w:hAnsi="Times New Roman"/>
          <w:sz w:val="24"/>
          <w:szCs w:val="24"/>
        </w:rPr>
        <w:t xml:space="preserve"> two hundred years later and the focus on the </w:t>
      </w:r>
      <w:r>
        <w:rPr>
          <w:rFonts w:ascii="Times New Roman" w:hAnsi="Times New Roman"/>
          <w:i/>
          <w:sz w:val="24"/>
          <w:szCs w:val="24"/>
        </w:rPr>
        <w:t>état-civil</w:t>
      </w:r>
      <w:r>
        <w:rPr>
          <w:rFonts w:ascii="Times New Roman" w:hAnsi="Times New Roman"/>
          <w:sz w:val="24"/>
          <w:szCs w:val="24"/>
        </w:rPr>
        <w:t xml:space="preserve"> only for African residents, African elites and modern day scholars have argued that this excuse was rooted in racism. </w:t>
      </w:r>
      <w:r w:rsidRPr="00886FFB">
        <w:rPr>
          <w:rFonts w:ascii="Times New Roman" w:hAnsi="Times New Roman"/>
          <w:sz w:val="24"/>
          <w:szCs w:val="24"/>
        </w:rPr>
        <w:t xml:space="preserve">The politicians of the French Union argued that the lack of the </w:t>
      </w:r>
      <w:r w:rsidRPr="00886FFB">
        <w:rPr>
          <w:rFonts w:ascii="Times New Roman" w:hAnsi="Times New Roman"/>
          <w:i/>
          <w:sz w:val="24"/>
          <w:szCs w:val="24"/>
        </w:rPr>
        <w:t xml:space="preserve">état-civil </w:t>
      </w:r>
      <w:r w:rsidRPr="00886FFB">
        <w:rPr>
          <w:rFonts w:ascii="Times New Roman" w:hAnsi="Times New Roman"/>
          <w:sz w:val="24"/>
          <w:szCs w:val="24"/>
        </w:rPr>
        <w:t>prevented Africans from voting in a legal manne</w:t>
      </w:r>
      <w:r>
        <w:rPr>
          <w:rFonts w:ascii="Times New Roman" w:hAnsi="Times New Roman"/>
          <w:sz w:val="24"/>
          <w:szCs w:val="24"/>
        </w:rPr>
        <w:t>r; however, this was mainly a policy to prevent the large African population</w:t>
      </w:r>
      <w:r>
        <w:rPr>
          <w:rFonts w:ascii="Times New Roman" w:hAnsi="Times New Roman"/>
          <w:sz w:val="24"/>
          <w:szCs w:val="24"/>
        </w:rPr>
        <w:sym w:font="Symbol" w:char="F0BE"/>
      </w:r>
      <w:r>
        <w:rPr>
          <w:rFonts w:ascii="Times New Roman" w:hAnsi="Times New Roman"/>
          <w:sz w:val="24"/>
          <w:szCs w:val="24"/>
        </w:rPr>
        <w:t>that outnumbered the number of French citizens in European France</w:t>
      </w:r>
      <w:r>
        <w:rPr>
          <w:rFonts w:ascii="Times New Roman" w:hAnsi="Times New Roman"/>
          <w:sz w:val="24"/>
          <w:szCs w:val="24"/>
        </w:rPr>
        <w:sym w:font="Symbol" w:char="F0BE"/>
      </w:r>
      <w:r>
        <w:rPr>
          <w:rFonts w:ascii="Times New Roman" w:hAnsi="Times New Roman"/>
          <w:sz w:val="24"/>
          <w:szCs w:val="24"/>
        </w:rPr>
        <w:t xml:space="preserve">from controlling the legislative branch of the government. </w:t>
      </w:r>
    </w:p>
    <w:p w14:paraId="16C84B5B" w14:textId="05669376" w:rsidR="00AF16A8" w:rsidRPr="009422B3" w:rsidRDefault="00AF16A8" w:rsidP="00AF16A8">
      <w:pPr>
        <w:pStyle w:val="NormalWeb"/>
        <w:spacing w:before="0" w:beforeAutospacing="0" w:after="0" w:afterAutospacing="0" w:line="480" w:lineRule="auto"/>
        <w:ind w:firstLine="720"/>
        <w:contextualSpacing/>
        <w:jc w:val="both"/>
        <w:rPr>
          <w:rFonts w:ascii="Times New Roman" w:hAnsi="Times New Roman"/>
          <w:sz w:val="24"/>
          <w:szCs w:val="24"/>
        </w:rPr>
      </w:pPr>
      <w:r w:rsidRPr="00886FFB">
        <w:rPr>
          <w:rFonts w:ascii="Times New Roman" w:hAnsi="Times New Roman"/>
          <w:sz w:val="24"/>
          <w:szCs w:val="24"/>
        </w:rPr>
        <w:t>Prior to breaking</w:t>
      </w:r>
      <w:r>
        <w:rPr>
          <w:rFonts w:ascii="Times New Roman" w:hAnsi="Times New Roman"/>
          <w:sz w:val="24"/>
          <w:szCs w:val="24"/>
        </w:rPr>
        <w:t xml:space="preserve"> down the differential ways citizenship was applied in the French Union and French Community, </w:t>
      </w:r>
      <w:r w:rsidRPr="00886FFB">
        <w:rPr>
          <w:rFonts w:ascii="Times New Roman" w:hAnsi="Times New Roman"/>
          <w:sz w:val="24"/>
          <w:szCs w:val="24"/>
        </w:rPr>
        <w:t>it</w:t>
      </w:r>
      <w:r w:rsidR="00A30128">
        <w:rPr>
          <w:rFonts w:ascii="Times New Roman" w:hAnsi="Times New Roman"/>
          <w:sz w:val="24"/>
          <w:szCs w:val="24"/>
        </w:rPr>
        <w:t xml:space="preserve"> is imperative to understand</w:t>
      </w:r>
      <w:r w:rsidRPr="00886FFB">
        <w:rPr>
          <w:rFonts w:ascii="Times New Roman" w:hAnsi="Times New Roman"/>
          <w:sz w:val="24"/>
          <w:szCs w:val="24"/>
        </w:rPr>
        <w:t xml:space="preserve"> how</w:t>
      </w:r>
      <w:r w:rsidR="00A30128">
        <w:rPr>
          <w:rFonts w:ascii="Times New Roman" w:hAnsi="Times New Roman"/>
          <w:sz w:val="24"/>
          <w:szCs w:val="24"/>
        </w:rPr>
        <w:t xml:space="preserve"> the</w:t>
      </w:r>
      <w:r w:rsidRPr="00886FFB">
        <w:rPr>
          <w:rFonts w:ascii="Times New Roman" w:hAnsi="Times New Roman"/>
          <w:sz w:val="24"/>
          <w:szCs w:val="24"/>
        </w:rPr>
        <w:t xml:space="preserve"> regions of the former French Empire were distinguished</w:t>
      </w:r>
      <w:r>
        <w:rPr>
          <w:rFonts w:ascii="Times New Roman" w:hAnsi="Times New Roman"/>
          <w:sz w:val="24"/>
          <w:szCs w:val="24"/>
        </w:rPr>
        <w:t xml:space="preserve"> from another, although certain areas remained more prestigious (and more “French) than others.</w:t>
      </w:r>
      <w:r w:rsidRPr="00886FFB">
        <w:rPr>
          <w:rFonts w:ascii="Times New Roman" w:hAnsi="Times New Roman"/>
          <w:sz w:val="24"/>
          <w:szCs w:val="24"/>
        </w:rPr>
        <w:t xml:space="preserve"> The categories included:</w:t>
      </w:r>
      <w:r w:rsidRPr="00CF64A4">
        <w:rPr>
          <w:rFonts w:ascii="Times New Roman" w:hAnsi="Times New Roman"/>
          <w:sz w:val="24"/>
          <w:szCs w:val="24"/>
        </w:rPr>
        <w:t xml:space="preserve"> </w:t>
      </w:r>
    </w:p>
    <w:p w14:paraId="1CFFB036" w14:textId="77777777" w:rsidR="00AF16A8" w:rsidRDefault="00AF16A8" w:rsidP="00AF16A8">
      <w:pPr>
        <w:pStyle w:val="NormalWeb"/>
        <w:spacing w:before="0" w:beforeAutospacing="0" w:after="0" w:afterAutospacing="0"/>
        <w:ind w:left="720"/>
        <w:jc w:val="both"/>
        <w:rPr>
          <w:rFonts w:ascii="Times New Roman" w:hAnsi="Times New Roman"/>
          <w:sz w:val="24"/>
          <w:szCs w:val="24"/>
        </w:rPr>
      </w:pPr>
      <w:r w:rsidRPr="00CF64A4">
        <w:rPr>
          <w:rFonts w:ascii="Times New Roman" w:hAnsi="Times New Roman"/>
          <w:sz w:val="24"/>
          <w:szCs w:val="24"/>
        </w:rPr>
        <w:t>1. 'Exterior provinces': Algeria, Réunion, Martinique, Guadeloupe, Guyana. They would be considered a 'prolongation of metropolitan territory' and be represented in Parliament as well as in a federal assembly, while retaining a 'large administrative liberty.'</w:t>
      </w:r>
    </w:p>
    <w:p w14:paraId="1817CC67" w14:textId="77777777" w:rsidR="00AF16A8" w:rsidRPr="00CF64A4" w:rsidRDefault="00AF16A8" w:rsidP="00AF16A8">
      <w:pPr>
        <w:pStyle w:val="NormalWeb"/>
        <w:spacing w:before="0" w:beforeAutospacing="0" w:after="0" w:afterAutospacing="0"/>
        <w:ind w:left="720"/>
        <w:jc w:val="both"/>
        <w:rPr>
          <w:rFonts w:ascii="Times New Roman" w:hAnsi="Times New Roman"/>
          <w:sz w:val="24"/>
          <w:szCs w:val="24"/>
        </w:rPr>
      </w:pPr>
    </w:p>
    <w:p w14:paraId="64095B84" w14:textId="77777777" w:rsidR="00AF16A8" w:rsidRDefault="00AF16A8" w:rsidP="00AF16A8">
      <w:pPr>
        <w:spacing w:after="0"/>
        <w:ind w:left="720"/>
        <w:jc w:val="both"/>
        <w:rPr>
          <w:rFonts w:cs="Times New Roman"/>
          <w:lang w:eastAsia="en-US"/>
        </w:rPr>
      </w:pPr>
      <w:r w:rsidRPr="00CF64A4">
        <w:rPr>
          <w:rFonts w:cs="Times New Roman"/>
          <w:lang w:eastAsia="en-US"/>
        </w:rPr>
        <w:t xml:space="preserve">2. 'Federal </w:t>
      </w:r>
      <w:r w:rsidRPr="00CF64A4">
        <w:rPr>
          <w:rFonts w:cs="Times New Roman"/>
          <w:i/>
          <w:iCs/>
          <w:lang w:eastAsia="en-US"/>
        </w:rPr>
        <w:t>pays</w:t>
      </w:r>
      <w:r w:rsidRPr="00CF64A4">
        <w:rPr>
          <w:rFonts w:cs="Times New Roman"/>
          <w:lang w:eastAsia="en-US"/>
        </w:rPr>
        <w:t>': Indochina, New Caledonia, Madagascar. These units, each with multiple components, were considered to have more 'maturity' than other overseas territories and would be allowed to develop a 'political personality' and elect deputies to a federal assembly.</w:t>
      </w:r>
    </w:p>
    <w:p w14:paraId="5608B776" w14:textId="77777777" w:rsidR="00AF16A8" w:rsidRPr="00CF64A4" w:rsidRDefault="00AF16A8" w:rsidP="00AF16A8">
      <w:pPr>
        <w:spacing w:after="0"/>
        <w:ind w:left="720"/>
        <w:jc w:val="both"/>
        <w:rPr>
          <w:rFonts w:cs="Times New Roman"/>
          <w:lang w:eastAsia="en-US"/>
        </w:rPr>
      </w:pPr>
    </w:p>
    <w:p w14:paraId="277301E9" w14:textId="77777777" w:rsidR="00AF16A8" w:rsidRDefault="00AF16A8" w:rsidP="00AF16A8">
      <w:pPr>
        <w:spacing w:after="0"/>
        <w:ind w:left="720"/>
        <w:jc w:val="both"/>
        <w:rPr>
          <w:rFonts w:cs="Times New Roman"/>
          <w:lang w:eastAsia="en-US"/>
        </w:rPr>
      </w:pPr>
      <w:r w:rsidRPr="00CF64A4">
        <w:rPr>
          <w:rFonts w:cs="Times New Roman"/>
          <w:lang w:eastAsia="en-US"/>
        </w:rPr>
        <w:t>3. 'Federal terr</w:t>
      </w:r>
      <w:r>
        <w:rPr>
          <w:rFonts w:cs="Times New Roman"/>
          <w:lang w:eastAsia="en-US"/>
        </w:rPr>
        <w:t>itories': AOF, AEF, Togo, Camero</w:t>
      </w:r>
      <w:r w:rsidRPr="00CF64A4">
        <w:rPr>
          <w:rFonts w:cs="Times New Roman"/>
          <w:lang w:eastAsia="en-US"/>
        </w:rPr>
        <w:t>on, Oceania, French Somalia. These territories would remain 'under supervision' ['sous tutuelle'], but as they matured, they would acquire more political 'personality' and eventually choose their representatives to the federal assembly.</w:t>
      </w:r>
    </w:p>
    <w:p w14:paraId="021D0B89" w14:textId="77777777" w:rsidR="00AF16A8" w:rsidRPr="00CF64A4" w:rsidRDefault="00AF16A8" w:rsidP="00AF16A8">
      <w:pPr>
        <w:spacing w:after="0"/>
        <w:ind w:left="720"/>
        <w:jc w:val="both"/>
        <w:rPr>
          <w:rFonts w:cs="Times New Roman"/>
          <w:lang w:eastAsia="en-US"/>
        </w:rPr>
      </w:pPr>
    </w:p>
    <w:p w14:paraId="2F50299D" w14:textId="77777777" w:rsidR="00AF16A8" w:rsidRDefault="00AF16A8" w:rsidP="00AF16A8">
      <w:pPr>
        <w:spacing w:after="0"/>
        <w:ind w:left="720"/>
        <w:jc w:val="both"/>
        <w:rPr>
          <w:rFonts w:cs="Times New Roman"/>
          <w:lang w:eastAsia="en-US"/>
        </w:rPr>
      </w:pPr>
      <w:r w:rsidRPr="00CF64A4">
        <w:rPr>
          <w:rFonts w:cs="Times New Roman"/>
          <w:lang w:eastAsia="en-US"/>
        </w:rPr>
        <w:t>4. 'International pro</w:t>
      </w:r>
      <w:r>
        <w:rPr>
          <w:rFonts w:cs="Times New Roman"/>
          <w:lang w:eastAsia="en-US"/>
        </w:rPr>
        <w:t>tectorates': Tunisia, Morocco, N</w:t>
      </w:r>
      <w:r w:rsidRPr="00CF64A4">
        <w:rPr>
          <w:rFonts w:cs="Times New Roman"/>
          <w:lang w:eastAsia="en-US"/>
        </w:rPr>
        <w:t>ew Hebrides. Under international law, they possessed sovereignty and nationality, but the commission saw a 'spontaneous movement' among them toward 'the French community.' They too would have a place in the federal assembly.</w:t>
      </w:r>
      <w:r>
        <w:rPr>
          <w:rStyle w:val="FootnoteReference"/>
          <w:rFonts w:cs="Times New Roman"/>
          <w:lang w:eastAsia="en-US"/>
        </w:rPr>
        <w:footnoteReference w:id="90"/>
      </w:r>
    </w:p>
    <w:p w14:paraId="31593146" w14:textId="77777777" w:rsidR="00AF16A8" w:rsidRDefault="00AF16A8" w:rsidP="00AF16A8">
      <w:pPr>
        <w:spacing w:after="0"/>
        <w:ind w:left="720"/>
        <w:jc w:val="both"/>
        <w:rPr>
          <w:rFonts w:cs="Times New Roman"/>
          <w:lang w:eastAsia="en-US"/>
        </w:rPr>
      </w:pPr>
    </w:p>
    <w:p w14:paraId="45C40E9D" w14:textId="77777777" w:rsidR="00AF16A8" w:rsidRDefault="00AF16A8" w:rsidP="00AF16A8">
      <w:pPr>
        <w:spacing w:after="0" w:line="480" w:lineRule="auto"/>
        <w:jc w:val="both"/>
        <w:rPr>
          <w:rFonts w:cs="Times New Roman"/>
          <w:lang w:eastAsia="en-US"/>
        </w:rPr>
      </w:pPr>
      <w:r>
        <w:rPr>
          <w:rFonts w:cs="Times New Roman"/>
          <w:lang w:eastAsia="en-US"/>
        </w:rPr>
        <w:t>Depending on the categorization, each territory/province/protectorate/</w:t>
      </w:r>
      <w:r>
        <w:rPr>
          <w:rFonts w:cs="Times New Roman"/>
          <w:i/>
          <w:lang w:eastAsia="en-US"/>
        </w:rPr>
        <w:t xml:space="preserve">pays </w:t>
      </w:r>
      <w:r>
        <w:rPr>
          <w:rFonts w:cs="Times New Roman"/>
          <w:lang w:eastAsia="en-US"/>
        </w:rPr>
        <w:t>would have specific representation in the</w:t>
      </w:r>
      <w:r>
        <w:rPr>
          <w:rFonts w:cs="Times New Roman"/>
          <w:i/>
          <w:lang w:eastAsia="en-US"/>
        </w:rPr>
        <w:t xml:space="preserve"> </w:t>
      </w:r>
      <w:r>
        <w:rPr>
          <w:rFonts w:cs="Times New Roman"/>
          <w:lang w:eastAsia="en-US"/>
        </w:rPr>
        <w:t>National Assembly. The overseas territories had 64 out of 586 seats in the ANC, which were broken down by region and the number of European French and African French living in the area. For example, AOF had six deputies for Africans and four for French citizens. Morocco and Tunisia’s indigenous populations were not represented at the legislative level; only the European population could choose the five deputies for membership in the National Assembly.</w:t>
      </w:r>
      <w:r>
        <w:rPr>
          <w:rStyle w:val="FootnoteReference"/>
          <w:rFonts w:cs="Times New Roman"/>
          <w:lang w:eastAsia="en-US"/>
        </w:rPr>
        <w:footnoteReference w:id="91"/>
      </w:r>
      <w:r>
        <w:rPr>
          <w:rFonts w:cs="Times New Roman"/>
          <w:lang w:eastAsia="en-US"/>
        </w:rPr>
        <w:t xml:space="preserve"> </w:t>
      </w:r>
      <w:r w:rsidRPr="00886FFB">
        <w:rPr>
          <w:rFonts w:cs="Times New Roman"/>
          <w:lang w:eastAsia="en-US"/>
        </w:rPr>
        <w:t xml:space="preserve">Additionally, French and African legislators debated the idea of bicameral legislature and a double college of electorates. </w:t>
      </w:r>
      <w:r>
        <w:rPr>
          <w:rFonts w:cs="Times New Roman"/>
          <w:lang w:eastAsia="en-US"/>
        </w:rPr>
        <w:t xml:space="preserve">Senghor and Houphouët-Boigny, two African representatives in the National Assembly, argued that this would be an excluding and racist policy, whereas French politicians feared the sheer number of Africans influencing too much of the new French Republic. </w:t>
      </w:r>
    </w:p>
    <w:p w14:paraId="0D71821E" w14:textId="77777777" w:rsidR="00AF16A8" w:rsidRDefault="00AF16A8" w:rsidP="00AF16A8">
      <w:pPr>
        <w:spacing w:after="0" w:line="480" w:lineRule="auto"/>
        <w:jc w:val="both"/>
        <w:rPr>
          <w:rFonts w:cs="Times New Roman"/>
          <w:lang w:eastAsia="en-US"/>
        </w:rPr>
      </w:pPr>
      <w:r>
        <w:rPr>
          <w:rFonts w:cs="Times New Roman"/>
          <w:lang w:eastAsia="en-US"/>
        </w:rPr>
        <w:tab/>
        <w:t>In addition to the discussion of how to include African regions in the French Union, debates shifted to citizenship and if it would include both civil and political rights accompanied by French nationality. Those living in the Associated States, like Morocco and Tunisia, had only civil rights because these states had a different form of autonomy and self-rule than the rest of the French Union.</w:t>
      </w:r>
      <w:r>
        <w:rPr>
          <w:rStyle w:val="FootnoteReference"/>
          <w:rFonts w:cs="Times New Roman"/>
          <w:lang w:eastAsia="en-US"/>
        </w:rPr>
        <w:footnoteReference w:id="92"/>
      </w:r>
      <w:r>
        <w:rPr>
          <w:rFonts w:cs="Times New Roman"/>
          <w:lang w:eastAsia="en-US"/>
        </w:rPr>
        <w:t xml:space="preserve"> France did not have a legitimate, enforcing power in the Associated States and could merely suggest or propose that Morocco and Tunisia adopt the rights provided by the French Constitution. However, citizens of Morocco and Tunisia were “not foreigners on French soil,” but rather had a unique option to exercise their rights as a citizen of the French Union.</w:t>
      </w:r>
      <w:r>
        <w:rPr>
          <w:rStyle w:val="FootnoteReference"/>
          <w:rFonts w:cs="Times New Roman"/>
          <w:lang w:eastAsia="en-US"/>
        </w:rPr>
        <w:footnoteReference w:id="93"/>
      </w:r>
    </w:p>
    <w:p w14:paraId="56996DA6" w14:textId="1F184B3E" w:rsidR="00AF16A8" w:rsidRDefault="00AF16A8" w:rsidP="00AF16A8">
      <w:pPr>
        <w:spacing w:after="0" w:line="480" w:lineRule="auto"/>
        <w:ind w:firstLine="720"/>
        <w:jc w:val="both"/>
        <w:rPr>
          <w:rFonts w:cs="Times New Roman"/>
          <w:lang w:eastAsia="en-US"/>
        </w:rPr>
      </w:pPr>
      <w:r>
        <w:rPr>
          <w:rFonts w:cs="Times New Roman"/>
          <w:lang w:eastAsia="en-US"/>
        </w:rPr>
        <w:t>Residents could possess multiple nationalities. For example, one living in Soudan Français could be both Sudanese and French. These discrepancies of French Union citizenships “came out of a fundamentally imperial notion of governing people differently, with an evolutionary language betraying the notion of hierarchy rather than mutual acceptance”</w:t>
      </w:r>
      <w:r>
        <w:rPr>
          <w:rFonts w:cs="Times New Roman"/>
          <w:lang w:eastAsia="en-US"/>
        </w:rPr>
        <w:sym w:font="Symbol" w:char="F0BE"/>
      </w:r>
      <w:r>
        <w:rPr>
          <w:rFonts w:cs="Times New Roman"/>
          <w:lang w:eastAsia="en-US"/>
        </w:rPr>
        <w:t>meaning that the French Union attempted to portray an egalitarian society but in reality continued its practice of imperialism.</w:t>
      </w:r>
      <w:r>
        <w:rPr>
          <w:rStyle w:val="FootnoteReference"/>
          <w:rFonts w:cs="Times New Roman"/>
          <w:lang w:eastAsia="en-US"/>
        </w:rPr>
        <w:footnoteReference w:id="94"/>
      </w:r>
      <w:r>
        <w:rPr>
          <w:rFonts w:cs="Times New Roman"/>
          <w:lang w:eastAsia="en-US"/>
        </w:rPr>
        <w:t xml:space="preserve"> The French Assembly </w:t>
      </w:r>
      <w:r w:rsidRPr="00886FFB">
        <w:rPr>
          <w:rFonts w:cs="Times New Roman"/>
          <w:lang w:eastAsia="en-US"/>
        </w:rPr>
        <w:t xml:space="preserve">clarified the </w:t>
      </w:r>
      <w:r>
        <w:rPr>
          <w:rFonts w:cs="Times New Roman"/>
          <w:lang w:eastAsia="en-US"/>
        </w:rPr>
        <w:t>inequality between French citizenship and French Union citizenship; those in European France (or having ancestors from European France) would have French citizenship but those from the colonies would possess citizenship of the Union, where their passports would say “ ‘citoyen de l’Union’ (citizen of the French Union) as a badge of inferiority.”</w:t>
      </w:r>
      <w:r>
        <w:rPr>
          <w:rStyle w:val="FootnoteReference"/>
          <w:rFonts w:cs="Times New Roman"/>
          <w:lang w:eastAsia="en-US"/>
        </w:rPr>
        <w:footnoteReference w:id="95"/>
      </w:r>
      <w:r>
        <w:rPr>
          <w:rFonts w:cs="Times New Roman"/>
          <w:lang w:eastAsia="en-US"/>
        </w:rPr>
        <w:t xml:space="preserve"> This ambiguity in the “quality of citizen” allowed for continued discrimination.</w:t>
      </w:r>
      <w:r>
        <w:rPr>
          <w:rStyle w:val="FootnoteReference"/>
          <w:rFonts w:cs="Times New Roman"/>
          <w:lang w:eastAsia="en-US"/>
        </w:rPr>
        <w:footnoteReference w:id="96"/>
      </w:r>
      <w:r>
        <w:rPr>
          <w:rFonts w:cs="Times New Roman"/>
          <w:lang w:eastAsia="en-US"/>
        </w:rPr>
        <w:t xml:space="preserve"> The French</w:t>
      </w:r>
      <w:r w:rsidR="00A30128">
        <w:rPr>
          <w:rFonts w:cs="Times New Roman"/>
          <w:lang w:eastAsia="en-US"/>
        </w:rPr>
        <w:t xml:space="preserve"> Union was multinational with an imposed </w:t>
      </w:r>
      <w:r>
        <w:rPr>
          <w:rFonts w:cs="Times New Roman"/>
          <w:lang w:eastAsia="en-US"/>
        </w:rPr>
        <w:t xml:space="preserve">French nationality. </w:t>
      </w:r>
    </w:p>
    <w:p w14:paraId="57104E59" w14:textId="77777777" w:rsidR="00AF16A8" w:rsidRDefault="00AF16A8" w:rsidP="00AF16A8">
      <w:pPr>
        <w:spacing w:after="0" w:line="480" w:lineRule="auto"/>
        <w:jc w:val="both"/>
        <w:rPr>
          <w:rFonts w:cs="Times New Roman"/>
          <w:lang w:eastAsia="en-US"/>
        </w:rPr>
      </w:pPr>
      <w:r>
        <w:rPr>
          <w:rFonts w:cs="Times New Roman"/>
          <w:lang w:eastAsia="en-US"/>
        </w:rPr>
        <w:tab/>
        <w:t>With the Lamine Guèye law</w:t>
      </w:r>
      <w:r>
        <w:rPr>
          <w:rFonts w:cs="Times New Roman"/>
          <w:lang w:eastAsia="en-US"/>
        </w:rPr>
        <w:sym w:font="Symbol" w:char="F0BE"/>
      </w:r>
      <w:r>
        <w:rPr>
          <w:rFonts w:cs="Times New Roman"/>
          <w:lang w:eastAsia="en-US"/>
        </w:rPr>
        <w:t>the law that gave citizenship to the territories</w:t>
      </w:r>
      <w:r>
        <w:rPr>
          <w:rFonts w:cs="Times New Roman"/>
          <w:lang w:eastAsia="en-US"/>
        </w:rPr>
        <w:sym w:font="Symbol" w:char="F0BE"/>
      </w:r>
      <w:r>
        <w:rPr>
          <w:rFonts w:cs="Times New Roman"/>
          <w:lang w:eastAsia="en-US"/>
        </w:rPr>
        <w:t xml:space="preserve"> residents in African territories had citizenship but </w:t>
      </w:r>
      <w:r w:rsidRPr="00886FFB">
        <w:rPr>
          <w:rFonts w:cs="Times New Roman"/>
          <w:lang w:eastAsia="en-US"/>
        </w:rPr>
        <w:t>did not necessarily possess the right to vote directly for representation in the common assembly:</w:t>
      </w:r>
      <w:r>
        <w:rPr>
          <w:rFonts w:cs="Times New Roman"/>
          <w:lang w:eastAsia="en-US"/>
        </w:rPr>
        <w:t xml:space="preserve"> “there was universal suffrage, but not necessarily direct. There would be legislative assemblies in each territory, but they would have ‘delegated legislative power.’ ”</w:t>
      </w:r>
      <w:r>
        <w:rPr>
          <w:rStyle w:val="FootnoteReference"/>
          <w:rFonts w:cs="Times New Roman"/>
          <w:lang w:eastAsia="en-US"/>
        </w:rPr>
        <w:footnoteReference w:id="97"/>
      </w:r>
      <w:r>
        <w:rPr>
          <w:rFonts w:cs="Times New Roman"/>
          <w:lang w:eastAsia="en-US"/>
        </w:rPr>
        <w:t xml:space="preserve"> This discrimination is twofold</w:t>
      </w:r>
      <w:r w:rsidRPr="00886FFB">
        <w:rPr>
          <w:rFonts w:cs="Times New Roman"/>
          <w:lang w:eastAsia="en-US"/>
        </w:rPr>
        <w:t xml:space="preserve">: (1) because the </w:t>
      </w:r>
      <w:r w:rsidRPr="00886FFB">
        <w:rPr>
          <w:rFonts w:cs="Times New Roman"/>
          <w:i/>
          <w:lang w:eastAsia="en-US"/>
        </w:rPr>
        <w:t xml:space="preserve">état-civil </w:t>
      </w:r>
      <w:r w:rsidRPr="00886FFB">
        <w:rPr>
          <w:rFonts w:cs="Times New Roman"/>
          <w:lang w:eastAsia="en-US"/>
        </w:rPr>
        <w:t xml:space="preserve">was not fully in place, France lacked the bureaucratic capabilities to register every citizen, and (2) France was fearful that the sheer number of Africans voting would change the basis of the republican principles currently upheld by the Constitution. </w:t>
      </w:r>
      <w:r>
        <w:rPr>
          <w:rFonts w:cs="Times New Roman"/>
          <w:lang w:eastAsia="en-US"/>
        </w:rPr>
        <w:t>The French Union was trying to advocate for equality by removing racist institutions, and “no more could the status of the ‘indigène’—or a religious or racial designation—figure in decrees or laws, nor could personal status be an obstacle to the exercise of any right, with the notable exception of the right to vote.”</w:t>
      </w:r>
      <w:r>
        <w:rPr>
          <w:rStyle w:val="FootnoteReference"/>
          <w:rFonts w:cs="Times New Roman"/>
          <w:lang w:eastAsia="en-US"/>
        </w:rPr>
        <w:footnoteReference w:id="98"/>
      </w:r>
      <w:r>
        <w:rPr>
          <w:rFonts w:cs="Times New Roman"/>
          <w:lang w:eastAsia="en-US"/>
        </w:rPr>
        <w:t xml:space="preserve"> Few citizens had the right to vote directly for their representatives. This discrimination of citizenship in French Union is illustrated in Figure 1.1.,</w:t>
      </w:r>
      <w:r w:rsidRPr="00F9320F">
        <w:rPr>
          <w:rStyle w:val="FootnoteReference"/>
          <w:rFonts w:cs="Times New Roman"/>
          <w:i/>
          <w:lang w:eastAsia="en-US"/>
        </w:rPr>
        <w:t xml:space="preserve"> </w:t>
      </w:r>
      <w:r w:rsidRPr="00834882">
        <w:rPr>
          <w:rStyle w:val="FootnoteReference"/>
          <w:rFonts w:cs="Times New Roman"/>
          <w:i/>
          <w:lang w:eastAsia="en-US"/>
        </w:rPr>
        <w:footnoteReference w:id="99"/>
      </w:r>
      <w:r>
        <w:rPr>
          <w:rFonts w:cs="Times New Roman"/>
          <w:lang w:eastAsia="en-US"/>
        </w:rPr>
        <w:t xml:space="preserve"> which demonstrates the difference between French and personal civil status, as well as voters and nonvoters in the overseas regions. </w:t>
      </w:r>
    </w:p>
    <w:p w14:paraId="5E387A2D" w14:textId="77777777" w:rsidR="009025F4" w:rsidRDefault="009025F4" w:rsidP="00AF16A8">
      <w:pPr>
        <w:spacing w:after="0" w:line="480" w:lineRule="auto"/>
        <w:jc w:val="both"/>
        <w:rPr>
          <w:rFonts w:cs="Times New Roman"/>
          <w:lang w:eastAsia="en-US"/>
        </w:rPr>
      </w:pPr>
    </w:p>
    <w:p w14:paraId="279A8C64" w14:textId="77777777" w:rsidR="00AF16A8" w:rsidRDefault="00AF16A8" w:rsidP="00AF16A8">
      <w:pPr>
        <w:spacing w:after="0" w:line="480" w:lineRule="auto"/>
        <w:jc w:val="both"/>
        <w:rPr>
          <w:rFonts w:cs="Times New Roman"/>
          <w:lang w:eastAsia="en-US"/>
        </w:rPr>
      </w:pPr>
      <w:r>
        <w:rPr>
          <w:rFonts w:cs="Times New Roman"/>
          <w:noProof/>
          <w:lang w:eastAsia="en-US"/>
        </w:rPr>
        <w:drawing>
          <wp:inline distT="0" distB="0" distL="0" distR="0" wp14:anchorId="6CD1577F" wp14:editId="3616A13E">
            <wp:extent cx="4165600" cy="1739900"/>
            <wp:effectExtent l="0" t="0" r="0" b="1270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5600" cy="1739900"/>
                    </a:xfrm>
                    <a:prstGeom prst="rect">
                      <a:avLst/>
                    </a:prstGeom>
                    <a:noFill/>
                    <a:ln>
                      <a:noFill/>
                    </a:ln>
                  </pic:spPr>
                </pic:pic>
              </a:graphicData>
            </a:graphic>
          </wp:inline>
        </w:drawing>
      </w:r>
    </w:p>
    <w:p w14:paraId="6F08ACEB" w14:textId="3C914CF9" w:rsidR="00AF16A8" w:rsidRDefault="001D2816" w:rsidP="00AF16A8">
      <w:pPr>
        <w:spacing w:after="0" w:line="480" w:lineRule="auto"/>
        <w:jc w:val="both"/>
        <w:rPr>
          <w:rFonts w:cs="Times New Roman"/>
          <w:lang w:eastAsia="en-US"/>
        </w:rPr>
      </w:pPr>
      <w:r>
        <w:rPr>
          <w:rFonts w:cs="Times New Roman"/>
          <w:lang w:eastAsia="en-US"/>
        </w:rPr>
        <w:t>Table 1.2.</w:t>
      </w:r>
      <w:r w:rsidR="00AF16A8" w:rsidRPr="00F9320F">
        <w:rPr>
          <w:rFonts w:cs="Times New Roman"/>
          <w:lang w:eastAsia="en-US"/>
        </w:rPr>
        <w:t xml:space="preserve">. Citizenship in the French </w:t>
      </w:r>
      <w:r w:rsidR="00AF16A8">
        <w:rPr>
          <w:rFonts w:cs="Times New Roman"/>
          <w:lang w:eastAsia="en-US"/>
        </w:rPr>
        <w:t>Union</w:t>
      </w:r>
    </w:p>
    <w:p w14:paraId="37B400DA" w14:textId="77777777" w:rsidR="009025F4" w:rsidRDefault="009025F4" w:rsidP="00AF16A8">
      <w:pPr>
        <w:spacing w:after="0" w:line="480" w:lineRule="auto"/>
        <w:jc w:val="both"/>
        <w:rPr>
          <w:rFonts w:cs="Times New Roman"/>
          <w:lang w:eastAsia="en-US"/>
        </w:rPr>
      </w:pPr>
    </w:p>
    <w:p w14:paraId="3ADEB659" w14:textId="77777777" w:rsidR="00AF16A8" w:rsidRPr="00E3482A" w:rsidRDefault="00AF16A8" w:rsidP="00AF16A8">
      <w:pPr>
        <w:pStyle w:val="NormalWeb"/>
        <w:spacing w:before="0" w:beforeAutospacing="0" w:after="0" w:afterAutospacing="0" w:line="480" w:lineRule="auto"/>
        <w:ind w:firstLine="720"/>
        <w:jc w:val="both"/>
        <w:rPr>
          <w:rFonts w:ascii="Times New Roman" w:hAnsi="Times New Roman"/>
          <w:sz w:val="24"/>
          <w:szCs w:val="24"/>
        </w:rPr>
      </w:pPr>
      <w:r>
        <w:rPr>
          <w:rFonts w:ascii="Times New Roman" w:hAnsi="Times New Roman"/>
          <w:sz w:val="24"/>
          <w:szCs w:val="24"/>
        </w:rPr>
        <w:t xml:space="preserve">In 1956, France compromised and granted some authority to African colonial possessions through the </w:t>
      </w:r>
      <w:r>
        <w:rPr>
          <w:rFonts w:ascii="Times New Roman" w:hAnsi="Times New Roman"/>
          <w:i/>
          <w:sz w:val="24"/>
          <w:szCs w:val="24"/>
        </w:rPr>
        <w:t xml:space="preserve">loi cadre </w:t>
      </w:r>
      <w:r>
        <w:rPr>
          <w:rFonts w:ascii="Times New Roman" w:hAnsi="Times New Roman"/>
          <w:sz w:val="24"/>
          <w:szCs w:val="24"/>
        </w:rPr>
        <w:t xml:space="preserve">(reform act). The loi cadre transferred some authoritative powers from French to African politicians. However, this compromise on equality was not enough to convince many Africans to stay in the French Union. Because of the existing tensions, the French Assembly proposed a vote from each colonial possession to join the French Community. Guinea-Conakry was the only colony to vote “non” and was subsequently the first French territory to leave the French Empire. The African territories that voted “oui” now sought to discern their place in the greater French Community. </w:t>
      </w:r>
    </w:p>
    <w:p w14:paraId="0D063B4B" w14:textId="77777777" w:rsidR="00AF16A8" w:rsidRDefault="00AF16A8" w:rsidP="00AF16A8">
      <w:pPr>
        <w:spacing w:after="0" w:line="480" w:lineRule="auto"/>
        <w:ind w:firstLine="720"/>
        <w:jc w:val="both"/>
        <w:rPr>
          <w:rFonts w:cs="Times New Roman"/>
          <w:lang w:eastAsia="en-US"/>
        </w:rPr>
      </w:pPr>
      <w:r>
        <w:rPr>
          <w:rFonts w:cs="Times New Roman"/>
          <w:lang w:eastAsia="en-US"/>
        </w:rPr>
        <w:t>The elites of the territories attempted to establish their significance within the French Union. Leopold Senghor and Modibo Keita</w:t>
      </w:r>
      <w:r>
        <w:rPr>
          <w:rFonts w:cs="Times New Roman"/>
          <w:lang w:eastAsia="en-US"/>
        </w:rPr>
        <w:sym w:font="Symbol" w:char="F0BE"/>
      </w:r>
      <w:r>
        <w:rPr>
          <w:rFonts w:cs="Times New Roman"/>
          <w:lang w:eastAsia="en-US"/>
        </w:rPr>
        <w:t>the future presidents of Senegal and Mali</w:t>
      </w:r>
      <w:r>
        <w:rPr>
          <w:rFonts w:cs="Times New Roman"/>
          <w:lang w:eastAsia="en-US"/>
        </w:rPr>
        <w:sym w:font="Symbol" w:char="F0BE"/>
      </w:r>
      <w:r>
        <w:rPr>
          <w:rFonts w:cs="Times New Roman"/>
          <w:lang w:eastAsia="en-US"/>
        </w:rPr>
        <w:t>organized their territories into the Mali Federation. Senghor, especially, advocated for the French Union to be organized into a confederation with federations between African nations.</w:t>
      </w:r>
      <w:r>
        <w:rPr>
          <w:rStyle w:val="FootnoteReference"/>
          <w:rFonts w:cs="Times New Roman"/>
          <w:lang w:eastAsia="en-US"/>
        </w:rPr>
        <w:footnoteReference w:id="100"/>
      </w:r>
      <w:r>
        <w:rPr>
          <w:rFonts w:cs="Times New Roman"/>
          <w:lang w:eastAsia="en-US"/>
        </w:rPr>
        <w:t xml:space="preserve"> Senghor attempted to persuade Houphouët-Boigny and the rest of French West Africa to join the federation, but Côte d’Ivoire refused because she wanted territorial autonomy and direct communication with </w:t>
      </w:r>
      <w:r w:rsidRPr="00945F5A">
        <w:rPr>
          <w:rFonts w:cs="Times New Roman"/>
          <w:lang w:eastAsia="en-US"/>
        </w:rPr>
        <w:t>France</w:t>
      </w:r>
      <w:r>
        <w:rPr>
          <w:rFonts w:cs="Times New Roman"/>
          <w:lang w:eastAsia="en-US"/>
        </w:rPr>
        <w:t xml:space="preserve"> rather than a federation.</w:t>
      </w:r>
      <w:r>
        <w:rPr>
          <w:rStyle w:val="FootnoteReference"/>
          <w:rFonts w:cs="Times New Roman"/>
          <w:lang w:eastAsia="en-US"/>
        </w:rPr>
        <w:footnoteReference w:id="101"/>
      </w:r>
      <w:r>
        <w:rPr>
          <w:rFonts w:cs="Times New Roman"/>
          <w:lang w:eastAsia="en-US"/>
        </w:rPr>
        <w:t xml:space="preserve"> Confusingly, Côte d’Ivoire joined with Niger, Upper Volta (Burkina Faso), and Dahomey (Benin) to create a coordinating body called the </w:t>
      </w:r>
      <w:r w:rsidRPr="009370D6">
        <w:rPr>
          <w:rFonts w:cs="Times New Roman"/>
          <w:i/>
          <w:lang w:eastAsia="en-US"/>
        </w:rPr>
        <w:t>Conseil de l’Entente</w:t>
      </w:r>
      <w:r>
        <w:rPr>
          <w:rFonts w:cs="Times New Roman"/>
          <w:i/>
          <w:lang w:eastAsia="en-US"/>
        </w:rPr>
        <w:t xml:space="preserve"> </w:t>
      </w:r>
      <w:r>
        <w:rPr>
          <w:rFonts w:cs="Times New Roman"/>
          <w:lang w:eastAsia="en-US"/>
        </w:rPr>
        <w:t>(</w:t>
      </w:r>
      <w:r w:rsidRPr="00DB2648">
        <w:rPr>
          <w:rFonts w:cs="Times New Roman"/>
          <w:lang w:eastAsia="en-US"/>
        </w:rPr>
        <w:t>Council of Entente</w:t>
      </w:r>
      <w:r>
        <w:rPr>
          <w:rFonts w:cs="Times New Roman"/>
          <w:lang w:eastAsia="en-US"/>
        </w:rPr>
        <w:t>).</w:t>
      </w:r>
      <w:r>
        <w:rPr>
          <w:rStyle w:val="FootnoteReference"/>
          <w:rFonts w:cs="Times New Roman"/>
          <w:lang w:eastAsia="en-US"/>
        </w:rPr>
        <w:footnoteReference w:id="102"/>
      </w:r>
      <w:r>
        <w:rPr>
          <w:rFonts w:cs="Times New Roman"/>
          <w:lang w:eastAsia="en-US"/>
        </w:rPr>
        <w:t xml:space="preserve"> This division between African elites and leaders resulted in “French West Africa split into two blocks” held together by their relationship with France rather than each other, meaning they lacked horizontal solidarity.</w:t>
      </w:r>
      <w:r>
        <w:rPr>
          <w:rStyle w:val="FootnoteReference"/>
          <w:rFonts w:cs="Times New Roman"/>
          <w:lang w:eastAsia="en-US"/>
        </w:rPr>
        <w:footnoteReference w:id="103"/>
      </w:r>
    </w:p>
    <w:p w14:paraId="431D603F" w14:textId="77777777" w:rsidR="00AF16A8" w:rsidRDefault="00AF16A8" w:rsidP="00AF16A8">
      <w:pPr>
        <w:spacing w:after="0" w:line="480" w:lineRule="auto"/>
        <w:jc w:val="both"/>
        <w:rPr>
          <w:rFonts w:cs="Times New Roman"/>
          <w:lang w:eastAsia="en-US"/>
        </w:rPr>
      </w:pPr>
      <w:r>
        <w:rPr>
          <w:rFonts w:cs="Times New Roman"/>
          <w:lang w:eastAsia="en-US"/>
        </w:rPr>
        <w:tab/>
        <w:t xml:space="preserve">As these African federations failed, based on differences between independent states and the lack of cooperation, the former French-African states shifted their focus towards independence from France through means of gaining “competences” in order to avoid the complete break between colonizer and colonized that happened in Guinea-Conakry in 1958. Not only was there a desire from Africa to gain independence at this point, but also President Charles de Gaulle began to realize that the former colonies were costing more than they were worth. However, </w:t>
      </w:r>
      <w:r w:rsidRPr="00E769DA">
        <w:rPr>
          <w:rFonts w:cs="Times New Roman"/>
          <w:lang w:eastAsia="en-US"/>
        </w:rPr>
        <w:t>France</w:t>
      </w:r>
      <w:r>
        <w:rPr>
          <w:rFonts w:cs="Times New Roman"/>
          <w:lang w:eastAsia="en-US"/>
        </w:rPr>
        <w:t xml:space="preserve"> was so “eager to keep the [Mali Federation] in the French fold that it changed its own constitution to allow an independent, sovereign state to remain in the Community.”</w:t>
      </w:r>
      <w:r>
        <w:rPr>
          <w:rStyle w:val="FootnoteReference"/>
          <w:rFonts w:cs="Times New Roman"/>
          <w:lang w:eastAsia="en-US"/>
        </w:rPr>
        <w:footnoteReference w:id="104"/>
      </w:r>
      <w:r>
        <w:rPr>
          <w:rFonts w:cs="Times New Roman"/>
          <w:lang w:eastAsia="en-US"/>
        </w:rPr>
        <w:t xml:space="preserve"> When Guinea demanded independence, French administrators abandoned the colony by “empt[ying] their cash registers and shipp[ing] the weapons of the police, the library of the Ministry of Justice, and the furniture of the governor’s palace back to France.”</w:t>
      </w:r>
      <w:r>
        <w:rPr>
          <w:rStyle w:val="FootnoteReference"/>
          <w:rFonts w:cs="Times New Roman"/>
          <w:lang w:eastAsia="en-US"/>
        </w:rPr>
        <w:footnoteReference w:id="105"/>
      </w:r>
      <w:r>
        <w:rPr>
          <w:rFonts w:cs="Times New Roman"/>
          <w:lang w:eastAsia="en-US"/>
        </w:rPr>
        <w:t xml:space="preserve"> Not only had France become </w:t>
      </w:r>
      <w:r w:rsidRPr="00E769DA">
        <w:rPr>
          <w:rFonts w:cs="Times New Roman"/>
          <w:lang w:eastAsia="en-US"/>
        </w:rPr>
        <w:t>desperate</w:t>
      </w:r>
      <w:r>
        <w:rPr>
          <w:rFonts w:cs="Times New Roman"/>
          <w:lang w:eastAsia="en-US"/>
        </w:rPr>
        <w:t xml:space="preserve"> to preserve the former empire, but it disproportionately favored colonies that were more like France.</w:t>
      </w:r>
    </w:p>
    <w:p w14:paraId="59022CF9" w14:textId="77777777" w:rsidR="00AF16A8" w:rsidRDefault="00AF16A8" w:rsidP="00AF16A8">
      <w:pPr>
        <w:spacing w:after="0" w:line="480" w:lineRule="auto"/>
        <w:ind w:firstLine="720"/>
        <w:jc w:val="both"/>
        <w:rPr>
          <w:rFonts w:cs="Times New Roman"/>
          <w:lang w:eastAsia="en-US"/>
        </w:rPr>
      </w:pPr>
      <w:r>
        <w:rPr>
          <w:rFonts w:cs="Times New Roman"/>
          <w:lang w:eastAsia="en-US"/>
        </w:rPr>
        <w:t>As former colonies gained independence, de Gaulle left “the door open to its ex-citizens to reassert their French nationality if they established residence within the current boundaries of France, even if they had another nationality.”</w:t>
      </w:r>
      <w:r>
        <w:rPr>
          <w:rStyle w:val="FootnoteReference"/>
          <w:rFonts w:cs="Times New Roman"/>
          <w:lang w:eastAsia="en-US"/>
        </w:rPr>
        <w:footnoteReference w:id="106"/>
      </w:r>
      <w:r>
        <w:rPr>
          <w:rFonts w:cs="Times New Roman"/>
          <w:lang w:eastAsia="en-US"/>
        </w:rPr>
        <w:t xml:space="preserve"> The French government provided freedom of movement in the former French Community until the 1970s. The formerly colonized were able to travel throughout francophone Africa and France for both labor and leisure. Once again, there was discrimination based on geography and recognizing French nationality post-independence:</w:t>
      </w:r>
    </w:p>
    <w:p w14:paraId="43842F5D" w14:textId="77777777" w:rsidR="00AF16A8" w:rsidRDefault="00AF16A8" w:rsidP="00AF16A8">
      <w:pPr>
        <w:spacing w:after="0"/>
        <w:ind w:left="720"/>
        <w:jc w:val="both"/>
        <w:rPr>
          <w:rFonts w:cs="Times New Roman"/>
          <w:lang w:eastAsia="en-US"/>
        </w:rPr>
      </w:pPr>
      <w:r>
        <w:rPr>
          <w:rFonts w:cs="Times New Roman"/>
          <w:lang w:eastAsia="en-US"/>
        </w:rPr>
        <w:t>Africans born before independence could have their French nationality ‘recognized’ if and only if they established residency within the current boundaries of the French Republic… people who were descended from an ‘originaire’…of the République française could retain their French nationality without the residency requirements…Algerians could retain French nationality without settling in France if they were of French civil status.</w:t>
      </w:r>
      <w:r>
        <w:rPr>
          <w:rStyle w:val="FootnoteReference"/>
          <w:rFonts w:cs="Times New Roman"/>
          <w:lang w:eastAsia="en-US"/>
        </w:rPr>
        <w:footnoteReference w:id="107"/>
      </w:r>
    </w:p>
    <w:p w14:paraId="4119D3A2" w14:textId="77777777" w:rsidR="00AF16A8" w:rsidRDefault="00AF16A8" w:rsidP="00AF16A8">
      <w:pPr>
        <w:spacing w:after="0"/>
        <w:jc w:val="both"/>
        <w:rPr>
          <w:rFonts w:cs="Times New Roman"/>
          <w:lang w:eastAsia="en-US"/>
        </w:rPr>
      </w:pPr>
    </w:p>
    <w:p w14:paraId="16D8C752" w14:textId="77777777" w:rsidR="00AF16A8" w:rsidRDefault="00AF16A8" w:rsidP="00AF16A8">
      <w:pPr>
        <w:spacing w:after="0" w:line="480" w:lineRule="auto"/>
        <w:jc w:val="both"/>
        <w:rPr>
          <w:rFonts w:cs="Times New Roman"/>
          <w:lang w:eastAsia="en-US"/>
        </w:rPr>
      </w:pPr>
      <w:r>
        <w:rPr>
          <w:rFonts w:cs="Times New Roman"/>
          <w:lang w:eastAsia="en-US"/>
        </w:rPr>
        <w:t xml:space="preserve">Only those who had an adequate amount of ‘Frenchness’ were able to apply for French citizenship and nationality with the dissolution of the French Community, yet </w:t>
      </w:r>
      <w:r>
        <w:rPr>
          <w:rFonts w:cs="Times New Roman"/>
          <w:i/>
          <w:lang w:eastAsia="en-US"/>
        </w:rPr>
        <w:t xml:space="preserve">originaires </w:t>
      </w:r>
      <w:r>
        <w:rPr>
          <w:rFonts w:cs="Times New Roman"/>
          <w:lang w:eastAsia="en-US"/>
        </w:rPr>
        <w:t xml:space="preserve">did not have to be physically present in mainland France to preserve their French nationality. </w:t>
      </w:r>
    </w:p>
    <w:p w14:paraId="1563439F" w14:textId="77777777" w:rsidR="00AF16A8" w:rsidRDefault="00AF16A8" w:rsidP="00AF16A8">
      <w:pPr>
        <w:spacing w:after="0" w:line="480" w:lineRule="auto"/>
        <w:ind w:firstLine="720"/>
        <w:jc w:val="both"/>
        <w:rPr>
          <w:rFonts w:cs="Times New Roman"/>
          <w:lang w:eastAsia="en-US"/>
        </w:rPr>
      </w:pPr>
    </w:p>
    <w:p w14:paraId="1C25F265" w14:textId="77777777" w:rsidR="00AF16A8" w:rsidRPr="00003CC8" w:rsidRDefault="00AF16A8" w:rsidP="00127EC1">
      <w:pPr>
        <w:spacing w:after="0" w:line="480" w:lineRule="auto"/>
        <w:jc w:val="center"/>
        <w:rPr>
          <w:rFonts w:cs="Times New Roman"/>
          <w:b/>
          <w:lang w:eastAsia="en-US"/>
        </w:rPr>
      </w:pPr>
      <w:r w:rsidRPr="00B01325">
        <w:rPr>
          <w:rFonts w:cs="Times New Roman"/>
          <w:b/>
          <w:lang w:eastAsia="en-US"/>
        </w:rPr>
        <w:t>Conclusion</w:t>
      </w:r>
    </w:p>
    <w:p w14:paraId="76D0D90A" w14:textId="55CCFF40" w:rsidR="00AF16A8" w:rsidRDefault="00AF16A8" w:rsidP="00C578E1">
      <w:pPr>
        <w:spacing w:after="0" w:line="480" w:lineRule="auto"/>
        <w:ind w:firstLine="720"/>
        <w:jc w:val="both"/>
        <w:rPr>
          <w:rFonts w:cs="Times New Roman"/>
          <w:lang w:eastAsia="en-US"/>
        </w:rPr>
      </w:pPr>
      <w:r>
        <w:rPr>
          <w:rFonts w:cs="Times New Roman"/>
          <w:lang w:eastAsia="en-US"/>
        </w:rPr>
        <w:t>France lacked a unified doctrine for West and Equatorial Africa; instead of homogeneous policies, “actions had been undertaken piecemeal, often with the best of intentions.”</w:t>
      </w:r>
      <w:r>
        <w:rPr>
          <w:rStyle w:val="FootnoteReference"/>
          <w:rFonts w:cs="Times New Roman"/>
          <w:lang w:eastAsia="en-US"/>
        </w:rPr>
        <w:footnoteReference w:id="108"/>
      </w:r>
      <w:r>
        <w:rPr>
          <w:rFonts w:cs="Times New Roman"/>
          <w:lang w:eastAsia="en-US"/>
        </w:rPr>
        <w:t xml:space="preserve"> Because of this piecemeal process of applying French rule on the African continent, the colonized often differed in their perceptions of identity and the legitimacy of French rule. Those with a “political belonging,” in the French Republic, especially those who held political positions, fared better during and after colonization than those who remained </w:t>
      </w:r>
      <w:r>
        <w:rPr>
          <w:rFonts w:cs="Times New Roman"/>
          <w:i/>
          <w:lang w:eastAsia="en-US"/>
        </w:rPr>
        <w:t xml:space="preserve">sujets </w:t>
      </w:r>
      <w:r>
        <w:rPr>
          <w:rFonts w:cs="Times New Roman"/>
          <w:lang w:eastAsia="en-US"/>
        </w:rPr>
        <w:t>throughout the entire period.</w:t>
      </w:r>
      <w:r>
        <w:rPr>
          <w:rStyle w:val="FootnoteReference"/>
          <w:rFonts w:cs="Times New Roman"/>
          <w:lang w:eastAsia="en-US"/>
        </w:rPr>
        <w:footnoteReference w:id="109"/>
      </w:r>
      <w:r>
        <w:rPr>
          <w:rFonts w:cs="Times New Roman"/>
          <w:lang w:eastAsia="en-US"/>
        </w:rPr>
        <w:t xml:space="preserve"> </w:t>
      </w:r>
      <w:r w:rsidR="00854728">
        <w:rPr>
          <w:rFonts w:cs="Times New Roman"/>
          <w:lang w:eastAsia="en-US"/>
        </w:rPr>
        <w:t xml:space="preserve">By actively participating in the colonial empire, through voting and serving in minor administrative positions, some Africans began to </w:t>
      </w:r>
      <w:r w:rsidR="00C578E1">
        <w:rPr>
          <w:rFonts w:cs="Times New Roman"/>
          <w:lang w:eastAsia="en-US"/>
        </w:rPr>
        <w:t>adopt</w:t>
      </w:r>
      <w:r w:rsidR="00854728">
        <w:rPr>
          <w:rFonts w:cs="Times New Roman"/>
          <w:lang w:eastAsia="en-US"/>
        </w:rPr>
        <w:t xml:space="preserve"> the French identity</w:t>
      </w:r>
      <w:r w:rsidR="00C578E1">
        <w:rPr>
          <w:rFonts w:cs="Times New Roman"/>
          <w:lang w:eastAsia="en-US"/>
        </w:rPr>
        <w:t xml:space="preserve">, as was the case for the group of </w:t>
      </w:r>
      <w:r w:rsidR="00C578E1">
        <w:rPr>
          <w:rFonts w:cs="Times New Roman"/>
          <w:i/>
          <w:lang w:eastAsia="en-US"/>
        </w:rPr>
        <w:t>assimilés</w:t>
      </w:r>
      <w:r w:rsidR="00854728">
        <w:rPr>
          <w:rFonts w:cs="Times New Roman"/>
          <w:lang w:eastAsia="en-US"/>
        </w:rPr>
        <w:t xml:space="preserve">. As will be analyzed in the following chapter, these </w:t>
      </w:r>
      <w:r w:rsidR="00C578E1">
        <w:rPr>
          <w:rFonts w:cs="Times New Roman"/>
          <w:lang w:eastAsia="en-US"/>
        </w:rPr>
        <w:t>groups</w:t>
      </w:r>
      <w:r w:rsidR="00854728">
        <w:rPr>
          <w:rFonts w:cs="Times New Roman"/>
          <w:lang w:eastAsia="en-US"/>
        </w:rPr>
        <w:t xml:space="preserve"> often facilitated and accepted a close relationship with their former colonizer in the post-independent years</w:t>
      </w:r>
      <w:r w:rsidR="00BD3D05">
        <w:rPr>
          <w:rFonts w:cs="Times New Roman"/>
          <w:lang w:eastAsia="en-US"/>
        </w:rPr>
        <w:t>, furthering the relative “Frenchness</w:t>
      </w:r>
      <w:r w:rsidR="00854728">
        <w:rPr>
          <w:rFonts w:cs="Times New Roman"/>
          <w:lang w:eastAsia="en-US"/>
        </w:rPr>
        <w:t>.</w:t>
      </w:r>
      <w:r w:rsidR="00BD3D05">
        <w:rPr>
          <w:rFonts w:cs="Times New Roman"/>
          <w:lang w:eastAsia="en-US"/>
        </w:rPr>
        <w:t>”</w:t>
      </w:r>
      <w:r w:rsidR="00854728">
        <w:rPr>
          <w:rFonts w:cs="Times New Roman"/>
          <w:lang w:eastAsia="en-US"/>
        </w:rPr>
        <w:t xml:space="preserve"> The</w:t>
      </w:r>
      <w:r w:rsidR="00BD3D05">
        <w:rPr>
          <w:rFonts w:cs="Times New Roman"/>
          <w:lang w:eastAsia="en-US"/>
        </w:rPr>
        <w:t>se</w:t>
      </w:r>
      <w:r w:rsidR="00854728">
        <w:rPr>
          <w:rFonts w:cs="Times New Roman"/>
          <w:lang w:eastAsia="en-US"/>
        </w:rPr>
        <w:t xml:space="preserve"> </w:t>
      </w:r>
      <w:r>
        <w:rPr>
          <w:rFonts w:cs="Times New Roman"/>
          <w:lang w:eastAsia="en-US"/>
        </w:rPr>
        <w:t xml:space="preserve">levels of “Frenchness” created during colonialism at both the individual and regional levels have repercussions for modern-day relations, as will be illustrated in the third chapter and the presentation of how identity drives aid allocation.  </w:t>
      </w:r>
    </w:p>
    <w:p w14:paraId="440D2FAF" w14:textId="77777777" w:rsidR="007C57B9" w:rsidRDefault="007C57B9" w:rsidP="00AF16A8">
      <w:pPr>
        <w:spacing w:after="0" w:line="480" w:lineRule="auto"/>
        <w:ind w:firstLine="720"/>
        <w:jc w:val="both"/>
        <w:rPr>
          <w:rFonts w:cs="Times New Roman"/>
          <w:lang w:eastAsia="en-US"/>
        </w:rPr>
      </w:pPr>
    </w:p>
    <w:p w14:paraId="48EB2C7B" w14:textId="77777777" w:rsidR="007C57B9" w:rsidRDefault="007C57B9" w:rsidP="007C57B9">
      <w:pPr>
        <w:spacing w:after="0" w:line="480" w:lineRule="auto"/>
        <w:jc w:val="both"/>
        <w:rPr>
          <w:rFonts w:cs="Times New Roman"/>
          <w:lang w:eastAsia="en-US"/>
        </w:rPr>
      </w:pPr>
    </w:p>
    <w:p w14:paraId="4523585B" w14:textId="77777777" w:rsidR="00AF16A8" w:rsidRDefault="00AF16A8" w:rsidP="00AF16A8">
      <w:pPr>
        <w:spacing w:after="0" w:line="480" w:lineRule="auto"/>
        <w:jc w:val="both"/>
      </w:pPr>
    </w:p>
    <w:p w14:paraId="512F793E" w14:textId="77777777" w:rsidR="007C57B9" w:rsidRDefault="007C57B9">
      <w:pPr>
        <w:rPr>
          <w:b/>
          <w:sz w:val="28"/>
          <w:szCs w:val="28"/>
        </w:rPr>
      </w:pPr>
      <w:r>
        <w:rPr>
          <w:b/>
          <w:sz w:val="28"/>
          <w:szCs w:val="28"/>
        </w:rPr>
        <w:br w:type="page"/>
      </w:r>
    </w:p>
    <w:p w14:paraId="52423430" w14:textId="011657B5" w:rsidR="00DF5D73" w:rsidRPr="00AE2B47" w:rsidRDefault="00DF5D73" w:rsidP="009025F4">
      <w:pPr>
        <w:spacing w:after="0" w:line="480" w:lineRule="auto"/>
        <w:jc w:val="center"/>
        <w:rPr>
          <w:b/>
          <w:sz w:val="28"/>
          <w:szCs w:val="28"/>
        </w:rPr>
      </w:pPr>
      <w:r w:rsidRPr="00AE2B47">
        <w:rPr>
          <w:b/>
          <w:sz w:val="28"/>
          <w:szCs w:val="28"/>
        </w:rPr>
        <w:t xml:space="preserve">Chapter 2: </w:t>
      </w:r>
      <w:r w:rsidR="00786B13">
        <w:rPr>
          <w:b/>
          <w:sz w:val="28"/>
          <w:szCs w:val="28"/>
        </w:rPr>
        <w:t xml:space="preserve">The Role of Françafrique in </w:t>
      </w:r>
      <w:r w:rsidRPr="00AE2B47">
        <w:rPr>
          <w:b/>
          <w:sz w:val="28"/>
          <w:szCs w:val="28"/>
        </w:rPr>
        <w:t>Post-Colonial Identity Formation</w:t>
      </w:r>
    </w:p>
    <w:p w14:paraId="50D8FBCA" w14:textId="77777777" w:rsidR="00DF5D73" w:rsidRPr="006A1240" w:rsidRDefault="00DF5D73" w:rsidP="00DF5D73">
      <w:pPr>
        <w:spacing w:after="0" w:line="480" w:lineRule="auto"/>
        <w:jc w:val="center"/>
        <w:rPr>
          <w:b/>
        </w:rPr>
      </w:pPr>
    </w:p>
    <w:p w14:paraId="2F4052DE" w14:textId="76C47242" w:rsidR="00DF5D73" w:rsidRDefault="00DF5D73" w:rsidP="00DF5D73">
      <w:pPr>
        <w:spacing w:after="0" w:line="480" w:lineRule="auto"/>
        <w:ind w:firstLine="720"/>
        <w:jc w:val="both"/>
      </w:pPr>
      <w:r w:rsidRPr="0098364A">
        <w:t>The failu</w:t>
      </w:r>
      <w:r w:rsidR="00A30128">
        <w:t>res of the French Union and Community</w:t>
      </w:r>
      <w:r w:rsidRPr="0098364A">
        <w:t xml:space="preserve"> influence</w:t>
      </w:r>
      <w:r>
        <w:t>d the new</w:t>
      </w:r>
      <w:r w:rsidR="00A30128">
        <w:t>, neocolonial</w:t>
      </w:r>
      <w:r>
        <w:t xml:space="preserve"> </w:t>
      </w:r>
      <w:r w:rsidRPr="0098364A">
        <w:t xml:space="preserve">approach through covert networks, </w:t>
      </w:r>
      <w:r>
        <w:t>or</w:t>
      </w:r>
      <w:r w:rsidRPr="0098364A">
        <w:t xml:space="preserve"> </w:t>
      </w:r>
      <w:r w:rsidR="00A30128">
        <w:t>what has been called</w:t>
      </w:r>
      <w:r w:rsidRPr="0098364A">
        <w:t xml:space="preserve"> Françafrique. </w:t>
      </w:r>
      <w:r>
        <w:t xml:space="preserve">French colonialism was the beginning of “Frenchness” in Africa, but de Gaulle made several attempts to maintain influence in former colonies, including the failed French Union followed by Françafrique interventions. Despite the collapse of the French Union in 1960, caused by the independence movements that encompassed much of Africa, France has continued to maintain its hold on former African territories through the policy of Françafrique. This unofficial policy arose under the de Gaulle administration with the appointment of Jacques Foccart as chief advisor of </w:t>
      </w:r>
      <w:r>
        <w:rPr>
          <w:i/>
        </w:rPr>
        <w:t xml:space="preserve">cellule africaine </w:t>
      </w:r>
      <w:r>
        <w:t>(African cell). Following the decolonization of French colonial possessions (excluding Guinea and Algeria) in 1960, de Gaulle advocated for “independence for France’s African colonies only in theory, while keeping them reliant on France in practice.”</w:t>
      </w:r>
      <w:r>
        <w:rPr>
          <w:rStyle w:val="FootnoteReference"/>
        </w:rPr>
        <w:footnoteReference w:id="110"/>
      </w:r>
      <w:r>
        <w:t xml:space="preserve"> Françafrique</w:t>
      </w:r>
      <w:r w:rsidRPr="009F20C1">
        <w:t xml:space="preserve"> was implemented through bilateral treaties of cooperation with </w:t>
      </w:r>
      <w:r>
        <w:t>eighteen former French colonies. These bilateral treaties included</w:t>
      </w:r>
      <w:r w:rsidRPr="009F20C1">
        <w:t xml:space="preserve"> the c</w:t>
      </w:r>
      <w:r>
        <w:t xml:space="preserve">reation of the CFA franc zone, holding of </w:t>
      </w:r>
      <w:r w:rsidRPr="009F20C1">
        <w:t xml:space="preserve">African reserves in the </w:t>
      </w:r>
      <w:r>
        <w:t>French Treasury, budgets directl</w:t>
      </w:r>
      <w:r w:rsidRPr="009F20C1">
        <w:t>y dependent on French aid, French officials running African schools, and a handful of defense</w:t>
      </w:r>
      <w:r>
        <w:t xml:space="preserve"> agreements</w:t>
      </w:r>
      <w:r w:rsidRPr="009F20C1">
        <w:t>.</w:t>
      </w:r>
      <w:r>
        <w:t xml:space="preserve"> The origins of Françafrique are rooted in these bilateral agreements in the immediate post-colonial world.</w:t>
      </w:r>
    </w:p>
    <w:p w14:paraId="22FF52D7" w14:textId="77777777" w:rsidR="00A30128" w:rsidRDefault="00DF5D73" w:rsidP="00DF5D73">
      <w:pPr>
        <w:spacing w:after="0" w:line="480" w:lineRule="auto"/>
        <w:ind w:firstLine="720"/>
        <w:jc w:val="both"/>
      </w:pPr>
      <w:r>
        <w:t>So what does Françafrique really mean? Françafrique is a term that broadly denotes the relationship between France and former French colonies.</w:t>
      </w:r>
      <w:r>
        <w:rPr>
          <w:rStyle w:val="FootnoteReference"/>
        </w:rPr>
        <w:footnoteReference w:id="111"/>
      </w:r>
      <w:r>
        <w:t xml:space="preserve"> However, in recent years, it has been extended to include other African countries as well. The term itself is borrowed from the former Côte d’Ivoire President, Felix Houphouët-Boigny, who maintained a close relationship with various French administrations throughout his thirty-three yearlong rule. More specifically, Françafrique includes informal networks—such as the corrupt relationship between French </w:t>
      </w:r>
      <w:r w:rsidR="00A30128">
        <w:t>corporation executives</w:t>
      </w:r>
      <w:r>
        <w:t xml:space="preserve"> and African political leaders—as well as the official channels of </w:t>
      </w:r>
      <w:r w:rsidR="00A30128">
        <w:t xml:space="preserve">French </w:t>
      </w:r>
      <w:r>
        <w:t xml:space="preserve">education and military assistance. The informal networks of Françafrique are not officially sponsored by the state but operate alongside the policies of the French government. </w:t>
      </w:r>
    </w:p>
    <w:p w14:paraId="51B7EA5C" w14:textId="3819D919" w:rsidR="00DF5D73" w:rsidRDefault="00DF5D73" w:rsidP="00DF5D73">
      <w:pPr>
        <w:spacing w:after="0" w:line="480" w:lineRule="auto"/>
        <w:ind w:firstLine="720"/>
        <w:jc w:val="both"/>
      </w:pPr>
      <w:r>
        <w:t xml:space="preserve">Further emphasizing the uniqueness of the relationship between France and former colonies through Françafrique is the absence of such in imperial counterparts, like the British or Portuguese. Although many former British colonies belong to the Commonwealth of Nations, this intergovernmental organization is based on consensus. French actors—specifically politicians and wealthy businessmen—mostly determine Françafrique with little consultation from their African correspondents. For the purposes of this thesis, I will use Françafrique as the combination of official and informal policies between the French government, French multinational corporations, and French actors, in their negotiations and often exploitation of African nations. Despite originating at the end of colonization, Françafrique has continued to drive French policies towards its former colonies and other African nations. </w:t>
      </w:r>
    </w:p>
    <w:p w14:paraId="17A6B1DA" w14:textId="55328AE5" w:rsidR="00DF5D73" w:rsidRDefault="00DF5D73" w:rsidP="00DF5D73">
      <w:pPr>
        <w:spacing w:after="0" w:line="480" w:lineRule="auto"/>
        <w:ind w:firstLine="720"/>
        <w:jc w:val="both"/>
      </w:pPr>
      <w:r>
        <w:t xml:space="preserve">Françafrique illustrates the interconnectedness between states, with France grabbing for power in African nations through social, political, and economic means. Françafrique and French interest in Africa is motivated by the desire </w:t>
      </w:r>
      <w:r w:rsidR="00A30128">
        <w:t xml:space="preserve">for French </w:t>
      </w:r>
      <w:r>
        <w:t>influence and access to natural resources. The material benefits from petrodollars and secret economic negotiations cannot be completely disregarded as a part of the motivation behind Françafrique.</w:t>
      </w:r>
      <w:r>
        <w:rPr>
          <w:rStyle w:val="FootnoteReference"/>
        </w:rPr>
        <w:footnoteReference w:id="112"/>
      </w:r>
      <w:r>
        <w:t xml:space="preserve"> Some critics of Franco-African relations have dubbed Françafrique as “France à fric,” which translates as a source of cash.</w:t>
      </w:r>
      <w:r>
        <w:rPr>
          <w:rStyle w:val="FootnoteReference"/>
        </w:rPr>
        <w:footnoteReference w:id="113"/>
      </w:r>
      <w:r>
        <w:t xml:space="preserve"> Although there are material gains to be made from the policies of Françafrique, France enacts such policies based on identity and history. This analysis will become clearer in Chapter 3 when I control for economic benefits as a factor in determining aid allocation. </w:t>
      </w:r>
    </w:p>
    <w:p w14:paraId="7101B748" w14:textId="75EFFC8C" w:rsidR="00DF5D73" w:rsidRDefault="00DF5D73" w:rsidP="00DF5D73">
      <w:pPr>
        <w:spacing w:after="0" w:line="480" w:lineRule="auto"/>
        <w:ind w:firstLine="720"/>
        <w:jc w:val="both"/>
      </w:pPr>
      <w:r>
        <w:t>In this chapter, I argue that Françafrique is the mechanism through which France continues to influence the relative level of “Frenchness</w:t>
      </w:r>
      <w:r w:rsidR="00A30128">
        <w:t>.”</w:t>
      </w:r>
      <w:r>
        <w:t xml:space="preserve"> Although the initial identity was formed during the colonial period, continued interaction between French and African actors through neocolonialist policies increases the shared identity present in each former </w:t>
      </w:r>
      <w:r w:rsidR="00A30128">
        <w:t xml:space="preserve">French </w:t>
      </w:r>
      <w:r>
        <w:t xml:space="preserve">colonial possession. The first section will reference the identity theory necessary for understanding </w:t>
      </w:r>
      <w:r w:rsidR="00A30128">
        <w:t xml:space="preserve">how </w:t>
      </w:r>
      <w:r>
        <w:t>Françafrique can influence the identity of a particular state</w:t>
      </w:r>
      <w:r w:rsidRPr="00787C05">
        <w:t>.</w:t>
      </w:r>
      <w:r>
        <w:t xml:space="preserve"> The following section will illustrate how Françafrique is extensive, as the relationship affects many different aspects of African politics, economics, and culture. Françafrique often increases the “Frenchness” a certain state has because African actors play a more important role than in the colonial period. Analyzing how Françafrique contributes to identity formation is vital for understanding how identity determines aid allocation. </w:t>
      </w:r>
    </w:p>
    <w:p w14:paraId="69E1431C" w14:textId="77777777" w:rsidR="00DF5D73" w:rsidRDefault="00DF5D73" w:rsidP="00DF5D73">
      <w:pPr>
        <w:spacing w:after="0" w:line="480" w:lineRule="auto"/>
        <w:ind w:firstLine="720"/>
        <w:jc w:val="both"/>
      </w:pPr>
    </w:p>
    <w:p w14:paraId="01D8700D" w14:textId="77777777" w:rsidR="00DF5D73" w:rsidRPr="00813AF6" w:rsidRDefault="00DF5D73" w:rsidP="00DF5D73">
      <w:pPr>
        <w:spacing w:after="0" w:line="480" w:lineRule="auto"/>
        <w:jc w:val="center"/>
        <w:rPr>
          <w:b/>
        </w:rPr>
      </w:pPr>
      <w:r>
        <w:rPr>
          <w:b/>
        </w:rPr>
        <w:t>Françafrique and Identity</w:t>
      </w:r>
    </w:p>
    <w:p w14:paraId="674F6542" w14:textId="7DCA320F" w:rsidR="00DF5D73" w:rsidRDefault="00DF5D73" w:rsidP="00DF5D73">
      <w:pPr>
        <w:spacing w:after="0" w:line="480" w:lineRule="auto"/>
        <w:ind w:firstLine="720"/>
        <w:jc w:val="both"/>
      </w:pPr>
      <w:r>
        <w:t>Following the embarrassment of the Vichy government during World War II, historians have observed, “that the building of French great power status was a constant preoccupation of French policy makers,” especially as the Atlantic Charter dismissed the claims for colonial possessions</w:t>
      </w:r>
      <w:r w:rsidR="00A30128">
        <w:t>, as was discussed in Chapter 1</w:t>
      </w:r>
      <w:r>
        <w:t>.</w:t>
      </w:r>
      <w:r>
        <w:rPr>
          <w:rStyle w:val="FootnoteReference"/>
        </w:rPr>
        <w:footnoteReference w:id="114"/>
      </w:r>
      <w:r>
        <w:t xml:space="preserve"> In order to uphold this sphere of influence,</w:t>
      </w:r>
      <w:r>
        <w:rPr>
          <w:rStyle w:val="FootnoteReference"/>
        </w:rPr>
        <w:footnoteReference w:id="115"/>
      </w:r>
      <w:r>
        <w:rPr>
          <w:i/>
        </w:rPr>
        <w:t xml:space="preserve"> </w:t>
      </w:r>
      <w:r>
        <w:t>French exceptionalism,</w:t>
      </w:r>
      <w:r>
        <w:rPr>
          <w:i/>
        </w:rPr>
        <w:t xml:space="preserve"> </w:t>
      </w:r>
      <w:r>
        <w:t xml:space="preserve">and the ideals of </w:t>
      </w:r>
      <w:r>
        <w:rPr>
          <w:i/>
        </w:rPr>
        <w:t xml:space="preserve">liberté, égalité, et fratenité </w:t>
      </w:r>
      <w:r>
        <w:t>(liberty, equality, and fraternity)</w:t>
      </w:r>
      <w:r>
        <w:rPr>
          <w:i/>
        </w:rPr>
        <w:t xml:space="preserve"> </w:t>
      </w:r>
      <w:r>
        <w:t>enshrined in the French constitution, de Gaulle proposed the formation of a French Community that would incorporate French West and Equatorial Africa with more autonomy within the French Empire. When the Fourth Republic quickly crumbled with the independence movements of 1960, France attempted to maintain its perceived status as a world power by advocating for a “familial” relationship with former colonies.</w:t>
      </w:r>
      <w:r>
        <w:rPr>
          <w:rStyle w:val="FootnoteReference"/>
        </w:rPr>
        <w:footnoteReference w:id="116"/>
      </w:r>
      <w:r>
        <w:t xml:space="preserve"> </w:t>
      </w:r>
      <w:r w:rsidR="00A30128">
        <w:t>African i</w:t>
      </w:r>
      <w:r>
        <w:t>ndependence did not erase the ties of colonialism; rather these ties were reshaped into networks (</w:t>
      </w:r>
      <w:r>
        <w:rPr>
          <w:i/>
        </w:rPr>
        <w:t>reseaux</w:t>
      </w:r>
      <w:r>
        <w:t>) and families. This categorization as ‘family’ rather than a relationship based on material capabilities, led to the special treatment that is Françafrique. Françafrique, itself, has been categorized as a web of “highly personalized, family-like relations between the French and African political leaders and the parallel networks of economic and political elites.”</w:t>
      </w:r>
      <w:r>
        <w:rPr>
          <w:rStyle w:val="FootnoteReference"/>
        </w:rPr>
        <w:footnoteReference w:id="117"/>
      </w:r>
      <w:r>
        <w:t xml:space="preserve"> This familial identity “explains why Europeans sustain special economic, political, institutional relationships with otherwise ordinary (even unappealing) partners.”</w:t>
      </w:r>
      <w:r>
        <w:rPr>
          <w:rStyle w:val="FootnoteReference"/>
        </w:rPr>
        <w:footnoteReference w:id="118"/>
      </w:r>
      <w:r>
        <w:t xml:space="preserve"> The notion of family creates a collective identity that results in special treatment for those who share such identity. </w:t>
      </w:r>
    </w:p>
    <w:p w14:paraId="6BEC7A34" w14:textId="0D306C59" w:rsidR="00DF5D73" w:rsidRPr="00974A92" w:rsidRDefault="00DF5D73" w:rsidP="00DF5D73">
      <w:pPr>
        <w:spacing w:after="0" w:line="480" w:lineRule="auto"/>
        <w:ind w:firstLine="720"/>
        <w:jc w:val="both"/>
      </w:pPr>
      <w:r>
        <w:t>States identities can be hierarchical, meaning that they value or prioritize identities over one another. For example, Senegal can identify as a member of the African Union and a democracy in West Africa, in addition to its partnership with the French. Because identities can change, albeit slowly, Françafrique insured that the French identity establ</w:t>
      </w:r>
      <w:r w:rsidR="00A30128">
        <w:t>ished during colonization would</w:t>
      </w:r>
      <w:r>
        <w:t xml:space="preserve"> not deteriorate. The repeated interactions between French and African actors—heads of state, government officials, corporations, citizens, etc.—lead to a collective French identity. </w:t>
      </w:r>
    </w:p>
    <w:p w14:paraId="6A191CF1" w14:textId="77777777" w:rsidR="00DF5D73" w:rsidRDefault="00DF5D73" w:rsidP="00DF5D73">
      <w:pPr>
        <w:spacing w:after="0" w:line="480" w:lineRule="auto"/>
        <w:jc w:val="center"/>
        <w:rPr>
          <w:b/>
        </w:rPr>
      </w:pPr>
    </w:p>
    <w:p w14:paraId="607833B9" w14:textId="77777777" w:rsidR="00DF5D73" w:rsidRDefault="00DF5D73" w:rsidP="00DF5D73">
      <w:pPr>
        <w:spacing w:after="0" w:line="480" w:lineRule="auto"/>
        <w:jc w:val="center"/>
        <w:rPr>
          <w:b/>
        </w:rPr>
      </w:pPr>
      <w:r>
        <w:rPr>
          <w:b/>
        </w:rPr>
        <w:t>The Channels of Françafrique</w:t>
      </w:r>
    </w:p>
    <w:p w14:paraId="7E6528CE" w14:textId="77777777" w:rsidR="00DF5D73" w:rsidRDefault="00DF5D73" w:rsidP="00DF5D73">
      <w:pPr>
        <w:spacing w:after="0" w:line="480" w:lineRule="auto"/>
        <w:ind w:firstLine="720"/>
        <w:jc w:val="both"/>
      </w:pPr>
      <w:r>
        <w:t xml:space="preserve">Françafrique has historically been and continues to be the </w:t>
      </w:r>
      <w:r>
        <w:rPr>
          <w:i/>
        </w:rPr>
        <w:t xml:space="preserve">de facto </w:t>
      </w:r>
      <w:r>
        <w:t xml:space="preserve">policy of French governments following decolonization. Following the collapse of the French Union, de Gaulle wanted to maintain France’s power status by prioritizing its existing sphere of influence, in former African colonies and other French-speaking nations (Rwanda and Democratic Republic of the Congo, formerly Zaire). </w:t>
      </w:r>
      <w:r w:rsidRPr="00733F76">
        <w:t xml:space="preserve">Because France primarily saw itself as a “world power,” despite the </w:t>
      </w:r>
      <w:r>
        <w:t>contrary views held by most other states</w:t>
      </w:r>
      <w:r w:rsidRPr="00733F76">
        <w:t xml:space="preserve">, </w:t>
      </w:r>
      <w:r>
        <w:t xml:space="preserve">and </w:t>
      </w:r>
      <w:r w:rsidRPr="00733F76">
        <w:t>the policies of Françafrique and continuous intervention in Africa were an attempt to uphold such status.</w:t>
      </w:r>
      <w:r>
        <w:t xml:space="preserve"> </w:t>
      </w:r>
    </w:p>
    <w:p w14:paraId="09DB568F" w14:textId="77777777" w:rsidR="00DF5D73" w:rsidRDefault="00DF5D73" w:rsidP="00DF5D73">
      <w:pPr>
        <w:spacing w:after="0" w:line="480" w:lineRule="auto"/>
        <w:ind w:firstLine="720"/>
        <w:jc w:val="both"/>
      </w:pPr>
      <w:r w:rsidRPr="00DC4D69">
        <w:t xml:space="preserve">Françafrique is a form of neocolonialism because it is, by definition, </w:t>
      </w:r>
      <w:r>
        <w:t xml:space="preserve">the French </w:t>
      </w:r>
      <w:r w:rsidRPr="00DC4D69">
        <w:t>attempt to influence African politics, culture, and economics. Neocolonialism, in this instance, differs from colonialism in the extent to which African actors possess agency</w:t>
      </w:r>
      <w:r>
        <w:t>. During colonization, African agency was present but more constrained due to the structure of direct rule in French territories. In the post-colonial period, African heads of state possess sovereignty and jurisdiction in their respective countries, and oftentimes they practice such authority in order to keep French influence at bay. However, some African heads of state choose to use French influence to their advantage and seek closer economic and political ties in order to promote economic growth and clout in the international community. Both French and African actors are aware of their agency and role. This shared understanding illustrates the influence of African leaders in the continuity of Françafrique.</w:t>
      </w:r>
    </w:p>
    <w:p w14:paraId="3E9458D5" w14:textId="77777777" w:rsidR="00DF5D73" w:rsidRDefault="00DF5D73" w:rsidP="00DF5D73">
      <w:pPr>
        <w:spacing w:after="0" w:line="480" w:lineRule="auto"/>
        <w:ind w:firstLine="720"/>
        <w:jc w:val="both"/>
      </w:pPr>
      <w:r>
        <w:t>A primary example of the difference in African agency is Guinea. Guinea-Conakry was the first French African colony to gain independence. When de Gaulle allowed colonies to vote on joining the French Union, Guinea simply said “non,” and as a result ended their favored relationship with France. African heads of state who disagreed with “French interests were simply frozen out, as in the case of Guinea’s President, Sekou Touré, who sought and gained independence in 1958, before Paris was ready to relinquish control.”</w:t>
      </w:r>
      <w:r>
        <w:rPr>
          <w:rStyle w:val="FootnoteReference"/>
        </w:rPr>
        <w:footnoteReference w:id="119"/>
      </w:r>
      <w:r>
        <w:t xml:space="preserve"> Rather than encouraging autonomy of an independent state, de Gaulle evacuated all French officials and all things associated with French assistance, even doorknobs from government buildings, from Guinea-Conakry. Unlike other French interventions in its former colonies, France has primarily left Guinea-Conakry to its own devices, especially as Guinea followed a Marxist regime throughout the Cold War.</w:t>
      </w:r>
      <w:r>
        <w:rPr>
          <w:rStyle w:val="FootnoteReference"/>
        </w:rPr>
        <w:footnoteReference w:id="120"/>
      </w:r>
      <w:r>
        <w:t xml:space="preserve"> In the present, France is not privy to secret deals for Guinea’s mineral reserves, but instead competes among other nations in the market place for potential investment opportunities.</w:t>
      </w:r>
      <w:r>
        <w:rPr>
          <w:rStyle w:val="FootnoteReference"/>
        </w:rPr>
        <w:footnoteReference w:id="121"/>
      </w:r>
      <w:r>
        <w:t xml:space="preserve"> France is treated like most other foreign nations in regards to economic and political relations. </w:t>
      </w:r>
    </w:p>
    <w:p w14:paraId="5C20B5A6" w14:textId="24C648B1" w:rsidR="00DF5D73" w:rsidRDefault="00DF5D73" w:rsidP="00DF5D73">
      <w:pPr>
        <w:spacing w:after="0" w:line="480" w:lineRule="auto"/>
        <w:ind w:firstLine="720"/>
        <w:jc w:val="both"/>
      </w:pPr>
      <w:r>
        <w:t xml:space="preserve">Another example of exercising agency is Rwanda, which was a former Belgian colony </w:t>
      </w:r>
      <w:r w:rsidR="00A30128">
        <w:t>that</w:t>
      </w:r>
      <w:r>
        <w:t xml:space="preserve"> possessed relative levels of “Frenchness.” Rwanda belonged to the French-speaking community, and France attempted to further this relationship through both aid and </w:t>
      </w:r>
      <w:r w:rsidR="00A30128">
        <w:t xml:space="preserve">technical </w:t>
      </w:r>
      <w:r>
        <w:t xml:space="preserve">advice. France was deeply involved in Rwanda through language training and support of the government. However, Rwanda abandoned French as their official language in 2009, in an attempt to tarnish France’s reputation for their suspected role in the 1994 genocide. Rwanda then joined the British Commonwealth, dealing another blow to French influence. </w:t>
      </w:r>
    </w:p>
    <w:p w14:paraId="6DE58C13" w14:textId="77777777" w:rsidR="00DF5D73" w:rsidRDefault="00DF5D73" w:rsidP="00DF5D73">
      <w:pPr>
        <w:spacing w:after="0" w:line="480" w:lineRule="auto"/>
        <w:ind w:firstLine="720"/>
        <w:jc w:val="both"/>
      </w:pPr>
    </w:p>
    <w:p w14:paraId="1A3BAEE3" w14:textId="77777777" w:rsidR="00DF5D73" w:rsidRDefault="00DF5D73" w:rsidP="00DF5D73">
      <w:pPr>
        <w:spacing w:after="0" w:line="480" w:lineRule="auto"/>
        <w:jc w:val="center"/>
      </w:pPr>
      <w:r>
        <w:t>Variations in Françafrique</w:t>
      </w:r>
    </w:p>
    <w:p w14:paraId="7EB10936" w14:textId="4ACBACB5" w:rsidR="00DF5D73" w:rsidRDefault="00DF5D73" w:rsidP="00DF5D73">
      <w:pPr>
        <w:spacing w:after="0" w:line="480" w:lineRule="auto"/>
        <w:ind w:firstLine="720"/>
        <w:jc w:val="both"/>
      </w:pPr>
      <w:r>
        <w:t xml:space="preserve">Before providing analysis on the mechanisms of Françafrique in contributing to French African identity, it is essential to understand that the policies have not been homogenous since 1960. Despite its lengthy status as </w:t>
      </w:r>
      <w:r w:rsidRPr="00100FBC">
        <w:t>de facto</w:t>
      </w:r>
      <w:r>
        <w:rPr>
          <w:i/>
        </w:rPr>
        <w:t>—</w:t>
      </w:r>
      <w:r>
        <w:t xml:space="preserve">and sometimes </w:t>
      </w:r>
      <w:r>
        <w:rPr>
          <w:i/>
        </w:rPr>
        <w:t>de jure</w:t>
      </w:r>
      <w:r>
        <w:t xml:space="preserve">—French policy </w:t>
      </w:r>
      <w:r w:rsidR="00A30128">
        <w:t>in</w:t>
      </w:r>
      <w:r>
        <w:t xml:space="preserve"> Africa has wavered with each president; however, all presidents have attempted to preserve </w:t>
      </w:r>
      <w:r>
        <w:rPr>
          <w:i/>
        </w:rPr>
        <w:t>exception française</w:t>
      </w:r>
      <w:r>
        <w:t xml:space="preserve"> (French exceptionalism)</w:t>
      </w:r>
      <w:r w:rsidR="00A30128">
        <w:t>, both domestically and internationally</w:t>
      </w:r>
      <w:r>
        <w:t>. Although much of the French leadership has followed in the footsteps of the Fifth Republic’s first president</w:t>
      </w:r>
      <w:r w:rsidR="00A30128">
        <w:t xml:space="preserve"> (Charles de Gaulle)</w:t>
      </w:r>
      <w:r>
        <w:t xml:space="preserve">, the policies have ranged from mutually beneficial to predominantly exploitative. </w:t>
      </w:r>
    </w:p>
    <w:p w14:paraId="68BB5925" w14:textId="77777777" w:rsidR="00DF5D73" w:rsidRDefault="00DF5D73" w:rsidP="00DF5D73">
      <w:pPr>
        <w:spacing w:after="0" w:line="480" w:lineRule="auto"/>
        <w:ind w:firstLine="720"/>
        <w:jc w:val="both"/>
      </w:pPr>
      <w:r>
        <w:t xml:space="preserve">Different presidents, such as Pompidou (1969-1974) and Mitterand (1981-1995) approached the role of France from a perspective of cultural influence by emphasizing </w:t>
      </w:r>
      <w:r>
        <w:rPr>
          <w:i/>
        </w:rPr>
        <w:t xml:space="preserve">la Francophonie </w:t>
      </w:r>
      <w:r>
        <w:t>and hosting a large number of Franco-African summits. Others, like d’Estaing (1974-1981) and Sarkozy (2007-2012), sustained the military reach of Françafrique by increasing the number of military agreements, bases, soldiers, and interventions.</w:t>
      </w:r>
      <w:r>
        <w:rPr>
          <w:rStyle w:val="FootnoteReference"/>
        </w:rPr>
        <w:footnoteReference w:id="122"/>
      </w:r>
      <w:r>
        <w:t xml:space="preserve"> The current president, François Hollande, promised to “bring a moral dimension to French foreign policy” towards Africa.</w:t>
      </w:r>
      <w:r>
        <w:rPr>
          <w:rStyle w:val="FootnoteReference"/>
        </w:rPr>
        <w:footnoteReference w:id="123"/>
      </w:r>
      <w:r>
        <w:t xml:space="preserve"> Despite their continuous attempts for a more honest and equal relationship, the reach of Françafrique continued to dominate and exploit much of Africa. </w:t>
      </w:r>
    </w:p>
    <w:p w14:paraId="02AD80B0" w14:textId="77777777" w:rsidR="00A30128" w:rsidRDefault="00A30128" w:rsidP="00A30128">
      <w:pPr>
        <w:spacing w:after="0" w:line="480" w:lineRule="auto"/>
        <w:jc w:val="both"/>
      </w:pPr>
    </w:p>
    <w:p w14:paraId="552E86C0" w14:textId="74F45109" w:rsidR="00A30128" w:rsidRDefault="00A30128" w:rsidP="00A30128">
      <w:pPr>
        <w:spacing w:after="0" w:line="480" w:lineRule="auto"/>
        <w:jc w:val="center"/>
      </w:pPr>
      <w:r>
        <w:t>Mechanisms</w:t>
      </w:r>
    </w:p>
    <w:p w14:paraId="7657DC72" w14:textId="77777777" w:rsidR="00DF5D73" w:rsidRDefault="00DF5D73" w:rsidP="00DF5D73">
      <w:pPr>
        <w:spacing w:after="0" w:line="480" w:lineRule="auto"/>
        <w:jc w:val="both"/>
        <w:rPr>
          <w:highlight w:val="yellow"/>
        </w:rPr>
      </w:pPr>
      <w:r>
        <w:tab/>
        <w:t xml:space="preserve">The strength of the relationship between an African nation and France are based on the presence of the following categories: (1) the number of French citizens, (2) education, (3) language, (4) government institutions, (5) technical assistance, (6) military presence, (7) shared currencies, (8) multinational corporations, (9) economic relationships, and (10) similarities in voting patterns in the United Nations. These mechanisms of Françafrique influence different aspects of identity and lead to a greater level of “Frenchness” by permeating nearly all facets of the Franco-African relationship. </w:t>
      </w:r>
    </w:p>
    <w:p w14:paraId="23B0F2DC" w14:textId="77777777" w:rsidR="00DF5D73" w:rsidRDefault="00DF5D73" w:rsidP="00DF5D73">
      <w:pPr>
        <w:spacing w:after="0" w:line="480" w:lineRule="auto"/>
        <w:jc w:val="both"/>
      </w:pPr>
      <w:r>
        <w:tab/>
        <w:t>The following section will provide detail of the various mechanisms of Françafrique that strengthen the shared identity between France and former colonies. However, this list is not comprehensive, as other aspects—such as the number of Africans educated in France—construct an identity with French-like characteristics. These additional mechanisms are equally important but either exist at a small level or lack the data to evaluate the effects. Examples will be presented throughout this chapter to illustrate the pervasiveness of Françafrique. These mechanisms illustrate how frequent interactions, a key determinant in the constructivist literature, facilitate identity formation.</w:t>
      </w:r>
    </w:p>
    <w:p w14:paraId="566195B2" w14:textId="77777777" w:rsidR="00DF5D73" w:rsidRDefault="00DF5D73" w:rsidP="00DF5D73">
      <w:pPr>
        <w:spacing w:after="0" w:line="480" w:lineRule="auto"/>
        <w:jc w:val="both"/>
      </w:pPr>
    </w:p>
    <w:p w14:paraId="78B8BB35" w14:textId="77777777" w:rsidR="00DF5D73" w:rsidRDefault="00DF5D73" w:rsidP="00DF5D73">
      <w:pPr>
        <w:spacing w:after="0" w:line="480" w:lineRule="auto"/>
        <w:jc w:val="center"/>
      </w:pPr>
      <w:r>
        <w:t>French Residents</w:t>
      </w:r>
    </w:p>
    <w:p w14:paraId="61F2CF85" w14:textId="05284F1E" w:rsidR="00DF5D73" w:rsidRDefault="00DF5D73" w:rsidP="00F3492C">
      <w:pPr>
        <w:spacing w:after="0" w:line="480" w:lineRule="auto"/>
        <w:ind w:firstLine="720"/>
        <w:jc w:val="both"/>
      </w:pPr>
      <w:r>
        <w:t xml:space="preserve">French citizens often migrate to former French colonies, for both economic and personal reasons. Figure 2.1. and Figure 2.2. illustrate the total French migrant </w:t>
      </w:r>
      <w:r w:rsidR="009025F4">
        <w:t>stock residing in former colonies, split between West and Equatorial Africa, for the</w:t>
      </w:r>
      <w:r w:rsidR="00127EC1" w:rsidRPr="00127EC1">
        <w:t xml:space="preserve"> </w:t>
      </w:r>
      <w:r w:rsidR="00127EC1">
        <w:t>last 25 years.</w:t>
      </w:r>
      <w:r w:rsidR="00127EC1">
        <w:rPr>
          <w:rStyle w:val="FootnoteReference"/>
        </w:rPr>
        <w:footnoteReference w:id="124"/>
      </w:r>
      <w:r w:rsidR="00127EC1">
        <w:t xml:space="preserve"> French migrants are not present in all former colonies and are predominantly concentrated in Benin, Guinea, Mali, Senegal and Togo in West Africa and Cameroon, Central African Republic, Chad, the Republic of Congo, and Gabon. However, the number of French residents has varied based on the political climate in both France and various African nations. There was a significant presence of French nationals living in Senegal in 1960, due to its capital being the headquarters of French West Africa, and nearly 14,000 French migrants lived in Senegal in 2015. There were more French residents living in Côte d’Ivoire in the 1990s than during the colonial</w:t>
      </w:r>
    </w:p>
    <w:p w14:paraId="3B10177B" w14:textId="77777777" w:rsidR="00DF5D73" w:rsidRPr="005F15C8" w:rsidRDefault="00DF5D73" w:rsidP="00DF5D73">
      <w:pPr>
        <w:spacing w:after="0" w:line="480" w:lineRule="auto"/>
        <w:jc w:val="both"/>
      </w:pPr>
      <w:r>
        <w:rPr>
          <w:noProof/>
          <w:lang w:eastAsia="en-US"/>
        </w:rPr>
        <w:drawing>
          <wp:inline distT="0" distB="0" distL="0" distR="0" wp14:anchorId="3116485D" wp14:editId="3EE2E76F">
            <wp:extent cx="5257800" cy="32893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618E51" w14:textId="77777777" w:rsidR="00DF5D73" w:rsidRDefault="00DF5D73" w:rsidP="00DF5D73">
      <w:pPr>
        <w:spacing w:after="0" w:line="480" w:lineRule="auto"/>
      </w:pPr>
      <w:r>
        <w:t xml:space="preserve">Figure 2.1. Total French migrant stock in French West Africa </w:t>
      </w:r>
    </w:p>
    <w:p w14:paraId="009DA1F4" w14:textId="77777777" w:rsidR="00DF5D73" w:rsidRDefault="00DF5D73" w:rsidP="00DF5D73">
      <w:pPr>
        <w:spacing w:after="0" w:line="480" w:lineRule="auto"/>
      </w:pPr>
      <w:r>
        <w:rPr>
          <w:noProof/>
          <w:lang w:eastAsia="en-US"/>
        </w:rPr>
        <w:drawing>
          <wp:inline distT="0" distB="0" distL="0" distR="0" wp14:anchorId="21D56A63" wp14:editId="135F225F">
            <wp:extent cx="5257800" cy="3238500"/>
            <wp:effectExtent l="0" t="0" r="2540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A5AD01A" w14:textId="77777777" w:rsidR="00DF5D73" w:rsidRDefault="00DF5D73" w:rsidP="00DF5D73">
      <w:pPr>
        <w:spacing w:after="0" w:line="480" w:lineRule="auto"/>
      </w:pPr>
      <w:r>
        <w:t xml:space="preserve">Figure 2.2. Total French migrant stock in French Equatorial Africa </w:t>
      </w:r>
    </w:p>
    <w:p w14:paraId="69BC7718" w14:textId="77777777" w:rsidR="009025F4" w:rsidRDefault="009025F4" w:rsidP="009025F4">
      <w:pPr>
        <w:spacing w:after="0" w:line="480" w:lineRule="auto"/>
        <w:jc w:val="both"/>
      </w:pPr>
    </w:p>
    <w:p w14:paraId="6C59620A" w14:textId="0DF9679A" w:rsidR="009025F4" w:rsidRDefault="009025F4" w:rsidP="009025F4">
      <w:pPr>
        <w:spacing w:after="0" w:line="480" w:lineRule="auto"/>
        <w:jc w:val="both"/>
      </w:pPr>
      <w:r>
        <w:t>period, and “at the shoulder of every minister was a French ‘adviser.’ ”</w:t>
      </w:r>
      <w:r>
        <w:rPr>
          <w:rStyle w:val="FootnoteReference"/>
        </w:rPr>
        <w:footnoteReference w:id="125"/>
      </w:r>
      <w:r>
        <w:t xml:space="preserve"> However, after the Ivoirian miracle subsided and conflict broke out in Côte d’Ivoire, most French migrants returned to France. Although at a personal level, the presence of French citizens residing in Africa increases shared understanding that facilitates a common identity.</w:t>
      </w:r>
    </w:p>
    <w:p w14:paraId="48EE53B5" w14:textId="77777777" w:rsidR="00DF5D73" w:rsidRDefault="00DF5D73" w:rsidP="00DF5D73">
      <w:pPr>
        <w:spacing w:after="0" w:line="480" w:lineRule="auto"/>
      </w:pPr>
    </w:p>
    <w:p w14:paraId="7A0E1906" w14:textId="77777777" w:rsidR="00DF5D73" w:rsidRPr="00E648B7" w:rsidRDefault="00DF5D73" w:rsidP="00DF5D73">
      <w:pPr>
        <w:spacing w:after="0" w:line="480" w:lineRule="auto"/>
        <w:jc w:val="center"/>
      </w:pPr>
      <w:r w:rsidRPr="00E648B7">
        <w:t>Education</w:t>
      </w:r>
    </w:p>
    <w:p w14:paraId="09E2E5F5" w14:textId="31B072C7" w:rsidR="00DF5D73" w:rsidRDefault="00DF5D73" w:rsidP="00DF5D73">
      <w:pPr>
        <w:spacing w:after="0" w:line="480" w:lineRule="auto"/>
        <w:jc w:val="both"/>
      </w:pPr>
      <w:r>
        <w:tab/>
        <w:t xml:space="preserve">As discussed in Chapter 1, education was one of the primary tools used during colonization through the policies of </w:t>
      </w:r>
      <w:r w:rsidRPr="009C398F">
        <w:rPr>
          <w:i/>
        </w:rPr>
        <w:t>assimilation</w:t>
      </w:r>
      <w:r>
        <w:t xml:space="preserve"> and </w:t>
      </w:r>
      <w:r w:rsidRPr="006A1240">
        <w:rPr>
          <w:i/>
        </w:rPr>
        <w:t>mise en valeur</w:t>
      </w:r>
      <w:r>
        <w:t xml:space="preserve">. Unlike the colonial institutions, however, education in sub-Saharan Africa today is not distinguished between rural and urban schools, and variation does not exist in the same facet as the colonial period, where there were clear divides between education for individuals and states of a particular status. For example, </w:t>
      </w:r>
      <w:r>
        <w:rPr>
          <w:i/>
        </w:rPr>
        <w:t xml:space="preserve">originaires </w:t>
      </w:r>
      <w:r>
        <w:t xml:space="preserve">had access to French education, whereas </w:t>
      </w:r>
      <w:r>
        <w:rPr>
          <w:i/>
        </w:rPr>
        <w:t xml:space="preserve">sujets </w:t>
      </w:r>
      <w:r>
        <w:t xml:space="preserve">attended school with the specific intention of generating a healthy workforce or did not attend school at all. </w:t>
      </w:r>
      <w:r w:rsidR="00A30128">
        <w:t xml:space="preserve">The </w:t>
      </w:r>
      <w:r>
        <w:t>African education system still resembles the French colonial education style, despite the high poverty levels and poor governance of many West African countries. This is partially due to France continuing to intervene in education, especially in regards to the French language. In 2014, France proposed an ambitious plan to train 100,000 African teachers in the French language, meaning that the French government is using education as a neocolonial tool to invest in the education of other nations’ youth.</w:t>
      </w:r>
      <w:r>
        <w:rPr>
          <w:rStyle w:val="FootnoteReference"/>
        </w:rPr>
        <w:footnoteReference w:id="126"/>
      </w:r>
      <w:r>
        <w:t xml:space="preserve"> This emphasis on the French language is evident in the following section.</w:t>
      </w:r>
    </w:p>
    <w:p w14:paraId="609C9555" w14:textId="77777777" w:rsidR="00DF5D73" w:rsidRDefault="00DF5D73" w:rsidP="00DF5D73">
      <w:pPr>
        <w:spacing w:after="0" w:line="480" w:lineRule="auto"/>
        <w:jc w:val="both"/>
      </w:pPr>
    </w:p>
    <w:p w14:paraId="7219D9F5" w14:textId="77777777" w:rsidR="00DF5D73" w:rsidRPr="00E648B7" w:rsidRDefault="00DF5D73" w:rsidP="00DF5D73">
      <w:pPr>
        <w:spacing w:after="0" w:line="480" w:lineRule="auto"/>
        <w:jc w:val="center"/>
      </w:pPr>
      <w:r w:rsidRPr="00E648B7">
        <w:t>Language</w:t>
      </w:r>
    </w:p>
    <w:p w14:paraId="64CB8469" w14:textId="3FF6C74C" w:rsidR="00DF5D73" w:rsidRDefault="00DF5D73" w:rsidP="00DF5D73">
      <w:pPr>
        <w:spacing w:after="0" w:line="480" w:lineRule="auto"/>
        <w:jc w:val="both"/>
      </w:pPr>
      <w:r>
        <w:rPr>
          <w:i/>
        </w:rPr>
        <w:tab/>
      </w:r>
      <w:r>
        <w:t>Language, because of its abilit</w:t>
      </w:r>
      <w:r w:rsidR="00A30128">
        <w:t>y to disseminate</w:t>
      </w:r>
      <w:r>
        <w:t xml:space="preserve"> cultural understanding, was one of the most effective colonial tools under the policies of </w:t>
      </w:r>
      <w:r w:rsidRPr="00D622E1">
        <w:rPr>
          <w:i/>
        </w:rPr>
        <w:t>assimilation</w:t>
      </w:r>
      <w:r>
        <w:t xml:space="preserve"> and </w:t>
      </w:r>
      <w:r>
        <w:rPr>
          <w:i/>
        </w:rPr>
        <w:t>la mission civilisatrice</w:t>
      </w:r>
      <w:r>
        <w:t>. French was the working language of government officials an</w:t>
      </w:r>
      <w:r w:rsidR="00090B64">
        <w:t>d various African elites, and it is</w:t>
      </w:r>
      <w:r>
        <w:t xml:space="preserve"> still used in many former French colonies. French is the official language of fourteen countries, including two former Belgian colonies. Additionally, in ten former French colonies</w:t>
      </w:r>
      <w:r w:rsidRPr="00BD281D">
        <w:t>, 25 percent of the population speaks French</w:t>
      </w:r>
      <w:r w:rsidRPr="00BD281D">
        <w:rPr>
          <w:i/>
        </w:rPr>
        <w:t>.</w:t>
      </w:r>
      <w:r w:rsidRPr="00A30128">
        <w:rPr>
          <w:rStyle w:val="FootnoteReference"/>
        </w:rPr>
        <w:footnoteReference w:id="127"/>
      </w:r>
      <w:r w:rsidRPr="00A30128">
        <w:t xml:space="preserve"> </w:t>
      </w:r>
      <w:r>
        <w:t xml:space="preserve">Language is one of the primary ways to facilitate cultural understanding, and therefore the French language increases “Frenchness.” </w:t>
      </w:r>
    </w:p>
    <w:p w14:paraId="6EA3AC73" w14:textId="712CDE21" w:rsidR="00DF5D73" w:rsidRDefault="00DF5D73" w:rsidP="00DF5D73">
      <w:pPr>
        <w:spacing w:after="0" w:line="480" w:lineRule="auto"/>
        <w:ind w:firstLine="720"/>
        <w:jc w:val="both"/>
      </w:pPr>
      <w:r>
        <w:t xml:space="preserve">The </w:t>
      </w:r>
      <w:r>
        <w:rPr>
          <w:i/>
        </w:rPr>
        <w:t xml:space="preserve">Organization Internationale de la Francophonie </w:t>
      </w:r>
      <w:r>
        <w:t>(International Organization of la Francophonie, OIF) is an official institution created in 1970 and comprised of nation-states where</w:t>
      </w:r>
      <w:r w:rsidR="00A30128">
        <w:t xml:space="preserve"> either:</w:t>
      </w:r>
      <w:r>
        <w:t xml:space="preserve"> (1) French is the official language, (2) a portion of the population speaks French, or (3) they possess an affiliation with the French culture. Under this broad definition, there are fifty-seven member states, including several in Eastern Europe and Southeast Asia; however, the majority </w:t>
      </w:r>
      <w:r w:rsidR="00A30128">
        <w:t xml:space="preserve">of members </w:t>
      </w:r>
      <w:r>
        <w:t>are former French colonies in Africa. According to the official website, the OIF “organises [sic] political activities and actions of multilateral cooperation that benefit French-speaking populations.”</w:t>
      </w:r>
      <w:r>
        <w:rPr>
          <w:rStyle w:val="FootnoteReference"/>
        </w:rPr>
        <w:footnoteReference w:id="128"/>
      </w:r>
      <w:r>
        <w:t xml:space="preserve"> This organization illustrates how France has institutionalized the use of language as soft power to increase the spread of economic and political ties with other nations. OIF member states constitute a significant po</w:t>
      </w:r>
      <w:r w:rsidR="00A30128">
        <w:t>r</w:t>
      </w:r>
      <w:r>
        <w:t>tion of the global population. There are 274 million French speakers in the world, with 96.2 million currently residing in Africa.</w:t>
      </w:r>
      <w:r>
        <w:rPr>
          <w:rStyle w:val="FootnoteReference"/>
        </w:rPr>
        <w:footnoteReference w:id="129"/>
      </w:r>
      <w:r>
        <w:t xml:space="preserve"> In addition to the former French colonies as members of la </w:t>
      </w:r>
      <w:r>
        <w:rPr>
          <w:i/>
        </w:rPr>
        <w:t xml:space="preserve">Francophonie, </w:t>
      </w:r>
      <w:r>
        <w:t xml:space="preserve">other nations have joined the organization in order to cooperate with regional partners in West and Equatorial Africa. One such member of </w:t>
      </w:r>
      <w:r>
        <w:rPr>
          <w:i/>
        </w:rPr>
        <w:t xml:space="preserve">la Francophonie </w:t>
      </w:r>
      <w:r>
        <w:t>is Equatorial Guinea, who, although a former Spanish colony, has adopted French as a language in order to foster better relations with their West African neighbors and France.</w:t>
      </w:r>
      <w:r>
        <w:rPr>
          <w:rStyle w:val="FootnoteReference"/>
        </w:rPr>
        <w:footnoteReference w:id="130"/>
      </w:r>
      <w:r w:rsidRPr="007C4EAC">
        <w:t xml:space="preserve"> </w:t>
      </w:r>
    </w:p>
    <w:p w14:paraId="181B9EBB" w14:textId="77777777" w:rsidR="00DF5D73" w:rsidRPr="00132786" w:rsidRDefault="00DF5D73" w:rsidP="00DF5D73">
      <w:pPr>
        <w:spacing w:after="0" w:line="480" w:lineRule="auto"/>
      </w:pPr>
    </w:p>
    <w:p w14:paraId="76A53596" w14:textId="77777777" w:rsidR="00DF5D73" w:rsidRPr="00E648B7" w:rsidRDefault="00DF5D73" w:rsidP="00DF5D73">
      <w:pPr>
        <w:spacing w:after="0" w:line="480" w:lineRule="auto"/>
        <w:jc w:val="center"/>
      </w:pPr>
      <w:r w:rsidRPr="00E648B7">
        <w:t>Government Institutions</w:t>
      </w:r>
    </w:p>
    <w:p w14:paraId="3B05AA89" w14:textId="36F07535" w:rsidR="00DF5D73" w:rsidRDefault="00DF5D73" w:rsidP="00DF5D73">
      <w:pPr>
        <w:spacing w:after="0" w:line="480" w:lineRule="auto"/>
        <w:jc w:val="both"/>
      </w:pPr>
      <w:r>
        <w:rPr>
          <w:i/>
        </w:rPr>
        <w:tab/>
      </w:r>
      <w:r>
        <w:t xml:space="preserve">The OIF only touches the surface of Franco-African institutions, which attempt to promote </w:t>
      </w:r>
      <w:r>
        <w:rPr>
          <w:i/>
        </w:rPr>
        <w:t>exception française</w:t>
      </w:r>
      <w:r w:rsidR="00A30128">
        <w:rPr>
          <w:i/>
        </w:rPr>
        <w:t xml:space="preserve"> </w:t>
      </w:r>
      <w:r w:rsidR="00A30128">
        <w:t>abroad</w:t>
      </w:r>
      <w:r>
        <w:t xml:space="preserve">. Prior to decolonization, </w:t>
      </w:r>
      <w:r>
        <w:rPr>
          <w:i/>
        </w:rPr>
        <w:t xml:space="preserve">Fonds d’Investissement Economique et Social </w:t>
      </w:r>
      <w:r>
        <w:t xml:space="preserve">(Investment Fund for Economic and Social Development or FIDES), was implemented as a means to develop colonial areas overseas. Although not the first French program in the colonial empire, FIDES was significant in French attempts to build and sustain influence in Africa. In the years following independence, many government organizations, with similar capacity and purpose, have been created and modified under various French presidents. </w:t>
      </w:r>
      <w:r w:rsidRPr="005B4074">
        <w:t xml:space="preserve">In 1959, President de Gaulle replaced FIDES and created a new fund called the </w:t>
      </w:r>
      <w:r w:rsidRPr="00100FBC">
        <w:rPr>
          <w:i/>
        </w:rPr>
        <w:t xml:space="preserve">Fonds d’Aide et de Coopération </w:t>
      </w:r>
      <w:r>
        <w:t>(Fund for Aid and Cooperation, FAC), whose mission now included technical and military defense in addition to cultural and economic assistance.</w:t>
      </w:r>
      <w:r>
        <w:rPr>
          <w:rStyle w:val="FootnoteReference"/>
        </w:rPr>
        <w:footnoteReference w:id="131"/>
      </w:r>
      <w:r>
        <w:t xml:space="preserve"> Additional institutions were formed under FAC to provide development loans and supervise various projects. The Ministry for Cooperation and Development (MC) was formed to fulfill the official French aid policy outlined in the Jeanneney Report in 1964.</w:t>
      </w:r>
      <w:r>
        <w:rPr>
          <w:rStyle w:val="FootnoteReference"/>
        </w:rPr>
        <w:footnoteReference w:id="132"/>
      </w:r>
      <w:r>
        <w:t xml:space="preserve"> De Gaulle continued to create multiple institutions to pursue his Franco-African policy including separate cultural (</w:t>
      </w:r>
      <w:r>
        <w:rPr>
          <w:i/>
        </w:rPr>
        <w:t xml:space="preserve">Missions de Coopération et d’Action Culturelle) </w:t>
      </w:r>
      <w:r>
        <w:t>and military (</w:t>
      </w:r>
      <w:r w:rsidRPr="00A02D5E">
        <w:rPr>
          <w:i/>
        </w:rPr>
        <w:t>Mission Militaire de Coopération</w:t>
      </w:r>
      <w:r>
        <w:t>) organizations throughout his presidency.</w:t>
      </w:r>
      <w:r>
        <w:rPr>
          <w:rStyle w:val="FootnoteReference"/>
        </w:rPr>
        <w:footnoteReference w:id="133"/>
      </w:r>
      <w:r>
        <w:t xml:space="preserve"> Perhaps most significant was his appointment of Jacques Foccart as </w:t>
      </w:r>
      <w:r>
        <w:rPr>
          <w:i/>
        </w:rPr>
        <w:t xml:space="preserve">Monsieur Afrique </w:t>
      </w:r>
      <w:r>
        <w:t xml:space="preserve">(Mr. Africa) as the head of the African cell, which was an advisory committee that created French policies for Africa. Foccart would greatly shape the Françafrique regime in years to come and advise multiple presidents. </w:t>
      </w:r>
    </w:p>
    <w:p w14:paraId="636C2B19" w14:textId="1A14E076" w:rsidR="00DF5D73" w:rsidRDefault="00DF5D73" w:rsidP="00DF5D73">
      <w:pPr>
        <w:spacing w:after="0" w:line="480" w:lineRule="auto"/>
        <w:ind w:firstLine="720"/>
        <w:contextualSpacing/>
        <w:jc w:val="both"/>
      </w:pPr>
      <w:r>
        <w:t>The second president of the Fifth Republic, Georges Pompidou, institutionalized the French language as OIF, in order to promote the cooperation among French speakers. Additionally, he hosted the inaugural Franco-African summit in December 1973, which has had profound effects on the relationships between the former colonizer and African nation-states even today.</w:t>
      </w:r>
      <w:r>
        <w:rPr>
          <w:rStyle w:val="FootnoteReference"/>
        </w:rPr>
        <w:footnoteReference w:id="134"/>
      </w:r>
      <w:r>
        <w:t xml:space="preserve"> </w:t>
      </w:r>
      <w:r w:rsidRPr="00D309C4">
        <w:t xml:space="preserve">Similar to the OIF in extending culture but increasing the scope of such influence is the </w:t>
      </w:r>
      <w:r w:rsidRPr="00100FBC">
        <w:rPr>
          <w:i/>
        </w:rPr>
        <w:t>Institut Français</w:t>
      </w:r>
      <w:r w:rsidRPr="00D309C4">
        <w:t>—responsible for spreading French culture abroad—located in both Dakar and Saint Lou</w:t>
      </w:r>
      <w:r w:rsidR="00A30128">
        <w:t>is, which were two of the Four C</w:t>
      </w:r>
      <w:r w:rsidRPr="00D309C4">
        <w:t>ommunes.</w:t>
      </w:r>
      <w:r w:rsidRPr="00D309C4">
        <w:rPr>
          <w:rStyle w:val="FootnoteReference"/>
        </w:rPr>
        <w:footnoteReference w:id="135"/>
      </w:r>
      <w:r w:rsidRPr="00D309C4">
        <w:t xml:space="preserve">  Because of the historical status of these two cities, they engage in more cultural formation than other cities in the </w:t>
      </w:r>
      <w:r w:rsidR="00A30128">
        <w:t xml:space="preserve">former </w:t>
      </w:r>
      <w:r w:rsidRPr="00D309C4">
        <w:t>French colonial empire.</w:t>
      </w:r>
      <w:r>
        <w:t xml:space="preserve"> </w:t>
      </w:r>
    </w:p>
    <w:p w14:paraId="47BE5C69" w14:textId="2B9E483A" w:rsidR="00DF5D73" w:rsidRPr="00E11DB4" w:rsidRDefault="00DF5D73" w:rsidP="00DF5D73">
      <w:pPr>
        <w:spacing w:after="0" w:line="480" w:lineRule="auto"/>
        <w:ind w:firstLine="720"/>
        <w:jc w:val="both"/>
      </w:pPr>
      <w:r>
        <w:t>Subsequent presi</w:t>
      </w:r>
      <w:r w:rsidR="007063EC">
        <w:t>dents enacted minor changes in</w:t>
      </w:r>
      <w:r>
        <w:t xml:space="preserve"> French institutions operating in Africa. One of the most significant alterations occurred when President François Holland (2012-2017) combined the cabinet positions for development and </w:t>
      </w:r>
      <w:r>
        <w:rPr>
          <w:i/>
        </w:rPr>
        <w:t xml:space="preserve">Francophonie </w:t>
      </w:r>
      <w:r>
        <w:t xml:space="preserve">in order to reduce the number of ministers and secretary-generals. This combination has faced criticism from international nongovernmental organizations, which argue that it confuses the separation between members of </w:t>
      </w:r>
      <w:r>
        <w:rPr>
          <w:i/>
        </w:rPr>
        <w:t xml:space="preserve">la Francophonie </w:t>
      </w:r>
      <w:r>
        <w:t>and the rest of the development community.</w:t>
      </w:r>
      <w:r>
        <w:rPr>
          <w:rStyle w:val="FootnoteReference"/>
        </w:rPr>
        <w:footnoteReference w:id="136"/>
      </w:r>
      <w:r>
        <w:t xml:space="preserve"> The international community did not support combining development with the furthering of French strategic influence into one position as this </w:t>
      </w:r>
      <w:r w:rsidRPr="00DD5F83">
        <w:t>obscures the line between French and non-French policy.</w:t>
      </w:r>
      <w:r>
        <w:t xml:space="preserve"> The alphabet soup of organizations pertaining to French-speaking Africa is not exhausted in this brief overview; however, it provides relevant information for understanding the pervasive aspects of Françafrique from a top-down perspective.</w:t>
      </w:r>
    </w:p>
    <w:p w14:paraId="6CEC0B6C" w14:textId="77777777" w:rsidR="00DF5D73" w:rsidRDefault="00DF5D73" w:rsidP="00DF5D73">
      <w:pPr>
        <w:spacing w:after="0" w:line="480" w:lineRule="auto"/>
        <w:rPr>
          <w:i/>
        </w:rPr>
      </w:pPr>
    </w:p>
    <w:p w14:paraId="367F21ED" w14:textId="77777777" w:rsidR="00DF5D73" w:rsidRPr="00E648B7" w:rsidRDefault="00DF5D73" w:rsidP="00DF5D73">
      <w:pPr>
        <w:spacing w:after="0" w:line="480" w:lineRule="auto"/>
        <w:jc w:val="center"/>
      </w:pPr>
      <w:r w:rsidRPr="00E648B7">
        <w:t>Technical Assistance</w:t>
      </w:r>
    </w:p>
    <w:p w14:paraId="464545F5" w14:textId="77777777" w:rsidR="00DF5D73" w:rsidRPr="00620682" w:rsidRDefault="00DF5D73" w:rsidP="00DF5D73">
      <w:pPr>
        <w:widowControl w:val="0"/>
        <w:autoSpaceDE w:val="0"/>
        <w:autoSpaceDN w:val="0"/>
        <w:adjustRightInd w:val="0"/>
        <w:spacing w:after="0" w:line="480" w:lineRule="auto"/>
        <w:jc w:val="both"/>
        <w:rPr>
          <w:rFonts w:cs="Times New Roman"/>
          <w:color w:val="343434"/>
        </w:rPr>
      </w:pPr>
      <w:r>
        <w:tab/>
        <w:t>Because France had worked so diligently to establish the French Union just to see its demise two years later, they were unwilling to permanently abandon their former colonies without providing advice and assistance. This unwillingness was a trend among colonial powers, like Britain and Portugal, who felt that African nations were not yet ready for full independence and needed continued administrative and technical support for an unforeseen period. However, British and Portuguese administers did not intervene to the same extent as the French. Following independence, “the immediate entourage of most Francophone leaders included many Frenchmen in key positions—chief of cabinet, private secretary, bodyguards” who served as advisors to newly democratically elected leaders in African nation-states.</w:t>
      </w:r>
      <w:r>
        <w:rPr>
          <w:rStyle w:val="FootnoteReference"/>
        </w:rPr>
        <w:footnoteReference w:id="137"/>
      </w:r>
      <w:r>
        <w:t xml:space="preserve"> Oftentimes, former French secret servicemen served as part of the African presidential guard.  For example, President Felix Houphouët-Boigny of Côte d’Ivoire appointed several French citizens to government positions and other advisory roles. He maintained his strong relationship with France throughout his presidency. From 1970-1990, France provided $8.2 billion (1990 prices)</w:t>
      </w:r>
      <w:r w:rsidRPr="00620682">
        <w:rPr>
          <w:rStyle w:val="FootnoteReference"/>
        </w:rPr>
        <w:t xml:space="preserve"> </w:t>
      </w:r>
      <w:r>
        <w:rPr>
          <w:rStyle w:val="FootnoteReference"/>
        </w:rPr>
        <w:footnoteReference w:id="138"/>
      </w:r>
      <w:r>
        <w:t xml:space="preserve"> in technical assistance expenditures by “revamping the justice and security sectors.”</w:t>
      </w:r>
      <w:r w:rsidRPr="009C0A61">
        <w:rPr>
          <w:rStyle w:val="FootnoteReference"/>
          <w:rFonts w:cs="Times New Roman"/>
        </w:rPr>
        <w:footnoteReference w:id="139"/>
      </w:r>
    </w:p>
    <w:p w14:paraId="6A999F11" w14:textId="7245A92A" w:rsidR="00DF5D73" w:rsidRDefault="00DF5D73" w:rsidP="00DF5D73">
      <w:pPr>
        <w:spacing w:after="0" w:line="480" w:lineRule="auto"/>
        <w:jc w:val="both"/>
      </w:pPr>
      <w:r>
        <w:tab/>
        <w:t xml:space="preserve">Furthermore, France has frequently held Franco-African summits to sustain channels of political and economic advice, fostering increased relationships between African states and France. These summits are vital to the notion of the French </w:t>
      </w:r>
      <w:r>
        <w:rPr>
          <w:i/>
        </w:rPr>
        <w:t>pré carré</w:t>
      </w:r>
      <w:r>
        <w:t xml:space="preserve"> and in the recent past have included non-French speaking countries, like Zimbabwe’s Mugabe, who has a poor reputation in the international community.</w:t>
      </w:r>
      <w:r>
        <w:rPr>
          <w:rStyle w:val="FootnoteReference"/>
        </w:rPr>
        <w:footnoteReference w:id="140"/>
      </w:r>
      <w:r>
        <w:t xml:space="preserve"> The extension of an invitation to a non-francophone, former British colony illustrates France’s potential intentions to invest in Zimbabwe’s economy, which lacks the French historical relationship but may provide friendly relations and access to natural resources. </w:t>
      </w:r>
    </w:p>
    <w:p w14:paraId="227851EE" w14:textId="77777777" w:rsidR="00DF5D73" w:rsidRDefault="00DF5D73" w:rsidP="00DF5D73">
      <w:pPr>
        <w:spacing w:after="0" w:line="480" w:lineRule="auto"/>
        <w:jc w:val="center"/>
      </w:pPr>
    </w:p>
    <w:p w14:paraId="7CEBC982" w14:textId="77777777" w:rsidR="00DF5D73" w:rsidRDefault="00DF5D73" w:rsidP="00DF5D73">
      <w:pPr>
        <w:spacing w:after="0" w:line="480" w:lineRule="auto"/>
        <w:jc w:val="center"/>
      </w:pPr>
      <w:r w:rsidRPr="003735AC">
        <w:t>Heads of State</w:t>
      </w:r>
    </w:p>
    <w:p w14:paraId="7C9E8D50" w14:textId="77777777" w:rsidR="00DF5D73" w:rsidRDefault="00DF5D73" w:rsidP="00DF5D73">
      <w:pPr>
        <w:spacing w:after="0" w:line="480" w:lineRule="auto"/>
        <w:ind w:firstLine="720"/>
        <w:jc w:val="both"/>
      </w:pPr>
      <w:r>
        <w:t>Françafrique, through various French presidents and ministers, resulted in the formation of a French identity at the highest level of government. France attempted to control former colonies by helping to elect politicians that were allied with France.</w:t>
      </w:r>
      <w:r>
        <w:rPr>
          <w:rStyle w:val="FootnoteReference"/>
        </w:rPr>
        <w:footnoteReference w:id="141"/>
      </w:r>
      <w:r>
        <w:t xml:space="preserve"> Corporations provided campaign funds and French officials offered support during elections. However, empowered African heads of state often challenged France on French influence in domestic affairs. Countries with a relatively higher level of “Frenchness” often have leaders who are aligned with French policy, notably Côte d’Ivoire, Senegal, and Gabon. When leaders were aligned with French interests, they often remained in power for several decades, despite the high number of coups d’état in Africa. By serving for long-term periods, African heads of state further solidified the French-African relationship. </w:t>
      </w:r>
    </w:p>
    <w:p w14:paraId="69A03776" w14:textId="77777777" w:rsidR="00DF5D73" w:rsidRDefault="00DF5D73" w:rsidP="00DF5D73">
      <w:pPr>
        <w:spacing w:after="0" w:line="480" w:lineRule="auto"/>
        <w:ind w:firstLine="720"/>
      </w:pPr>
    </w:p>
    <w:p w14:paraId="427C9E61" w14:textId="77777777" w:rsidR="00DF5D73" w:rsidRPr="002B0DAC" w:rsidRDefault="00DF5D73" w:rsidP="00DF5D73">
      <w:pPr>
        <w:spacing w:after="0" w:line="480" w:lineRule="auto"/>
        <w:rPr>
          <w:i/>
        </w:rPr>
      </w:pPr>
      <w:r>
        <w:rPr>
          <w:i/>
        </w:rPr>
        <w:t xml:space="preserve">Côte d’Ivoire </w:t>
      </w:r>
    </w:p>
    <w:p w14:paraId="41D4DA63" w14:textId="0CB94508" w:rsidR="00DF5D73" w:rsidRDefault="00DF5D73" w:rsidP="00DF5D73">
      <w:pPr>
        <w:spacing w:after="0" w:line="480" w:lineRule="auto"/>
        <w:ind w:firstLine="720"/>
        <w:jc w:val="both"/>
      </w:pPr>
      <w:r>
        <w:t>The first president of Côte d’Ivoire, Felix Houphouët-Boigny (1960-1993), set the precedent for the country’s relationship with France. Houphouët-Boigny was involved in the formation of the French Union, as well as sett</w:t>
      </w:r>
      <w:r w:rsidR="007063EC">
        <w:t>ing the criteria</w:t>
      </w:r>
      <w:r>
        <w:t xml:space="preserve"> for the policy of Françafrique. Houphouët-Boigny used French assistance in order to seize power over the country, as well as the military, following independence on August 7, 1960. Furthermore, Houphouët-Boigny modeled the political structure of Côte d’Ivoire after the system during colonization. For example, he maintained the same </w:t>
      </w:r>
      <w:r w:rsidRPr="00357E84">
        <w:rPr>
          <w:i/>
        </w:rPr>
        <w:t>sous-sections</w:t>
      </w:r>
      <w:r>
        <w:t xml:space="preserve"> (regions) and used something similar to direct rule.</w:t>
      </w:r>
      <w:r>
        <w:rPr>
          <w:rStyle w:val="FootnoteReference"/>
        </w:rPr>
        <w:footnoteReference w:id="142"/>
      </w:r>
      <w:r>
        <w:t xml:space="preserve"> Houphouët-Boigny held the presidency for thirty-four years and throughout his life, he upheld the advantageous relationship with the French. Under his rule, he allowed for neighboring country residents, such as those of Burkina Faso and Togo, to immigrate to Côte d’Ivoire; many of these immigrants obtained citizenship, which would yield consequences in future elections.</w:t>
      </w:r>
    </w:p>
    <w:p w14:paraId="1DCAD811" w14:textId="77777777" w:rsidR="00DF5D73" w:rsidRDefault="00DF5D73" w:rsidP="00DF5D73">
      <w:pPr>
        <w:spacing w:after="0" w:line="480" w:lineRule="auto"/>
        <w:ind w:firstLine="720"/>
        <w:jc w:val="both"/>
      </w:pPr>
      <w:r>
        <w:t>Côte d’Ivoire has recently had a tumultuous relationship with France, consequentially under the authority of Laurent Gbagbo. Gbagbo achieved power as Alassane Ouattara was prohibited from running since his parents originated from Burkina Faso.</w:t>
      </w:r>
      <w:r>
        <w:rPr>
          <w:rStyle w:val="FootnoteReference"/>
        </w:rPr>
        <w:footnoteReference w:id="143"/>
      </w:r>
      <w:r>
        <w:t xml:space="preserve"> In 2002, France intervened to protect French nationals during an attempted coup d’état and later received support from the UNSC for Operation Licorne.</w:t>
      </w:r>
      <w:r>
        <w:rPr>
          <w:rStyle w:val="FootnoteReference"/>
        </w:rPr>
        <w:footnoteReference w:id="144"/>
      </w:r>
      <w:r>
        <w:t xml:space="preserve"> France was against Gbagbo as he was “perceived to be a danger to French private interests in strategic Ivorian companies, and Gbagbo’s policies “may have resulted in the end of secret deals for French firms.</w:t>
      </w:r>
      <w:r>
        <w:rPr>
          <w:rStyle w:val="FootnoteReference"/>
        </w:rPr>
        <w:footnoteReference w:id="145"/>
      </w:r>
      <w:r>
        <w:t xml:space="preserve"> In October 2010, France assisted Côte d’Ivoire when Gbagbo refused to transfer power to Ouattara. France also helped to open an investigation of Laurent Gbagbo at the International Criminal Court—he denied all charges against him in January 2016.</w:t>
      </w:r>
      <w:r>
        <w:rPr>
          <w:rStyle w:val="FootnoteReference"/>
        </w:rPr>
        <w:footnoteReference w:id="146"/>
      </w:r>
      <w:r>
        <w:t xml:space="preserve"> French ministers supported Ouattara because of his relationship with Houphouët-Boigny and therefore had Ivoirian interests that aligned with French objectives. Since Ouattara obtained the presidency, French relations with the country have once again stabilized. </w:t>
      </w:r>
    </w:p>
    <w:p w14:paraId="09CFBE53" w14:textId="77777777" w:rsidR="00DF5D73" w:rsidRDefault="00DF5D73" w:rsidP="00DF5D73">
      <w:pPr>
        <w:spacing w:after="0" w:line="480" w:lineRule="auto"/>
      </w:pPr>
    </w:p>
    <w:p w14:paraId="01C527D5" w14:textId="77777777" w:rsidR="00DF5D73" w:rsidRDefault="00DF5D73" w:rsidP="00DF5D73">
      <w:pPr>
        <w:spacing w:after="0" w:line="480" w:lineRule="auto"/>
        <w:rPr>
          <w:i/>
        </w:rPr>
      </w:pPr>
      <w:r>
        <w:rPr>
          <w:i/>
        </w:rPr>
        <w:t xml:space="preserve">Senegal </w:t>
      </w:r>
    </w:p>
    <w:p w14:paraId="0395DA45" w14:textId="3A9A07DE" w:rsidR="00DF5D73" w:rsidRDefault="00DF5D73" w:rsidP="00DF5D73">
      <w:pPr>
        <w:spacing w:after="0" w:line="480" w:lineRule="auto"/>
        <w:ind w:firstLine="720"/>
        <w:jc w:val="both"/>
      </w:pPr>
      <w:r>
        <w:t>President Léopold Senghor was a frontrunner in the formation of the French Union. Senghor viewed himself as a Frenchman, as he had studied at the University of Paris and was</w:t>
      </w:r>
      <w:r w:rsidR="007063EC">
        <w:t xml:space="preserve"> well</w:t>
      </w:r>
      <w:r>
        <w:t xml:space="preserve"> known for composing French poetry.</w:t>
      </w:r>
      <w:r>
        <w:rPr>
          <w:rStyle w:val="FootnoteReference"/>
        </w:rPr>
        <w:footnoteReference w:id="147"/>
      </w:r>
      <w:r>
        <w:t xml:space="preserve"> Senghor had advocated for a federation of French-African states and was politically active in maintaining Senegal’s relationship with France following independence. Under Senghor’s policies, Senegal aligned with French objectives in order to economically gain, in terms of trade and exchange of culture. For example, there are over 7,500 Senegalese students attending higher education in France. These students will likely become the next Senegalese leaders, and they have an understanding of the shared Franco-African relationship. </w:t>
      </w:r>
    </w:p>
    <w:p w14:paraId="26E32BEA" w14:textId="77777777" w:rsidR="00DF5D73" w:rsidRDefault="00DF5D73" w:rsidP="00DF5D73">
      <w:pPr>
        <w:spacing w:after="0" w:line="480" w:lineRule="auto"/>
        <w:ind w:firstLine="720"/>
        <w:jc w:val="both"/>
      </w:pPr>
      <w:r>
        <w:t xml:space="preserve">Senghor held the presidency for twenty years before peacefully transitioning power to Abdou Diouf. Unlike Côte d’Ivoire, Senegal has had fewer scandals and maintains a larger network through French corporations and cultural institutions. Subsequent Senegalese presidents have followed the Senghor’s approach for maintaining a healthy and beneficial relationship with France. By attending various French-African summits and building Françafrique networks, Senegalese heads of state have furthered the presence of “Frenchness” among government officials and the domestic population.  </w:t>
      </w:r>
    </w:p>
    <w:p w14:paraId="741865DE" w14:textId="77777777" w:rsidR="00DF5D73" w:rsidRDefault="00DF5D73" w:rsidP="00DF5D73">
      <w:pPr>
        <w:spacing w:after="0" w:line="480" w:lineRule="auto"/>
      </w:pPr>
    </w:p>
    <w:p w14:paraId="6708FD9B" w14:textId="77777777" w:rsidR="00DF5D73" w:rsidRPr="00171808" w:rsidRDefault="00DF5D73" w:rsidP="00DF5D73">
      <w:pPr>
        <w:spacing w:after="0" w:line="480" w:lineRule="auto"/>
        <w:rPr>
          <w:rFonts w:eastAsia="SimSun-ExtB" w:cs="Times New Roman"/>
        </w:rPr>
      </w:pPr>
      <w:r w:rsidRPr="00171808">
        <w:rPr>
          <w:rFonts w:eastAsia="SimSun-ExtB" w:cs="Times New Roman"/>
          <w:i/>
        </w:rPr>
        <w:t xml:space="preserve">Gabon </w:t>
      </w:r>
    </w:p>
    <w:p w14:paraId="5EF60098" w14:textId="77777777" w:rsidR="00DF5D73" w:rsidRPr="0000160E" w:rsidRDefault="00DF5D73" w:rsidP="00DF5D73">
      <w:pPr>
        <w:pStyle w:val="NormalWeb"/>
        <w:spacing w:before="0" w:beforeAutospacing="0" w:after="0" w:afterAutospacing="0" w:line="480" w:lineRule="auto"/>
        <w:ind w:firstLine="720"/>
        <w:jc w:val="both"/>
        <w:rPr>
          <w:rFonts w:ascii="Times New Roman" w:eastAsia="SimSun-ExtB" w:hAnsi="Times New Roman"/>
          <w:sz w:val="24"/>
          <w:szCs w:val="24"/>
        </w:rPr>
      </w:pPr>
      <w:r w:rsidRPr="00171808">
        <w:rPr>
          <w:rFonts w:ascii="Times New Roman" w:eastAsia="SimSun-ExtB" w:hAnsi="Times New Roman"/>
          <w:sz w:val="24"/>
          <w:szCs w:val="24"/>
        </w:rPr>
        <w:t xml:space="preserve">Omar Bongo served as president of Gabon for 42 years (1967-2009), and his son, Ali Bongo, took office shortly after his death. France was especially interested in forming a close relationship with Bongo because of his country’s oil reserves, as well as Gabon’s existing influence in neighboring countries due to its historical role as the capital of French Equatorial Africa. Not surprisingly, one of the largest companies in Gabon is Total, formerly known as Elf Aquitaine. The personal relationship between President Omar Bongo and France resulted in secret deals for French oil companies and the advice of hundreds of French civil servants in Gabonese ministries. </w:t>
      </w:r>
      <w:r>
        <w:rPr>
          <w:rFonts w:ascii="Times New Roman" w:eastAsia="SimSun-ExtB" w:hAnsi="Times New Roman"/>
          <w:sz w:val="24"/>
          <w:szCs w:val="24"/>
        </w:rPr>
        <w:t>Because of this resource wealth, Bongo was able to exploit his “</w:t>
      </w:r>
      <w:r w:rsidRPr="00171808">
        <w:rPr>
          <w:rFonts w:ascii="Times New Roman" w:eastAsia="SimSun-ExtB" w:hAnsi="Times New Roman"/>
          <w:sz w:val="24"/>
          <w:szCs w:val="24"/>
        </w:rPr>
        <w:t>bank reserves to cultivate ties in Paris."</w:t>
      </w:r>
      <w:r>
        <w:rPr>
          <w:rStyle w:val="FootnoteReference"/>
          <w:rFonts w:ascii="Times New Roman" w:eastAsia="SimSun-ExtB" w:hAnsi="Times New Roman"/>
          <w:sz w:val="24"/>
          <w:szCs w:val="24"/>
        </w:rPr>
        <w:footnoteReference w:id="148"/>
      </w:r>
      <w:r>
        <w:rPr>
          <w:rFonts w:ascii="Times New Roman" w:eastAsia="SimSun-ExtB" w:hAnsi="Times New Roman"/>
          <w:sz w:val="24"/>
          <w:szCs w:val="24"/>
        </w:rPr>
        <w:t xml:space="preserve"> </w:t>
      </w:r>
      <w:r w:rsidRPr="0000160E">
        <w:rPr>
          <w:rFonts w:ascii="Times New Roman" w:hAnsi="Times New Roman"/>
          <w:sz w:val="24"/>
          <w:szCs w:val="24"/>
        </w:rPr>
        <w:t>Bongo was so powerful that he had influence over French elections and helped put certain politicians in office.</w:t>
      </w:r>
      <w:r w:rsidRPr="0000160E">
        <w:rPr>
          <w:rStyle w:val="FootnoteReference"/>
          <w:rFonts w:ascii="Times New Roman" w:hAnsi="Times New Roman"/>
          <w:sz w:val="24"/>
          <w:szCs w:val="24"/>
        </w:rPr>
        <w:footnoteReference w:id="149"/>
      </w:r>
      <w:r>
        <w:rPr>
          <w:rFonts w:ascii="Times New Roman" w:hAnsi="Times New Roman"/>
          <w:sz w:val="24"/>
          <w:szCs w:val="24"/>
        </w:rPr>
        <w:t xml:space="preserve"> </w:t>
      </w:r>
      <w:r w:rsidRPr="0000160E">
        <w:rPr>
          <w:rFonts w:ascii="Times New Roman" w:hAnsi="Times New Roman"/>
          <w:sz w:val="24"/>
          <w:szCs w:val="24"/>
        </w:rPr>
        <w:t xml:space="preserve">Although unsubstantiated, </w:t>
      </w:r>
      <w:r>
        <w:rPr>
          <w:rFonts w:ascii="Times New Roman" w:hAnsi="Times New Roman"/>
          <w:sz w:val="24"/>
          <w:szCs w:val="24"/>
        </w:rPr>
        <w:t>there are rumors</w:t>
      </w:r>
      <w:r w:rsidRPr="0000160E">
        <w:rPr>
          <w:rFonts w:ascii="Times New Roman" w:hAnsi="Times New Roman"/>
          <w:sz w:val="24"/>
          <w:szCs w:val="24"/>
        </w:rPr>
        <w:t xml:space="preserve"> that Bongo specifically funded the campaigns for future French presidents Jacques Chirac and Nicolas Sarkozy</w:t>
      </w:r>
      <w:r>
        <w:rPr>
          <w:rFonts w:ascii="Times New Roman" w:hAnsi="Times New Roman"/>
          <w:sz w:val="24"/>
          <w:szCs w:val="24"/>
        </w:rPr>
        <w:t>.</w:t>
      </w:r>
      <w:r>
        <w:rPr>
          <w:rStyle w:val="FootnoteReference"/>
          <w:rFonts w:ascii="Times New Roman" w:hAnsi="Times New Roman"/>
          <w:sz w:val="24"/>
          <w:szCs w:val="24"/>
        </w:rPr>
        <w:footnoteReference w:id="150"/>
      </w:r>
      <w:r>
        <w:rPr>
          <w:rFonts w:ascii="Times New Roman" w:hAnsi="Times New Roman"/>
          <w:sz w:val="24"/>
          <w:szCs w:val="24"/>
        </w:rPr>
        <w:t xml:space="preserve"> This unique relationship between Bongo and six French presidents illustrates the role of African leaders in furthering the French influence. </w:t>
      </w:r>
    </w:p>
    <w:p w14:paraId="1E81A688" w14:textId="77777777" w:rsidR="00DF5D73" w:rsidRPr="006A1240" w:rsidRDefault="00DF5D73" w:rsidP="00DF5D73">
      <w:pPr>
        <w:spacing w:after="0" w:line="480" w:lineRule="auto"/>
      </w:pPr>
    </w:p>
    <w:p w14:paraId="6EDE64AE" w14:textId="77777777" w:rsidR="00DF5D73" w:rsidRPr="00E648B7" w:rsidRDefault="00DF5D73" w:rsidP="00DF5D73">
      <w:pPr>
        <w:spacing w:after="0" w:line="480" w:lineRule="auto"/>
        <w:jc w:val="center"/>
      </w:pPr>
      <w:r w:rsidRPr="00E648B7">
        <w:t>Military Interventions</w:t>
      </w:r>
    </w:p>
    <w:p w14:paraId="64C946AB" w14:textId="6A8E7CD3" w:rsidR="00DF5D73" w:rsidRDefault="00DF5D73" w:rsidP="00DF5D73">
      <w:pPr>
        <w:spacing w:after="0" w:line="480" w:lineRule="auto"/>
        <w:jc w:val="both"/>
      </w:pPr>
      <w:r>
        <w:tab/>
        <w:t>Likely the most controversial aspect of French presence in Africa, France currently maintains four permanent military bases in former African colonies—Senegal, Côte d’Ivoire, Gabon, and Djibouti. France is the only former colonizer to keep troops in its former African dependencies,</w:t>
      </w:r>
      <w:r w:rsidRPr="00541DC9">
        <w:rPr>
          <w:rStyle w:val="FootnoteReference"/>
        </w:rPr>
        <w:t xml:space="preserve"> </w:t>
      </w:r>
      <w:r>
        <w:rPr>
          <w:rStyle w:val="FootnoteReference"/>
        </w:rPr>
        <w:footnoteReference w:id="151"/>
      </w:r>
      <w:r>
        <w:t xml:space="preserve"> as illustrated in Figure 2.3.</w:t>
      </w:r>
      <w:r w:rsidRPr="00541DC9">
        <w:rPr>
          <w:rStyle w:val="FootnoteReference"/>
        </w:rPr>
        <w:t xml:space="preserve"> </w:t>
      </w:r>
      <w:r w:rsidRPr="00D622E1">
        <w:rPr>
          <w:rStyle w:val="FootnoteReference"/>
        </w:rPr>
        <w:footnoteReference w:id="152"/>
      </w:r>
      <w:r>
        <w:t xml:space="preserve"> In 1960, France encouraged newly independent nations to sign bilateral defense treaties </w:t>
      </w:r>
    </w:p>
    <w:p w14:paraId="18A8F7D9" w14:textId="77777777" w:rsidR="00DF5D73" w:rsidRPr="0042381A" w:rsidRDefault="00DF5D73" w:rsidP="00DF5D73">
      <w:pPr>
        <w:spacing w:after="0"/>
        <w:jc w:val="both"/>
        <w:rPr>
          <w:i/>
        </w:rPr>
      </w:pPr>
      <w:r>
        <w:rPr>
          <w:noProof/>
          <w:lang w:eastAsia="en-US"/>
        </w:rPr>
        <w:drawing>
          <wp:anchor distT="0" distB="0" distL="114300" distR="114300" simplePos="0" relativeHeight="251661312" behindDoc="0" locked="0" layoutInCell="1" allowOverlap="1" wp14:anchorId="43B65826" wp14:editId="45608824">
            <wp:simplePos x="0" y="0"/>
            <wp:positionH relativeFrom="column">
              <wp:posOffset>914400</wp:posOffset>
            </wp:positionH>
            <wp:positionV relativeFrom="paragraph">
              <wp:posOffset>144780</wp:posOffset>
            </wp:positionV>
            <wp:extent cx="3657600" cy="422402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657600" cy="42240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2538FEA0" w14:textId="77777777" w:rsidR="00DF5D73" w:rsidRDefault="00DF5D73" w:rsidP="00DF5D73">
      <w:pPr>
        <w:spacing w:after="0"/>
      </w:pPr>
      <w:r w:rsidRPr="00D622E1">
        <w:t xml:space="preserve">Figure </w:t>
      </w:r>
      <w:r>
        <w:t>2.3</w:t>
      </w:r>
      <w:r w:rsidRPr="00D622E1">
        <w:t>. Military bases and operations in Sub-Saharan Africa</w:t>
      </w:r>
    </w:p>
    <w:p w14:paraId="168CFBD9" w14:textId="77777777" w:rsidR="00DF5D73" w:rsidRDefault="00DF5D73" w:rsidP="00DF5D73">
      <w:pPr>
        <w:spacing w:after="0"/>
      </w:pPr>
    </w:p>
    <w:p w14:paraId="34082DA0" w14:textId="77579366" w:rsidR="009025F4" w:rsidRDefault="009025F4" w:rsidP="009025F4">
      <w:pPr>
        <w:spacing w:after="0" w:line="480" w:lineRule="auto"/>
        <w:contextualSpacing/>
        <w:jc w:val="both"/>
      </w:pPr>
      <w:r>
        <w:t xml:space="preserve">that have since contributed to modern Franco-African relations and a level of “Frenchness” based on continued interaction and military protection. France maintains military bases in other countries—besides the four on the African continent—but the bases in Senegal, Gabon, Côte d’Ivoire, and Djibouti are unique because they are </w:t>
      </w:r>
      <w:r>
        <w:rPr>
          <w:i/>
        </w:rPr>
        <w:t xml:space="preserve">forces de presence </w:t>
      </w:r>
      <w:r>
        <w:t>(military presence)</w:t>
      </w:r>
      <w:r>
        <w:rPr>
          <w:i/>
        </w:rPr>
        <w:t xml:space="preserve"> </w:t>
      </w:r>
      <w:r>
        <w:t xml:space="preserve">rather than </w:t>
      </w:r>
      <w:r>
        <w:rPr>
          <w:i/>
        </w:rPr>
        <w:t xml:space="preserve">forces de souveraineté </w:t>
      </w:r>
      <w:r>
        <w:t>(sovereign military)</w:t>
      </w:r>
      <w:r>
        <w:rPr>
          <w:i/>
        </w:rPr>
        <w:t xml:space="preserve">. </w:t>
      </w:r>
      <w:r>
        <w:t xml:space="preserve">The difference is that </w:t>
      </w:r>
      <w:r>
        <w:rPr>
          <w:i/>
        </w:rPr>
        <w:t xml:space="preserve">forces de presence </w:t>
      </w:r>
      <w:r>
        <w:t xml:space="preserve">defend </w:t>
      </w:r>
      <w:r w:rsidRPr="00F00276">
        <w:rPr>
          <w:i/>
        </w:rPr>
        <w:t>des intérêt français</w:t>
      </w:r>
      <w:r>
        <w:t xml:space="preserve"> (French interests) rather than protect French territories, like French Guyana and Antilles.</w:t>
      </w:r>
      <w:r>
        <w:rPr>
          <w:rStyle w:val="FootnoteReference"/>
        </w:rPr>
        <w:footnoteReference w:id="153"/>
      </w:r>
    </w:p>
    <w:p w14:paraId="39A65E64" w14:textId="77777777" w:rsidR="00DF5D73" w:rsidRDefault="00DF5D73" w:rsidP="00127EC1">
      <w:pPr>
        <w:spacing w:after="0" w:line="480" w:lineRule="auto"/>
        <w:ind w:firstLine="720"/>
        <w:contextualSpacing/>
        <w:jc w:val="both"/>
      </w:pPr>
      <w:r>
        <w:t>Since independence, France has intervened nineteen times between 1962 and 1995 in both internal and external conflicts in former French possessions, in an attempt to prop up African leaders aligned with French interests and combat Islamic extremism.</w:t>
      </w:r>
      <w:r>
        <w:rPr>
          <w:rStyle w:val="FootnoteReference"/>
        </w:rPr>
        <w:footnoteReference w:id="154"/>
      </w:r>
      <w:r>
        <w:t xml:space="preserve"> Post-independence bilateral defense treaties often gave France the right to intervene to preserve presidencies but also gave French corporations access to natural resources. Abiding by the notion of helping friends first, France intervened in Côte d’Ivoire following the election of Alassane Ouattara when Laurent Gbagbo refused to leave office under Operation Licorne. Ouattara had served as prime minister under the favorable Houphouët-Boigny and had already advocated for a close relationship with France, but Gbagbo did not favor French interference or influence in Ivoirian domestic issues. French military presence has helped less democratic regimes to remain in power, amid domestic and international criticism.</w:t>
      </w:r>
    </w:p>
    <w:p w14:paraId="3E8002C3" w14:textId="44FC22C4" w:rsidR="00DF5D73" w:rsidRDefault="00DF5D73" w:rsidP="00DF5D73">
      <w:pPr>
        <w:spacing w:after="0" w:line="480" w:lineRule="auto"/>
        <w:ind w:firstLine="720"/>
        <w:contextualSpacing/>
        <w:jc w:val="both"/>
      </w:pPr>
      <w:r>
        <w:t>President Sarkozy renegotiated defense treaties with former colonies during his presidency to create m</w:t>
      </w:r>
      <w:r w:rsidR="007063EC">
        <w:t>utual obligations and remove</w:t>
      </w:r>
      <w:r>
        <w:t xml:space="preserve"> secret clauses, which permitted France to unnecessarily intervene in African domestic affairs and civil wars.</w:t>
      </w:r>
      <w:r>
        <w:rPr>
          <w:rStyle w:val="FootnoteReference"/>
        </w:rPr>
        <w:footnoteReference w:id="155"/>
      </w:r>
      <w:r>
        <w:t xml:space="preserve"> By offering protection to both African leaders and residents, France has strengthened their presence in the region and furthers the “Frenchness” of their supporters. </w:t>
      </w:r>
    </w:p>
    <w:p w14:paraId="4FF6C3E9" w14:textId="77777777" w:rsidR="00DF5D73" w:rsidRPr="00A46942" w:rsidRDefault="00DF5D73" w:rsidP="00DF5D73">
      <w:pPr>
        <w:spacing w:after="0" w:line="480" w:lineRule="auto"/>
        <w:ind w:firstLine="720"/>
        <w:contextualSpacing/>
        <w:jc w:val="both"/>
      </w:pPr>
    </w:p>
    <w:p w14:paraId="48C6B004" w14:textId="77777777" w:rsidR="00DF5D73" w:rsidRPr="00E648B7" w:rsidRDefault="00DF5D73" w:rsidP="00DF5D73">
      <w:pPr>
        <w:spacing w:after="0" w:line="480" w:lineRule="auto"/>
        <w:jc w:val="center"/>
      </w:pPr>
      <w:r w:rsidRPr="00E648B7">
        <w:t>CFA Franc Zone</w:t>
      </w:r>
    </w:p>
    <w:p w14:paraId="095B5249" w14:textId="2DCF96CF" w:rsidR="00DF5D73" w:rsidRDefault="00DF5D73" w:rsidP="00DF5D73">
      <w:pPr>
        <w:spacing w:after="0" w:line="480" w:lineRule="auto"/>
        <w:jc w:val="both"/>
      </w:pPr>
      <w:r>
        <w:rPr>
          <w:i/>
        </w:rPr>
        <w:tab/>
      </w:r>
      <w:r>
        <w:t>The currency union of former French colonies may be the clearest example of Françafrique. Fourteen African nations—including non-former colonies, like Guinea-Bissau and Equatorial Guinea—use the CFA franc currency in two zones, the West African and Central African franc. The CFA has often been skewed as a voluntary membership with tangible economic benefits, but France attempted to force countries to participate in the currency union. For example, the French secret service printed fake Guinean francs to destroy the local economy in their attempt to destabilize Guinea.</w:t>
      </w:r>
      <w:r w:rsidR="007063EC">
        <w:rPr>
          <w:rStyle w:val="FootnoteReference"/>
        </w:rPr>
        <w:footnoteReference w:id="156"/>
      </w:r>
      <w:r>
        <w:t xml:space="preserve"> However, in recent years, some non-French colonies have joined, which reduces the impact of the historical scandal. Table 2.1.</w:t>
      </w:r>
      <w:r>
        <w:rPr>
          <w:rStyle w:val="FootnoteReference"/>
        </w:rPr>
        <w:footnoteReference w:id="157"/>
      </w:r>
      <w:r>
        <w:t xml:space="preserve"> provides a comprehensive list of present and past members of either CFA franc zone. French bankers dictate African monetary policy for states that adopt the CFA franc, and the French treasury holds reserves of nearly $20 billion to guarantee the CFA franc.</w:t>
      </w:r>
      <w:r>
        <w:rPr>
          <w:rStyle w:val="FootnoteReference"/>
        </w:rPr>
        <w:footnoteReference w:id="158"/>
      </w:r>
      <w:r>
        <w:t xml:space="preserve"> The West African central bank is located in Dakar, influencing the collective identity </w:t>
      </w:r>
      <w:r w:rsidR="007063EC">
        <w:t>between France</w:t>
      </w:r>
    </w:p>
    <w:p w14:paraId="0F708347" w14:textId="77777777" w:rsidR="00DF5D73" w:rsidRPr="004B286B" w:rsidRDefault="00DF5D73" w:rsidP="00DF5D73">
      <w:pPr>
        <w:spacing w:after="0"/>
        <w:jc w:val="both"/>
      </w:pPr>
      <w:r w:rsidRPr="004B286B">
        <w:t xml:space="preserve">Table </w:t>
      </w:r>
      <w:r>
        <w:t>2.</w:t>
      </w:r>
      <w:r w:rsidRPr="004B286B">
        <w:t>1. Members of a CFA franc zone</w:t>
      </w:r>
    </w:p>
    <w:tbl>
      <w:tblPr>
        <w:tblStyle w:val="TableGrid"/>
        <w:tblW w:w="0" w:type="auto"/>
        <w:tblLook w:val="04A0" w:firstRow="1" w:lastRow="0" w:firstColumn="1" w:lastColumn="0" w:noHBand="0" w:noVBand="1"/>
      </w:tblPr>
      <w:tblGrid>
        <w:gridCol w:w="3192"/>
        <w:gridCol w:w="2046"/>
        <w:gridCol w:w="2970"/>
      </w:tblGrid>
      <w:tr w:rsidR="00DF5D73" w14:paraId="792EA1AC" w14:textId="77777777" w:rsidTr="00786B13">
        <w:tc>
          <w:tcPr>
            <w:tcW w:w="3192" w:type="dxa"/>
          </w:tcPr>
          <w:p w14:paraId="6A68FC94" w14:textId="77777777" w:rsidR="00DF5D73" w:rsidRDefault="00DF5D73" w:rsidP="00786B13">
            <w:pPr>
              <w:jc w:val="center"/>
            </w:pPr>
            <w:r>
              <w:t>Country</w:t>
            </w:r>
          </w:p>
        </w:tc>
        <w:tc>
          <w:tcPr>
            <w:tcW w:w="2046" w:type="dxa"/>
          </w:tcPr>
          <w:p w14:paraId="58AEA609" w14:textId="77777777" w:rsidR="00DF5D73" w:rsidRDefault="00DF5D73" w:rsidP="00786B13">
            <w:pPr>
              <w:jc w:val="center"/>
            </w:pPr>
            <w:r>
              <w:t>CFA zone</w:t>
            </w:r>
          </w:p>
        </w:tc>
        <w:tc>
          <w:tcPr>
            <w:tcW w:w="2970" w:type="dxa"/>
          </w:tcPr>
          <w:p w14:paraId="3F24932B" w14:textId="77777777" w:rsidR="00DF5D73" w:rsidRDefault="00DF5D73" w:rsidP="00786B13">
            <w:pPr>
              <w:jc w:val="center"/>
            </w:pPr>
            <w:r>
              <w:t>Years</w:t>
            </w:r>
          </w:p>
        </w:tc>
      </w:tr>
      <w:tr w:rsidR="00DF5D73" w14:paraId="02D1DC50" w14:textId="77777777" w:rsidTr="00786B13">
        <w:tc>
          <w:tcPr>
            <w:tcW w:w="3192" w:type="dxa"/>
          </w:tcPr>
          <w:p w14:paraId="0CFD4783" w14:textId="77777777" w:rsidR="00DF5D73" w:rsidRDefault="00DF5D73" w:rsidP="00786B13">
            <w:pPr>
              <w:jc w:val="center"/>
            </w:pPr>
            <w:r>
              <w:t>Benin</w:t>
            </w:r>
          </w:p>
        </w:tc>
        <w:tc>
          <w:tcPr>
            <w:tcW w:w="2046" w:type="dxa"/>
          </w:tcPr>
          <w:p w14:paraId="6BAD2229" w14:textId="77777777" w:rsidR="00DF5D73" w:rsidRDefault="00DF5D73" w:rsidP="00786B13">
            <w:pPr>
              <w:jc w:val="center"/>
            </w:pPr>
            <w:r>
              <w:t>XOF</w:t>
            </w:r>
          </w:p>
        </w:tc>
        <w:tc>
          <w:tcPr>
            <w:tcW w:w="2970" w:type="dxa"/>
          </w:tcPr>
          <w:p w14:paraId="6C047A39" w14:textId="77777777" w:rsidR="00DF5D73" w:rsidRDefault="00DF5D73" w:rsidP="00786B13">
            <w:pPr>
              <w:jc w:val="center"/>
            </w:pPr>
            <w:r>
              <w:t>1960-present</w:t>
            </w:r>
          </w:p>
        </w:tc>
      </w:tr>
      <w:tr w:rsidR="00DF5D73" w14:paraId="18E37579" w14:textId="77777777" w:rsidTr="00786B13">
        <w:tc>
          <w:tcPr>
            <w:tcW w:w="3192" w:type="dxa"/>
          </w:tcPr>
          <w:p w14:paraId="47FDA96D" w14:textId="77777777" w:rsidR="00DF5D73" w:rsidRDefault="00DF5D73" w:rsidP="00786B13">
            <w:pPr>
              <w:jc w:val="center"/>
            </w:pPr>
            <w:r>
              <w:t>Burkina Faso</w:t>
            </w:r>
          </w:p>
        </w:tc>
        <w:tc>
          <w:tcPr>
            <w:tcW w:w="2046" w:type="dxa"/>
          </w:tcPr>
          <w:p w14:paraId="69599590" w14:textId="77777777" w:rsidR="00DF5D73" w:rsidRDefault="00DF5D73" w:rsidP="00786B13">
            <w:pPr>
              <w:jc w:val="center"/>
            </w:pPr>
            <w:r>
              <w:t>XOF</w:t>
            </w:r>
          </w:p>
        </w:tc>
        <w:tc>
          <w:tcPr>
            <w:tcW w:w="2970" w:type="dxa"/>
          </w:tcPr>
          <w:p w14:paraId="2CCB936D" w14:textId="77777777" w:rsidR="00DF5D73" w:rsidRDefault="00DF5D73" w:rsidP="00786B13">
            <w:pPr>
              <w:jc w:val="center"/>
            </w:pPr>
            <w:r>
              <w:t>1960-present</w:t>
            </w:r>
          </w:p>
        </w:tc>
      </w:tr>
      <w:tr w:rsidR="00DF5D73" w14:paraId="253705C7" w14:textId="77777777" w:rsidTr="00786B13">
        <w:tc>
          <w:tcPr>
            <w:tcW w:w="3192" w:type="dxa"/>
          </w:tcPr>
          <w:p w14:paraId="691E5143" w14:textId="77777777" w:rsidR="00DF5D73" w:rsidRDefault="00DF5D73" w:rsidP="00786B13">
            <w:pPr>
              <w:jc w:val="center"/>
            </w:pPr>
            <w:r>
              <w:t>Cameroon</w:t>
            </w:r>
          </w:p>
        </w:tc>
        <w:tc>
          <w:tcPr>
            <w:tcW w:w="2046" w:type="dxa"/>
          </w:tcPr>
          <w:p w14:paraId="4B205AEB" w14:textId="77777777" w:rsidR="00DF5D73" w:rsidRDefault="00DF5D73" w:rsidP="00786B13">
            <w:pPr>
              <w:jc w:val="center"/>
            </w:pPr>
            <w:r>
              <w:t>XAF</w:t>
            </w:r>
          </w:p>
        </w:tc>
        <w:tc>
          <w:tcPr>
            <w:tcW w:w="2970" w:type="dxa"/>
          </w:tcPr>
          <w:p w14:paraId="334CD292" w14:textId="77777777" w:rsidR="00DF5D73" w:rsidRDefault="00DF5D73" w:rsidP="00786B13">
            <w:pPr>
              <w:jc w:val="center"/>
            </w:pPr>
            <w:r>
              <w:t>1960-present</w:t>
            </w:r>
          </w:p>
        </w:tc>
      </w:tr>
      <w:tr w:rsidR="00DF5D73" w14:paraId="195FE9D2" w14:textId="77777777" w:rsidTr="00786B13">
        <w:tc>
          <w:tcPr>
            <w:tcW w:w="3192" w:type="dxa"/>
          </w:tcPr>
          <w:p w14:paraId="4AE57BDC" w14:textId="77777777" w:rsidR="00DF5D73" w:rsidRDefault="00DF5D73" w:rsidP="00786B13">
            <w:pPr>
              <w:jc w:val="center"/>
            </w:pPr>
            <w:r>
              <w:t>Central African Republic</w:t>
            </w:r>
          </w:p>
        </w:tc>
        <w:tc>
          <w:tcPr>
            <w:tcW w:w="2046" w:type="dxa"/>
          </w:tcPr>
          <w:p w14:paraId="60CD7538" w14:textId="77777777" w:rsidR="00DF5D73" w:rsidRDefault="00DF5D73" w:rsidP="00786B13">
            <w:pPr>
              <w:jc w:val="center"/>
            </w:pPr>
            <w:r>
              <w:t>XAF</w:t>
            </w:r>
          </w:p>
        </w:tc>
        <w:tc>
          <w:tcPr>
            <w:tcW w:w="2970" w:type="dxa"/>
          </w:tcPr>
          <w:p w14:paraId="4516DE6E" w14:textId="77777777" w:rsidR="00DF5D73" w:rsidRDefault="00DF5D73" w:rsidP="00786B13">
            <w:pPr>
              <w:jc w:val="center"/>
            </w:pPr>
            <w:r>
              <w:t>1960-present</w:t>
            </w:r>
          </w:p>
        </w:tc>
      </w:tr>
      <w:tr w:rsidR="00DF5D73" w14:paraId="57567380" w14:textId="77777777" w:rsidTr="00786B13">
        <w:tc>
          <w:tcPr>
            <w:tcW w:w="3192" w:type="dxa"/>
          </w:tcPr>
          <w:p w14:paraId="0F99D830" w14:textId="77777777" w:rsidR="00DF5D73" w:rsidRDefault="00DF5D73" w:rsidP="00786B13">
            <w:pPr>
              <w:jc w:val="center"/>
            </w:pPr>
            <w:r>
              <w:t>Chad</w:t>
            </w:r>
          </w:p>
        </w:tc>
        <w:tc>
          <w:tcPr>
            <w:tcW w:w="2046" w:type="dxa"/>
          </w:tcPr>
          <w:p w14:paraId="1C075413" w14:textId="77777777" w:rsidR="00DF5D73" w:rsidRDefault="00DF5D73" w:rsidP="00786B13">
            <w:pPr>
              <w:jc w:val="center"/>
            </w:pPr>
            <w:r>
              <w:t>XAF</w:t>
            </w:r>
          </w:p>
        </w:tc>
        <w:tc>
          <w:tcPr>
            <w:tcW w:w="2970" w:type="dxa"/>
          </w:tcPr>
          <w:p w14:paraId="60311DF0" w14:textId="77777777" w:rsidR="00DF5D73" w:rsidRDefault="00DF5D73" w:rsidP="00786B13">
            <w:pPr>
              <w:jc w:val="center"/>
            </w:pPr>
            <w:r>
              <w:t>1960-present</w:t>
            </w:r>
          </w:p>
        </w:tc>
      </w:tr>
      <w:tr w:rsidR="00DF5D73" w14:paraId="660AA8DF" w14:textId="77777777" w:rsidTr="00786B13">
        <w:tc>
          <w:tcPr>
            <w:tcW w:w="3192" w:type="dxa"/>
          </w:tcPr>
          <w:p w14:paraId="2A99E43F" w14:textId="77777777" w:rsidR="00DF5D73" w:rsidRDefault="00DF5D73" w:rsidP="00786B13">
            <w:pPr>
              <w:jc w:val="center"/>
            </w:pPr>
            <w:r>
              <w:t>Congo, Republic of</w:t>
            </w:r>
          </w:p>
        </w:tc>
        <w:tc>
          <w:tcPr>
            <w:tcW w:w="2046" w:type="dxa"/>
          </w:tcPr>
          <w:p w14:paraId="6CD60A31" w14:textId="77777777" w:rsidR="00DF5D73" w:rsidRDefault="00DF5D73" w:rsidP="00786B13">
            <w:pPr>
              <w:jc w:val="center"/>
            </w:pPr>
            <w:r>
              <w:t>XAF</w:t>
            </w:r>
          </w:p>
        </w:tc>
        <w:tc>
          <w:tcPr>
            <w:tcW w:w="2970" w:type="dxa"/>
          </w:tcPr>
          <w:p w14:paraId="6A51FAAD" w14:textId="77777777" w:rsidR="00DF5D73" w:rsidRDefault="00DF5D73" w:rsidP="00786B13">
            <w:pPr>
              <w:jc w:val="center"/>
            </w:pPr>
            <w:r>
              <w:t>1960-present</w:t>
            </w:r>
          </w:p>
        </w:tc>
      </w:tr>
      <w:tr w:rsidR="00DF5D73" w14:paraId="381F7E17" w14:textId="77777777" w:rsidTr="00786B13">
        <w:tc>
          <w:tcPr>
            <w:tcW w:w="3192" w:type="dxa"/>
          </w:tcPr>
          <w:p w14:paraId="41FD4DAD" w14:textId="77777777" w:rsidR="00DF5D73" w:rsidRDefault="00DF5D73" w:rsidP="00786B13">
            <w:pPr>
              <w:jc w:val="center"/>
            </w:pPr>
            <w:r>
              <w:t>Côte d’Ivoire</w:t>
            </w:r>
          </w:p>
        </w:tc>
        <w:tc>
          <w:tcPr>
            <w:tcW w:w="2046" w:type="dxa"/>
          </w:tcPr>
          <w:p w14:paraId="2D99B772" w14:textId="77777777" w:rsidR="00DF5D73" w:rsidRDefault="00DF5D73" w:rsidP="00786B13">
            <w:pPr>
              <w:jc w:val="center"/>
            </w:pPr>
            <w:r>
              <w:t>XOF</w:t>
            </w:r>
          </w:p>
        </w:tc>
        <w:tc>
          <w:tcPr>
            <w:tcW w:w="2970" w:type="dxa"/>
          </w:tcPr>
          <w:p w14:paraId="7D1F62D5" w14:textId="77777777" w:rsidR="00DF5D73" w:rsidRDefault="00DF5D73" w:rsidP="00786B13">
            <w:pPr>
              <w:jc w:val="center"/>
            </w:pPr>
            <w:r>
              <w:t>1960-present</w:t>
            </w:r>
          </w:p>
        </w:tc>
      </w:tr>
      <w:tr w:rsidR="00DF5D73" w14:paraId="02677FA6" w14:textId="77777777" w:rsidTr="00786B13">
        <w:tc>
          <w:tcPr>
            <w:tcW w:w="3192" w:type="dxa"/>
          </w:tcPr>
          <w:p w14:paraId="2B3503CF" w14:textId="77777777" w:rsidR="00DF5D73" w:rsidRDefault="00DF5D73" w:rsidP="00786B13">
            <w:pPr>
              <w:jc w:val="center"/>
            </w:pPr>
            <w:r>
              <w:t>Equatorial Guinea*</w:t>
            </w:r>
          </w:p>
        </w:tc>
        <w:tc>
          <w:tcPr>
            <w:tcW w:w="2046" w:type="dxa"/>
          </w:tcPr>
          <w:p w14:paraId="2BDFF2AB" w14:textId="77777777" w:rsidR="00DF5D73" w:rsidRDefault="00DF5D73" w:rsidP="00786B13">
            <w:pPr>
              <w:jc w:val="center"/>
            </w:pPr>
            <w:r>
              <w:t>XAF</w:t>
            </w:r>
          </w:p>
        </w:tc>
        <w:tc>
          <w:tcPr>
            <w:tcW w:w="2970" w:type="dxa"/>
          </w:tcPr>
          <w:p w14:paraId="496D5520" w14:textId="77777777" w:rsidR="00DF5D73" w:rsidRDefault="00DF5D73" w:rsidP="00786B13">
            <w:pPr>
              <w:jc w:val="center"/>
            </w:pPr>
            <w:r>
              <w:t>1985-present</w:t>
            </w:r>
          </w:p>
        </w:tc>
      </w:tr>
      <w:tr w:rsidR="00DF5D73" w14:paraId="1898E092" w14:textId="77777777" w:rsidTr="00786B13">
        <w:tc>
          <w:tcPr>
            <w:tcW w:w="3192" w:type="dxa"/>
          </w:tcPr>
          <w:p w14:paraId="5798C0AB" w14:textId="77777777" w:rsidR="00DF5D73" w:rsidRDefault="00DF5D73" w:rsidP="00786B13">
            <w:pPr>
              <w:jc w:val="center"/>
            </w:pPr>
            <w:r>
              <w:t>Gabon</w:t>
            </w:r>
          </w:p>
        </w:tc>
        <w:tc>
          <w:tcPr>
            <w:tcW w:w="2046" w:type="dxa"/>
          </w:tcPr>
          <w:p w14:paraId="1A245743" w14:textId="77777777" w:rsidR="00DF5D73" w:rsidRDefault="00DF5D73" w:rsidP="00786B13">
            <w:pPr>
              <w:jc w:val="center"/>
            </w:pPr>
            <w:r>
              <w:t>XAF</w:t>
            </w:r>
          </w:p>
        </w:tc>
        <w:tc>
          <w:tcPr>
            <w:tcW w:w="2970" w:type="dxa"/>
          </w:tcPr>
          <w:p w14:paraId="7F346879" w14:textId="77777777" w:rsidR="00DF5D73" w:rsidRDefault="00DF5D73" w:rsidP="00786B13">
            <w:pPr>
              <w:jc w:val="center"/>
            </w:pPr>
            <w:r>
              <w:t>1960-present</w:t>
            </w:r>
          </w:p>
        </w:tc>
      </w:tr>
      <w:tr w:rsidR="00DF5D73" w14:paraId="1FE29A25" w14:textId="77777777" w:rsidTr="00786B13">
        <w:tc>
          <w:tcPr>
            <w:tcW w:w="3192" w:type="dxa"/>
          </w:tcPr>
          <w:p w14:paraId="3BEC0932" w14:textId="77777777" w:rsidR="00DF5D73" w:rsidRDefault="00DF5D73" w:rsidP="00786B13">
            <w:pPr>
              <w:jc w:val="center"/>
            </w:pPr>
            <w:r>
              <w:t>Guinea</w:t>
            </w:r>
          </w:p>
        </w:tc>
        <w:tc>
          <w:tcPr>
            <w:tcW w:w="2046" w:type="dxa"/>
          </w:tcPr>
          <w:p w14:paraId="692999EE" w14:textId="77777777" w:rsidR="00DF5D73" w:rsidRDefault="00DF5D73" w:rsidP="00786B13">
            <w:pPr>
              <w:jc w:val="center"/>
            </w:pPr>
            <w:r>
              <w:t>XOF</w:t>
            </w:r>
          </w:p>
        </w:tc>
        <w:tc>
          <w:tcPr>
            <w:tcW w:w="2970" w:type="dxa"/>
          </w:tcPr>
          <w:p w14:paraId="7C032656" w14:textId="77777777" w:rsidR="00DF5D73" w:rsidRDefault="00DF5D73" w:rsidP="00786B13">
            <w:pPr>
              <w:jc w:val="center"/>
            </w:pPr>
            <w:r>
              <w:t>1960</w:t>
            </w:r>
          </w:p>
        </w:tc>
      </w:tr>
      <w:tr w:rsidR="00DF5D73" w14:paraId="67A66702" w14:textId="77777777" w:rsidTr="00786B13">
        <w:tc>
          <w:tcPr>
            <w:tcW w:w="3192" w:type="dxa"/>
          </w:tcPr>
          <w:p w14:paraId="53403C4E" w14:textId="77777777" w:rsidR="00DF5D73" w:rsidRDefault="00DF5D73" w:rsidP="00786B13">
            <w:pPr>
              <w:jc w:val="center"/>
            </w:pPr>
            <w:r>
              <w:t>Guinea-Bissau*</w:t>
            </w:r>
          </w:p>
        </w:tc>
        <w:tc>
          <w:tcPr>
            <w:tcW w:w="2046" w:type="dxa"/>
          </w:tcPr>
          <w:p w14:paraId="62566562" w14:textId="77777777" w:rsidR="00DF5D73" w:rsidRDefault="00DF5D73" w:rsidP="00786B13">
            <w:pPr>
              <w:jc w:val="center"/>
            </w:pPr>
            <w:r>
              <w:t>XOF</w:t>
            </w:r>
          </w:p>
        </w:tc>
        <w:tc>
          <w:tcPr>
            <w:tcW w:w="2970" w:type="dxa"/>
          </w:tcPr>
          <w:p w14:paraId="277C53C5" w14:textId="77777777" w:rsidR="00DF5D73" w:rsidRDefault="00DF5D73" w:rsidP="00786B13">
            <w:pPr>
              <w:jc w:val="center"/>
            </w:pPr>
            <w:r>
              <w:t>1997-present</w:t>
            </w:r>
          </w:p>
        </w:tc>
      </w:tr>
      <w:tr w:rsidR="00DF5D73" w14:paraId="272121D0" w14:textId="77777777" w:rsidTr="00786B13">
        <w:tc>
          <w:tcPr>
            <w:tcW w:w="3192" w:type="dxa"/>
          </w:tcPr>
          <w:p w14:paraId="75CAABA3" w14:textId="77777777" w:rsidR="00DF5D73" w:rsidRDefault="00DF5D73" w:rsidP="00786B13">
            <w:pPr>
              <w:jc w:val="center"/>
            </w:pPr>
            <w:r>
              <w:t>Madagascar</w:t>
            </w:r>
          </w:p>
        </w:tc>
        <w:tc>
          <w:tcPr>
            <w:tcW w:w="2046" w:type="dxa"/>
          </w:tcPr>
          <w:p w14:paraId="7B278C57" w14:textId="77777777" w:rsidR="00DF5D73" w:rsidRDefault="00DF5D73" w:rsidP="00786B13">
            <w:pPr>
              <w:jc w:val="center"/>
            </w:pPr>
            <w:r>
              <w:t>XAF</w:t>
            </w:r>
          </w:p>
        </w:tc>
        <w:tc>
          <w:tcPr>
            <w:tcW w:w="2970" w:type="dxa"/>
          </w:tcPr>
          <w:p w14:paraId="373FD6D3" w14:textId="77777777" w:rsidR="00DF5D73" w:rsidRDefault="00DF5D73" w:rsidP="00786B13">
            <w:pPr>
              <w:jc w:val="center"/>
            </w:pPr>
            <w:r>
              <w:t>1960-1973</w:t>
            </w:r>
          </w:p>
        </w:tc>
      </w:tr>
      <w:tr w:rsidR="00DF5D73" w14:paraId="28B64BB9" w14:textId="77777777" w:rsidTr="00786B13">
        <w:tc>
          <w:tcPr>
            <w:tcW w:w="3192" w:type="dxa"/>
          </w:tcPr>
          <w:p w14:paraId="3D1AF524" w14:textId="77777777" w:rsidR="00DF5D73" w:rsidRDefault="00DF5D73" w:rsidP="00786B13">
            <w:pPr>
              <w:jc w:val="center"/>
            </w:pPr>
            <w:r>
              <w:t>Mali</w:t>
            </w:r>
          </w:p>
        </w:tc>
        <w:tc>
          <w:tcPr>
            <w:tcW w:w="2046" w:type="dxa"/>
          </w:tcPr>
          <w:p w14:paraId="4E3B31FB" w14:textId="77777777" w:rsidR="00DF5D73" w:rsidRDefault="00DF5D73" w:rsidP="00786B13">
            <w:pPr>
              <w:jc w:val="center"/>
            </w:pPr>
            <w:r>
              <w:t>XOF</w:t>
            </w:r>
          </w:p>
        </w:tc>
        <w:tc>
          <w:tcPr>
            <w:tcW w:w="2970" w:type="dxa"/>
          </w:tcPr>
          <w:p w14:paraId="4FF94419" w14:textId="77777777" w:rsidR="00DF5D73" w:rsidRDefault="00DF5D73" w:rsidP="00786B13">
            <w:pPr>
              <w:jc w:val="center"/>
            </w:pPr>
            <w:r>
              <w:t>1960-1962; 1984-present</w:t>
            </w:r>
          </w:p>
        </w:tc>
      </w:tr>
      <w:tr w:rsidR="00DF5D73" w14:paraId="7F917968" w14:textId="77777777" w:rsidTr="00786B13">
        <w:tc>
          <w:tcPr>
            <w:tcW w:w="3192" w:type="dxa"/>
          </w:tcPr>
          <w:p w14:paraId="7483CD79" w14:textId="77777777" w:rsidR="00DF5D73" w:rsidRDefault="00DF5D73" w:rsidP="00786B13">
            <w:pPr>
              <w:jc w:val="center"/>
            </w:pPr>
            <w:r>
              <w:t>Mauritania</w:t>
            </w:r>
          </w:p>
        </w:tc>
        <w:tc>
          <w:tcPr>
            <w:tcW w:w="2046" w:type="dxa"/>
          </w:tcPr>
          <w:p w14:paraId="7F6E8FEB" w14:textId="77777777" w:rsidR="00DF5D73" w:rsidRDefault="00DF5D73" w:rsidP="00786B13">
            <w:pPr>
              <w:jc w:val="center"/>
            </w:pPr>
            <w:r>
              <w:t>XOF</w:t>
            </w:r>
          </w:p>
        </w:tc>
        <w:tc>
          <w:tcPr>
            <w:tcW w:w="2970" w:type="dxa"/>
          </w:tcPr>
          <w:p w14:paraId="4F94190A" w14:textId="77777777" w:rsidR="00DF5D73" w:rsidRDefault="00DF5D73" w:rsidP="00786B13">
            <w:pPr>
              <w:jc w:val="center"/>
            </w:pPr>
            <w:r>
              <w:t>1960-1973</w:t>
            </w:r>
          </w:p>
        </w:tc>
      </w:tr>
      <w:tr w:rsidR="00DF5D73" w14:paraId="74DD025A" w14:textId="77777777" w:rsidTr="00786B13">
        <w:tc>
          <w:tcPr>
            <w:tcW w:w="3192" w:type="dxa"/>
          </w:tcPr>
          <w:p w14:paraId="0AEB96C0" w14:textId="77777777" w:rsidR="00DF5D73" w:rsidRDefault="00DF5D73" w:rsidP="00786B13">
            <w:pPr>
              <w:jc w:val="center"/>
            </w:pPr>
            <w:r>
              <w:t>Niger</w:t>
            </w:r>
          </w:p>
        </w:tc>
        <w:tc>
          <w:tcPr>
            <w:tcW w:w="2046" w:type="dxa"/>
          </w:tcPr>
          <w:p w14:paraId="0B0302EB" w14:textId="77777777" w:rsidR="00DF5D73" w:rsidRDefault="00DF5D73" w:rsidP="00786B13">
            <w:pPr>
              <w:jc w:val="center"/>
            </w:pPr>
            <w:r>
              <w:t>XOF</w:t>
            </w:r>
          </w:p>
        </w:tc>
        <w:tc>
          <w:tcPr>
            <w:tcW w:w="2970" w:type="dxa"/>
          </w:tcPr>
          <w:p w14:paraId="0D93A992" w14:textId="77777777" w:rsidR="00DF5D73" w:rsidRDefault="00DF5D73" w:rsidP="00786B13">
            <w:pPr>
              <w:jc w:val="center"/>
            </w:pPr>
            <w:r>
              <w:t>1960-present</w:t>
            </w:r>
          </w:p>
        </w:tc>
      </w:tr>
      <w:tr w:rsidR="00DF5D73" w14:paraId="51C36501" w14:textId="77777777" w:rsidTr="00786B13">
        <w:tc>
          <w:tcPr>
            <w:tcW w:w="3192" w:type="dxa"/>
          </w:tcPr>
          <w:p w14:paraId="5DB03F5D" w14:textId="77777777" w:rsidR="00DF5D73" w:rsidRDefault="00DF5D73" w:rsidP="00786B13">
            <w:pPr>
              <w:jc w:val="center"/>
            </w:pPr>
            <w:r>
              <w:t>Senegal</w:t>
            </w:r>
          </w:p>
        </w:tc>
        <w:tc>
          <w:tcPr>
            <w:tcW w:w="2046" w:type="dxa"/>
          </w:tcPr>
          <w:p w14:paraId="4D7BB89D" w14:textId="77777777" w:rsidR="00DF5D73" w:rsidRDefault="00DF5D73" w:rsidP="00786B13">
            <w:pPr>
              <w:jc w:val="center"/>
            </w:pPr>
            <w:r>
              <w:t>XOF</w:t>
            </w:r>
          </w:p>
        </w:tc>
        <w:tc>
          <w:tcPr>
            <w:tcW w:w="2970" w:type="dxa"/>
          </w:tcPr>
          <w:p w14:paraId="1E66331B" w14:textId="77777777" w:rsidR="00DF5D73" w:rsidRDefault="00DF5D73" w:rsidP="00786B13">
            <w:pPr>
              <w:jc w:val="center"/>
            </w:pPr>
            <w:r>
              <w:t>1960-present</w:t>
            </w:r>
          </w:p>
        </w:tc>
      </w:tr>
      <w:tr w:rsidR="00DF5D73" w14:paraId="5540FC95" w14:textId="77777777" w:rsidTr="00786B13">
        <w:tc>
          <w:tcPr>
            <w:tcW w:w="3192" w:type="dxa"/>
          </w:tcPr>
          <w:p w14:paraId="5006BB2B" w14:textId="77777777" w:rsidR="00DF5D73" w:rsidRDefault="00DF5D73" w:rsidP="00786B13">
            <w:pPr>
              <w:jc w:val="center"/>
            </w:pPr>
            <w:r>
              <w:t>Togo</w:t>
            </w:r>
          </w:p>
        </w:tc>
        <w:tc>
          <w:tcPr>
            <w:tcW w:w="2046" w:type="dxa"/>
          </w:tcPr>
          <w:p w14:paraId="2D47385D" w14:textId="77777777" w:rsidR="00DF5D73" w:rsidRDefault="00DF5D73" w:rsidP="00786B13">
            <w:pPr>
              <w:jc w:val="center"/>
            </w:pPr>
            <w:r>
              <w:t>XOF</w:t>
            </w:r>
          </w:p>
        </w:tc>
        <w:tc>
          <w:tcPr>
            <w:tcW w:w="2970" w:type="dxa"/>
          </w:tcPr>
          <w:p w14:paraId="204A162A" w14:textId="77777777" w:rsidR="00DF5D73" w:rsidRDefault="00DF5D73" w:rsidP="00786B13">
            <w:pPr>
              <w:jc w:val="center"/>
            </w:pPr>
            <w:r>
              <w:t>1960-present</w:t>
            </w:r>
          </w:p>
        </w:tc>
      </w:tr>
    </w:tbl>
    <w:p w14:paraId="3926CA3A" w14:textId="77777777" w:rsidR="00DF5D73" w:rsidRPr="00055D33" w:rsidRDefault="00DF5D73" w:rsidP="00DF5D73">
      <w:pPr>
        <w:spacing w:after="0"/>
        <w:jc w:val="both"/>
        <w:rPr>
          <w:sz w:val="20"/>
          <w:szCs w:val="20"/>
        </w:rPr>
      </w:pPr>
      <w:r w:rsidRPr="00055D33">
        <w:rPr>
          <w:sz w:val="20"/>
          <w:szCs w:val="20"/>
        </w:rPr>
        <w:t>XOF: CFA franc zone in West Africa</w:t>
      </w:r>
    </w:p>
    <w:p w14:paraId="2028F4B4" w14:textId="77777777" w:rsidR="00DF5D73" w:rsidRDefault="00DF5D73" w:rsidP="00DF5D73">
      <w:pPr>
        <w:spacing w:after="0"/>
        <w:jc w:val="both"/>
        <w:rPr>
          <w:sz w:val="20"/>
          <w:szCs w:val="20"/>
        </w:rPr>
      </w:pPr>
      <w:r w:rsidRPr="00055D33">
        <w:rPr>
          <w:sz w:val="20"/>
          <w:szCs w:val="20"/>
        </w:rPr>
        <w:t>XAF: CFA franc zone in Central Africa</w:t>
      </w:r>
    </w:p>
    <w:p w14:paraId="5E406ADD" w14:textId="77777777" w:rsidR="00DF5D73" w:rsidRPr="00055D33" w:rsidRDefault="00DF5D73" w:rsidP="00DF5D73">
      <w:pPr>
        <w:spacing w:after="0"/>
        <w:jc w:val="both"/>
        <w:rPr>
          <w:sz w:val="20"/>
          <w:szCs w:val="20"/>
        </w:rPr>
      </w:pPr>
      <w:r>
        <w:rPr>
          <w:sz w:val="20"/>
          <w:szCs w:val="20"/>
        </w:rPr>
        <w:t>*Not a former French colony</w:t>
      </w:r>
    </w:p>
    <w:p w14:paraId="68509971" w14:textId="77777777" w:rsidR="00DF5D73" w:rsidRDefault="00DF5D73" w:rsidP="00DF5D73">
      <w:pPr>
        <w:spacing w:after="0" w:line="480" w:lineRule="auto"/>
        <w:jc w:val="both"/>
      </w:pPr>
    </w:p>
    <w:p w14:paraId="21007475" w14:textId="32E8F36E" w:rsidR="006861FC" w:rsidRDefault="006861FC" w:rsidP="00DF5D73">
      <w:pPr>
        <w:spacing w:after="0" w:line="480" w:lineRule="auto"/>
        <w:jc w:val="both"/>
      </w:pPr>
      <w:r>
        <w:t>and Senegal. However, the African finance ministers and treasury departments are unable to adjust their monetary policy to combat various issues, like inflation or unemployment. This currency arrangement benefits France more than the African states, as the CFA franc does not favor African exports but rather promotes French exports to Africa.</w:t>
      </w:r>
      <w:r>
        <w:rPr>
          <w:rStyle w:val="FootnoteReference"/>
        </w:rPr>
        <w:footnoteReference w:id="159"/>
      </w:r>
      <w:r>
        <w:t xml:space="preserve"> </w:t>
      </w:r>
      <w:r w:rsidRPr="00F26310">
        <w:t>France devalued the CFA franc by half in 1994 when “France bowed to Western pressure to end what amounted to a subsidy.”</w:t>
      </w:r>
      <w:r w:rsidRPr="00F26310">
        <w:rPr>
          <w:rStyle w:val="FootnoteReference"/>
        </w:rPr>
        <w:footnoteReference w:id="160"/>
      </w:r>
      <w:r>
        <w:t xml:space="preserve"> Prior to this devaluation, the CFA franc benefited the West African nations who used it as the official currency, but this devaluation has reduced the purchasing power of the former colonies, which are some of the poorest nations in the world (not including oil-rich Gabon). Following the adoption of the euro in 1999, France pegged the CFA franc as 1 EUR = 655.957 XOF.</w:t>
      </w:r>
    </w:p>
    <w:p w14:paraId="7B6C4623" w14:textId="77777777" w:rsidR="006861FC" w:rsidRPr="001A0BE7" w:rsidRDefault="006861FC" w:rsidP="00DF5D73">
      <w:pPr>
        <w:spacing w:after="0" w:line="480" w:lineRule="auto"/>
        <w:jc w:val="both"/>
      </w:pPr>
    </w:p>
    <w:p w14:paraId="771B793C" w14:textId="77777777" w:rsidR="00DF5D73" w:rsidRPr="00E648B7" w:rsidRDefault="00DF5D73" w:rsidP="00DF5D73">
      <w:pPr>
        <w:spacing w:after="0" w:line="480" w:lineRule="auto"/>
        <w:jc w:val="center"/>
      </w:pPr>
      <w:r w:rsidRPr="00E648B7">
        <w:t>Multinational Corporations</w:t>
      </w:r>
    </w:p>
    <w:p w14:paraId="7406F64B" w14:textId="77777777" w:rsidR="00DF5D73" w:rsidRDefault="00DF5D73" w:rsidP="00DF5D73">
      <w:pPr>
        <w:spacing w:after="0" w:line="480" w:lineRule="auto"/>
        <w:jc w:val="both"/>
      </w:pPr>
      <w:r>
        <w:rPr>
          <w:i/>
        </w:rPr>
        <w:tab/>
      </w:r>
      <w:r>
        <w:t>Under the guise of Françafrique, French companies were granted significant privileges in Africa, with additional favoritism towards French national companies, such as Elf Aquitaine. Many of these firms and organizations were established during colonization and remained in former colonies as a form of neocolonialism. For example, Gabon has nearly 120 French companies, including Elf, within its borders despite being a small nation of 1.6 million</w:t>
      </w:r>
      <w:r w:rsidRPr="00781563">
        <w:t>.</w:t>
      </w:r>
      <w:r w:rsidRPr="00781563">
        <w:rPr>
          <w:rStyle w:val="FootnoteReference"/>
        </w:rPr>
        <w:footnoteReference w:id="161"/>
      </w:r>
      <w:r>
        <w:t xml:space="preserve"> These multinational corporations are often accompanied by French businessmen, who increase the interpersonal interaction between French and African actors and therefore a common identity.</w:t>
      </w:r>
    </w:p>
    <w:p w14:paraId="4A23930E" w14:textId="3084DBE9" w:rsidR="00DF5D73" w:rsidRDefault="00DF5D73" w:rsidP="00DF5D73">
      <w:pPr>
        <w:spacing w:after="0" w:line="480" w:lineRule="auto"/>
        <w:ind w:firstLine="720"/>
        <w:jc w:val="both"/>
      </w:pPr>
      <w:r>
        <w:t>Elf Aqu</w:t>
      </w:r>
      <w:r w:rsidR="007063EC">
        <w:t>itaine, an oil and gas company,</w:t>
      </w:r>
      <w:r>
        <w:t xml:space="preserve"> </w:t>
      </w:r>
      <w:r w:rsidR="007063EC">
        <w:t>“</w:t>
      </w:r>
      <w:r>
        <w:t>paid secret ‘commissions’ to African officials with the blessing of French governments.”</w:t>
      </w:r>
      <w:r>
        <w:rPr>
          <w:rStyle w:val="FootnoteReference"/>
        </w:rPr>
        <w:footnoteReference w:id="162"/>
      </w:r>
      <w:r>
        <w:t xml:space="preserve"> Additionally, Elf expanded beyond former French colonies into Angola and Nigeria in order to increase oil revenues. Under the Mitterrand administration, Elf was accused of funneling money back to France in order to sponsor politicians who could provide support for their corrupt practices throughout Africa. Elf also supported African government budgets and contribute</w:t>
      </w:r>
      <w:r w:rsidR="007063EC">
        <w:t>d</w:t>
      </w:r>
      <w:r>
        <w:t xml:space="preserve"> 70 percent of Gabon’s budget based on the oil royalties from the country’s wells and offshore drilling sites.</w:t>
      </w:r>
      <w:r>
        <w:rPr>
          <w:rStyle w:val="FootnoteReference"/>
        </w:rPr>
        <w:footnoteReference w:id="163"/>
      </w:r>
      <w:r>
        <w:t xml:space="preserve"> In the early 2000s, 37 former Elf managers were charged with embezzlement; however, no politicians were charged and branches of the French government have been uncooperative by claiming Elf was subject to “secrecy laws.”</w:t>
      </w:r>
      <w:r>
        <w:rPr>
          <w:rStyle w:val="FootnoteReference"/>
        </w:rPr>
        <w:footnoteReference w:id="164"/>
      </w:r>
      <w:r>
        <w:t xml:space="preserve"> Since this corruption scandal, Elf was acquired and privatized by another French company, Total. The privatization of the French national company meant that many of the charges were dropped and only a few executives were convicted. Total has since resumed Elf’s activities among French and African politicians and maintains a strong influence in the oil-rich areas of West and Equatorial Africa. This official, yet covert, network created economic incentives for adopting “Frenchness,” which France then rewarded with aid allocations and debt relief. </w:t>
      </w:r>
    </w:p>
    <w:p w14:paraId="51CD6B02" w14:textId="2C5E622D" w:rsidR="00DF5D73" w:rsidRDefault="00DF5D73" w:rsidP="00DF5D73">
      <w:pPr>
        <w:spacing w:after="0" w:line="480" w:lineRule="auto"/>
        <w:ind w:firstLine="720"/>
        <w:jc w:val="both"/>
      </w:pPr>
      <w:r>
        <w:t xml:space="preserve">In addition to this extensive oil network, French corporations extend their market reach into goods and services, as well as a supply of what </w:t>
      </w:r>
      <w:r w:rsidR="007063EC">
        <w:t xml:space="preserve">could be considered as </w:t>
      </w:r>
      <w:r>
        <w:t xml:space="preserve">state-sponsored services. The French </w:t>
      </w:r>
      <w:r w:rsidR="007063EC">
        <w:t xml:space="preserve">provide </w:t>
      </w:r>
      <w:r>
        <w:t>water and electricity as well as the telecommunications networks in Senegal and other West African countries.</w:t>
      </w:r>
      <w:r>
        <w:rPr>
          <w:rStyle w:val="FootnoteReference"/>
        </w:rPr>
        <w:footnoteReference w:id="165"/>
      </w:r>
      <w:r>
        <w:t xml:space="preserve"> Orange Telecom, which belongs to the telecommunications industry, is a dominant French multinational corporation with deep roots in African markets. Orange typically has a third of the telecommunications sector in Africa nations, in which it operations. At the beginning of 2017, Orange “Money” implemented a program that allows those in France to transfer money using their mobile device to contacts in Africa, specifically Côte d’Ivoire, Mali, and Senegal.</w:t>
      </w:r>
      <w:r>
        <w:rPr>
          <w:rStyle w:val="FootnoteReference"/>
        </w:rPr>
        <w:footnoteReference w:id="166"/>
      </w:r>
      <w:r>
        <w:t xml:space="preserve"> Money transfers, like M-PESA in Kenya, are popular in Africa as many lack access to typical banking services. </w:t>
      </w:r>
      <w:r w:rsidR="007063EC">
        <w:t xml:space="preserve">Orange “Money” illustrates the number of African migrants in France. </w:t>
      </w:r>
    </w:p>
    <w:p w14:paraId="508F0D48" w14:textId="77777777" w:rsidR="00DF5D73" w:rsidRDefault="00DF5D73" w:rsidP="00DF5D73">
      <w:pPr>
        <w:spacing w:after="0" w:line="480" w:lineRule="auto"/>
        <w:ind w:firstLine="720"/>
        <w:jc w:val="both"/>
      </w:pPr>
      <w:r>
        <w:t>Extracting much of Africa’s natural resource wealth, Areva conducts mining operations for nuclear power. The operations of Areva are vital to French foreign and domestic interests as France is dependent on nuclear power for nearly three-quarters of its electricity, much of which is found in Niger.</w:t>
      </w:r>
      <w:r>
        <w:rPr>
          <w:rStyle w:val="FootnoteReference"/>
        </w:rPr>
        <w:footnoteReference w:id="167"/>
      </w:r>
      <w:r>
        <w:t xml:space="preserve"> Despite the colonial relationship, in 2014, the Niger government attempted to diminish the special, yet disadvantageous, trade deals with France by proposing a cut in tax breaks and an increase in the royalty rate.</w:t>
      </w:r>
      <w:r>
        <w:rPr>
          <w:rStyle w:val="FootnoteReference"/>
        </w:rPr>
        <w:footnoteReference w:id="168"/>
      </w:r>
      <w:r>
        <w:t xml:space="preserve"> Areva revenues average around 10 billion euros each year, which would be a significant boost for Niger’s economy if royalty rates were to be increased. However, it is not clear if such rate has been implemented, yet its proposal contributes to an understanding of the power of African heads of state and corporate executives to alter the power balance of Françafrique.</w:t>
      </w:r>
    </w:p>
    <w:p w14:paraId="1AFD7008" w14:textId="77777777" w:rsidR="00DF5D73" w:rsidRDefault="00DF5D73" w:rsidP="00DF5D73">
      <w:pPr>
        <w:spacing w:after="0" w:line="480" w:lineRule="auto"/>
      </w:pPr>
    </w:p>
    <w:p w14:paraId="347C8A29" w14:textId="77777777" w:rsidR="006861FC" w:rsidRDefault="006861FC" w:rsidP="00DF5D73">
      <w:pPr>
        <w:spacing w:after="0" w:line="480" w:lineRule="auto"/>
      </w:pPr>
    </w:p>
    <w:p w14:paraId="07BF9377" w14:textId="77777777" w:rsidR="00DF5D73" w:rsidRPr="00E648B7" w:rsidRDefault="00DF5D73" w:rsidP="00DF5D73">
      <w:pPr>
        <w:spacing w:after="0" w:line="480" w:lineRule="auto"/>
        <w:jc w:val="center"/>
      </w:pPr>
      <w:r w:rsidRPr="00E648B7">
        <w:t>Economic relationship</w:t>
      </w:r>
    </w:p>
    <w:p w14:paraId="5B88E451" w14:textId="77777777" w:rsidR="00DF5D73" w:rsidRDefault="00DF5D73" w:rsidP="00DF5D73">
      <w:pPr>
        <w:spacing w:after="0" w:line="480" w:lineRule="auto"/>
        <w:ind w:firstLine="720"/>
        <w:jc w:val="both"/>
        <w:rPr>
          <w:rFonts w:cs="Times New Roman"/>
        </w:rPr>
      </w:pPr>
      <w:r>
        <w:t>In addition to the aforementioned policies and organizations, France also favors economic resources and “gives priority to African countries that sell oil (Angola, Nigeria, etc.) or uranium (Niger) and those that can buy hitech [sic] (Morocco, Algeria, Tunisia, South Africa)” goods from France.</w:t>
      </w:r>
      <w:r>
        <w:rPr>
          <w:rStyle w:val="FootnoteReference"/>
        </w:rPr>
        <w:footnoteReference w:id="169"/>
      </w:r>
      <w:r>
        <w:t xml:space="preserve"> Table 2.2.</w:t>
      </w:r>
      <w:r w:rsidRPr="00541DC9">
        <w:rPr>
          <w:rStyle w:val="FootnoteReference"/>
        </w:rPr>
        <w:t xml:space="preserve"> </w:t>
      </w:r>
      <w:r w:rsidRPr="00910BF3">
        <w:rPr>
          <w:rStyle w:val="FootnoteReference"/>
        </w:rPr>
        <w:footnoteReference w:id="170"/>
      </w:r>
      <w:r>
        <w:t xml:space="preserve"> illustrates the extensive economic relations between France and much of Africa through the imports and exports of 2015. Relations with Côte d’Ivoire are advantageous as the country is an exporter of coffee and cocoa, as well as petroleum. In 2015, French exports to Côte d’Ivoire totaled at </w:t>
      </w:r>
      <w:r w:rsidRPr="00A24B1E">
        <w:rPr>
          <w:rFonts w:cs="Times New Roman"/>
        </w:rPr>
        <w:t>€1.02billion</w:t>
      </w:r>
      <w:r>
        <w:rPr>
          <w:rFonts w:cs="Times New Roman"/>
        </w:rPr>
        <w:t xml:space="preserve"> with imports at </w:t>
      </w:r>
      <w:r w:rsidRPr="00A24B1E">
        <w:rPr>
          <w:rFonts w:cs="Times New Roman"/>
        </w:rPr>
        <w:t>€772million</w:t>
      </w:r>
      <w:r>
        <w:rPr>
          <w:rFonts w:cs="Times New Roman"/>
        </w:rPr>
        <w:t>, which was a 10.8% increase from a year prior.</w:t>
      </w:r>
      <w:r>
        <w:rPr>
          <w:rStyle w:val="FootnoteReference"/>
          <w:rFonts w:cs="Times New Roman"/>
        </w:rPr>
        <w:footnoteReference w:id="171"/>
      </w:r>
    </w:p>
    <w:p w14:paraId="43084C4F" w14:textId="77777777" w:rsidR="00F3492C" w:rsidRDefault="00DF5D73" w:rsidP="00F3492C">
      <w:pPr>
        <w:spacing w:after="0" w:line="480" w:lineRule="auto"/>
        <w:ind w:firstLine="720"/>
        <w:jc w:val="both"/>
      </w:pPr>
      <w:r>
        <w:t>Economic prioritization differs from French development assistance, which is based off of the identity of the African state rather than the potential resources that could be extracted. Additionally, African states respond to Françafrique in various ways based on their relationship with France; those who agree with the foreign aid assistance view it as “an irreplaceable instrument for holding on to power: a guarantee against democratic change, a sign of presidency for life, indeed</w:t>
      </w:r>
      <w:r w:rsidR="007063EC">
        <w:t>, a promise of inheriting power</w:t>
      </w:r>
      <w:r>
        <w:t>.</w:t>
      </w:r>
      <w:r w:rsidR="007063EC">
        <w:t>”</w:t>
      </w:r>
      <w:r>
        <w:rPr>
          <w:rStyle w:val="FootnoteReference"/>
        </w:rPr>
        <w:footnoteReference w:id="172"/>
      </w:r>
      <w:r w:rsidRPr="007C7FA7">
        <w:t xml:space="preserve"> </w:t>
      </w:r>
    </w:p>
    <w:p w14:paraId="2DABD816" w14:textId="30644439" w:rsidR="00DF5D73" w:rsidRDefault="00DF5D73" w:rsidP="00F3492C">
      <w:pPr>
        <w:spacing w:after="0" w:line="480" w:lineRule="auto"/>
        <w:ind w:firstLine="720"/>
        <w:jc w:val="both"/>
      </w:pPr>
      <w:r>
        <w:t>In an attempt to fulfill the objectives of the Millennium Development Goals, France has listed sixteen priority countries, most of which are former colonies, and will extensively promote development in these countries.</w:t>
      </w:r>
      <w:r>
        <w:rPr>
          <w:rStyle w:val="FootnoteReference"/>
        </w:rPr>
        <w:footnoteReference w:id="173"/>
      </w:r>
      <w:r>
        <w:t xml:space="preserve"> </w:t>
      </w:r>
    </w:p>
    <w:p w14:paraId="33FEB351" w14:textId="4D6AF5F2" w:rsidR="00DF5D73" w:rsidRPr="00910BF3" w:rsidRDefault="00DF5D73" w:rsidP="00DF5D73">
      <w:pPr>
        <w:spacing w:after="0"/>
        <w:jc w:val="both"/>
      </w:pPr>
      <w:r w:rsidRPr="00910BF3">
        <w:t>Table 2.</w:t>
      </w:r>
      <w:r>
        <w:t>2.</w:t>
      </w:r>
      <w:r w:rsidR="008323D4">
        <w:t xml:space="preserve"> Exports and i</w:t>
      </w:r>
      <w:r w:rsidRPr="00910BF3">
        <w:t>mports with France</w:t>
      </w:r>
    </w:p>
    <w:tbl>
      <w:tblPr>
        <w:tblStyle w:val="TableGrid"/>
        <w:tblW w:w="0" w:type="auto"/>
        <w:tblLook w:val="04A0" w:firstRow="1" w:lastRow="0" w:firstColumn="1" w:lastColumn="0" w:noHBand="0" w:noVBand="1"/>
      </w:tblPr>
      <w:tblGrid>
        <w:gridCol w:w="1903"/>
        <w:gridCol w:w="1762"/>
        <w:gridCol w:w="1452"/>
        <w:gridCol w:w="1641"/>
        <w:gridCol w:w="1738"/>
      </w:tblGrid>
      <w:tr w:rsidR="00DF5D73" w14:paraId="45546FCB" w14:textId="77777777" w:rsidTr="00786B13">
        <w:tc>
          <w:tcPr>
            <w:tcW w:w="2050" w:type="dxa"/>
            <w:vAlign w:val="center"/>
          </w:tcPr>
          <w:p w14:paraId="4D31F461" w14:textId="77777777" w:rsidR="00DF5D73" w:rsidRDefault="00DF5D73" w:rsidP="00786B13">
            <w:pPr>
              <w:jc w:val="center"/>
            </w:pPr>
            <w:r>
              <w:t>Country</w:t>
            </w:r>
          </w:p>
        </w:tc>
        <w:tc>
          <w:tcPr>
            <w:tcW w:w="2033" w:type="dxa"/>
            <w:vAlign w:val="center"/>
          </w:tcPr>
          <w:p w14:paraId="107911CC" w14:textId="77777777" w:rsidR="00DF5D73" w:rsidRDefault="00DF5D73" w:rsidP="00786B13">
            <w:pPr>
              <w:jc w:val="center"/>
            </w:pPr>
            <w:r>
              <w:t>Exports to France</w:t>
            </w:r>
          </w:p>
        </w:tc>
        <w:tc>
          <w:tcPr>
            <w:tcW w:w="1643" w:type="dxa"/>
            <w:vAlign w:val="center"/>
          </w:tcPr>
          <w:p w14:paraId="0FAC6972" w14:textId="77777777" w:rsidR="00DF5D73" w:rsidRDefault="00DF5D73" w:rsidP="00786B13">
            <w:pPr>
              <w:jc w:val="center"/>
            </w:pPr>
            <w:r>
              <w:t>Percent of total exports</w:t>
            </w:r>
          </w:p>
        </w:tc>
        <w:tc>
          <w:tcPr>
            <w:tcW w:w="1820" w:type="dxa"/>
            <w:vAlign w:val="center"/>
          </w:tcPr>
          <w:p w14:paraId="645605F1" w14:textId="77777777" w:rsidR="00DF5D73" w:rsidRDefault="00DF5D73" w:rsidP="00786B13">
            <w:pPr>
              <w:jc w:val="center"/>
            </w:pPr>
            <w:r>
              <w:t>Imports from France</w:t>
            </w:r>
          </w:p>
        </w:tc>
        <w:tc>
          <w:tcPr>
            <w:tcW w:w="2030" w:type="dxa"/>
            <w:vAlign w:val="center"/>
          </w:tcPr>
          <w:p w14:paraId="532ECBFC" w14:textId="77777777" w:rsidR="00DF5D73" w:rsidRDefault="00DF5D73" w:rsidP="00786B13">
            <w:pPr>
              <w:jc w:val="center"/>
            </w:pPr>
            <w:r>
              <w:t>Percent of total imports</w:t>
            </w:r>
          </w:p>
        </w:tc>
      </w:tr>
      <w:tr w:rsidR="00DF5D73" w14:paraId="53D44FCF" w14:textId="77777777" w:rsidTr="00786B13">
        <w:trPr>
          <w:trHeight w:val="90"/>
        </w:trPr>
        <w:tc>
          <w:tcPr>
            <w:tcW w:w="2050" w:type="dxa"/>
            <w:vAlign w:val="center"/>
          </w:tcPr>
          <w:p w14:paraId="53519224" w14:textId="77777777" w:rsidR="00DF5D73" w:rsidRDefault="00DF5D73" w:rsidP="00786B13">
            <w:pPr>
              <w:jc w:val="center"/>
            </w:pPr>
            <w:r>
              <w:t>Algeria</w:t>
            </w:r>
          </w:p>
        </w:tc>
        <w:tc>
          <w:tcPr>
            <w:tcW w:w="2033" w:type="dxa"/>
            <w:vAlign w:val="center"/>
          </w:tcPr>
          <w:p w14:paraId="7B604F48" w14:textId="77777777" w:rsidR="00DF5D73" w:rsidRDefault="00DF5D73" w:rsidP="00786B13">
            <w:pPr>
              <w:jc w:val="center"/>
            </w:pPr>
            <w:r>
              <w:t>$6.7B</w:t>
            </w:r>
          </w:p>
        </w:tc>
        <w:tc>
          <w:tcPr>
            <w:tcW w:w="1643" w:type="dxa"/>
            <w:vAlign w:val="center"/>
          </w:tcPr>
          <w:p w14:paraId="38CE860D" w14:textId="77777777" w:rsidR="00DF5D73" w:rsidRDefault="00DF5D73" w:rsidP="00786B13">
            <w:pPr>
              <w:jc w:val="center"/>
            </w:pPr>
            <w:r>
              <w:t>10%</w:t>
            </w:r>
          </w:p>
        </w:tc>
        <w:tc>
          <w:tcPr>
            <w:tcW w:w="1820" w:type="dxa"/>
            <w:vAlign w:val="center"/>
          </w:tcPr>
          <w:p w14:paraId="65F9752A" w14:textId="77777777" w:rsidR="00DF5D73" w:rsidRDefault="00DF5D73" w:rsidP="00786B13">
            <w:pPr>
              <w:jc w:val="center"/>
            </w:pPr>
            <w:r>
              <w:t>$7.5B</w:t>
            </w:r>
          </w:p>
        </w:tc>
        <w:tc>
          <w:tcPr>
            <w:tcW w:w="2030" w:type="dxa"/>
            <w:vAlign w:val="center"/>
          </w:tcPr>
          <w:p w14:paraId="2E10C14C" w14:textId="77777777" w:rsidR="00DF5D73" w:rsidRDefault="00DF5D73" w:rsidP="00786B13">
            <w:pPr>
              <w:jc w:val="center"/>
            </w:pPr>
            <w:r>
              <w:t>12%</w:t>
            </w:r>
          </w:p>
        </w:tc>
      </w:tr>
      <w:tr w:rsidR="00DF5D73" w14:paraId="1DD96B33" w14:textId="77777777" w:rsidTr="00786B13">
        <w:tc>
          <w:tcPr>
            <w:tcW w:w="2050" w:type="dxa"/>
            <w:vAlign w:val="center"/>
          </w:tcPr>
          <w:p w14:paraId="130691D1" w14:textId="77777777" w:rsidR="00DF5D73" w:rsidRDefault="00DF5D73" w:rsidP="00786B13">
            <w:pPr>
              <w:jc w:val="center"/>
            </w:pPr>
            <w:r>
              <w:t>Benin</w:t>
            </w:r>
          </w:p>
        </w:tc>
        <w:tc>
          <w:tcPr>
            <w:tcW w:w="2033" w:type="dxa"/>
            <w:vAlign w:val="center"/>
          </w:tcPr>
          <w:p w14:paraId="7E14BBB0" w14:textId="77777777" w:rsidR="00DF5D73" w:rsidRDefault="00DF5D73" w:rsidP="00786B13">
            <w:pPr>
              <w:jc w:val="center"/>
            </w:pPr>
            <w:r>
              <w:t>$26.4M</w:t>
            </w:r>
          </w:p>
        </w:tc>
        <w:tc>
          <w:tcPr>
            <w:tcW w:w="1643" w:type="dxa"/>
            <w:vAlign w:val="center"/>
          </w:tcPr>
          <w:p w14:paraId="7C715B0D" w14:textId="77777777" w:rsidR="00DF5D73" w:rsidRDefault="00DF5D73" w:rsidP="00786B13">
            <w:pPr>
              <w:jc w:val="center"/>
            </w:pPr>
            <w:r>
              <w:t>1.2%</w:t>
            </w:r>
          </w:p>
        </w:tc>
        <w:tc>
          <w:tcPr>
            <w:tcW w:w="1820" w:type="dxa"/>
            <w:vAlign w:val="center"/>
          </w:tcPr>
          <w:p w14:paraId="23BEF557" w14:textId="77777777" w:rsidR="00DF5D73" w:rsidRDefault="00DF5D73" w:rsidP="00786B13">
            <w:pPr>
              <w:jc w:val="center"/>
            </w:pPr>
            <w:r>
              <w:t>$1.91B</w:t>
            </w:r>
          </w:p>
        </w:tc>
        <w:tc>
          <w:tcPr>
            <w:tcW w:w="2030" w:type="dxa"/>
            <w:vAlign w:val="center"/>
          </w:tcPr>
          <w:p w14:paraId="6FD6C892" w14:textId="77777777" w:rsidR="00DF5D73" w:rsidRDefault="00DF5D73" w:rsidP="00786B13">
            <w:pPr>
              <w:jc w:val="center"/>
            </w:pPr>
            <w:r>
              <w:t>5.2%</w:t>
            </w:r>
          </w:p>
        </w:tc>
      </w:tr>
      <w:tr w:rsidR="00DF5D73" w14:paraId="5015572D" w14:textId="77777777" w:rsidTr="00786B13">
        <w:tc>
          <w:tcPr>
            <w:tcW w:w="2050" w:type="dxa"/>
            <w:vAlign w:val="center"/>
          </w:tcPr>
          <w:p w14:paraId="38F23535" w14:textId="77777777" w:rsidR="00DF5D73" w:rsidRDefault="00DF5D73" w:rsidP="00786B13">
            <w:pPr>
              <w:jc w:val="center"/>
            </w:pPr>
            <w:r>
              <w:t>Burkina Faso</w:t>
            </w:r>
          </w:p>
        </w:tc>
        <w:tc>
          <w:tcPr>
            <w:tcW w:w="2033" w:type="dxa"/>
            <w:vAlign w:val="center"/>
          </w:tcPr>
          <w:p w14:paraId="3EEFF624" w14:textId="77777777" w:rsidR="00DF5D73" w:rsidRDefault="00DF5D73" w:rsidP="00786B13">
            <w:pPr>
              <w:jc w:val="center"/>
            </w:pPr>
            <w:r>
              <w:t>$69.1M</w:t>
            </w:r>
          </w:p>
        </w:tc>
        <w:tc>
          <w:tcPr>
            <w:tcW w:w="1643" w:type="dxa"/>
            <w:vAlign w:val="center"/>
          </w:tcPr>
          <w:p w14:paraId="16C28C49" w14:textId="77777777" w:rsidR="00DF5D73" w:rsidRDefault="00DF5D73" w:rsidP="00786B13">
            <w:pPr>
              <w:jc w:val="center"/>
            </w:pPr>
            <w:r>
              <w:t>2%</w:t>
            </w:r>
          </w:p>
        </w:tc>
        <w:tc>
          <w:tcPr>
            <w:tcW w:w="1820" w:type="dxa"/>
            <w:vAlign w:val="center"/>
          </w:tcPr>
          <w:p w14:paraId="408C91C1" w14:textId="77777777" w:rsidR="00DF5D73" w:rsidRDefault="00DF5D73" w:rsidP="00786B13">
            <w:pPr>
              <w:jc w:val="center"/>
            </w:pPr>
            <w:r>
              <w:t>$387M</w:t>
            </w:r>
          </w:p>
        </w:tc>
        <w:tc>
          <w:tcPr>
            <w:tcW w:w="2030" w:type="dxa"/>
            <w:vAlign w:val="center"/>
          </w:tcPr>
          <w:p w14:paraId="6BC06CA8" w14:textId="77777777" w:rsidR="00DF5D73" w:rsidRDefault="00DF5D73" w:rsidP="00786B13">
            <w:pPr>
              <w:jc w:val="center"/>
            </w:pPr>
            <w:r>
              <w:t>11%</w:t>
            </w:r>
          </w:p>
        </w:tc>
      </w:tr>
      <w:tr w:rsidR="00DF5D73" w14:paraId="11DAAFB2" w14:textId="77777777" w:rsidTr="00786B13">
        <w:tc>
          <w:tcPr>
            <w:tcW w:w="2050" w:type="dxa"/>
            <w:vAlign w:val="center"/>
          </w:tcPr>
          <w:p w14:paraId="5DBE33C9" w14:textId="77777777" w:rsidR="00DF5D73" w:rsidRDefault="00DF5D73" w:rsidP="00786B13">
            <w:pPr>
              <w:jc w:val="center"/>
            </w:pPr>
            <w:r>
              <w:t>Cameroon</w:t>
            </w:r>
          </w:p>
        </w:tc>
        <w:tc>
          <w:tcPr>
            <w:tcW w:w="2033" w:type="dxa"/>
            <w:vAlign w:val="center"/>
          </w:tcPr>
          <w:p w14:paraId="64D58913" w14:textId="77777777" w:rsidR="00DF5D73" w:rsidRDefault="00DF5D73" w:rsidP="00786B13">
            <w:pPr>
              <w:jc w:val="center"/>
            </w:pPr>
            <w:r>
              <w:t>$317M</w:t>
            </w:r>
          </w:p>
        </w:tc>
        <w:tc>
          <w:tcPr>
            <w:tcW w:w="1643" w:type="dxa"/>
            <w:vAlign w:val="center"/>
          </w:tcPr>
          <w:p w14:paraId="6EF87CAF" w14:textId="77777777" w:rsidR="00DF5D73" w:rsidRDefault="00DF5D73" w:rsidP="00786B13">
            <w:pPr>
              <w:jc w:val="center"/>
            </w:pPr>
            <w:r>
              <w:t>5.4%</w:t>
            </w:r>
          </w:p>
        </w:tc>
        <w:tc>
          <w:tcPr>
            <w:tcW w:w="1820" w:type="dxa"/>
            <w:vAlign w:val="center"/>
          </w:tcPr>
          <w:p w14:paraId="4DD43D29" w14:textId="77777777" w:rsidR="00DF5D73" w:rsidRDefault="00DF5D73" w:rsidP="00786B13">
            <w:pPr>
              <w:jc w:val="center"/>
            </w:pPr>
            <w:r>
              <w:t>$789M</w:t>
            </w:r>
          </w:p>
        </w:tc>
        <w:tc>
          <w:tcPr>
            <w:tcW w:w="2030" w:type="dxa"/>
            <w:vAlign w:val="center"/>
          </w:tcPr>
          <w:p w14:paraId="623B23D6" w14:textId="77777777" w:rsidR="00DF5D73" w:rsidRDefault="00DF5D73" w:rsidP="00786B13">
            <w:pPr>
              <w:jc w:val="center"/>
            </w:pPr>
            <w:r>
              <w:t>9.8%</w:t>
            </w:r>
          </w:p>
        </w:tc>
      </w:tr>
      <w:tr w:rsidR="00DF5D73" w14:paraId="64DE53D3" w14:textId="77777777" w:rsidTr="00786B13">
        <w:tc>
          <w:tcPr>
            <w:tcW w:w="2050" w:type="dxa"/>
            <w:vAlign w:val="center"/>
          </w:tcPr>
          <w:p w14:paraId="0D93092C" w14:textId="77777777" w:rsidR="00DF5D73" w:rsidRDefault="00DF5D73" w:rsidP="00786B13">
            <w:pPr>
              <w:jc w:val="center"/>
            </w:pPr>
            <w:r>
              <w:t>Central African Republic</w:t>
            </w:r>
          </w:p>
        </w:tc>
        <w:tc>
          <w:tcPr>
            <w:tcW w:w="2033" w:type="dxa"/>
            <w:vAlign w:val="center"/>
          </w:tcPr>
          <w:p w14:paraId="5CD397BA" w14:textId="77777777" w:rsidR="00DF5D73" w:rsidRDefault="00DF5D73" w:rsidP="00786B13">
            <w:pPr>
              <w:jc w:val="center"/>
            </w:pPr>
            <w:r>
              <w:t>$3.71M</w:t>
            </w:r>
          </w:p>
        </w:tc>
        <w:tc>
          <w:tcPr>
            <w:tcW w:w="1643" w:type="dxa"/>
            <w:vAlign w:val="center"/>
          </w:tcPr>
          <w:p w14:paraId="3C70A3FF" w14:textId="77777777" w:rsidR="00DF5D73" w:rsidRDefault="00DF5D73" w:rsidP="00786B13">
            <w:pPr>
              <w:jc w:val="center"/>
            </w:pPr>
            <w:r>
              <w:t>5.1%</w:t>
            </w:r>
          </w:p>
        </w:tc>
        <w:tc>
          <w:tcPr>
            <w:tcW w:w="1820" w:type="dxa"/>
            <w:vAlign w:val="center"/>
          </w:tcPr>
          <w:p w14:paraId="485036EB" w14:textId="77777777" w:rsidR="00DF5D73" w:rsidRDefault="00DF5D73" w:rsidP="00786B13">
            <w:pPr>
              <w:jc w:val="center"/>
            </w:pPr>
            <w:r>
              <w:t>$64.7**</w:t>
            </w:r>
          </w:p>
        </w:tc>
        <w:tc>
          <w:tcPr>
            <w:tcW w:w="2030" w:type="dxa"/>
            <w:vAlign w:val="center"/>
          </w:tcPr>
          <w:p w14:paraId="4857A193" w14:textId="77777777" w:rsidR="00DF5D73" w:rsidRDefault="00DF5D73" w:rsidP="00786B13">
            <w:pPr>
              <w:jc w:val="center"/>
            </w:pPr>
            <w:r>
              <w:t>16%</w:t>
            </w:r>
          </w:p>
        </w:tc>
      </w:tr>
      <w:tr w:rsidR="00DF5D73" w14:paraId="3C0E46D5" w14:textId="77777777" w:rsidTr="00786B13">
        <w:tc>
          <w:tcPr>
            <w:tcW w:w="2050" w:type="dxa"/>
            <w:vAlign w:val="center"/>
          </w:tcPr>
          <w:p w14:paraId="4042B42C" w14:textId="77777777" w:rsidR="00DF5D73" w:rsidRDefault="00DF5D73" w:rsidP="00786B13">
            <w:pPr>
              <w:jc w:val="center"/>
            </w:pPr>
            <w:r>
              <w:t>Chad</w:t>
            </w:r>
          </w:p>
        </w:tc>
        <w:tc>
          <w:tcPr>
            <w:tcW w:w="2033" w:type="dxa"/>
            <w:vAlign w:val="center"/>
          </w:tcPr>
          <w:p w14:paraId="5A06D2C0" w14:textId="77777777" w:rsidR="00DF5D73" w:rsidRDefault="00DF5D73" w:rsidP="00786B13">
            <w:pPr>
              <w:jc w:val="center"/>
            </w:pPr>
            <w:r>
              <w:t>$7.08M</w:t>
            </w:r>
          </w:p>
        </w:tc>
        <w:tc>
          <w:tcPr>
            <w:tcW w:w="1643" w:type="dxa"/>
            <w:vAlign w:val="center"/>
          </w:tcPr>
          <w:p w14:paraId="52CFF6A0" w14:textId="77777777" w:rsidR="00DF5D73" w:rsidRDefault="00DF5D73" w:rsidP="00786B13">
            <w:pPr>
              <w:jc w:val="center"/>
            </w:pPr>
            <w:r>
              <w:t>0.3%</w:t>
            </w:r>
          </w:p>
        </w:tc>
        <w:tc>
          <w:tcPr>
            <w:tcW w:w="1820" w:type="dxa"/>
            <w:vAlign w:val="center"/>
          </w:tcPr>
          <w:p w14:paraId="0F354107" w14:textId="77777777" w:rsidR="00DF5D73" w:rsidRDefault="00DF5D73" w:rsidP="00786B13">
            <w:pPr>
              <w:jc w:val="center"/>
            </w:pPr>
            <w:r>
              <w:t>$162M</w:t>
            </w:r>
          </w:p>
        </w:tc>
        <w:tc>
          <w:tcPr>
            <w:tcW w:w="2030" w:type="dxa"/>
            <w:vAlign w:val="center"/>
          </w:tcPr>
          <w:p w14:paraId="090C6869" w14:textId="77777777" w:rsidR="00DF5D73" w:rsidRDefault="00DF5D73" w:rsidP="00786B13">
            <w:pPr>
              <w:jc w:val="center"/>
            </w:pPr>
            <w:r>
              <w:t>13%</w:t>
            </w:r>
          </w:p>
        </w:tc>
      </w:tr>
      <w:tr w:rsidR="00DF5D73" w14:paraId="49770621" w14:textId="77777777" w:rsidTr="00786B13">
        <w:tc>
          <w:tcPr>
            <w:tcW w:w="2050" w:type="dxa"/>
            <w:vAlign w:val="center"/>
          </w:tcPr>
          <w:p w14:paraId="0AC0262F" w14:textId="77777777" w:rsidR="00DF5D73" w:rsidRDefault="00DF5D73" w:rsidP="00786B13">
            <w:pPr>
              <w:jc w:val="center"/>
            </w:pPr>
            <w:r>
              <w:t>Congo, Democratic Republic of***</w:t>
            </w:r>
          </w:p>
        </w:tc>
        <w:tc>
          <w:tcPr>
            <w:tcW w:w="2033" w:type="dxa"/>
            <w:vAlign w:val="center"/>
          </w:tcPr>
          <w:p w14:paraId="08859386" w14:textId="77777777" w:rsidR="00DF5D73" w:rsidRDefault="00DF5D73" w:rsidP="00786B13">
            <w:pPr>
              <w:jc w:val="center"/>
            </w:pPr>
            <w:r>
              <w:t>$14.8M</w:t>
            </w:r>
          </w:p>
        </w:tc>
        <w:tc>
          <w:tcPr>
            <w:tcW w:w="1643" w:type="dxa"/>
            <w:vAlign w:val="center"/>
          </w:tcPr>
          <w:p w14:paraId="077922DF" w14:textId="77777777" w:rsidR="00DF5D73" w:rsidRDefault="00DF5D73" w:rsidP="00786B13">
            <w:pPr>
              <w:jc w:val="center"/>
            </w:pPr>
            <w:r>
              <w:t>0.2%</w:t>
            </w:r>
          </w:p>
        </w:tc>
        <w:tc>
          <w:tcPr>
            <w:tcW w:w="1820" w:type="dxa"/>
            <w:vAlign w:val="center"/>
          </w:tcPr>
          <w:p w14:paraId="4D3B7869" w14:textId="77777777" w:rsidR="00DF5D73" w:rsidRDefault="00DF5D73" w:rsidP="00786B13">
            <w:pPr>
              <w:jc w:val="center"/>
            </w:pPr>
            <w:r>
              <w:t>$205M</w:t>
            </w:r>
          </w:p>
        </w:tc>
        <w:tc>
          <w:tcPr>
            <w:tcW w:w="2030" w:type="dxa"/>
            <w:vAlign w:val="center"/>
          </w:tcPr>
          <w:p w14:paraId="7D874535" w14:textId="77777777" w:rsidR="00DF5D73" w:rsidRDefault="00DF5D73" w:rsidP="00786B13">
            <w:pPr>
              <w:jc w:val="center"/>
            </w:pPr>
            <w:r>
              <w:t>3.2%</w:t>
            </w:r>
          </w:p>
        </w:tc>
      </w:tr>
      <w:tr w:rsidR="00DF5D73" w14:paraId="22CBBDA6" w14:textId="77777777" w:rsidTr="00786B13">
        <w:tc>
          <w:tcPr>
            <w:tcW w:w="2050" w:type="dxa"/>
            <w:vAlign w:val="center"/>
          </w:tcPr>
          <w:p w14:paraId="7632EDD6" w14:textId="77777777" w:rsidR="00DF5D73" w:rsidRDefault="00DF5D73" w:rsidP="00786B13">
            <w:pPr>
              <w:jc w:val="center"/>
            </w:pPr>
            <w:r>
              <w:t>Congo, Republic of</w:t>
            </w:r>
          </w:p>
        </w:tc>
        <w:tc>
          <w:tcPr>
            <w:tcW w:w="2033" w:type="dxa"/>
            <w:vAlign w:val="center"/>
          </w:tcPr>
          <w:p w14:paraId="1ADB2062" w14:textId="77777777" w:rsidR="00DF5D73" w:rsidRDefault="00DF5D73" w:rsidP="00786B13">
            <w:pPr>
              <w:jc w:val="center"/>
            </w:pPr>
            <w:r>
              <w:t>$310M</w:t>
            </w:r>
          </w:p>
        </w:tc>
        <w:tc>
          <w:tcPr>
            <w:tcW w:w="1643" w:type="dxa"/>
            <w:vAlign w:val="center"/>
          </w:tcPr>
          <w:p w14:paraId="637609F8" w14:textId="77777777" w:rsidR="00DF5D73" w:rsidRDefault="00DF5D73" w:rsidP="00786B13">
            <w:pPr>
              <w:jc w:val="center"/>
            </w:pPr>
            <w:r>
              <w:t>2.8%</w:t>
            </w:r>
          </w:p>
        </w:tc>
        <w:tc>
          <w:tcPr>
            <w:tcW w:w="1820" w:type="dxa"/>
            <w:vAlign w:val="center"/>
          </w:tcPr>
          <w:p w14:paraId="42695C0A" w14:textId="77777777" w:rsidR="00DF5D73" w:rsidRDefault="00DF5D73" w:rsidP="00786B13">
            <w:pPr>
              <w:jc w:val="center"/>
            </w:pPr>
            <w:r>
              <w:t>$759M</w:t>
            </w:r>
          </w:p>
        </w:tc>
        <w:tc>
          <w:tcPr>
            <w:tcW w:w="2030" w:type="dxa"/>
            <w:vAlign w:val="center"/>
          </w:tcPr>
          <w:p w14:paraId="5EFCC984" w14:textId="77777777" w:rsidR="00DF5D73" w:rsidRDefault="00DF5D73" w:rsidP="00786B13">
            <w:pPr>
              <w:jc w:val="center"/>
            </w:pPr>
            <w:r>
              <w:t>15%</w:t>
            </w:r>
          </w:p>
        </w:tc>
      </w:tr>
      <w:tr w:rsidR="00DF5D73" w14:paraId="1F03D196" w14:textId="77777777" w:rsidTr="00786B13">
        <w:tc>
          <w:tcPr>
            <w:tcW w:w="2050" w:type="dxa"/>
            <w:vAlign w:val="center"/>
          </w:tcPr>
          <w:p w14:paraId="7D3743F8" w14:textId="77777777" w:rsidR="00DF5D73" w:rsidRDefault="00DF5D73" w:rsidP="00786B13">
            <w:pPr>
              <w:jc w:val="center"/>
            </w:pPr>
            <w:r>
              <w:t>Côte d’Ivoire</w:t>
            </w:r>
          </w:p>
        </w:tc>
        <w:tc>
          <w:tcPr>
            <w:tcW w:w="2033" w:type="dxa"/>
            <w:vAlign w:val="center"/>
          </w:tcPr>
          <w:p w14:paraId="4C3789EA" w14:textId="77777777" w:rsidR="00DF5D73" w:rsidRDefault="00DF5D73" w:rsidP="00786B13">
            <w:pPr>
              <w:jc w:val="center"/>
            </w:pPr>
            <w:r>
              <w:t>$1.01B</w:t>
            </w:r>
          </w:p>
        </w:tc>
        <w:tc>
          <w:tcPr>
            <w:tcW w:w="1643" w:type="dxa"/>
            <w:vAlign w:val="center"/>
          </w:tcPr>
          <w:p w14:paraId="09B2A390" w14:textId="77777777" w:rsidR="00DF5D73" w:rsidRDefault="00DF5D73" w:rsidP="00786B13">
            <w:pPr>
              <w:jc w:val="center"/>
            </w:pPr>
            <w:r>
              <w:t>7.1%</w:t>
            </w:r>
          </w:p>
        </w:tc>
        <w:tc>
          <w:tcPr>
            <w:tcW w:w="1820" w:type="dxa"/>
            <w:vAlign w:val="center"/>
          </w:tcPr>
          <w:p w14:paraId="25397EB7" w14:textId="77777777" w:rsidR="00DF5D73" w:rsidRDefault="00DF5D73" w:rsidP="00786B13">
            <w:pPr>
              <w:jc w:val="center"/>
            </w:pPr>
            <w:r>
              <w:t>$1.4B</w:t>
            </w:r>
          </w:p>
        </w:tc>
        <w:tc>
          <w:tcPr>
            <w:tcW w:w="2030" w:type="dxa"/>
            <w:vAlign w:val="center"/>
          </w:tcPr>
          <w:p w14:paraId="29BEFD30" w14:textId="77777777" w:rsidR="00DF5D73" w:rsidRDefault="00DF5D73" w:rsidP="00786B13">
            <w:pPr>
              <w:jc w:val="center"/>
            </w:pPr>
            <w:r>
              <w:t>12%</w:t>
            </w:r>
          </w:p>
        </w:tc>
      </w:tr>
      <w:tr w:rsidR="00DF5D73" w14:paraId="52A3AC12" w14:textId="77777777" w:rsidTr="00786B13">
        <w:tc>
          <w:tcPr>
            <w:tcW w:w="2050" w:type="dxa"/>
            <w:vAlign w:val="center"/>
          </w:tcPr>
          <w:p w14:paraId="708C3557" w14:textId="77777777" w:rsidR="00DF5D73" w:rsidRDefault="00DF5D73" w:rsidP="00786B13">
            <w:pPr>
              <w:jc w:val="center"/>
            </w:pPr>
            <w:r>
              <w:t>Djibouti</w:t>
            </w:r>
          </w:p>
        </w:tc>
        <w:tc>
          <w:tcPr>
            <w:tcW w:w="2033" w:type="dxa"/>
            <w:vAlign w:val="center"/>
          </w:tcPr>
          <w:p w14:paraId="4DE7403E" w14:textId="77777777" w:rsidR="00DF5D73" w:rsidRDefault="00DF5D73" w:rsidP="00786B13">
            <w:pPr>
              <w:jc w:val="center"/>
            </w:pPr>
            <w:r>
              <w:t>$1M</w:t>
            </w:r>
          </w:p>
        </w:tc>
        <w:tc>
          <w:tcPr>
            <w:tcW w:w="1643" w:type="dxa"/>
            <w:vAlign w:val="center"/>
          </w:tcPr>
          <w:p w14:paraId="3B986B42" w14:textId="77777777" w:rsidR="00DF5D73" w:rsidRDefault="00DF5D73" w:rsidP="00786B13">
            <w:pPr>
              <w:jc w:val="center"/>
            </w:pPr>
            <w:r>
              <w:t>0.3%</w:t>
            </w:r>
          </w:p>
        </w:tc>
        <w:tc>
          <w:tcPr>
            <w:tcW w:w="1820" w:type="dxa"/>
            <w:vAlign w:val="center"/>
          </w:tcPr>
          <w:p w14:paraId="6157898F" w14:textId="77777777" w:rsidR="00DF5D73" w:rsidRDefault="00DF5D73" w:rsidP="00786B13">
            <w:pPr>
              <w:jc w:val="center"/>
            </w:pPr>
            <w:r>
              <w:t>$89.8M</w:t>
            </w:r>
          </w:p>
        </w:tc>
        <w:tc>
          <w:tcPr>
            <w:tcW w:w="2030" w:type="dxa"/>
            <w:vAlign w:val="center"/>
          </w:tcPr>
          <w:p w14:paraId="764510D5" w14:textId="77777777" w:rsidR="00DF5D73" w:rsidRDefault="00DF5D73" w:rsidP="00786B13">
            <w:pPr>
              <w:jc w:val="center"/>
            </w:pPr>
            <w:r>
              <w:t>3%</w:t>
            </w:r>
          </w:p>
        </w:tc>
      </w:tr>
      <w:tr w:rsidR="00DF5D73" w14:paraId="7773AA3A" w14:textId="77777777" w:rsidTr="00786B13">
        <w:tc>
          <w:tcPr>
            <w:tcW w:w="2050" w:type="dxa"/>
            <w:vAlign w:val="center"/>
          </w:tcPr>
          <w:p w14:paraId="6C0D0F92" w14:textId="77777777" w:rsidR="00DF5D73" w:rsidRDefault="00DF5D73" w:rsidP="00786B13">
            <w:pPr>
              <w:jc w:val="center"/>
            </w:pPr>
            <w:r>
              <w:t>Equatorial Guinea***</w:t>
            </w:r>
          </w:p>
        </w:tc>
        <w:tc>
          <w:tcPr>
            <w:tcW w:w="2033" w:type="dxa"/>
            <w:vAlign w:val="center"/>
          </w:tcPr>
          <w:p w14:paraId="4C1B367F" w14:textId="77777777" w:rsidR="00DF5D73" w:rsidRDefault="00DF5D73" w:rsidP="00786B13">
            <w:pPr>
              <w:jc w:val="center"/>
            </w:pPr>
            <w:r>
              <w:t>$900M</w:t>
            </w:r>
          </w:p>
        </w:tc>
        <w:tc>
          <w:tcPr>
            <w:tcW w:w="1643" w:type="dxa"/>
            <w:vAlign w:val="center"/>
          </w:tcPr>
          <w:p w14:paraId="4B0673B0" w14:textId="77777777" w:rsidR="00DF5D73" w:rsidRDefault="00DF5D73" w:rsidP="00786B13">
            <w:pPr>
              <w:jc w:val="center"/>
            </w:pPr>
            <w:r>
              <w:t>7.7%</w:t>
            </w:r>
          </w:p>
        </w:tc>
        <w:tc>
          <w:tcPr>
            <w:tcW w:w="1820" w:type="dxa"/>
            <w:vAlign w:val="center"/>
          </w:tcPr>
          <w:p w14:paraId="519100B3" w14:textId="77777777" w:rsidR="00DF5D73" w:rsidRDefault="00DF5D73" w:rsidP="00786B13">
            <w:pPr>
              <w:jc w:val="center"/>
            </w:pPr>
            <w:r>
              <w:t>$134M</w:t>
            </w:r>
          </w:p>
        </w:tc>
        <w:tc>
          <w:tcPr>
            <w:tcW w:w="2030" w:type="dxa"/>
            <w:vAlign w:val="center"/>
          </w:tcPr>
          <w:p w14:paraId="42D4C418" w14:textId="77777777" w:rsidR="00DF5D73" w:rsidRDefault="00DF5D73" w:rsidP="00786B13">
            <w:pPr>
              <w:jc w:val="center"/>
            </w:pPr>
            <w:r>
              <w:t>6.1%</w:t>
            </w:r>
          </w:p>
        </w:tc>
      </w:tr>
      <w:tr w:rsidR="00DF5D73" w14:paraId="5F571B25" w14:textId="77777777" w:rsidTr="00786B13">
        <w:tc>
          <w:tcPr>
            <w:tcW w:w="2050" w:type="dxa"/>
            <w:vAlign w:val="center"/>
          </w:tcPr>
          <w:p w14:paraId="2B566749" w14:textId="77777777" w:rsidR="00DF5D73" w:rsidRDefault="00DF5D73" w:rsidP="00786B13">
            <w:pPr>
              <w:jc w:val="center"/>
            </w:pPr>
            <w:r>
              <w:t>Gabon</w:t>
            </w:r>
          </w:p>
        </w:tc>
        <w:tc>
          <w:tcPr>
            <w:tcW w:w="2033" w:type="dxa"/>
            <w:vAlign w:val="center"/>
          </w:tcPr>
          <w:p w14:paraId="2CC52ADF" w14:textId="77777777" w:rsidR="00DF5D73" w:rsidRDefault="00DF5D73" w:rsidP="00786B13">
            <w:pPr>
              <w:jc w:val="center"/>
            </w:pPr>
            <w:r>
              <w:t>$150M</w:t>
            </w:r>
          </w:p>
        </w:tc>
        <w:tc>
          <w:tcPr>
            <w:tcW w:w="1643" w:type="dxa"/>
            <w:vAlign w:val="center"/>
          </w:tcPr>
          <w:p w14:paraId="230A6E34" w14:textId="77777777" w:rsidR="00DF5D73" w:rsidRDefault="00DF5D73" w:rsidP="00786B13">
            <w:pPr>
              <w:jc w:val="center"/>
            </w:pPr>
            <w:r>
              <w:t>2%</w:t>
            </w:r>
          </w:p>
        </w:tc>
        <w:tc>
          <w:tcPr>
            <w:tcW w:w="1820" w:type="dxa"/>
            <w:vAlign w:val="center"/>
          </w:tcPr>
          <w:p w14:paraId="6232756A" w14:textId="77777777" w:rsidR="00DF5D73" w:rsidRDefault="00DF5D73" w:rsidP="00786B13">
            <w:pPr>
              <w:jc w:val="center"/>
            </w:pPr>
            <w:r>
              <w:t>$885**</w:t>
            </w:r>
          </w:p>
        </w:tc>
        <w:tc>
          <w:tcPr>
            <w:tcW w:w="2030" w:type="dxa"/>
            <w:vAlign w:val="center"/>
          </w:tcPr>
          <w:p w14:paraId="44CF4A02" w14:textId="77777777" w:rsidR="00DF5D73" w:rsidRDefault="00DF5D73" w:rsidP="00786B13">
            <w:pPr>
              <w:jc w:val="center"/>
            </w:pPr>
            <w:r>
              <w:t>22%</w:t>
            </w:r>
          </w:p>
        </w:tc>
      </w:tr>
      <w:tr w:rsidR="00DF5D73" w14:paraId="6DB7D4B5" w14:textId="77777777" w:rsidTr="00786B13">
        <w:tc>
          <w:tcPr>
            <w:tcW w:w="2050" w:type="dxa"/>
            <w:vAlign w:val="center"/>
          </w:tcPr>
          <w:p w14:paraId="2BB95447" w14:textId="77777777" w:rsidR="00DF5D73" w:rsidRDefault="00DF5D73" w:rsidP="00786B13">
            <w:pPr>
              <w:jc w:val="center"/>
            </w:pPr>
            <w:r>
              <w:t>Guinea-Conakry</w:t>
            </w:r>
          </w:p>
        </w:tc>
        <w:tc>
          <w:tcPr>
            <w:tcW w:w="2033" w:type="dxa"/>
            <w:vAlign w:val="center"/>
          </w:tcPr>
          <w:p w14:paraId="7FE2E89A" w14:textId="77777777" w:rsidR="00DF5D73" w:rsidRDefault="00DF5D73" w:rsidP="00786B13">
            <w:pPr>
              <w:jc w:val="center"/>
            </w:pPr>
            <w:r>
              <w:t>$108M</w:t>
            </w:r>
          </w:p>
        </w:tc>
        <w:tc>
          <w:tcPr>
            <w:tcW w:w="1643" w:type="dxa"/>
            <w:vAlign w:val="center"/>
          </w:tcPr>
          <w:p w14:paraId="3F0260B8" w14:textId="77777777" w:rsidR="00DF5D73" w:rsidRDefault="00DF5D73" w:rsidP="00786B13">
            <w:pPr>
              <w:jc w:val="center"/>
            </w:pPr>
            <w:r>
              <w:t>3.5%</w:t>
            </w:r>
          </w:p>
        </w:tc>
        <w:tc>
          <w:tcPr>
            <w:tcW w:w="1820" w:type="dxa"/>
            <w:vAlign w:val="center"/>
          </w:tcPr>
          <w:p w14:paraId="59454796" w14:textId="77777777" w:rsidR="00DF5D73" w:rsidRDefault="00DF5D73" w:rsidP="00786B13">
            <w:pPr>
              <w:jc w:val="center"/>
            </w:pPr>
            <w:r>
              <w:t>$171M</w:t>
            </w:r>
          </w:p>
        </w:tc>
        <w:tc>
          <w:tcPr>
            <w:tcW w:w="2030" w:type="dxa"/>
            <w:vAlign w:val="center"/>
          </w:tcPr>
          <w:p w14:paraId="51D8300A" w14:textId="77777777" w:rsidR="00DF5D73" w:rsidRDefault="00DF5D73" w:rsidP="00786B13">
            <w:pPr>
              <w:jc w:val="center"/>
            </w:pPr>
            <w:r>
              <w:t>5%</w:t>
            </w:r>
          </w:p>
        </w:tc>
      </w:tr>
      <w:tr w:rsidR="00DF5D73" w14:paraId="490A7003" w14:textId="77777777" w:rsidTr="00786B13">
        <w:tc>
          <w:tcPr>
            <w:tcW w:w="2050" w:type="dxa"/>
            <w:vAlign w:val="center"/>
          </w:tcPr>
          <w:p w14:paraId="4068253B" w14:textId="77777777" w:rsidR="00DF5D73" w:rsidRDefault="00DF5D73" w:rsidP="00786B13">
            <w:pPr>
              <w:jc w:val="center"/>
            </w:pPr>
            <w:r>
              <w:t>Guinea-Bissau***</w:t>
            </w:r>
          </w:p>
        </w:tc>
        <w:tc>
          <w:tcPr>
            <w:tcW w:w="2033" w:type="dxa"/>
            <w:vAlign w:val="center"/>
          </w:tcPr>
          <w:p w14:paraId="76691D79" w14:textId="77777777" w:rsidR="00DF5D73" w:rsidRDefault="00DF5D73" w:rsidP="00786B13">
            <w:pPr>
              <w:jc w:val="center"/>
            </w:pPr>
            <w:r>
              <w:t>$549k</w:t>
            </w:r>
          </w:p>
        </w:tc>
        <w:tc>
          <w:tcPr>
            <w:tcW w:w="1643" w:type="dxa"/>
            <w:vAlign w:val="center"/>
          </w:tcPr>
          <w:p w14:paraId="399CB161" w14:textId="77777777" w:rsidR="00DF5D73" w:rsidRDefault="00DF5D73" w:rsidP="00786B13">
            <w:pPr>
              <w:jc w:val="center"/>
            </w:pPr>
            <w:r>
              <w:t>0.2%</w:t>
            </w:r>
          </w:p>
        </w:tc>
        <w:tc>
          <w:tcPr>
            <w:tcW w:w="1820" w:type="dxa"/>
            <w:vAlign w:val="center"/>
          </w:tcPr>
          <w:p w14:paraId="4B4DAAFB" w14:textId="77777777" w:rsidR="00DF5D73" w:rsidRDefault="00DF5D73" w:rsidP="00786B13">
            <w:pPr>
              <w:jc w:val="center"/>
            </w:pPr>
            <w:r>
              <w:t>$11.9M</w:t>
            </w:r>
          </w:p>
        </w:tc>
        <w:tc>
          <w:tcPr>
            <w:tcW w:w="2030" w:type="dxa"/>
            <w:vAlign w:val="center"/>
          </w:tcPr>
          <w:p w14:paraId="7DA549BA" w14:textId="77777777" w:rsidR="00DF5D73" w:rsidRDefault="00DF5D73" w:rsidP="00786B13">
            <w:pPr>
              <w:jc w:val="center"/>
            </w:pPr>
            <w:r>
              <w:t>3%</w:t>
            </w:r>
          </w:p>
        </w:tc>
      </w:tr>
      <w:tr w:rsidR="00DF5D73" w14:paraId="492499A8" w14:textId="77777777" w:rsidTr="00786B13">
        <w:tc>
          <w:tcPr>
            <w:tcW w:w="2050" w:type="dxa"/>
            <w:vAlign w:val="center"/>
          </w:tcPr>
          <w:p w14:paraId="3077FE47" w14:textId="77777777" w:rsidR="00DF5D73" w:rsidRDefault="00DF5D73" w:rsidP="00786B13">
            <w:pPr>
              <w:jc w:val="center"/>
            </w:pPr>
            <w:r>
              <w:t>Madagascar</w:t>
            </w:r>
          </w:p>
        </w:tc>
        <w:tc>
          <w:tcPr>
            <w:tcW w:w="2033" w:type="dxa"/>
            <w:vAlign w:val="center"/>
          </w:tcPr>
          <w:p w14:paraId="0662C5CF" w14:textId="77777777" w:rsidR="00DF5D73" w:rsidRDefault="00DF5D73" w:rsidP="00786B13">
            <w:pPr>
              <w:jc w:val="center"/>
            </w:pPr>
            <w:r>
              <w:t>$534M*</w:t>
            </w:r>
          </w:p>
        </w:tc>
        <w:tc>
          <w:tcPr>
            <w:tcW w:w="1643" w:type="dxa"/>
            <w:vAlign w:val="center"/>
          </w:tcPr>
          <w:p w14:paraId="164B4BC7" w14:textId="77777777" w:rsidR="00DF5D73" w:rsidRDefault="00DF5D73" w:rsidP="00786B13">
            <w:pPr>
              <w:jc w:val="center"/>
            </w:pPr>
            <w:r>
              <w:t>21%</w:t>
            </w:r>
          </w:p>
        </w:tc>
        <w:tc>
          <w:tcPr>
            <w:tcW w:w="1820" w:type="dxa"/>
            <w:vAlign w:val="center"/>
          </w:tcPr>
          <w:p w14:paraId="61A6BFE6" w14:textId="77777777" w:rsidR="00DF5D73" w:rsidRDefault="00DF5D73" w:rsidP="00786B13">
            <w:pPr>
              <w:jc w:val="center"/>
            </w:pPr>
            <w:r>
              <w:t>$252M</w:t>
            </w:r>
          </w:p>
        </w:tc>
        <w:tc>
          <w:tcPr>
            <w:tcW w:w="2030" w:type="dxa"/>
            <w:vAlign w:val="center"/>
          </w:tcPr>
          <w:p w14:paraId="551CB3A5" w14:textId="77777777" w:rsidR="00DF5D73" w:rsidRDefault="00DF5D73" w:rsidP="00786B13">
            <w:pPr>
              <w:jc w:val="center"/>
            </w:pPr>
            <w:r>
              <w:t>7.8%</w:t>
            </w:r>
          </w:p>
        </w:tc>
      </w:tr>
      <w:tr w:rsidR="00DF5D73" w14:paraId="21D96376" w14:textId="77777777" w:rsidTr="00786B13">
        <w:tc>
          <w:tcPr>
            <w:tcW w:w="2050" w:type="dxa"/>
            <w:vAlign w:val="center"/>
          </w:tcPr>
          <w:p w14:paraId="1C279E45" w14:textId="77777777" w:rsidR="00DF5D73" w:rsidRDefault="00DF5D73" w:rsidP="00786B13">
            <w:pPr>
              <w:jc w:val="center"/>
            </w:pPr>
            <w:r>
              <w:t>Mali</w:t>
            </w:r>
          </w:p>
        </w:tc>
        <w:tc>
          <w:tcPr>
            <w:tcW w:w="2033" w:type="dxa"/>
            <w:vAlign w:val="center"/>
          </w:tcPr>
          <w:p w14:paraId="36EF878C" w14:textId="77777777" w:rsidR="00DF5D73" w:rsidRDefault="00DF5D73" w:rsidP="00786B13">
            <w:pPr>
              <w:jc w:val="center"/>
            </w:pPr>
            <w:r>
              <w:t>$11.7M</w:t>
            </w:r>
          </w:p>
        </w:tc>
        <w:tc>
          <w:tcPr>
            <w:tcW w:w="1643" w:type="dxa"/>
            <w:vAlign w:val="center"/>
          </w:tcPr>
          <w:p w14:paraId="1E2FCE78" w14:textId="77777777" w:rsidR="00DF5D73" w:rsidRDefault="00DF5D73" w:rsidP="00786B13">
            <w:pPr>
              <w:jc w:val="center"/>
            </w:pPr>
            <w:r>
              <w:t>1.4%</w:t>
            </w:r>
          </w:p>
        </w:tc>
        <w:tc>
          <w:tcPr>
            <w:tcW w:w="1820" w:type="dxa"/>
            <w:vAlign w:val="center"/>
          </w:tcPr>
          <w:p w14:paraId="2B108572" w14:textId="77777777" w:rsidR="00DF5D73" w:rsidRDefault="00DF5D73" w:rsidP="00786B13">
            <w:pPr>
              <w:jc w:val="center"/>
            </w:pPr>
            <w:r>
              <w:t>$452M**</w:t>
            </w:r>
          </w:p>
        </w:tc>
        <w:tc>
          <w:tcPr>
            <w:tcW w:w="2030" w:type="dxa"/>
            <w:vAlign w:val="center"/>
          </w:tcPr>
          <w:p w14:paraId="33DC3491" w14:textId="77777777" w:rsidR="00DF5D73" w:rsidRDefault="00DF5D73" w:rsidP="00786B13">
            <w:pPr>
              <w:jc w:val="center"/>
            </w:pPr>
            <w:r>
              <w:t>15%</w:t>
            </w:r>
          </w:p>
        </w:tc>
      </w:tr>
      <w:tr w:rsidR="00DF5D73" w14:paraId="5EC821BB" w14:textId="77777777" w:rsidTr="00786B13">
        <w:tc>
          <w:tcPr>
            <w:tcW w:w="2050" w:type="dxa"/>
            <w:vAlign w:val="center"/>
          </w:tcPr>
          <w:p w14:paraId="2BC975F8" w14:textId="77777777" w:rsidR="00DF5D73" w:rsidRDefault="00DF5D73" w:rsidP="00786B13">
            <w:pPr>
              <w:jc w:val="center"/>
            </w:pPr>
            <w:r>
              <w:t>Mauritania</w:t>
            </w:r>
          </w:p>
        </w:tc>
        <w:tc>
          <w:tcPr>
            <w:tcW w:w="2033" w:type="dxa"/>
            <w:vAlign w:val="center"/>
          </w:tcPr>
          <w:p w14:paraId="6ABF653C" w14:textId="77777777" w:rsidR="00DF5D73" w:rsidRDefault="00DF5D73" w:rsidP="00786B13">
            <w:pPr>
              <w:jc w:val="center"/>
            </w:pPr>
            <w:r>
              <w:t>$85.1M</w:t>
            </w:r>
          </w:p>
        </w:tc>
        <w:tc>
          <w:tcPr>
            <w:tcW w:w="1643" w:type="dxa"/>
            <w:vAlign w:val="center"/>
          </w:tcPr>
          <w:p w14:paraId="4B9BAD33" w14:textId="77777777" w:rsidR="00DF5D73" w:rsidRDefault="00DF5D73" w:rsidP="00786B13">
            <w:pPr>
              <w:jc w:val="center"/>
            </w:pPr>
            <w:r>
              <w:t>2.2%</w:t>
            </w:r>
          </w:p>
        </w:tc>
        <w:tc>
          <w:tcPr>
            <w:tcW w:w="1820" w:type="dxa"/>
            <w:vAlign w:val="center"/>
          </w:tcPr>
          <w:p w14:paraId="2E5067C7" w14:textId="77777777" w:rsidR="00DF5D73" w:rsidRDefault="00DF5D73" w:rsidP="00786B13">
            <w:pPr>
              <w:jc w:val="center"/>
            </w:pPr>
            <w:r>
              <w:t>$320M</w:t>
            </w:r>
          </w:p>
        </w:tc>
        <w:tc>
          <w:tcPr>
            <w:tcW w:w="2030" w:type="dxa"/>
            <w:vAlign w:val="center"/>
          </w:tcPr>
          <w:p w14:paraId="5DAA067F" w14:textId="77777777" w:rsidR="00DF5D73" w:rsidRDefault="00DF5D73" w:rsidP="00786B13">
            <w:pPr>
              <w:jc w:val="center"/>
            </w:pPr>
            <w:r>
              <w:t>6%</w:t>
            </w:r>
          </w:p>
        </w:tc>
      </w:tr>
      <w:tr w:rsidR="00DF5D73" w14:paraId="716F9C43" w14:textId="77777777" w:rsidTr="00786B13">
        <w:tc>
          <w:tcPr>
            <w:tcW w:w="2050" w:type="dxa"/>
            <w:vAlign w:val="center"/>
          </w:tcPr>
          <w:p w14:paraId="3EC2FCD8" w14:textId="77777777" w:rsidR="00DF5D73" w:rsidRDefault="00DF5D73" w:rsidP="00786B13">
            <w:pPr>
              <w:jc w:val="center"/>
            </w:pPr>
            <w:r>
              <w:t>Mauritius***</w:t>
            </w:r>
          </w:p>
        </w:tc>
        <w:tc>
          <w:tcPr>
            <w:tcW w:w="2033" w:type="dxa"/>
            <w:vAlign w:val="center"/>
          </w:tcPr>
          <w:p w14:paraId="596AB240" w14:textId="77777777" w:rsidR="00DF5D73" w:rsidRDefault="00DF5D73" w:rsidP="00786B13">
            <w:pPr>
              <w:jc w:val="center"/>
            </w:pPr>
            <w:r>
              <w:t>$379M*</w:t>
            </w:r>
          </w:p>
        </w:tc>
        <w:tc>
          <w:tcPr>
            <w:tcW w:w="1643" w:type="dxa"/>
            <w:vAlign w:val="center"/>
          </w:tcPr>
          <w:p w14:paraId="6D451B89" w14:textId="77777777" w:rsidR="00DF5D73" w:rsidRDefault="00DF5D73" w:rsidP="00786B13">
            <w:pPr>
              <w:jc w:val="center"/>
            </w:pPr>
            <w:r>
              <w:t>13%</w:t>
            </w:r>
          </w:p>
        </w:tc>
        <w:tc>
          <w:tcPr>
            <w:tcW w:w="1820" w:type="dxa"/>
            <w:vAlign w:val="center"/>
          </w:tcPr>
          <w:p w14:paraId="0F3E5241" w14:textId="77777777" w:rsidR="00DF5D73" w:rsidRDefault="00DF5D73" w:rsidP="00786B13">
            <w:pPr>
              <w:jc w:val="center"/>
            </w:pPr>
            <w:r>
              <w:t>$433M</w:t>
            </w:r>
          </w:p>
        </w:tc>
        <w:tc>
          <w:tcPr>
            <w:tcW w:w="2030" w:type="dxa"/>
            <w:vAlign w:val="center"/>
          </w:tcPr>
          <w:p w14:paraId="64E64846" w14:textId="77777777" w:rsidR="00DF5D73" w:rsidRDefault="00DF5D73" w:rsidP="00786B13">
            <w:pPr>
              <w:jc w:val="center"/>
            </w:pPr>
            <w:r>
              <w:t>7.4%</w:t>
            </w:r>
          </w:p>
        </w:tc>
      </w:tr>
      <w:tr w:rsidR="00DF5D73" w14:paraId="08F6D922" w14:textId="77777777" w:rsidTr="00786B13">
        <w:tc>
          <w:tcPr>
            <w:tcW w:w="2050" w:type="dxa"/>
            <w:vAlign w:val="center"/>
          </w:tcPr>
          <w:p w14:paraId="61CAB9B0" w14:textId="77777777" w:rsidR="00DF5D73" w:rsidRDefault="00DF5D73" w:rsidP="00786B13">
            <w:pPr>
              <w:jc w:val="center"/>
            </w:pPr>
            <w:r>
              <w:t>Morocco</w:t>
            </w:r>
          </w:p>
        </w:tc>
        <w:tc>
          <w:tcPr>
            <w:tcW w:w="2033" w:type="dxa"/>
            <w:vAlign w:val="center"/>
          </w:tcPr>
          <w:p w14:paraId="39427ED0" w14:textId="77777777" w:rsidR="00DF5D73" w:rsidRDefault="00DF5D73" w:rsidP="00786B13">
            <w:pPr>
              <w:jc w:val="center"/>
            </w:pPr>
            <w:r>
              <w:t>$5.05B</w:t>
            </w:r>
          </w:p>
        </w:tc>
        <w:tc>
          <w:tcPr>
            <w:tcW w:w="1643" w:type="dxa"/>
            <w:vAlign w:val="center"/>
          </w:tcPr>
          <w:p w14:paraId="4707BE4A" w14:textId="77777777" w:rsidR="00DF5D73" w:rsidRDefault="00DF5D73" w:rsidP="00786B13">
            <w:pPr>
              <w:jc w:val="center"/>
            </w:pPr>
            <w:r>
              <w:t>18%</w:t>
            </w:r>
          </w:p>
        </w:tc>
        <w:tc>
          <w:tcPr>
            <w:tcW w:w="1820" w:type="dxa"/>
            <w:vAlign w:val="center"/>
          </w:tcPr>
          <w:p w14:paraId="0F1BF6BA" w14:textId="77777777" w:rsidR="00DF5D73" w:rsidRDefault="00DF5D73" w:rsidP="00786B13">
            <w:pPr>
              <w:jc w:val="center"/>
            </w:pPr>
            <w:r>
              <w:t>$5.84B</w:t>
            </w:r>
          </w:p>
        </w:tc>
        <w:tc>
          <w:tcPr>
            <w:tcW w:w="2030" w:type="dxa"/>
            <w:vAlign w:val="center"/>
          </w:tcPr>
          <w:p w14:paraId="3ED4E8E1" w14:textId="77777777" w:rsidR="00DF5D73" w:rsidRDefault="00DF5D73" w:rsidP="00786B13">
            <w:pPr>
              <w:jc w:val="center"/>
            </w:pPr>
            <w:r>
              <w:t>13%</w:t>
            </w:r>
          </w:p>
        </w:tc>
      </w:tr>
      <w:tr w:rsidR="00DF5D73" w14:paraId="1C33501F" w14:textId="77777777" w:rsidTr="00786B13">
        <w:tc>
          <w:tcPr>
            <w:tcW w:w="2050" w:type="dxa"/>
            <w:vAlign w:val="center"/>
          </w:tcPr>
          <w:p w14:paraId="00F49538" w14:textId="77777777" w:rsidR="00DF5D73" w:rsidRDefault="00DF5D73" w:rsidP="00786B13">
            <w:pPr>
              <w:jc w:val="center"/>
            </w:pPr>
            <w:r>
              <w:t>Niger</w:t>
            </w:r>
          </w:p>
        </w:tc>
        <w:tc>
          <w:tcPr>
            <w:tcW w:w="2033" w:type="dxa"/>
            <w:vAlign w:val="center"/>
          </w:tcPr>
          <w:p w14:paraId="420D2ABC" w14:textId="77777777" w:rsidR="00DF5D73" w:rsidRDefault="00DF5D73" w:rsidP="00786B13">
            <w:pPr>
              <w:jc w:val="center"/>
            </w:pPr>
            <w:r>
              <w:t>$542M*</w:t>
            </w:r>
          </w:p>
        </w:tc>
        <w:tc>
          <w:tcPr>
            <w:tcW w:w="1643" w:type="dxa"/>
            <w:vAlign w:val="center"/>
          </w:tcPr>
          <w:p w14:paraId="0E2D3A47" w14:textId="77777777" w:rsidR="00DF5D73" w:rsidRDefault="00DF5D73" w:rsidP="00786B13">
            <w:pPr>
              <w:jc w:val="center"/>
            </w:pPr>
            <w:r>
              <w:t>44%</w:t>
            </w:r>
          </w:p>
        </w:tc>
        <w:tc>
          <w:tcPr>
            <w:tcW w:w="1820" w:type="dxa"/>
            <w:vAlign w:val="center"/>
          </w:tcPr>
          <w:p w14:paraId="78217BC6" w14:textId="77777777" w:rsidR="00DF5D73" w:rsidRDefault="00DF5D73" w:rsidP="00786B13">
            <w:pPr>
              <w:jc w:val="center"/>
            </w:pPr>
            <w:r>
              <w:t>$308M</w:t>
            </w:r>
          </w:p>
        </w:tc>
        <w:tc>
          <w:tcPr>
            <w:tcW w:w="2030" w:type="dxa"/>
            <w:vAlign w:val="center"/>
          </w:tcPr>
          <w:p w14:paraId="37964DCC" w14:textId="77777777" w:rsidR="00DF5D73" w:rsidRDefault="00DF5D73" w:rsidP="00786B13">
            <w:pPr>
              <w:jc w:val="center"/>
            </w:pPr>
            <w:r>
              <w:t>13%</w:t>
            </w:r>
          </w:p>
        </w:tc>
      </w:tr>
      <w:tr w:rsidR="00DF5D73" w14:paraId="1FDFF93E" w14:textId="77777777" w:rsidTr="00786B13">
        <w:tc>
          <w:tcPr>
            <w:tcW w:w="2050" w:type="dxa"/>
            <w:vAlign w:val="center"/>
          </w:tcPr>
          <w:p w14:paraId="779573E6" w14:textId="77777777" w:rsidR="00DF5D73" w:rsidRDefault="00DF5D73" w:rsidP="00786B13">
            <w:pPr>
              <w:jc w:val="center"/>
            </w:pPr>
            <w:r>
              <w:t>Rwanda***</w:t>
            </w:r>
          </w:p>
        </w:tc>
        <w:tc>
          <w:tcPr>
            <w:tcW w:w="2033" w:type="dxa"/>
            <w:vAlign w:val="center"/>
          </w:tcPr>
          <w:p w14:paraId="3B8C3910" w14:textId="77777777" w:rsidR="00DF5D73" w:rsidRDefault="00DF5D73" w:rsidP="00786B13">
            <w:pPr>
              <w:jc w:val="center"/>
            </w:pPr>
            <w:r>
              <w:t>$10.4M</w:t>
            </w:r>
          </w:p>
        </w:tc>
        <w:tc>
          <w:tcPr>
            <w:tcW w:w="1643" w:type="dxa"/>
            <w:vAlign w:val="center"/>
          </w:tcPr>
          <w:p w14:paraId="0D75F40E" w14:textId="77777777" w:rsidR="00DF5D73" w:rsidRDefault="00DF5D73" w:rsidP="00786B13">
            <w:pPr>
              <w:jc w:val="center"/>
            </w:pPr>
            <w:r>
              <w:t>1.2%</w:t>
            </w:r>
          </w:p>
        </w:tc>
        <w:tc>
          <w:tcPr>
            <w:tcW w:w="1820" w:type="dxa"/>
            <w:vAlign w:val="center"/>
          </w:tcPr>
          <w:p w14:paraId="01207D61" w14:textId="77777777" w:rsidR="00DF5D73" w:rsidRDefault="00DF5D73" w:rsidP="00786B13">
            <w:pPr>
              <w:jc w:val="center"/>
            </w:pPr>
            <w:r>
              <w:t>$37.8M</w:t>
            </w:r>
          </w:p>
        </w:tc>
        <w:tc>
          <w:tcPr>
            <w:tcW w:w="2030" w:type="dxa"/>
            <w:vAlign w:val="center"/>
          </w:tcPr>
          <w:p w14:paraId="56769FDE" w14:textId="77777777" w:rsidR="00DF5D73" w:rsidRDefault="00DF5D73" w:rsidP="00786B13">
            <w:pPr>
              <w:jc w:val="center"/>
            </w:pPr>
            <w:r>
              <w:t>1.9%</w:t>
            </w:r>
          </w:p>
        </w:tc>
      </w:tr>
      <w:tr w:rsidR="00DF5D73" w14:paraId="22F2DB4E" w14:textId="77777777" w:rsidTr="00786B13">
        <w:tc>
          <w:tcPr>
            <w:tcW w:w="2050" w:type="dxa"/>
            <w:vAlign w:val="center"/>
          </w:tcPr>
          <w:p w14:paraId="6E698C8C" w14:textId="77777777" w:rsidR="00DF5D73" w:rsidRDefault="00DF5D73" w:rsidP="00786B13">
            <w:pPr>
              <w:jc w:val="center"/>
            </w:pPr>
            <w:r>
              <w:t>Senegal</w:t>
            </w:r>
          </w:p>
        </w:tc>
        <w:tc>
          <w:tcPr>
            <w:tcW w:w="2033" w:type="dxa"/>
            <w:vAlign w:val="center"/>
          </w:tcPr>
          <w:p w14:paraId="6241CC92" w14:textId="77777777" w:rsidR="00DF5D73" w:rsidRDefault="00DF5D73" w:rsidP="00786B13">
            <w:pPr>
              <w:jc w:val="center"/>
            </w:pPr>
            <w:r>
              <w:t>$132M</w:t>
            </w:r>
          </w:p>
        </w:tc>
        <w:tc>
          <w:tcPr>
            <w:tcW w:w="1643" w:type="dxa"/>
            <w:vAlign w:val="center"/>
          </w:tcPr>
          <w:p w14:paraId="1151E4AB" w14:textId="77777777" w:rsidR="00DF5D73" w:rsidRDefault="00DF5D73" w:rsidP="00786B13">
            <w:pPr>
              <w:jc w:val="center"/>
            </w:pPr>
            <w:r>
              <w:t>4.5%</w:t>
            </w:r>
          </w:p>
        </w:tc>
        <w:tc>
          <w:tcPr>
            <w:tcW w:w="1820" w:type="dxa"/>
            <w:vAlign w:val="center"/>
          </w:tcPr>
          <w:p w14:paraId="0DBE2F9E" w14:textId="77777777" w:rsidR="00DF5D73" w:rsidRDefault="00DF5D73" w:rsidP="00786B13">
            <w:pPr>
              <w:jc w:val="center"/>
            </w:pPr>
            <w:r>
              <w:t>$1.07B**</w:t>
            </w:r>
          </w:p>
        </w:tc>
        <w:tc>
          <w:tcPr>
            <w:tcW w:w="2030" w:type="dxa"/>
            <w:vAlign w:val="center"/>
          </w:tcPr>
          <w:p w14:paraId="54357C6A" w14:textId="77777777" w:rsidR="00DF5D73" w:rsidRDefault="00DF5D73" w:rsidP="00786B13">
            <w:pPr>
              <w:jc w:val="center"/>
            </w:pPr>
            <w:r>
              <w:t>14%</w:t>
            </w:r>
          </w:p>
        </w:tc>
      </w:tr>
      <w:tr w:rsidR="00DF5D73" w14:paraId="7E0FD016" w14:textId="77777777" w:rsidTr="00786B13">
        <w:tc>
          <w:tcPr>
            <w:tcW w:w="2050" w:type="dxa"/>
            <w:vAlign w:val="center"/>
          </w:tcPr>
          <w:p w14:paraId="59D40F48" w14:textId="77777777" w:rsidR="00DF5D73" w:rsidRDefault="00DF5D73" w:rsidP="00786B13">
            <w:pPr>
              <w:jc w:val="center"/>
            </w:pPr>
            <w:r>
              <w:t>Togo</w:t>
            </w:r>
          </w:p>
        </w:tc>
        <w:tc>
          <w:tcPr>
            <w:tcW w:w="2033" w:type="dxa"/>
            <w:vAlign w:val="center"/>
          </w:tcPr>
          <w:p w14:paraId="375B3617" w14:textId="77777777" w:rsidR="00DF5D73" w:rsidRDefault="00DF5D73" w:rsidP="00786B13">
            <w:pPr>
              <w:jc w:val="center"/>
            </w:pPr>
            <w:r>
              <w:t>$11.2M</w:t>
            </w:r>
          </w:p>
        </w:tc>
        <w:tc>
          <w:tcPr>
            <w:tcW w:w="1643" w:type="dxa"/>
            <w:vAlign w:val="center"/>
          </w:tcPr>
          <w:p w14:paraId="4136F0A3" w14:textId="77777777" w:rsidR="00DF5D73" w:rsidRDefault="00DF5D73" w:rsidP="00786B13">
            <w:pPr>
              <w:jc w:val="center"/>
            </w:pPr>
            <w:r>
              <w:t>0.6%</w:t>
            </w:r>
          </w:p>
        </w:tc>
        <w:tc>
          <w:tcPr>
            <w:tcW w:w="1820" w:type="dxa"/>
            <w:vAlign w:val="center"/>
          </w:tcPr>
          <w:p w14:paraId="73BA86B6" w14:textId="77777777" w:rsidR="00DF5D73" w:rsidRDefault="00DF5D73" w:rsidP="00786B13">
            <w:pPr>
              <w:jc w:val="center"/>
            </w:pPr>
            <w:r>
              <w:t>$966M</w:t>
            </w:r>
          </w:p>
        </w:tc>
        <w:tc>
          <w:tcPr>
            <w:tcW w:w="2030" w:type="dxa"/>
            <w:vAlign w:val="center"/>
          </w:tcPr>
          <w:p w14:paraId="55CEEABA" w14:textId="77777777" w:rsidR="00DF5D73" w:rsidRDefault="00DF5D73" w:rsidP="00786B13">
            <w:pPr>
              <w:jc w:val="center"/>
            </w:pPr>
            <w:r>
              <w:t>7.7%</w:t>
            </w:r>
          </w:p>
        </w:tc>
      </w:tr>
      <w:tr w:rsidR="00DF5D73" w14:paraId="0CCF7EDF" w14:textId="77777777" w:rsidTr="00786B13">
        <w:tc>
          <w:tcPr>
            <w:tcW w:w="2050" w:type="dxa"/>
            <w:vAlign w:val="center"/>
          </w:tcPr>
          <w:p w14:paraId="3FAED91F" w14:textId="77777777" w:rsidR="00DF5D73" w:rsidRDefault="00DF5D73" w:rsidP="00786B13">
            <w:pPr>
              <w:jc w:val="center"/>
            </w:pPr>
            <w:r>
              <w:t>Tunisia</w:t>
            </w:r>
          </w:p>
        </w:tc>
        <w:tc>
          <w:tcPr>
            <w:tcW w:w="2033" w:type="dxa"/>
            <w:vAlign w:val="center"/>
          </w:tcPr>
          <w:p w14:paraId="31CC614A" w14:textId="77777777" w:rsidR="00DF5D73" w:rsidRDefault="00DF5D73" w:rsidP="00786B13">
            <w:pPr>
              <w:jc w:val="center"/>
            </w:pPr>
            <w:r>
              <w:t>$5.3B*</w:t>
            </w:r>
          </w:p>
        </w:tc>
        <w:tc>
          <w:tcPr>
            <w:tcW w:w="1643" w:type="dxa"/>
            <w:vAlign w:val="center"/>
          </w:tcPr>
          <w:p w14:paraId="08BD245C" w14:textId="77777777" w:rsidR="00DF5D73" w:rsidRDefault="00DF5D73" w:rsidP="00786B13">
            <w:pPr>
              <w:jc w:val="center"/>
            </w:pPr>
            <w:r>
              <w:t>33%</w:t>
            </w:r>
          </w:p>
        </w:tc>
        <w:tc>
          <w:tcPr>
            <w:tcW w:w="1820" w:type="dxa"/>
            <w:vAlign w:val="center"/>
          </w:tcPr>
          <w:p w14:paraId="5B28940B" w14:textId="77777777" w:rsidR="00DF5D73" w:rsidRDefault="00DF5D73" w:rsidP="00786B13">
            <w:pPr>
              <w:jc w:val="center"/>
            </w:pPr>
            <w:r>
              <w:t>$4.41B**</w:t>
            </w:r>
          </w:p>
        </w:tc>
        <w:tc>
          <w:tcPr>
            <w:tcW w:w="2030" w:type="dxa"/>
            <w:vAlign w:val="center"/>
          </w:tcPr>
          <w:p w14:paraId="3EC453CC" w14:textId="77777777" w:rsidR="00DF5D73" w:rsidRDefault="00DF5D73" w:rsidP="00786B13">
            <w:pPr>
              <w:jc w:val="center"/>
            </w:pPr>
            <w:r>
              <w:t>19%</w:t>
            </w:r>
          </w:p>
        </w:tc>
      </w:tr>
    </w:tbl>
    <w:p w14:paraId="0F42E89D" w14:textId="77777777" w:rsidR="00DF5D73" w:rsidRPr="00B848C6" w:rsidRDefault="00DF5D73" w:rsidP="00DF5D73">
      <w:pPr>
        <w:spacing w:after="0"/>
        <w:jc w:val="both"/>
        <w:rPr>
          <w:sz w:val="20"/>
          <w:szCs w:val="20"/>
        </w:rPr>
      </w:pPr>
      <w:r w:rsidRPr="00B848C6">
        <w:rPr>
          <w:sz w:val="20"/>
          <w:szCs w:val="20"/>
        </w:rPr>
        <w:t>*France holds the largest share of country’s exports</w:t>
      </w:r>
    </w:p>
    <w:p w14:paraId="14E279F9" w14:textId="77777777" w:rsidR="00DF5D73" w:rsidRDefault="00DF5D73" w:rsidP="00DF5D73">
      <w:pPr>
        <w:spacing w:after="0"/>
        <w:jc w:val="both"/>
        <w:rPr>
          <w:sz w:val="20"/>
          <w:szCs w:val="20"/>
        </w:rPr>
      </w:pPr>
      <w:r w:rsidRPr="00B848C6">
        <w:rPr>
          <w:sz w:val="20"/>
          <w:szCs w:val="20"/>
        </w:rPr>
        <w:t>**France holds the largest share of country’s imports</w:t>
      </w:r>
    </w:p>
    <w:p w14:paraId="4F6DFC01" w14:textId="77777777" w:rsidR="00DF5D73" w:rsidRPr="00055D33" w:rsidRDefault="00DF5D73" w:rsidP="00DF5D73">
      <w:pPr>
        <w:spacing w:after="0"/>
        <w:jc w:val="both"/>
        <w:rPr>
          <w:sz w:val="20"/>
          <w:szCs w:val="20"/>
        </w:rPr>
      </w:pPr>
      <w:r>
        <w:rPr>
          <w:sz w:val="20"/>
          <w:szCs w:val="20"/>
        </w:rPr>
        <w:t xml:space="preserve">***Not a former French colony, but belongs to </w:t>
      </w:r>
      <w:r>
        <w:rPr>
          <w:i/>
          <w:sz w:val="20"/>
          <w:szCs w:val="20"/>
        </w:rPr>
        <w:t xml:space="preserve">la Francophonie </w:t>
      </w:r>
      <w:r>
        <w:rPr>
          <w:sz w:val="20"/>
          <w:szCs w:val="20"/>
        </w:rPr>
        <w:t>or uses the CFA franc</w:t>
      </w:r>
    </w:p>
    <w:p w14:paraId="49699532" w14:textId="77777777" w:rsidR="00DF5D73" w:rsidRDefault="00DF5D73" w:rsidP="00DF5D73">
      <w:pPr>
        <w:spacing w:after="0" w:line="480" w:lineRule="auto"/>
        <w:jc w:val="both"/>
      </w:pPr>
    </w:p>
    <w:p w14:paraId="12CA83FD" w14:textId="6A4F1A55" w:rsidR="006861FC" w:rsidRPr="00822AAA" w:rsidRDefault="006861FC" w:rsidP="007063EC">
      <w:pPr>
        <w:spacing w:after="0" w:line="480" w:lineRule="auto"/>
        <w:jc w:val="both"/>
      </w:pPr>
      <w:r>
        <w:t xml:space="preserve">Senegal is one of the sixteen priority countries that France has targeted for additional official development assistance (ODA). France had a trade surplus with Senegal of </w:t>
      </w:r>
      <w:r w:rsidRPr="00F135D1">
        <w:rPr>
          <w:rFonts w:cs="Times New Roman"/>
        </w:rPr>
        <w:t>€681 million in 2015</w:t>
      </w:r>
      <w:r>
        <w:rPr>
          <w:rFonts w:cs="Times New Roman"/>
        </w:rPr>
        <w:t>, meaning that the economic relationship greater benefit to France.</w:t>
      </w:r>
      <w:r>
        <w:rPr>
          <w:rStyle w:val="FootnoteReference"/>
          <w:rFonts w:cs="Times New Roman"/>
        </w:rPr>
        <w:footnoteReference w:id="174"/>
      </w:r>
      <w:r>
        <w:rPr>
          <w:rFonts w:cs="Times New Roman"/>
        </w:rPr>
        <w:t xml:space="preserve"> Most extraordinary in the economic relationship between France and Senegal is holdings of French companies in a variety of industries—mining, telecommunications, and clubs/res</w:t>
      </w:r>
      <w:r w:rsidR="007063EC">
        <w:rPr>
          <w:rFonts w:cs="Times New Roman"/>
        </w:rPr>
        <w:t>taurants—amounting to nearly 25 percent</w:t>
      </w:r>
      <w:r>
        <w:rPr>
          <w:rFonts w:cs="Times New Roman"/>
        </w:rPr>
        <w:t xml:space="preserve"> of Senegal’s GDP.</w:t>
      </w:r>
      <w:r>
        <w:rPr>
          <w:rStyle w:val="FootnoteReference"/>
          <w:rFonts w:cs="Times New Roman"/>
        </w:rPr>
        <w:footnoteReference w:id="175"/>
      </w:r>
    </w:p>
    <w:p w14:paraId="728D690A" w14:textId="77777777" w:rsidR="00DF5D73" w:rsidRDefault="00DF5D73" w:rsidP="00DF5D73">
      <w:pPr>
        <w:spacing w:after="0" w:line="480" w:lineRule="auto"/>
        <w:ind w:firstLine="720"/>
        <w:jc w:val="both"/>
      </w:pPr>
      <w:r>
        <w:t xml:space="preserve">Although the trade relationships appear to take away from the importance of identity in terms of its aid relationship, this is not the case. There are material benefits to Françafrique, but French administrations are more interested in advancing the sphere of influence. Trade negotiations often involve interpersonal connections, established through years of interaction with other nations’ counterparts, and the shared identity can ease the tensions and miscommunications behind difficult trade negotiations. At a regional level, countries that are tied economically are less likely to face conflict and prefer a relationship that is advantageous to both parties. </w:t>
      </w:r>
    </w:p>
    <w:p w14:paraId="3603A895" w14:textId="77777777" w:rsidR="00DF5D73" w:rsidRDefault="00DF5D73" w:rsidP="00DF5D73">
      <w:pPr>
        <w:spacing w:after="0" w:line="480" w:lineRule="auto"/>
      </w:pPr>
    </w:p>
    <w:p w14:paraId="45673106" w14:textId="77777777" w:rsidR="00DF5D73" w:rsidRPr="00E648B7" w:rsidRDefault="00DF5D73" w:rsidP="00DF5D73">
      <w:pPr>
        <w:spacing w:after="0" w:line="480" w:lineRule="auto"/>
        <w:jc w:val="center"/>
      </w:pPr>
      <w:r w:rsidRPr="00E648B7">
        <w:t>Voting in the United Nations</w:t>
      </w:r>
    </w:p>
    <w:p w14:paraId="22D0854E" w14:textId="77777777" w:rsidR="00DF5D73" w:rsidRDefault="00DF5D73" w:rsidP="00DF5D73">
      <w:pPr>
        <w:spacing w:after="0" w:line="480" w:lineRule="auto"/>
        <w:jc w:val="both"/>
      </w:pPr>
      <w:r>
        <w:tab/>
        <w:t xml:space="preserve">In addition to contributing to </w:t>
      </w:r>
      <w:r>
        <w:rPr>
          <w:i/>
        </w:rPr>
        <w:t xml:space="preserve">pré carré, </w:t>
      </w:r>
      <w:r>
        <w:t>Africa matters to France because “Sub-Saharan countries represent one of the largest geographical voting blocs in the United Nations, and their support carries useful moral clout—if fewer votes—in other international organisations [</w:t>
      </w:r>
      <w:r w:rsidRPr="002149E5">
        <w:rPr>
          <w:i/>
        </w:rPr>
        <w:t>sic</w:t>
      </w:r>
      <w:r>
        <w:t>].”</w:t>
      </w:r>
      <w:r>
        <w:rPr>
          <w:rStyle w:val="FootnoteReference"/>
        </w:rPr>
        <w:footnoteReference w:id="176"/>
      </w:r>
      <w:r>
        <w:t xml:space="preserve"> France offers protection in exchange for votes at the UN and economic ties with French firms.</w:t>
      </w:r>
      <w:r>
        <w:rPr>
          <w:rStyle w:val="FootnoteReference"/>
        </w:rPr>
        <w:footnoteReference w:id="177"/>
      </w:r>
      <w:r>
        <w:t xml:space="preserve"> For example, France colluded with the US on intervention in Iraq and cooperated with Angola, Cameroon, and Guinea, as they were among the rotating members of the UNSC.</w:t>
      </w:r>
      <w:r>
        <w:rPr>
          <w:rStyle w:val="FootnoteReference"/>
        </w:rPr>
        <w:footnoteReference w:id="178"/>
      </w:r>
      <w:r>
        <w:t xml:space="preserve"> Furthermore, support from African heads of state supported the intervention in Libya under Gaddafi and the election of Christine Lagarde as the head of the International Monetary Fund.</w:t>
      </w:r>
      <w:r>
        <w:rPr>
          <w:rStyle w:val="FootnoteReference"/>
        </w:rPr>
        <w:footnoteReference w:id="179"/>
      </w:r>
    </w:p>
    <w:p w14:paraId="3496B7CF" w14:textId="77777777" w:rsidR="00DF5D73" w:rsidRPr="00357C97" w:rsidRDefault="00DF5D73" w:rsidP="00DF5D73">
      <w:pPr>
        <w:spacing w:after="0" w:line="480" w:lineRule="auto"/>
        <w:jc w:val="both"/>
      </w:pPr>
      <w:r>
        <w:tab/>
        <w:t>However, France also advocates for interventions in sub-Saharan Africa as Sarkozy chaired a UN Security Council meeting focused on Sudan and Somalia in 2007. This was an attempt to convince the international community that France cares about more than simply French-speaking Africa.</w:t>
      </w:r>
      <w:r>
        <w:rPr>
          <w:rStyle w:val="FootnoteReference"/>
        </w:rPr>
        <w:footnoteReference w:id="180"/>
      </w:r>
      <w:r>
        <w:t xml:space="preserve"> Because African nations represent a significant voting bloc of the United Nations, the maintenance of the French-African relationship and the “Frenchness” identity leads to African support for French policies. Repeatedly French officials make an effort to convince the international community that they care about more than Francophone Africa. </w:t>
      </w:r>
    </w:p>
    <w:p w14:paraId="15165C10" w14:textId="77777777" w:rsidR="00DF5D73" w:rsidRDefault="00DF5D73" w:rsidP="00DF5D73">
      <w:pPr>
        <w:spacing w:after="0" w:line="480" w:lineRule="auto"/>
        <w:jc w:val="center"/>
      </w:pPr>
    </w:p>
    <w:p w14:paraId="15D69FD1" w14:textId="77777777" w:rsidR="00DF5D73" w:rsidRDefault="00DF5D73" w:rsidP="00DF5D73">
      <w:pPr>
        <w:spacing w:after="0" w:line="480" w:lineRule="auto"/>
        <w:jc w:val="center"/>
      </w:pPr>
      <w:r w:rsidRPr="000E0451">
        <w:t>Scandals of Françafrique</w:t>
      </w:r>
    </w:p>
    <w:p w14:paraId="65BDCBC5" w14:textId="77777777" w:rsidR="00DF5D73" w:rsidRDefault="00DF5D73" w:rsidP="00DF5D73">
      <w:pPr>
        <w:spacing w:after="0" w:line="480" w:lineRule="auto"/>
        <w:ind w:firstLine="720"/>
        <w:jc w:val="both"/>
      </w:pPr>
      <w:r>
        <w:t xml:space="preserve">The various channels of Françafrique have most often fostered a shared understanding of identity between French and African actors. However, scandals have damaged the relative level of “Frenchness” in several countries, especially Rwanda and more recently, Gabon. Due to these scandals, governments and nongovernmental organizations in Africa have criticized the role of the French and, in extreme cases, expelled any assistance in terms of </w:t>
      </w:r>
      <w:r w:rsidRPr="000E0451">
        <w:t>technical, military, and economic.</w:t>
      </w:r>
      <w:r>
        <w:t xml:space="preserve"> </w:t>
      </w:r>
    </w:p>
    <w:p w14:paraId="3D3F4345" w14:textId="77777777" w:rsidR="00DF5D73" w:rsidRDefault="00DF5D73" w:rsidP="00DF5D73">
      <w:pPr>
        <w:spacing w:after="0" w:line="480" w:lineRule="auto"/>
        <w:ind w:firstLine="720"/>
        <w:jc w:val="both"/>
      </w:pPr>
      <w:r>
        <w:t>Following the Rwandan genocide in 1994, France was accused of assisting President Habyarimana and the Hutu rebels in their heinous crimes. Although not directly involved in the mass killings, France provided arms to rebels and helped to evacuate the assassinated president’s wife, Hutu politicians, and other war criminals.</w:t>
      </w:r>
      <w:r>
        <w:rPr>
          <w:rStyle w:val="FootnoteReference"/>
        </w:rPr>
        <w:footnoteReference w:id="181"/>
      </w:r>
      <w:r>
        <w:t xml:space="preserve"> Despite French troops being among the first UN peacekeeping forces in Rwanda, the current Kagame administration still harbors anger for their possible contributions in the genocide.</w:t>
      </w:r>
      <w:r>
        <w:rPr>
          <w:rStyle w:val="FootnoteReference"/>
        </w:rPr>
        <w:footnoteReference w:id="182"/>
      </w:r>
      <w:r>
        <w:t xml:space="preserve"> </w:t>
      </w:r>
      <w:r w:rsidRPr="00E97D2F">
        <w:t>In 2006,</w:t>
      </w:r>
      <w:r>
        <w:t xml:space="preserve"> Rwanda kicked out all French diplomats. In 2009, Kagame changed the official language from French to English overnight and joined the British Commonwealth. President Kagame never learned to speak French as he grew up in Uganda in English-speaking schools and claimed that his intentions are to increase trade and relations with the rest of East Africa, who speak English.</w:t>
      </w:r>
      <w:r>
        <w:rPr>
          <w:rStyle w:val="FootnoteReference"/>
        </w:rPr>
        <w:footnoteReference w:id="183"/>
      </w:r>
      <w:r>
        <w:t xml:space="preserve"> France has vastly decreased foreign aid to Rwanda after being kicked out of the country and embarrassed on an international stage.</w:t>
      </w:r>
    </w:p>
    <w:p w14:paraId="3F048DD3" w14:textId="77777777" w:rsidR="00DF5D73" w:rsidRDefault="00DF5D73" w:rsidP="00DF5D73">
      <w:pPr>
        <w:spacing w:after="0" w:line="480" w:lineRule="auto"/>
        <w:ind w:firstLine="720"/>
        <w:jc w:val="both"/>
      </w:pPr>
      <w:r>
        <w:t>Tensions arose between Gabon and its former colonizer in 2009, when France supported the election of the former president’s son, Ali Bongo, among protests from Gabonese citizens. In addition to this, Transparency International has investigated claims that the Bongo family and other African leaders have maintained vast amounts of wealth within France.</w:t>
      </w:r>
      <w:r>
        <w:rPr>
          <w:rStyle w:val="FootnoteReference"/>
        </w:rPr>
        <w:footnoteReference w:id="184"/>
      </w:r>
      <w:r>
        <w:t xml:space="preserve"> Despite such close economic ties with France, Gabon changed its official language from French to English in October 2012, claiming that it is in response to French injustices that failed to remove Ali Bongo and allowed for the Bongo family to accumulate wealth reserves and luxury acquisitions in France.</w:t>
      </w:r>
      <w:r>
        <w:rPr>
          <w:rStyle w:val="FootnoteReference"/>
        </w:rPr>
        <w:footnoteReference w:id="185"/>
      </w:r>
      <w:r>
        <w:t xml:space="preserve"> Furthermore Ali Bongo claims that “he does not enjoy the close personal relationships with French politicians that his father cultivated” and may continue to lessen these ties in the future.</w:t>
      </w:r>
      <w:r>
        <w:rPr>
          <w:rStyle w:val="FootnoteReference"/>
        </w:rPr>
        <w:footnoteReference w:id="186"/>
      </w:r>
    </w:p>
    <w:p w14:paraId="2CC1B6BD" w14:textId="77777777" w:rsidR="00DF5D73" w:rsidRDefault="00DF5D73" w:rsidP="00DF5D73">
      <w:pPr>
        <w:spacing w:after="0" w:line="480" w:lineRule="auto"/>
        <w:ind w:firstLine="720"/>
        <w:jc w:val="both"/>
      </w:pPr>
      <w:r>
        <w:t>France has been criticized for supporting undemocratic regimes, especially decade-long presidents or human rights violations. Despite criticism of France as “tepid” and impartial to justice, French ministers have failed to change their efforts to further “Frenchness” via the channels of Françafrique.</w:t>
      </w:r>
      <w:r w:rsidRPr="009C0A61">
        <w:rPr>
          <w:rStyle w:val="FootnoteReference"/>
          <w:rFonts w:cs="Times New Roman"/>
        </w:rPr>
        <w:footnoteReference w:id="187"/>
      </w:r>
      <w:r>
        <w:t xml:space="preserve"> However, Nicolas Sarkozy made some efforts to reform the Françafrique network and closed the African cell as an official part of the French government.</w:t>
      </w:r>
      <w:r>
        <w:rPr>
          <w:rStyle w:val="FootnoteReference"/>
        </w:rPr>
        <w:footnoteReference w:id="188"/>
      </w:r>
      <w:r>
        <w:t xml:space="preserve"> But under the administration of François Hollande, the usual networks and secrecy of Françafrique resumed. </w:t>
      </w:r>
    </w:p>
    <w:p w14:paraId="1E8C3765" w14:textId="77777777" w:rsidR="00DF5D73" w:rsidRDefault="00DF5D73" w:rsidP="00DF5D73">
      <w:pPr>
        <w:spacing w:after="0" w:line="480" w:lineRule="auto"/>
        <w:ind w:firstLine="720"/>
        <w:jc w:val="both"/>
      </w:pPr>
    </w:p>
    <w:p w14:paraId="0435E327" w14:textId="77777777" w:rsidR="00DF5D73" w:rsidRPr="00EB3BD0" w:rsidRDefault="00DF5D73" w:rsidP="00DF5D73">
      <w:pPr>
        <w:spacing w:after="0" w:line="480" w:lineRule="auto"/>
        <w:jc w:val="center"/>
      </w:pPr>
      <w:r>
        <w:rPr>
          <w:b/>
        </w:rPr>
        <w:t xml:space="preserve">Conclusion </w:t>
      </w:r>
    </w:p>
    <w:p w14:paraId="22581142" w14:textId="3697D329" w:rsidR="00DF5D73" w:rsidRDefault="00DF5D73" w:rsidP="00DF5D73">
      <w:pPr>
        <w:spacing w:after="0" w:line="480" w:lineRule="auto"/>
        <w:jc w:val="both"/>
      </w:pPr>
      <w:r>
        <w:tab/>
        <w:t xml:space="preserve">Although subject to scandal and international criticism in recent years, Françafrique is not dead and still permeates the political, economic, and social lives of Africans. Françafrique, as a covert network and official French policy in Africa, has led to the continuation of shared identity where “Frenchness” was established during the colonial period. However, this neocolonialist approach differs from </w:t>
      </w:r>
      <w:r>
        <w:rPr>
          <w:i/>
        </w:rPr>
        <w:t xml:space="preserve">la mission civilisatrice </w:t>
      </w:r>
      <w:r>
        <w:t xml:space="preserve">because African heads of state possess more sovereignty and agency to accept or reject French intervention and foreign aid contributions. In most instances of rejection of French-imposed identity, African heads of states and domestic populations expel French presence and France retaliates by pulling its foreign aid. </w:t>
      </w:r>
      <w:r w:rsidR="00FA2B80">
        <w:t xml:space="preserve">However, </w:t>
      </w:r>
      <w:r>
        <w:t xml:space="preserve">France rewards former colonies </w:t>
      </w:r>
      <w:r w:rsidR="00FA2B80">
        <w:t xml:space="preserve">that accept French presence </w:t>
      </w:r>
      <w:r>
        <w:t>based on a shared understanding of identity and role in the neo-French Empire.</w:t>
      </w:r>
    </w:p>
    <w:p w14:paraId="279ACC66" w14:textId="273BAAF2" w:rsidR="00DF5D73" w:rsidRPr="00FA2B80" w:rsidRDefault="00FA2B80" w:rsidP="00FA2B80">
      <w:pPr>
        <w:pStyle w:val="CommentText"/>
        <w:spacing w:line="480" w:lineRule="auto"/>
        <w:ind w:firstLine="720"/>
        <w:jc w:val="both"/>
      </w:pPr>
      <w:r w:rsidRPr="00FA2B80">
        <w:t xml:space="preserve">In recent years, French officials and corporations have expanded the reach of Françafrique in </w:t>
      </w:r>
      <w:r>
        <w:t xml:space="preserve">an </w:t>
      </w:r>
      <w:r w:rsidRPr="00FA2B80">
        <w:t xml:space="preserve">attempt to extend their </w:t>
      </w:r>
      <w:r>
        <w:t xml:space="preserve">existing </w:t>
      </w:r>
      <w:r w:rsidRPr="00FA2B80">
        <w:t>sphere of influence</w:t>
      </w:r>
      <w:r>
        <w:t xml:space="preserve"> in to non-former French colonies</w:t>
      </w:r>
      <w:r w:rsidRPr="00FA2B80">
        <w:t>.</w:t>
      </w:r>
      <w:r>
        <w:t xml:space="preserve"> This is evident in various channels including the CFA franc zone, membership in </w:t>
      </w:r>
      <w:r>
        <w:rPr>
          <w:i/>
        </w:rPr>
        <w:t>la Francophonie,</w:t>
      </w:r>
      <w:r>
        <w:t xml:space="preserve"> and the participants at the Franco-African summits. Although not extensively analyzed in this chapter, the extension of Françafrique is included in the “Frenchness” index, which will be presented in Chapter 3. </w:t>
      </w:r>
    </w:p>
    <w:p w14:paraId="78A01A1A" w14:textId="77777777" w:rsidR="00DF5D73" w:rsidRPr="009C0A61" w:rsidRDefault="00DF5D73" w:rsidP="00DF5D73">
      <w:pPr>
        <w:widowControl w:val="0"/>
        <w:autoSpaceDE w:val="0"/>
        <w:autoSpaceDN w:val="0"/>
        <w:adjustRightInd w:val="0"/>
        <w:spacing w:after="0"/>
        <w:jc w:val="both"/>
        <w:rPr>
          <w:rFonts w:cs="Times New Roman"/>
          <w:color w:val="343434"/>
        </w:rPr>
      </w:pPr>
    </w:p>
    <w:p w14:paraId="5E32BB93" w14:textId="77777777" w:rsidR="005745CF" w:rsidRPr="009C0A61" w:rsidRDefault="005745CF" w:rsidP="005745CF">
      <w:pPr>
        <w:widowControl w:val="0"/>
        <w:autoSpaceDE w:val="0"/>
        <w:autoSpaceDN w:val="0"/>
        <w:adjustRightInd w:val="0"/>
        <w:spacing w:after="0"/>
        <w:jc w:val="both"/>
        <w:rPr>
          <w:rFonts w:cs="Times New Roman"/>
          <w:color w:val="343434"/>
        </w:rPr>
      </w:pPr>
    </w:p>
    <w:p w14:paraId="39BD7AA2" w14:textId="77777777" w:rsidR="005745CF" w:rsidRDefault="005745CF">
      <w:pPr>
        <w:rPr>
          <w:b/>
          <w:sz w:val="28"/>
          <w:szCs w:val="28"/>
        </w:rPr>
      </w:pPr>
      <w:r>
        <w:rPr>
          <w:b/>
          <w:sz w:val="28"/>
          <w:szCs w:val="28"/>
        </w:rPr>
        <w:br w:type="page"/>
      </w:r>
    </w:p>
    <w:p w14:paraId="23A35A2A" w14:textId="77777777" w:rsidR="00142D2B" w:rsidRPr="00091AE1" w:rsidRDefault="00142D2B" w:rsidP="00142D2B">
      <w:pPr>
        <w:spacing w:after="0" w:line="480" w:lineRule="auto"/>
        <w:jc w:val="center"/>
        <w:rPr>
          <w:b/>
          <w:sz w:val="28"/>
          <w:szCs w:val="28"/>
        </w:rPr>
      </w:pPr>
      <w:r w:rsidRPr="00091AE1">
        <w:rPr>
          <w:b/>
          <w:sz w:val="28"/>
          <w:szCs w:val="28"/>
        </w:rPr>
        <w:t>Chapter 3: Identity as a Determinant in Aid Allocation</w:t>
      </w:r>
    </w:p>
    <w:p w14:paraId="4CC6D4EC" w14:textId="77777777" w:rsidR="00142D2B" w:rsidRPr="00796A2E" w:rsidRDefault="00142D2B" w:rsidP="00142D2B">
      <w:pPr>
        <w:spacing w:after="0" w:line="480" w:lineRule="auto"/>
        <w:jc w:val="center"/>
        <w:rPr>
          <w:b/>
        </w:rPr>
      </w:pPr>
    </w:p>
    <w:p w14:paraId="02E34F82" w14:textId="09F8BB6E" w:rsidR="00142D2B" w:rsidRDefault="00142D2B" w:rsidP="00142D2B">
      <w:pPr>
        <w:spacing w:after="0" w:line="480" w:lineRule="auto"/>
        <w:ind w:firstLine="720"/>
        <w:jc w:val="both"/>
      </w:pPr>
      <w:r>
        <w:t>The previous two chapters illustrated how “Frenchness” was first created in the colonies and how this identity has been perpetuated through the policy of Françafrique. In this chapter, I will test the hypothesis that France gives aid based on the level of “Frenchness” present in an African country, both historically and contemporarily.</w:t>
      </w:r>
      <w:r>
        <w:rPr>
          <w:rStyle w:val="FootnoteReference"/>
        </w:rPr>
        <w:footnoteReference w:id="189"/>
      </w:r>
      <w:r>
        <w:t xml:space="preserve"> While a substantial literature review was provided on French colonial history and the establishment of a French identity, I will now detail the important economic theories about why countries provide aid. Most economists </w:t>
      </w:r>
      <w:r w:rsidR="007063EC">
        <w:t>debate whether</w:t>
      </w:r>
      <w:r>
        <w:t xml:space="preserve"> aid is based on altruism or strategic interests, with the overwhelming majority leaning towards strategic interests. An additional component of this literature asks to whom does each donor provide aid. I will contribute to the existing research by addressing how France uniquely allocates aid. I will argue that “Frenchness” does predict how France disproportionately favors nation-states based on their shared identity. This chapter is along the same lines as the paper “Who Gives Foreign Aid to Whom and Why?”, in which Alesina and Dollar (2000) establish that past colonial powers favor their former colonies in providing bilateral aid. However, my analysis is unique in that I primarily investigate how France specifically allocates aid rather than donor countries as a whole.</w:t>
      </w:r>
    </w:p>
    <w:p w14:paraId="656DE5AC" w14:textId="77777777" w:rsidR="00142D2B" w:rsidRDefault="00142D2B" w:rsidP="00142D2B">
      <w:pPr>
        <w:spacing w:after="0" w:line="480" w:lineRule="auto"/>
        <w:ind w:firstLine="720"/>
        <w:jc w:val="both"/>
      </w:pPr>
      <w:r>
        <w:t>As I have established in the previous two chapters and will continue to expand upon in the subsequent analysis, this research is important because it also contributes to the existing literature on the salience and persistence of history.</w:t>
      </w:r>
      <w:r>
        <w:rPr>
          <w:rStyle w:val="FootnoteReference"/>
        </w:rPr>
        <w:footnoteReference w:id="190"/>
      </w:r>
      <w:r>
        <w:t xml:space="preserve"> However, the specific relationship between variations in French colonial rule has not yet been analyzed. Because of this persistence of history, we expect the colonial relationship to have ramifications for “Frenchness” and current French aid policies towards former colonies. The existing literature on the prominence of the French colonial empire instead identifies other economic relationships, such as investment and trade. More specifically, French colonial public investments—education, health, and infrastructure—can “explain about 30 percent of the corresponding current performance” in regions where France most heavily invested.</w:t>
      </w:r>
      <w:r>
        <w:rPr>
          <w:rStyle w:val="FootnoteReference"/>
        </w:rPr>
        <w:footnoteReference w:id="191"/>
      </w:r>
      <w:r>
        <w:t xml:space="preserve"> In addition to public investment, which is possibly correlated with the number of European settlers, the trade relationship between France and Africa is stronger as the number of settlers increases.</w:t>
      </w:r>
      <w:r>
        <w:rPr>
          <w:rStyle w:val="FootnoteReference"/>
        </w:rPr>
        <w:footnoteReference w:id="192"/>
      </w:r>
      <w:r>
        <w:t xml:space="preserve"> However, the relationship is often one of exploitation as the imports of raw material are more affected than manufactured goods.</w:t>
      </w:r>
      <w:r>
        <w:rPr>
          <w:rStyle w:val="FootnoteReference"/>
        </w:rPr>
        <w:footnoteReference w:id="193"/>
      </w:r>
      <w:r>
        <w:t xml:space="preserve"> Because I expand on this literature, I expect for the colonial relationship and the formation of identity to be a key factor in determining aid, especially if aid is distributed based on the strategic interests of the donor country. It is important to note that the relationship between colonial history and investment trade does not detract from my overall argument that a common French identity is the main determinant of bilateral aid committed because prior studies fail to consider identity as a potential explanation. Additionally, I control for such factors and elaborate on the robustness of “Frenchness” in the results section of this chapter. </w:t>
      </w:r>
    </w:p>
    <w:p w14:paraId="4410E136" w14:textId="45E036CA" w:rsidR="00142D2B" w:rsidRDefault="00142D2B" w:rsidP="00142D2B">
      <w:pPr>
        <w:spacing w:after="0" w:line="480" w:lineRule="auto"/>
        <w:ind w:firstLine="720"/>
        <w:jc w:val="both"/>
      </w:pPr>
      <w:r>
        <w:t>Following the section on background literature, the second section will outline the data used for regression analysis. Then I will present my results and hypothesis tests</w:t>
      </w:r>
      <w:r w:rsidR="007063EC">
        <w:t xml:space="preserve"> in which </w:t>
      </w:r>
      <w:r>
        <w:t xml:space="preserve">I argue that France gives aid to former and non-former colonies based on their level of Frenchness. Finally, I will offer conclusions on my research. </w:t>
      </w:r>
    </w:p>
    <w:p w14:paraId="569CAA69" w14:textId="77777777" w:rsidR="00142D2B" w:rsidRDefault="00142D2B" w:rsidP="00142D2B">
      <w:pPr>
        <w:spacing w:after="0" w:line="480" w:lineRule="auto"/>
        <w:jc w:val="both"/>
      </w:pPr>
    </w:p>
    <w:p w14:paraId="53425729" w14:textId="77777777" w:rsidR="00142D2B" w:rsidRPr="00303227" w:rsidRDefault="00142D2B" w:rsidP="00142D2B">
      <w:pPr>
        <w:spacing w:after="0" w:line="480" w:lineRule="auto"/>
        <w:jc w:val="center"/>
        <w:rPr>
          <w:b/>
        </w:rPr>
      </w:pPr>
      <w:r>
        <w:rPr>
          <w:b/>
        </w:rPr>
        <w:t>Background Literature</w:t>
      </w:r>
    </w:p>
    <w:p w14:paraId="331691A4" w14:textId="594D8B04" w:rsidR="00142D2B" w:rsidRDefault="00142D2B" w:rsidP="00142D2B">
      <w:pPr>
        <w:spacing w:after="0" w:line="480" w:lineRule="auto"/>
        <w:ind w:firstLine="720"/>
        <w:jc w:val="both"/>
      </w:pPr>
      <w:r>
        <w:t xml:space="preserve">Critics of aid </w:t>
      </w:r>
      <w:r w:rsidR="007063EC">
        <w:t>claim</w:t>
      </w:r>
      <w:r>
        <w:t xml:space="preserve"> that donor countries often fail to evaluate the needs of recipient countries and frequently overlook the opportunity to support good governance through aid. France has been especially accused of such behavior, as was illustrated with Gabonese examples in the previous chapter, where France allowed the ruling Bongo family to hide their wealth in France</w:t>
      </w:r>
      <w:r>
        <w:sym w:font="Symbol" w:char="F0BE"/>
      </w:r>
      <w:r>
        <w:t xml:space="preserve">wealth that was possibly the result of large foreign aid receipts. </w:t>
      </w:r>
      <w:r w:rsidRPr="004A01D8">
        <w:t>Even with the rise in popularity of aid conditionalities that encourage good governance, France ha</w:t>
      </w:r>
      <w:r w:rsidR="007063EC">
        <w:t xml:space="preserve">s instead favored allies, often </w:t>
      </w:r>
      <w:r w:rsidRPr="004A01D8">
        <w:t>former colonies or governments with a reputation of corruption.</w:t>
      </w:r>
      <w:r>
        <w:t xml:space="preserve"> </w:t>
      </w:r>
      <w:r w:rsidR="007063EC">
        <w:t>Previous economic scholarship</w:t>
      </w:r>
      <w:r>
        <w:t xml:space="preserve"> finds that donor countries prioritize strategic interests—including sphere of influence, trade benefits, and UN voting affinity—over recipient needs.</w:t>
      </w:r>
      <w:r>
        <w:rPr>
          <w:rStyle w:val="FootnoteReference"/>
        </w:rPr>
        <w:footnoteReference w:id="194"/>
      </w:r>
      <w:r>
        <w:t xml:space="preserve"> Rather than using aid as a tool to address poverty, increase economic growth, and promote good governance, donor countries use bilateral aid to further their own interests. These interests can be both political and economic. </w:t>
      </w:r>
    </w:p>
    <w:p w14:paraId="03DE20F1" w14:textId="17A87A05" w:rsidR="00142D2B" w:rsidRDefault="00142D2B" w:rsidP="00142D2B">
      <w:pPr>
        <w:spacing w:after="0" w:line="480" w:lineRule="auto"/>
        <w:ind w:firstLine="720"/>
        <w:jc w:val="both"/>
      </w:pPr>
      <w:r>
        <w:t>Politically, donor countries use aid to show allegiances and may expect reciprocation in the form of UN voting or other agreements at the international level.</w:t>
      </w:r>
      <w:r>
        <w:rPr>
          <w:rStyle w:val="FootnoteReference"/>
        </w:rPr>
        <w:footnoteReference w:id="195"/>
      </w:r>
      <w:r>
        <w:t xml:space="preserve"> This strategic motivation for providing aid applies to many, if not the majority of, donor countries, as the United States gives aid to Israel, with whom they have an extensive, interventionist history. The two major coloni</w:t>
      </w:r>
      <w:r w:rsidR="007063EC">
        <w:t>al empires</w:t>
      </w:r>
      <w:r>
        <w:t>—</w:t>
      </w:r>
      <w:r w:rsidR="007063EC">
        <w:t>Great Britain</w:t>
      </w:r>
      <w:r>
        <w:t xml:space="preserve"> and France—provide more aid to countries where they have a “relatively long colonial past.”</w:t>
      </w:r>
      <w:r w:rsidRPr="00984CAA">
        <w:rPr>
          <w:rStyle w:val="FootnoteReference"/>
        </w:rPr>
        <w:t xml:space="preserve"> </w:t>
      </w:r>
      <w:r>
        <w:rPr>
          <w:rStyle w:val="FootnoteReference"/>
        </w:rPr>
        <w:footnoteReference w:id="196"/>
      </w:r>
      <w:r>
        <w:t xml:space="preserve"> Alesina and Dollar (2000) find that France disproportionately favors former colonies, even more so than its counterparts in other parts of Europe. Because of this favoritism, I expect there to be variation among former French colonies that receive aid based on their relationship with the former metropole. There is some debate on whether or not the end of the Cold War has altered the importance of strategic interests in aid allocation, as the competition for alignment with the First and Second Worlds has lessened.</w:t>
      </w:r>
      <w:r>
        <w:rPr>
          <w:rStyle w:val="FootnoteReference"/>
        </w:rPr>
        <w:footnoteReference w:id="197"/>
      </w:r>
      <w:r>
        <w:t xml:space="preserve"> However, historically, political interests have provided a motivation for aid, and therefore, political factors, like measurements of democracy and autocracy using Polity IV data, are included in the analysis of French aid allocation. </w:t>
      </w:r>
    </w:p>
    <w:p w14:paraId="7BA2614A" w14:textId="77777777" w:rsidR="00142D2B" w:rsidRDefault="00142D2B" w:rsidP="00142D2B">
      <w:pPr>
        <w:spacing w:after="0" w:line="480" w:lineRule="auto"/>
        <w:ind w:firstLine="720"/>
        <w:jc w:val="both"/>
      </w:pPr>
      <w:r>
        <w:t xml:space="preserve">Aside from the benefits that donors receive from aid allocation, bilateral and multilateral aid agencies claim that recipient countries share in the potential gains, in addition to receiving monetary assistance. Some of these potential </w:t>
      </w:r>
      <w:r w:rsidRPr="001B6F9A">
        <w:t>benefits</w:t>
      </w:r>
      <w:r>
        <w:t xml:space="preserve"> include economic growth, poverty alleviation, expansion of human rights protections, a decrease in corruption, and the promotion of democratic norms. However, the existing scholarship does not illustrate that bilateral donors take these recipient benefits into account when determining who gets what amount of aid or if aid actually yields these various improvements.</w:t>
      </w:r>
      <w:r>
        <w:rPr>
          <w:rStyle w:val="FootnoteReference"/>
        </w:rPr>
        <w:footnoteReference w:id="198"/>
      </w:r>
      <w:r>
        <w:t xml:space="preserve"> Furthermore, these </w:t>
      </w:r>
      <w:r w:rsidRPr="001B6F9A">
        <w:t>potential benefits</w:t>
      </w:r>
      <w:r>
        <w:t xml:space="preserve"> are frequently missed opportunities as aid is fungible and typically allocated to governments, which often fail to distribute aid dollars among its citizens that are often in need of aid relief. These problems of distribution and accountability help provide an explanation for why bilateral donors frequently disregard benefits to recipients, especially at the subnational level. </w:t>
      </w:r>
    </w:p>
    <w:p w14:paraId="1F7B4660" w14:textId="77777777" w:rsidR="00142D2B" w:rsidRDefault="00142D2B" w:rsidP="00142D2B">
      <w:pPr>
        <w:spacing w:after="0" w:line="480" w:lineRule="auto"/>
        <w:ind w:firstLine="720"/>
        <w:jc w:val="both"/>
      </w:pPr>
      <w:r>
        <w:t>Former French colonies are especially unique in their economic relationship with France, as many of them belong to the CFA franc zone – either in French West Africa or French Equatorial Africa. Burnside and Dollar (2000) established that this currency zone receives “special treatment from France” in terms of aid allocations.</w:t>
      </w:r>
      <w:r>
        <w:rPr>
          <w:rStyle w:val="FootnoteReference"/>
        </w:rPr>
        <w:footnoteReference w:id="199"/>
      </w:r>
      <w:r>
        <w:t xml:space="preserve"> Additionally, closer proximity in terms of geography is also an important factor in aid allocation.</w:t>
      </w:r>
      <w:r>
        <w:rPr>
          <w:rStyle w:val="FootnoteReference"/>
        </w:rPr>
        <w:footnoteReference w:id="200"/>
      </w:r>
      <w:r>
        <w:t xml:space="preserve"> Furthermore, population density and income play a role, although the level of income (low, middle, high) necessary for aid is up for debate.</w:t>
      </w:r>
      <w:r>
        <w:rPr>
          <w:rStyle w:val="FootnoteReference"/>
        </w:rPr>
        <w:footnoteReference w:id="201"/>
      </w:r>
      <w:r>
        <w:t xml:space="preserve"> Although these demographics partially determine aid allocation, the primary focus of this chapter will be to use the strategic interests of donor countries, namely France. The relationship between the political formation of identity and aid will be highlighted in the analysis below. </w:t>
      </w:r>
    </w:p>
    <w:p w14:paraId="57479954" w14:textId="77777777" w:rsidR="00142D2B" w:rsidRDefault="00142D2B" w:rsidP="00142D2B">
      <w:pPr>
        <w:spacing w:after="0" w:line="480" w:lineRule="auto"/>
        <w:ind w:firstLine="720"/>
        <w:jc w:val="both"/>
      </w:pPr>
    </w:p>
    <w:p w14:paraId="70D21E27" w14:textId="77777777" w:rsidR="00142D2B" w:rsidRDefault="00142D2B" w:rsidP="00142D2B">
      <w:pPr>
        <w:spacing w:after="0" w:line="480" w:lineRule="auto"/>
        <w:jc w:val="center"/>
        <w:rPr>
          <w:b/>
        </w:rPr>
      </w:pPr>
      <w:r>
        <w:rPr>
          <w:b/>
        </w:rPr>
        <w:t>Data and Methodology</w:t>
      </w:r>
    </w:p>
    <w:p w14:paraId="47DBBAEC" w14:textId="77777777" w:rsidR="00142D2B" w:rsidRPr="00FE7D08" w:rsidRDefault="00142D2B" w:rsidP="00142D2B">
      <w:pPr>
        <w:spacing w:after="0" w:line="480" w:lineRule="auto"/>
        <w:ind w:firstLine="360"/>
        <w:jc w:val="both"/>
        <w:rPr>
          <w:b/>
        </w:rPr>
      </w:pPr>
      <w:r>
        <w:t>I will use regression analysis to examine aid allocation between (1) France and all countries in Africa and (2) France and former French colonies in Africa. My dependent variable is the log of bilateral aid committed from the donor to recipient country, and my independent variable is an index of “Frenchness.” I use bilateral aid flows from the OECD Development Assistance Committee (DAC) database for the years 1973-2010.</w:t>
      </w:r>
      <w:r>
        <w:rPr>
          <w:rStyle w:val="FootnoteReference"/>
        </w:rPr>
        <w:footnoteReference w:id="202"/>
      </w:r>
      <w:r>
        <w:t xml:space="preserve"> Although OECD collects data on most donor and recipient country pairs, my analysis is restricted to a single donor (France) and recipients in Africa, as this is the relationship of interest based on the historical ties presented in the previous two chapters.</w:t>
      </w:r>
      <w:r>
        <w:rPr>
          <w:rStyle w:val="FootnoteReference"/>
        </w:rPr>
        <w:footnoteReference w:id="203"/>
      </w:r>
      <w:r>
        <w:t xml:space="preserve"> My overall objective is to explain how France behaves towards African aid recipients—both former colonies and non-colonies—based on the level of Frenchness calculated for each country. Frenchness is calculated using the principal component analysis from the following variables:</w:t>
      </w:r>
    </w:p>
    <w:p w14:paraId="539EDA35" w14:textId="77777777" w:rsidR="00142D2B" w:rsidRDefault="00142D2B" w:rsidP="00142D2B">
      <w:pPr>
        <w:pStyle w:val="ListParagraph"/>
        <w:numPr>
          <w:ilvl w:val="0"/>
          <w:numId w:val="1"/>
        </w:numPr>
        <w:spacing w:after="0" w:line="480" w:lineRule="auto"/>
        <w:jc w:val="both"/>
      </w:pPr>
      <w:r>
        <w:t>number of years as a French colonial possession</w:t>
      </w:r>
    </w:p>
    <w:p w14:paraId="1026015E" w14:textId="77777777" w:rsidR="00142D2B" w:rsidRDefault="00142D2B" w:rsidP="00142D2B">
      <w:pPr>
        <w:pStyle w:val="ListParagraph"/>
        <w:numPr>
          <w:ilvl w:val="0"/>
          <w:numId w:val="1"/>
        </w:numPr>
        <w:spacing w:after="0" w:line="480" w:lineRule="auto"/>
        <w:jc w:val="both"/>
      </w:pPr>
      <w:r>
        <w:t>type of possession – colony, department, mandate, or protectorate</w:t>
      </w:r>
    </w:p>
    <w:p w14:paraId="1D0F2C05" w14:textId="77777777" w:rsidR="00142D2B" w:rsidRDefault="00142D2B" w:rsidP="00142D2B">
      <w:pPr>
        <w:pStyle w:val="ListParagraph"/>
        <w:numPr>
          <w:ilvl w:val="0"/>
          <w:numId w:val="1"/>
        </w:numPr>
        <w:spacing w:after="0" w:line="480" w:lineRule="auto"/>
        <w:jc w:val="both"/>
      </w:pPr>
      <w:r>
        <w:t>presence of unique colonial status at the individual level – originaires, métis, or tirailleurs</w:t>
      </w:r>
    </w:p>
    <w:p w14:paraId="6A18907C" w14:textId="77777777" w:rsidR="00142D2B" w:rsidRDefault="00142D2B" w:rsidP="00142D2B">
      <w:pPr>
        <w:pStyle w:val="ListParagraph"/>
        <w:numPr>
          <w:ilvl w:val="0"/>
          <w:numId w:val="1"/>
        </w:numPr>
        <w:spacing w:after="0" w:line="480" w:lineRule="auto"/>
        <w:jc w:val="both"/>
      </w:pPr>
      <w:r>
        <w:t>if the president was a member of the French Assembly prior to independence</w:t>
      </w:r>
    </w:p>
    <w:p w14:paraId="4B6BC8A0" w14:textId="77777777" w:rsidR="00142D2B" w:rsidRDefault="00142D2B" w:rsidP="00142D2B">
      <w:pPr>
        <w:pStyle w:val="ListParagraph"/>
        <w:numPr>
          <w:ilvl w:val="0"/>
          <w:numId w:val="1"/>
        </w:numPr>
        <w:spacing w:after="0" w:line="480" w:lineRule="auto"/>
        <w:jc w:val="both"/>
      </w:pPr>
      <w:r>
        <w:t>membership in either CFA franc zone</w:t>
      </w:r>
    </w:p>
    <w:p w14:paraId="00FC8B54" w14:textId="77777777" w:rsidR="00142D2B" w:rsidRDefault="00142D2B" w:rsidP="00142D2B">
      <w:pPr>
        <w:pStyle w:val="ListParagraph"/>
        <w:numPr>
          <w:ilvl w:val="0"/>
          <w:numId w:val="1"/>
        </w:numPr>
        <w:spacing w:after="0" w:line="480" w:lineRule="auto"/>
        <w:jc w:val="both"/>
      </w:pPr>
      <w:r>
        <w:t>percentage of the population that speaks French (lingua franca)</w:t>
      </w:r>
    </w:p>
    <w:p w14:paraId="7379C9E3" w14:textId="77777777" w:rsidR="00142D2B" w:rsidRDefault="00142D2B" w:rsidP="00142D2B">
      <w:pPr>
        <w:pStyle w:val="ListParagraph"/>
        <w:numPr>
          <w:ilvl w:val="0"/>
          <w:numId w:val="1"/>
        </w:numPr>
        <w:spacing w:after="0" w:line="480" w:lineRule="auto"/>
        <w:jc w:val="both"/>
      </w:pPr>
      <w:r>
        <w:t>membership in La Francophonie</w:t>
      </w:r>
    </w:p>
    <w:p w14:paraId="704A79C0" w14:textId="3A18F36F" w:rsidR="007063EC" w:rsidRDefault="007063EC" w:rsidP="007063EC">
      <w:pPr>
        <w:pStyle w:val="ListParagraph"/>
        <w:numPr>
          <w:ilvl w:val="0"/>
          <w:numId w:val="1"/>
        </w:numPr>
        <w:spacing w:after="0" w:line="480" w:lineRule="auto"/>
        <w:jc w:val="both"/>
      </w:pPr>
      <w:r>
        <w:t>if the legal origins are French</w:t>
      </w:r>
    </w:p>
    <w:p w14:paraId="22430866" w14:textId="77777777" w:rsidR="00142D2B" w:rsidRDefault="00142D2B" w:rsidP="00142D2B">
      <w:pPr>
        <w:pStyle w:val="ListParagraph"/>
        <w:numPr>
          <w:ilvl w:val="0"/>
          <w:numId w:val="1"/>
        </w:numPr>
        <w:spacing w:after="0" w:line="480" w:lineRule="auto"/>
        <w:jc w:val="both"/>
      </w:pPr>
      <w:r>
        <w:t>if France has militarily intervened within the country’s borders</w:t>
      </w:r>
    </w:p>
    <w:p w14:paraId="00A5E489" w14:textId="77777777" w:rsidR="00142D2B" w:rsidRDefault="00142D2B" w:rsidP="00142D2B">
      <w:pPr>
        <w:pStyle w:val="ListParagraph"/>
        <w:numPr>
          <w:ilvl w:val="0"/>
          <w:numId w:val="1"/>
        </w:numPr>
        <w:spacing w:after="0" w:line="480" w:lineRule="auto"/>
        <w:jc w:val="both"/>
      </w:pPr>
      <w:r>
        <w:t>if France maintains a permanent military base</w:t>
      </w:r>
      <w:r w:rsidRPr="00B537E6">
        <w:t xml:space="preserve"> </w:t>
      </w:r>
      <w:r>
        <w:t>if the legal origins are French in nature.</w:t>
      </w:r>
      <w:r>
        <w:rPr>
          <w:rStyle w:val="FootnoteReference"/>
        </w:rPr>
        <w:footnoteReference w:id="204"/>
      </w:r>
    </w:p>
    <w:p w14:paraId="773D0713" w14:textId="3C4C1169" w:rsidR="00142D2B" w:rsidRDefault="00142D2B" w:rsidP="00142D2B">
      <w:pPr>
        <w:spacing w:after="0" w:line="480" w:lineRule="auto"/>
        <w:jc w:val="both"/>
      </w:pPr>
      <w:r>
        <w:t>The principal component analysis creates an index that is a linear combination of the uncorrelated variables that contains most of the variance. More information on the source of the data is detailed in the Appendix. In addition to constructing Frenchness</w:t>
      </w:r>
      <w:r w:rsidRPr="00B537E6">
        <w:t xml:space="preserve"> </w:t>
      </w:r>
    </w:p>
    <w:p w14:paraId="4D44C11C" w14:textId="77777777" w:rsidR="007063EC" w:rsidRPr="00B537E6" w:rsidRDefault="007063EC" w:rsidP="00142D2B">
      <w:pPr>
        <w:spacing w:after="0" w:line="480" w:lineRule="auto"/>
        <w:jc w:val="both"/>
        <w:rPr>
          <w:b/>
        </w:rPr>
      </w:pPr>
    </w:p>
    <w:p w14:paraId="7B4563A7" w14:textId="53D6C501" w:rsidR="00142D2B" w:rsidRPr="008323D4" w:rsidRDefault="00142D2B" w:rsidP="00142D2B">
      <w:pPr>
        <w:spacing w:after="0"/>
        <w:jc w:val="both"/>
      </w:pPr>
      <w:r w:rsidRPr="008323D4">
        <w:t>Table 3.1.</w:t>
      </w:r>
      <w:r w:rsidR="008323D4" w:rsidRPr="008323D4">
        <w:t xml:space="preserve"> Descriptive s</w:t>
      </w:r>
      <w:r w:rsidRPr="008323D4">
        <w:t>tatistics</w:t>
      </w:r>
    </w:p>
    <w:tbl>
      <w:tblPr>
        <w:tblW w:w="8115" w:type="dxa"/>
        <w:tblInd w:w="93" w:type="dxa"/>
        <w:tblLayout w:type="fixed"/>
        <w:tblLook w:val="04A0" w:firstRow="1" w:lastRow="0" w:firstColumn="1" w:lastColumn="0" w:noHBand="0" w:noVBand="1"/>
      </w:tblPr>
      <w:tblGrid>
        <w:gridCol w:w="5055"/>
        <w:gridCol w:w="1440"/>
        <w:gridCol w:w="1620"/>
      </w:tblGrid>
      <w:tr w:rsidR="00142D2B" w:rsidRPr="009B5184" w14:paraId="0DD7D300" w14:textId="77777777" w:rsidTr="00786B13">
        <w:trPr>
          <w:trHeight w:val="320"/>
        </w:trPr>
        <w:tc>
          <w:tcPr>
            <w:tcW w:w="5055" w:type="dxa"/>
            <w:tcBorders>
              <w:top w:val="single" w:sz="12" w:space="0" w:color="auto"/>
              <w:left w:val="nil"/>
              <w:bottom w:val="single" w:sz="4" w:space="0" w:color="auto"/>
              <w:right w:val="nil"/>
            </w:tcBorders>
            <w:shd w:val="clear" w:color="auto" w:fill="auto"/>
            <w:noWrap/>
            <w:vAlign w:val="bottom"/>
          </w:tcPr>
          <w:p w14:paraId="300CFDDF" w14:textId="77777777" w:rsidR="00142D2B" w:rsidRPr="009B5184" w:rsidRDefault="00142D2B" w:rsidP="00786B13">
            <w:pPr>
              <w:spacing w:after="0"/>
              <w:jc w:val="both"/>
              <w:rPr>
                <w:rFonts w:eastAsia="Times New Roman" w:cs="Times New Roman"/>
                <w:color w:val="000000"/>
                <w:lang w:eastAsia="en-US"/>
              </w:rPr>
            </w:pPr>
            <w:bookmarkStart w:id="1" w:name="RANGE!A1:C38"/>
            <w:r w:rsidRPr="009B5184">
              <w:rPr>
                <w:rFonts w:eastAsia="Times New Roman" w:cs="Times New Roman"/>
                <w:color w:val="000000"/>
                <w:lang w:eastAsia="en-US"/>
              </w:rPr>
              <w:t>Variable</w:t>
            </w:r>
            <w:bookmarkEnd w:id="1"/>
          </w:p>
        </w:tc>
        <w:tc>
          <w:tcPr>
            <w:tcW w:w="1440" w:type="dxa"/>
            <w:tcBorders>
              <w:top w:val="single" w:sz="12" w:space="0" w:color="auto"/>
              <w:left w:val="nil"/>
              <w:bottom w:val="single" w:sz="4" w:space="0" w:color="auto"/>
              <w:right w:val="nil"/>
            </w:tcBorders>
            <w:shd w:val="clear" w:color="auto" w:fill="auto"/>
            <w:noWrap/>
            <w:vAlign w:val="bottom"/>
          </w:tcPr>
          <w:p w14:paraId="7D7425C1"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Mean</w:t>
            </w:r>
          </w:p>
        </w:tc>
        <w:tc>
          <w:tcPr>
            <w:tcW w:w="1620" w:type="dxa"/>
            <w:tcBorders>
              <w:top w:val="single" w:sz="12" w:space="0" w:color="auto"/>
              <w:left w:val="nil"/>
              <w:bottom w:val="single" w:sz="4" w:space="0" w:color="auto"/>
              <w:right w:val="nil"/>
            </w:tcBorders>
            <w:shd w:val="clear" w:color="auto" w:fill="auto"/>
            <w:noWrap/>
            <w:vAlign w:val="bottom"/>
          </w:tcPr>
          <w:p w14:paraId="6BD963D5"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Std. Dev.</w:t>
            </w:r>
          </w:p>
        </w:tc>
      </w:tr>
      <w:tr w:rsidR="00142D2B" w:rsidRPr="009B5184" w14:paraId="7F7B90DE" w14:textId="77777777" w:rsidTr="00786B13">
        <w:trPr>
          <w:trHeight w:val="300"/>
        </w:trPr>
        <w:tc>
          <w:tcPr>
            <w:tcW w:w="5055" w:type="dxa"/>
            <w:tcBorders>
              <w:top w:val="nil"/>
              <w:left w:val="nil"/>
              <w:bottom w:val="nil"/>
              <w:right w:val="nil"/>
            </w:tcBorders>
            <w:shd w:val="clear" w:color="auto" w:fill="auto"/>
            <w:noWrap/>
            <w:vAlign w:val="bottom"/>
          </w:tcPr>
          <w:p w14:paraId="2BC65AC7" w14:textId="77777777" w:rsidR="00142D2B" w:rsidRPr="009B5184" w:rsidRDefault="00142D2B" w:rsidP="00786B13">
            <w:pPr>
              <w:spacing w:after="0"/>
              <w:jc w:val="both"/>
              <w:rPr>
                <w:rFonts w:eastAsia="Times New Roman" w:cs="Times New Roman"/>
                <w:color w:val="000000"/>
                <w:lang w:eastAsia="en-US"/>
              </w:rPr>
            </w:pPr>
          </w:p>
        </w:tc>
        <w:tc>
          <w:tcPr>
            <w:tcW w:w="1440" w:type="dxa"/>
            <w:tcBorders>
              <w:top w:val="nil"/>
              <w:left w:val="nil"/>
              <w:bottom w:val="nil"/>
              <w:right w:val="nil"/>
            </w:tcBorders>
            <w:shd w:val="clear" w:color="auto" w:fill="auto"/>
            <w:noWrap/>
            <w:vAlign w:val="bottom"/>
          </w:tcPr>
          <w:p w14:paraId="73954B79" w14:textId="77777777" w:rsidR="00142D2B" w:rsidRPr="009B5184" w:rsidRDefault="00142D2B" w:rsidP="00786B13">
            <w:pPr>
              <w:spacing w:after="0"/>
              <w:jc w:val="both"/>
              <w:rPr>
                <w:rFonts w:eastAsia="Times New Roman" w:cs="Times New Roman"/>
                <w:color w:val="000000"/>
                <w:lang w:eastAsia="en-US"/>
              </w:rPr>
            </w:pPr>
          </w:p>
        </w:tc>
        <w:tc>
          <w:tcPr>
            <w:tcW w:w="1620" w:type="dxa"/>
            <w:tcBorders>
              <w:top w:val="nil"/>
              <w:left w:val="nil"/>
              <w:bottom w:val="nil"/>
              <w:right w:val="nil"/>
            </w:tcBorders>
            <w:shd w:val="clear" w:color="auto" w:fill="auto"/>
            <w:noWrap/>
            <w:vAlign w:val="bottom"/>
          </w:tcPr>
          <w:p w14:paraId="417D503A" w14:textId="77777777" w:rsidR="00142D2B" w:rsidRPr="009B5184" w:rsidRDefault="00142D2B" w:rsidP="00786B13">
            <w:pPr>
              <w:spacing w:after="0"/>
              <w:jc w:val="both"/>
              <w:rPr>
                <w:rFonts w:eastAsia="Times New Roman" w:cs="Times New Roman"/>
                <w:color w:val="000000"/>
                <w:lang w:eastAsia="en-US"/>
              </w:rPr>
            </w:pPr>
          </w:p>
        </w:tc>
      </w:tr>
      <w:tr w:rsidR="00142D2B" w:rsidRPr="009B5184" w14:paraId="2100CA7A" w14:textId="77777777" w:rsidTr="00786B13">
        <w:trPr>
          <w:trHeight w:val="300"/>
        </w:trPr>
        <w:tc>
          <w:tcPr>
            <w:tcW w:w="5055" w:type="dxa"/>
            <w:tcBorders>
              <w:top w:val="nil"/>
              <w:left w:val="nil"/>
              <w:bottom w:val="nil"/>
              <w:right w:val="nil"/>
            </w:tcBorders>
            <w:shd w:val="clear" w:color="auto" w:fill="auto"/>
            <w:noWrap/>
            <w:vAlign w:val="bottom"/>
          </w:tcPr>
          <w:p w14:paraId="42717FA5" w14:textId="77777777" w:rsidR="00142D2B" w:rsidRPr="009B5184" w:rsidRDefault="00142D2B" w:rsidP="00786B13">
            <w:pPr>
              <w:spacing w:after="0"/>
              <w:jc w:val="both"/>
              <w:rPr>
                <w:rFonts w:eastAsia="Times New Roman" w:cs="Times New Roman"/>
                <w:b/>
                <w:bCs/>
                <w:color w:val="000000"/>
                <w:lang w:eastAsia="en-US"/>
              </w:rPr>
            </w:pPr>
            <w:r w:rsidRPr="009B5184">
              <w:rPr>
                <w:rFonts w:eastAsia="Times New Roman" w:cs="Times New Roman"/>
                <w:b/>
                <w:bCs/>
                <w:color w:val="000000"/>
                <w:lang w:eastAsia="en-US"/>
              </w:rPr>
              <w:t>Frenchness Variables</w:t>
            </w:r>
          </w:p>
        </w:tc>
        <w:tc>
          <w:tcPr>
            <w:tcW w:w="1440" w:type="dxa"/>
            <w:tcBorders>
              <w:top w:val="nil"/>
              <w:left w:val="nil"/>
              <w:bottom w:val="nil"/>
              <w:right w:val="nil"/>
            </w:tcBorders>
            <w:shd w:val="clear" w:color="auto" w:fill="auto"/>
            <w:noWrap/>
            <w:vAlign w:val="bottom"/>
          </w:tcPr>
          <w:p w14:paraId="173AC578" w14:textId="77777777" w:rsidR="00142D2B" w:rsidRPr="009B5184" w:rsidRDefault="00142D2B" w:rsidP="00786B13">
            <w:pPr>
              <w:spacing w:after="0"/>
              <w:jc w:val="both"/>
              <w:rPr>
                <w:rFonts w:eastAsia="Times New Roman" w:cs="Times New Roman"/>
                <w:color w:val="000000"/>
                <w:lang w:eastAsia="en-US"/>
              </w:rPr>
            </w:pPr>
          </w:p>
        </w:tc>
        <w:tc>
          <w:tcPr>
            <w:tcW w:w="1620" w:type="dxa"/>
            <w:tcBorders>
              <w:top w:val="nil"/>
              <w:left w:val="nil"/>
              <w:bottom w:val="nil"/>
              <w:right w:val="nil"/>
            </w:tcBorders>
            <w:shd w:val="clear" w:color="auto" w:fill="auto"/>
            <w:noWrap/>
            <w:vAlign w:val="bottom"/>
          </w:tcPr>
          <w:p w14:paraId="44B64EFB" w14:textId="77777777" w:rsidR="00142D2B" w:rsidRPr="009B5184" w:rsidRDefault="00142D2B" w:rsidP="00786B13">
            <w:pPr>
              <w:spacing w:after="0"/>
              <w:jc w:val="both"/>
              <w:rPr>
                <w:rFonts w:eastAsia="Times New Roman" w:cs="Times New Roman"/>
                <w:color w:val="000000"/>
                <w:lang w:eastAsia="en-US"/>
              </w:rPr>
            </w:pPr>
          </w:p>
        </w:tc>
      </w:tr>
      <w:tr w:rsidR="00142D2B" w:rsidRPr="009B5184" w14:paraId="36DC800D" w14:textId="77777777" w:rsidTr="00786B13">
        <w:trPr>
          <w:trHeight w:val="300"/>
        </w:trPr>
        <w:tc>
          <w:tcPr>
            <w:tcW w:w="5055" w:type="dxa"/>
            <w:tcBorders>
              <w:top w:val="nil"/>
              <w:left w:val="nil"/>
              <w:bottom w:val="nil"/>
              <w:right w:val="nil"/>
            </w:tcBorders>
            <w:shd w:val="clear" w:color="auto" w:fill="auto"/>
            <w:vAlign w:val="bottom"/>
          </w:tcPr>
          <w:p w14:paraId="36647540"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Years under French rule</w:t>
            </w:r>
          </w:p>
        </w:tc>
        <w:tc>
          <w:tcPr>
            <w:tcW w:w="1440" w:type="dxa"/>
            <w:tcBorders>
              <w:top w:val="nil"/>
              <w:left w:val="nil"/>
              <w:bottom w:val="nil"/>
              <w:right w:val="nil"/>
            </w:tcBorders>
            <w:shd w:val="clear" w:color="auto" w:fill="auto"/>
            <w:noWrap/>
            <w:vAlign w:val="bottom"/>
          </w:tcPr>
          <w:p w14:paraId="46F2E44D"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41.8</w:t>
            </w:r>
          </w:p>
        </w:tc>
        <w:tc>
          <w:tcPr>
            <w:tcW w:w="1620" w:type="dxa"/>
            <w:tcBorders>
              <w:top w:val="nil"/>
              <w:left w:val="nil"/>
              <w:bottom w:val="nil"/>
              <w:right w:val="nil"/>
            </w:tcBorders>
            <w:shd w:val="clear" w:color="auto" w:fill="auto"/>
            <w:noWrap/>
            <w:vAlign w:val="bottom"/>
          </w:tcPr>
          <w:p w14:paraId="6F2D45D2"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60.3</w:t>
            </w:r>
            <w:r>
              <w:rPr>
                <w:rFonts w:eastAsia="Times New Roman" w:cs="Times New Roman"/>
                <w:color w:val="000000"/>
                <w:lang w:eastAsia="en-US"/>
              </w:rPr>
              <w:t>)</w:t>
            </w:r>
          </w:p>
        </w:tc>
      </w:tr>
      <w:tr w:rsidR="00142D2B" w:rsidRPr="009B5184" w14:paraId="2494905A" w14:textId="77777777" w:rsidTr="00786B13">
        <w:trPr>
          <w:trHeight w:val="300"/>
        </w:trPr>
        <w:tc>
          <w:tcPr>
            <w:tcW w:w="5055" w:type="dxa"/>
            <w:tcBorders>
              <w:top w:val="nil"/>
              <w:left w:val="nil"/>
              <w:bottom w:val="nil"/>
              <w:right w:val="nil"/>
            </w:tcBorders>
            <w:shd w:val="clear" w:color="auto" w:fill="auto"/>
            <w:vAlign w:val="bottom"/>
          </w:tcPr>
          <w:p w14:paraId="442948D1"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Colony</w:t>
            </w:r>
          </w:p>
        </w:tc>
        <w:tc>
          <w:tcPr>
            <w:tcW w:w="1440" w:type="dxa"/>
            <w:tcBorders>
              <w:top w:val="nil"/>
              <w:left w:val="nil"/>
              <w:bottom w:val="nil"/>
              <w:right w:val="nil"/>
            </w:tcBorders>
            <w:shd w:val="clear" w:color="auto" w:fill="auto"/>
            <w:noWrap/>
            <w:vAlign w:val="bottom"/>
          </w:tcPr>
          <w:p w14:paraId="7EDB4872"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0.35</w:t>
            </w:r>
          </w:p>
        </w:tc>
        <w:tc>
          <w:tcPr>
            <w:tcW w:w="1620" w:type="dxa"/>
            <w:tcBorders>
              <w:top w:val="nil"/>
              <w:left w:val="nil"/>
              <w:bottom w:val="nil"/>
              <w:right w:val="nil"/>
            </w:tcBorders>
            <w:shd w:val="clear" w:color="auto" w:fill="auto"/>
            <w:noWrap/>
            <w:vAlign w:val="bottom"/>
          </w:tcPr>
          <w:p w14:paraId="3D774B67"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0.48</w:t>
            </w:r>
            <w:r>
              <w:rPr>
                <w:rFonts w:eastAsia="Times New Roman" w:cs="Times New Roman"/>
                <w:color w:val="000000"/>
                <w:lang w:eastAsia="en-US"/>
              </w:rPr>
              <w:t>)</w:t>
            </w:r>
          </w:p>
        </w:tc>
      </w:tr>
      <w:tr w:rsidR="00142D2B" w:rsidRPr="009B5184" w14:paraId="6587D64D" w14:textId="77777777" w:rsidTr="00786B13">
        <w:trPr>
          <w:trHeight w:val="300"/>
        </w:trPr>
        <w:tc>
          <w:tcPr>
            <w:tcW w:w="5055" w:type="dxa"/>
            <w:tcBorders>
              <w:top w:val="nil"/>
              <w:left w:val="nil"/>
              <w:bottom w:val="nil"/>
              <w:right w:val="nil"/>
            </w:tcBorders>
            <w:shd w:val="clear" w:color="auto" w:fill="auto"/>
            <w:vAlign w:val="bottom"/>
          </w:tcPr>
          <w:p w14:paraId="72728FAE"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Department</w:t>
            </w:r>
          </w:p>
        </w:tc>
        <w:tc>
          <w:tcPr>
            <w:tcW w:w="1440" w:type="dxa"/>
            <w:tcBorders>
              <w:top w:val="nil"/>
              <w:left w:val="nil"/>
              <w:bottom w:val="nil"/>
              <w:right w:val="nil"/>
            </w:tcBorders>
            <w:shd w:val="clear" w:color="auto" w:fill="auto"/>
            <w:noWrap/>
            <w:vAlign w:val="bottom"/>
          </w:tcPr>
          <w:p w14:paraId="2FFEEEE3"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0.02</w:t>
            </w:r>
          </w:p>
        </w:tc>
        <w:tc>
          <w:tcPr>
            <w:tcW w:w="1620" w:type="dxa"/>
            <w:tcBorders>
              <w:top w:val="nil"/>
              <w:left w:val="nil"/>
              <w:bottom w:val="nil"/>
              <w:right w:val="nil"/>
            </w:tcBorders>
            <w:shd w:val="clear" w:color="auto" w:fill="auto"/>
            <w:noWrap/>
            <w:vAlign w:val="bottom"/>
          </w:tcPr>
          <w:p w14:paraId="621F4ADC"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0.15</w:t>
            </w:r>
            <w:r>
              <w:rPr>
                <w:rFonts w:eastAsia="Times New Roman" w:cs="Times New Roman"/>
                <w:color w:val="000000"/>
                <w:lang w:eastAsia="en-US"/>
              </w:rPr>
              <w:t>)</w:t>
            </w:r>
          </w:p>
        </w:tc>
      </w:tr>
      <w:tr w:rsidR="00142D2B" w:rsidRPr="009B5184" w14:paraId="2EF55B01" w14:textId="77777777" w:rsidTr="00786B13">
        <w:trPr>
          <w:trHeight w:val="300"/>
        </w:trPr>
        <w:tc>
          <w:tcPr>
            <w:tcW w:w="5055" w:type="dxa"/>
            <w:tcBorders>
              <w:top w:val="nil"/>
              <w:left w:val="nil"/>
              <w:bottom w:val="nil"/>
              <w:right w:val="nil"/>
            </w:tcBorders>
            <w:shd w:val="clear" w:color="auto" w:fill="auto"/>
            <w:vAlign w:val="bottom"/>
          </w:tcPr>
          <w:p w14:paraId="273535E5"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Protectorate</w:t>
            </w:r>
          </w:p>
        </w:tc>
        <w:tc>
          <w:tcPr>
            <w:tcW w:w="1440" w:type="dxa"/>
            <w:tcBorders>
              <w:top w:val="nil"/>
              <w:left w:val="nil"/>
              <w:bottom w:val="nil"/>
              <w:right w:val="nil"/>
            </w:tcBorders>
            <w:shd w:val="clear" w:color="auto" w:fill="auto"/>
            <w:noWrap/>
            <w:vAlign w:val="bottom"/>
          </w:tcPr>
          <w:p w14:paraId="3F615793"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0.04</w:t>
            </w:r>
          </w:p>
        </w:tc>
        <w:tc>
          <w:tcPr>
            <w:tcW w:w="1620" w:type="dxa"/>
            <w:tcBorders>
              <w:top w:val="nil"/>
              <w:left w:val="nil"/>
              <w:bottom w:val="nil"/>
              <w:right w:val="nil"/>
            </w:tcBorders>
            <w:shd w:val="clear" w:color="auto" w:fill="auto"/>
            <w:noWrap/>
            <w:vAlign w:val="bottom"/>
          </w:tcPr>
          <w:p w14:paraId="146983E3"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0.2</w:t>
            </w:r>
            <w:r>
              <w:rPr>
                <w:rFonts w:eastAsia="Times New Roman" w:cs="Times New Roman"/>
                <w:color w:val="000000"/>
                <w:lang w:eastAsia="en-US"/>
              </w:rPr>
              <w:t>)</w:t>
            </w:r>
          </w:p>
        </w:tc>
      </w:tr>
      <w:tr w:rsidR="00142D2B" w:rsidRPr="009B5184" w14:paraId="43242ADC" w14:textId="77777777" w:rsidTr="00786B13">
        <w:trPr>
          <w:trHeight w:val="300"/>
        </w:trPr>
        <w:tc>
          <w:tcPr>
            <w:tcW w:w="5055" w:type="dxa"/>
            <w:tcBorders>
              <w:top w:val="nil"/>
              <w:left w:val="nil"/>
              <w:bottom w:val="nil"/>
              <w:right w:val="nil"/>
            </w:tcBorders>
            <w:shd w:val="clear" w:color="auto" w:fill="auto"/>
            <w:vAlign w:val="bottom"/>
          </w:tcPr>
          <w:p w14:paraId="15B11067"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Mandate</w:t>
            </w:r>
          </w:p>
        </w:tc>
        <w:tc>
          <w:tcPr>
            <w:tcW w:w="1440" w:type="dxa"/>
            <w:tcBorders>
              <w:top w:val="nil"/>
              <w:left w:val="nil"/>
              <w:bottom w:val="nil"/>
              <w:right w:val="nil"/>
            </w:tcBorders>
            <w:shd w:val="clear" w:color="auto" w:fill="auto"/>
            <w:noWrap/>
            <w:vAlign w:val="bottom"/>
          </w:tcPr>
          <w:p w14:paraId="44CF0D7E"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0.05</w:t>
            </w:r>
          </w:p>
        </w:tc>
        <w:tc>
          <w:tcPr>
            <w:tcW w:w="1620" w:type="dxa"/>
            <w:tcBorders>
              <w:top w:val="nil"/>
              <w:left w:val="nil"/>
              <w:bottom w:val="nil"/>
              <w:right w:val="nil"/>
            </w:tcBorders>
            <w:shd w:val="clear" w:color="auto" w:fill="auto"/>
            <w:noWrap/>
            <w:vAlign w:val="bottom"/>
          </w:tcPr>
          <w:p w14:paraId="56457EF4"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0.21</w:t>
            </w:r>
            <w:r>
              <w:rPr>
                <w:rFonts w:eastAsia="Times New Roman" w:cs="Times New Roman"/>
                <w:color w:val="000000"/>
                <w:lang w:eastAsia="en-US"/>
              </w:rPr>
              <w:t>)</w:t>
            </w:r>
          </w:p>
        </w:tc>
      </w:tr>
      <w:tr w:rsidR="00142D2B" w:rsidRPr="009B5184" w14:paraId="64224770" w14:textId="77777777" w:rsidTr="00786B13">
        <w:trPr>
          <w:trHeight w:val="300"/>
        </w:trPr>
        <w:tc>
          <w:tcPr>
            <w:tcW w:w="5055" w:type="dxa"/>
            <w:tcBorders>
              <w:top w:val="nil"/>
              <w:left w:val="nil"/>
              <w:bottom w:val="nil"/>
              <w:right w:val="nil"/>
            </w:tcBorders>
            <w:shd w:val="clear" w:color="auto" w:fill="auto"/>
            <w:vAlign w:val="bottom"/>
          </w:tcPr>
          <w:p w14:paraId="5D8D1A0E"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Originaires</w:t>
            </w:r>
          </w:p>
        </w:tc>
        <w:tc>
          <w:tcPr>
            <w:tcW w:w="1440" w:type="dxa"/>
            <w:tcBorders>
              <w:top w:val="nil"/>
              <w:left w:val="nil"/>
              <w:bottom w:val="nil"/>
              <w:right w:val="nil"/>
            </w:tcBorders>
            <w:shd w:val="clear" w:color="auto" w:fill="auto"/>
            <w:noWrap/>
            <w:vAlign w:val="bottom"/>
          </w:tcPr>
          <w:p w14:paraId="092D66A7"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0.02</w:t>
            </w:r>
          </w:p>
        </w:tc>
        <w:tc>
          <w:tcPr>
            <w:tcW w:w="1620" w:type="dxa"/>
            <w:tcBorders>
              <w:top w:val="nil"/>
              <w:left w:val="nil"/>
              <w:bottom w:val="nil"/>
              <w:right w:val="nil"/>
            </w:tcBorders>
            <w:shd w:val="clear" w:color="auto" w:fill="auto"/>
            <w:noWrap/>
            <w:vAlign w:val="bottom"/>
          </w:tcPr>
          <w:p w14:paraId="2DC7C6CC"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0.15</w:t>
            </w:r>
            <w:r>
              <w:rPr>
                <w:rFonts w:eastAsia="Times New Roman" w:cs="Times New Roman"/>
                <w:color w:val="000000"/>
                <w:lang w:eastAsia="en-US"/>
              </w:rPr>
              <w:t>)</w:t>
            </w:r>
          </w:p>
        </w:tc>
      </w:tr>
      <w:tr w:rsidR="00142D2B" w:rsidRPr="009B5184" w14:paraId="4D40B6F1" w14:textId="77777777" w:rsidTr="00786B13">
        <w:trPr>
          <w:trHeight w:val="300"/>
        </w:trPr>
        <w:tc>
          <w:tcPr>
            <w:tcW w:w="5055" w:type="dxa"/>
            <w:tcBorders>
              <w:top w:val="nil"/>
              <w:left w:val="nil"/>
              <w:bottom w:val="nil"/>
              <w:right w:val="nil"/>
            </w:tcBorders>
            <w:shd w:val="clear" w:color="auto" w:fill="auto"/>
            <w:vAlign w:val="bottom"/>
          </w:tcPr>
          <w:p w14:paraId="121B90E5"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Metis</w:t>
            </w:r>
          </w:p>
        </w:tc>
        <w:tc>
          <w:tcPr>
            <w:tcW w:w="1440" w:type="dxa"/>
            <w:tcBorders>
              <w:top w:val="nil"/>
              <w:left w:val="nil"/>
              <w:bottom w:val="nil"/>
              <w:right w:val="nil"/>
            </w:tcBorders>
            <w:shd w:val="clear" w:color="auto" w:fill="auto"/>
            <w:noWrap/>
            <w:vAlign w:val="bottom"/>
          </w:tcPr>
          <w:p w14:paraId="469268AC"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0.32</w:t>
            </w:r>
          </w:p>
        </w:tc>
        <w:tc>
          <w:tcPr>
            <w:tcW w:w="1620" w:type="dxa"/>
            <w:tcBorders>
              <w:top w:val="nil"/>
              <w:left w:val="nil"/>
              <w:bottom w:val="nil"/>
              <w:right w:val="nil"/>
            </w:tcBorders>
            <w:shd w:val="clear" w:color="auto" w:fill="auto"/>
            <w:noWrap/>
            <w:vAlign w:val="bottom"/>
          </w:tcPr>
          <w:p w14:paraId="79C67342"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0.59</w:t>
            </w:r>
            <w:r>
              <w:rPr>
                <w:rFonts w:eastAsia="Times New Roman" w:cs="Times New Roman"/>
                <w:color w:val="000000"/>
                <w:lang w:eastAsia="en-US"/>
              </w:rPr>
              <w:t>)</w:t>
            </w:r>
          </w:p>
        </w:tc>
      </w:tr>
      <w:tr w:rsidR="00142D2B" w:rsidRPr="009B5184" w14:paraId="1463A643" w14:textId="77777777" w:rsidTr="00786B13">
        <w:trPr>
          <w:trHeight w:val="300"/>
        </w:trPr>
        <w:tc>
          <w:tcPr>
            <w:tcW w:w="5055" w:type="dxa"/>
            <w:tcBorders>
              <w:top w:val="nil"/>
              <w:left w:val="nil"/>
              <w:bottom w:val="nil"/>
              <w:right w:val="nil"/>
            </w:tcBorders>
            <w:shd w:val="clear" w:color="auto" w:fill="auto"/>
            <w:vAlign w:val="bottom"/>
          </w:tcPr>
          <w:p w14:paraId="46B72114"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Tirailleurs</w:t>
            </w:r>
          </w:p>
        </w:tc>
        <w:tc>
          <w:tcPr>
            <w:tcW w:w="1440" w:type="dxa"/>
            <w:tcBorders>
              <w:top w:val="nil"/>
              <w:left w:val="nil"/>
              <w:bottom w:val="nil"/>
              <w:right w:val="nil"/>
            </w:tcBorders>
            <w:shd w:val="clear" w:color="auto" w:fill="auto"/>
            <w:noWrap/>
            <w:vAlign w:val="bottom"/>
          </w:tcPr>
          <w:p w14:paraId="7A7CDAD2"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0.49</w:t>
            </w:r>
          </w:p>
        </w:tc>
        <w:tc>
          <w:tcPr>
            <w:tcW w:w="1620" w:type="dxa"/>
            <w:tcBorders>
              <w:top w:val="nil"/>
              <w:left w:val="nil"/>
              <w:bottom w:val="nil"/>
              <w:right w:val="nil"/>
            </w:tcBorders>
            <w:shd w:val="clear" w:color="auto" w:fill="auto"/>
            <w:noWrap/>
            <w:vAlign w:val="bottom"/>
          </w:tcPr>
          <w:p w14:paraId="22E3B356"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0.69</w:t>
            </w:r>
            <w:r>
              <w:rPr>
                <w:rFonts w:eastAsia="Times New Roman" w:cs="Times New Roman"/>
                <w:color w:val="000000"/>
                <w:lang w:eastAsia="en-US"/>
              </w:rPr>
              <w:t>)</w:t>
            </w:r>
          </w:p>
        </w:tc>
      </w:tr>
      <w:tr w:rsidR="00142D2B" w:rsidRPr="009B5184" w14:paraId="20BD01FC" w14:textId="77777777" w:rsidTr="00786B13">
        <w:trPr>
          <w:trHeight w:val="600"/>
        </w:trPr>
        <w:tc>
          <w:tcPr>
            <w:tcW w:w="5055" w:type="dxa"/>
            <w:tcBorders>
              <w:top w:val="nil"/>
              <w:left w:val="nil"/>
              <w:bottom w:val="nil"/>
              <w:right w:val="nil"/>
            </w:tcBorders>
            <w:shd w:val="clear" w:color="auto" w:fill="auto"/>
            <w:vAlign w:val="bottom"/>
          </w:tcPr>
          <w:p w14:paraId="4DEE1EC6" w14:textId="77777777" w:rsidR="00142D2B" w:rsidRPr="009B5184" w:rsidRDefault="00142D2B" w:rsidP="00786B13">
            <w:pPr>
              <w:spacing w:after="0"/>
              <w:rPr>
                <w:rFonts w:eastAsia="Times New Roman" w:cs="Times New Roman"/>
                <w:color w:val="000000"/>
                <w:lang w:eastAsia="en-US"/>
              </w:rPr>
            </w:pPr>
            <w:r w:rsidRPr="009B5184">
              <w:rPr>
                <w:rFonts w:eastAsia="Times New Roman" w:cs="Times New Roman"/>
                <w:color w:val="000000"/>
                <w:lang w:eastAsia="en-US"/>
              </w:rPr>
              <w:t xml:space="preserve">If a president was </w:t>
            </w:r>
            <w:r>
              <w:rPr>
                <w:rFonts w:eastAsia="Times New Roman" w:cs="Times New Roman"/>
                <w:color w:val="000000"/>
                <w:lang w:eastAsia="en-US"/>
              </w:rPr>
              <w:t>a</w:t>
            </w:r>
            <w:r w:rsidRPr="009B5184">
              <w:rPr>
                <w:rFonts w:eastAsia="Times New Roman" w:cs="Times New Roman"/>
                <w:color w:val="000000"/>
                <w:lang w:eastAsia="en-US"/>
              </w:rPr>
              <w:t xml:space="preserve"> member of the French Assembly prior to independence</w:t>
            </w:r>
          </w:p>
        </w:tc>
        <w:tc>
          <w:tcPr>
            <w:tcW w:w="1440" w:type="dxa"/>
            <w:tcBorders>
              <w:top w:val="nil"/>
              <w:left w:val="nil"/>
              <w:bottom w:val="nil"/>
              <w:right w:val="nil"/>
            </w:tcBorders>
            <w:shd w:val="clear" w:color="auto" w:fill="auto"/>
            <w:noWrap/>
            <w:vAlign w:val="bottom"/>
          </w:tcPr>
          <w:p w14:paraId="431F61E1"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0.14</w:t>
            </w:r>
          </w:p>
        </w:tc>
        <w:tc>
          <w:tcPr>
            <w:tcW w:w="1620" w:type="dxa"/>
            <w:tcBorders>
              <w:top w:val="nil"/>
              <w:left w:val="nil"/>
              <w:bottom w:val="nil"/>
              <w:right w:val="nil"/>
            </w:tcBorders>
            <w:shd w:val="clear" w:color="auto" w:fill="auto"/>
            <w:noWrap/>
            <w:vAlign w:val="bottom"/>
          </w:tcPr>
          <w:p w14:paraId="25FAC750"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0.35</w:t>
            </w:r>
            <w:r>
              <w:rPr>
                <w:rFonts w:eastAsia="Times New Roman" w:cs="Times New Roman"/>
                <w:color w:val="000000"/>
                <w:lang w:eastAsia="en-US"/>
              </w:rPr>
              <w:t>)</w:t>
            </w:r>
          </w:p>
        </w:tc>
      </w:tr>
      <w:tr w:rsidR="00142D2B" w:rsidRPr="009B5184" w14:paraId="441A8A3F" w14:textId="77777777" w:rsidTr="00786B13">
        <w:trPr>
          <w:trHeight w:val="300"/>
        </w:trPr>
        <w:tc>
          <w:tcPr>
            <w:tcW w:w="5055" w:type="dxa"/>
            <w:tcBorders>
              <w:top w:val="nil"/>
              <w:left w:val="nil"/>
              <w:bottom w:val="nil"/>
              <w:right w:val="nil"/>
            </w:tcBorders>
            <w:shd w:val="clear" w:color="auto" w:fill="auto"/>
            <w:vAlign w:val="bottom"/>
          </w:tcPr>
          <w:p w14:paraId="0E01E3B0" w14:textId="77777777" w:rsidR="00142D2B" w:rsidRPr="009B5184" w:rsidRDefault="00142D2B" w:rsidP="00786B13">
            <w:pPr>
              <w:spacing w:after="0"/>
              <w:rPr>
                <w:rFonts w:eastAsia="Times New Roman" w:cs="Times New Roman"/>
                <w:color w:val="000000"/>
                <w:lang w:eastAsia="en-US"/>
              </w:rPr>
            </w:pPr>
            <w:r w:rsidRPr="009B5184">
              <w:rPr>
                <w:rFonts w:eastAsia="Times New Roman" w:cs="Times New Roman"/>
                <w:color w:val="000000"/>
                <w:lang w:eastAsia="en-US"/>
              </w:rPr>
              <w:t>CFA franc zone</w:t>
            </w:r>
          </w:p>
        </w:tc>
        <w:tc>
          <w:tcPr>
            <w:tcW w:w="1440" w:type="dxa"/>
            <w:tcBorders>
              <w:top w:val="nil"/>
              <w:left w:val="nil"/>
              <w:bottom w:val="nil"/>
              <w:right w:val="nil"/>
            </w:tcBorders>
            <w:shd w:val="clear" w:color="auto" w:fill="auto"/>
            <w:noWrap/>
            <w:vAlign w:val="bottom"/>
          </w:tcPr>
          <w:p w14:paraId="798880D2"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0.299</w:t>
            </w:r>
          </w:p>
        </w:tc>
        <w:tc>
          <w:tcPr>
            <w:tcW w:w="1620" w:type="dxa"/>
            <w:tcBorders>
              <w:top w:val="nil"/>
              <w:left w:val="nil"/>
              <w:bottom w:val="nil"/>
              <w:right w:val="nil"/>
            </w:tcBorders>
            <w:shd w:val="clear" w:color="auto" w:fill="auto"/>
            <w:noWrap/>
            <w:vAlign w:val="bottom"/>
          </w:tcPr>
          <w:p w14:paraId="04C2E6BD"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0.46</w:t>
            </w:r>
            <w:r>
              <w:rPr>
                <w:rFonts w:eastAsia="Times New Roman" w:cs="Times New Roman"/>
                <w:color w:val="000000"/>
                <w:lang w:eastAsia="en-US"/>
              </w:rPr>
              <w:t>)</w:t>
            </w:r>
          </w:p>
        </w:tc>
      </w:tr>
      <w:tr w:rsidR="00142D2B" w:rsidRPr="009B5184" w14:paraId="5E924790" w14:textId="77777777" w:rsidTr="00786B13">
        <w:trPr>
          <w:trHeight w:val="600"/>
        </w:trPr>
        <w:tc>
          <w:tcPr>
            <w:tcW w:w="5055" w:type="dxa"/>
            <w:tcBorders>
              <w:top w:val="nil"/>
              <w:left w:val="nil"/>
              <w:bottom w:val="nil"/>
              <w:right w:val="nil"/>
            </w:tcBorders>
            <w:shd w:val="clear" w:color="auto" w:fill="auto"/>
            <w:vAlign w:val="bottom"/>
          </w:tcPr>
          <w:p w14:paraId="49366575" w14:textId="77777777" w:rsidR="00142D2B" w:rsidRPr="009B5184" w:rsidRDefault="00142D2B" w:rsidP="00786B13">
            <w:pPr>
              <w:spacing w:after="0"/>
              <w:rPr>
                <w:rFonts w:eastAsia="Times New Roman" w:cs="Times New Roman"/>
                <w:color w:val="000000"/>
                <w:lang w:eastAsia="en-US"/>
              </w:rPr>
            </w:pPr>
            <w:r w:rsidRPr="009B5184">
              <w:rPr>
                <w:rFonts w:eastAsia="Times New Roman" w:cs="Times New Roman"/>
                <w:color w:val="000000"/>
                <w:lang w:eastAsia="en-US"/>
              </w:rPr>
              <w:t>Percentage of the population who speaks French (2010)</w:t>
            </w:r>
          </w:p>
        </w:tc>
        <w:tc>
          <w:tcPr>
            <w:tcW w:w="1440" w:type="dxa"/>
            <w:tcBorders>
              <w:top w:val="nil"/>
              <w:left w:val="nil"/>
              <w:bottom w:val="nil"/>
              <w:right w:val="nil"/>
            </w:tcBorders>
            <w:shd w:val="clear" w:color="auto" w:fill="auto"/>
            <w:noWrap/>
            <w:vAlign w:val="bottom"/>
          </w:tcPr>
          <w:p w14:paraId="46DF19C9"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15.83</w:t>
            </w:r>
          </w:p>
        </w:tc>
        <w:tc>
          <w:tcPr>
            <w:tcW w:w="1620" w:type="dxa"/>
            <w:tcBorders>
              <w:top w:val="nil"/>
              <w:left w:val="nil"/>
              <w:bottom w:val="nil"/>
              <w:right w:val="nil"/>
            </w:tcBorders>
            <w:shd w:val="clear" w:color="auto" w:fill="auto"/>
            <w:noWrap/>
            <w:vAlign w:val="bottom"/>
          </w:tcPr>
          <w:p w14:paraId="77ED1D84"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22.18</w:t>
            </w:r>
            <w:r>
              <w:rPr>
                <w:rFonts w:eastAsia="Times New Roman" w:cs="Times New Roman"/>
                <w:color w:val="000000"/>
                <w:lang w:eastAsia="en-US"/>
              </w:rPr>
              <w:t>)</w:t>
            </w:r>
          </w:p>
        </w:tc>
      </w:tr>
      <w:tr w:rsidR="00142D2B" w:rsidRPr="009B5184" w14:paraId="60504953" w14:textId="77777777" w:rsidTr="00786B13">
        <w:trPr>
          <w:trHeight w:val="300"/>
        </w:trPr>
        <w:tc>
          <w:tcPr>
            <w:tcW w:w="5055" w:type="dxa"/>
            <w:tcBorders>
              <w:top w:val="nil"/>
              <w:left w:val="nil"/>
              <w:bottom w:val="nil"/>
              <w:right w:val="nil"/>
            </w:tcBorders>
            <w:shd w:val="clear" w:color="auto" w:fill="auto"/>
            <w:vAlign w:val="bottom"/>
          </w:tcPr>
          <w:p w14:paraId="2CD04DD5" w14:textId="77777777" w:rsidR="00142D2B" w:rsidRPr="009B5184" w:rsidRDefault="00142D2B" w:rsidP="00786B13">
            <w:pPr>
              <w:spacing w:after="0"/>
              <w:rPr>
                <w:rFonts w:eastAsia="Times New Roman" w:cs="Times New Roman"/>
                <w:color w:val="000000"/>
                <w:lang w:eastAsia="en-US"/>
              </w:rPr>
            </w:pPr>
            <w:r w:rsidRPr="009B5184">
              <w:rPr>
                <w:rFonts w:eastAsia="Times New Roman" w:cs="Times New Roman"/>
                <w:color w:val="000000"/>
                <w:lang w:eastAsia="en-US"/>
              </w:rPr>
              <w:t>Membership in La Francophonie</w:t>
            </w:r>
          </w:p>
        </w:tc>
        <w:tc>
          <w:tcPr>
            <w:tcW w:w="1440" w:type="dxa"/>
            <w:tcBorders>
              <w:top w:val="nil"/>
              <w:left w:val="nil"/>
              <w:bottom w:val="nil"/>
              <w:right w:val="nil"/>
            </w:tcBorders>
            <w:shd w:val="clear" w:color="auto" w:fill="auto"/>
            <w:noWrap/>
            <w:vAlign w:val="bottom"/>
          </w:tcPr>
          <w:p w14:paraId="4E46BB25"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0.56</w:t>
            </w:r>
          </w:p>
        </w:tc>
        <w:tc>
          <w:tcPr>
            <w:tcW w:w="1620" w:type="dxa"/>
            <w:tcBorders>
              <w:top w:val="nil"/>
              <w:left w:val="nil"/>
              <w:bottom w:val="nil"/>
              <w:right w:val="nil"/>
            </w:tcBorders>
            <w:shd w:val="clear" w:color="auto" w:fill="auto"/>
            <w:noWrap/>
            <w:vAlign w:val="bottom"/>
          </w:tcPr>
          <w:p w14:paraId="0A866152"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0.49</w:t>
            </w:r>
            <w:r>
              <w:rPr>
                <w:rFonts w:eastAsia="Times New Roman" w:cs="Times New Roman"/>
                <w:color w:val="000000"/>
                <w:lang w:eastAsia="en-US"/>
              </w:rPr>
              <w:t>)</w:t>
            </w:r>
          </w:p>
        </w:tc>
      </w:tr>
      <w:tr w:rsidR="00142D2B" w:rsidRPr="009B5184" w14:paraId="080E6C63" w14:textId="77777777" w:rsidTr="00786B13">
        <w:trPr>
          <w:trHeight w:val="300"/>
        </w:trPr>
        <w:tc>
          <w:tcPr>
            <w:tcW w:w="5055" w:type="dxa"/>
            <w:tcBorders>
              <w:top w:val="nil"/>
              <w:left w:val="nil"/>
              <w:bottom w:val="nil"/>
              <w:right w:val="nil"/>
            </w:tcBorders>
            <w:shd w:val="clear" w:color="auto" w:fill="auto"/>
            <w:vAlign w:val="bottom"/>
          </w:tcPr>
          <w:p w14:paraId="0319DA62" w14:textId="77777777" w:rsidR="00142D2B" w:rsidRPr="009B5184" w:rsidRDefault="00142D2B" w:rsidP="00786B13">
            <w:pPr>
              <w:spacing w:after="0"/>
              <w:rPr>
                <w:rFonts w:eastAsia="Times New Roman" w:cs="Times New Roman"/>
                <w:color w:val="000000"/>
                <w:lang w:eastAsia="en-US"/>
              </w:rPr>
            </w:pPr>
            <w:r w:rsidRPr="009B5184">
              <w:rPr>
                <w:rFonts w:eastAsia="Times New Roman" w:cs="Times New Roman"/>
                <w:color w:val="000000"/>
                <w:lang w:eastAsia="en-US"/>
              </w:rPr>
              <w:t>Presence of a military base</w:t>
            </w:r>
          </w:p>
        </w:tc>
        <w:tc>
          <w:tcPr>
            <w:tcW w:w="1440" w:type="dxa"/>
            <w:tcBorders>
              <w:top w:val="nil"/>
              <w:left w:val="nil"/>
              <w:bottom w:val="nil"/>
              <w:right w:val="nil"/>
            </w:tcBorders>
            <w:shd w:val="clear" w:color="auto" w:fill="auto"/>
            <w:noWrap/>
            <w:vAlign w:val="bottom"/>
          </w:tcPr>
          <w:p w14:paraId="11DBA44A"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0.098</w:t>
            </w:r>
          </w:p>
        </w:tc>
        <w:tc>
          <w:tcPr>
            <w:tcW w:w="1620" w:type="dxa"/>
            <w:tcBorders>
              <w:top w:val="nil"/>
              <w:left w:val="nil"/>
              <w:bottom w:val="nil"/>
              <w:right w:val="nil"/>
            </w:tcBorders>
            <w:shd w:val="clear" w:color="auto" w:fill="auto"/>
            <w:noWrap/>
            <w:vAlign w:val="bottom"/>
          </w:tcPr>
          <w:p w14:paraId="323A77B0"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0.298</w:t>
            </w:r>
            <w:r>
              <w:rPr>
                <w:rFonts w:eastAsia="Times New Roman" w:cs="Times New Roman"/>
                <w:color w:val="000000"/>
                <w:lang w:eastAsia="en-US"/>
              </w:rPr>
              <w:t>)</w:t>
            </w:r>
          </w:p>
        </w:tc>
      </w:tr>
      <w:tr w:rsidR="00142D2B" w:rsidRPr="009B5184" w14:paraId="431F7CD6" w14:textId="77777777" w:rsidTr="00786B13">
        <w:trPr>
          <w:trHeight w:val="600"/>
        </w:trPr>
        <w:tc>
          <w:tcPr>
            <w:tcW w:w="5055" w:type="dxa"/>
            <w:tcBorders>
              <w:top w:val="nil"/>
              <w:left w:val="nil"/>
              <w:bottom w:val="nil"/>
              <w:right w:val="nil"/>
            </w:tcBorders>
            <w:shd w:val="clear" w:color="auto" w:fill="auto"/>
            <w:vAlign w:val="bottom"/>
          </w:tcPr>
          <w:p w14:paraId="2C60D673" w14:textId="77777777" w:rsidR="00142D2B" w:rsidRPr="009B5184" w:rsidRDefault="00142D2B" w:rsidP="00786B13">
            <w:pPr>
              <w:spacing w:after="0"/>
              <w:rPr>
                <w:rFonts w:eastAsia="Times New Roman" w:cs="Times New Roman"/>
                <w:color w:val="000000"/>
                <w:lang w:eastAsia="en-US"/>
              </w:rPr>
            </w:pPr>
            <w:r w:rsidRPr="009B5184">
              <w:rPr>
                <w:rFonts w:eastAsia="Times New Roman" w:cs="Times New Roman"/>
                <w:color w:val="000000"/>
                <w:lang w:eastAsia="en-US"/>
              </w:rPr>
              <w:t>If France has ever militarily intervened in the country</w:t>
            </w:r>
          </w:p>
        </w:tc>
        <w:tc>
          <w:tcPr>
            <w:tcW w:w="1440" w:type="dxa"/>
            <w:tcBorders>
              <w:top w:val="nil"/>
              <w:left w:val="nil"/>
              <w:bottom w:val="nil"/>
              <w:right w:val="nil"/>
            </w:tcBorders>
            <w:shd w:val="clear" w:color="auto" w:fill="auto"/>
            <w:noWrap/>
            <w:vAlign w:val="bottom"/>
          </w:tcPr>
          <w:p w14:paraId="1A0FD45E"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0.13</w:t>
            </w:r>
          </w:p>
        </w:tc>
        <w:tc>
          <w:tcPr>
            <w:tcW w:w="1620" w:type="dxa"/>
            <w:tcBorders>
              <w:top w:val="nil"/>
              <w:left w:val="nil"/>
              <w:bottom w:val="nil"/>
              <w:right w:val="nil"/>
            </w:tcBorders>
            <w:shd w:val="clear" w:color="auto" w:fill="auto"/>
            <w:noWrap/>
            <w:vAlign w:val="bottom"/>
          </w:tcPr>
          <w:p w14:paraId="6C52E4C6"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0.34</w:t>
            </w:r>
            <w:r>
              <w:rPr>
                <w:rFonts w:eastAsia="Times New Roman" w:cs="Times New Roman"/>
                <w:color w:val="000000"/>
                <w:lang w:eastAsia="en-US"/>
              </w:rPr>
              <w:t>)</w:t>
            </w:r>
          </w:p>
        </w:tc>
      </w:tr>
      <w:tr w:rsidR="00142D2B" w:rsidRPr="009B5184" w14:paraId="3E80E46C" w14:textId="77777777" w:rsidTr="00786B13">
        <w:trPr>
          <w:trHeight w:val="300"/>
        </w:trPr>
        <w:tc>
          <w:tcPr>
            <w:tcW w:w="5055" w:type="dxa"/>
            <w:tcBorders>
              <w:top w:val="nil"/>
              <w:left w:val="nil"/>
              <w:bottom w:val="nil"/>
              <w:right w:val="nil"/>
            </w:tcBorders>
            <w:shd w:val="clear" w:color="auto" w:fill="auto"/>
            <w:noWrap/>
            <w:vAlign w:val="bottom"/>
          </w:tcPr>
          <w:p w14:paraId="2A04EFCA" w14:textId="77777777" w:rsidR="00142D2B" w:rsidRPr="009B5184" w:rsidRDefault="00142D2B" w:rsidP="00786B13">
            <w:pPr>
              <w:spacing w:after="0"/>
              <w:jc w:val="both"/>
              <w:rPr>
                <w:rFonts w:eastAsia="Times New Roman" w:cs="Times New Roman"/>
                <w:color w:val="000000"/>
                <w:lang w:eastAsia="en-US"/>
              </w:rPr>
            </w:pPr>
          </w:p>
        </w:tc>
        <w:tc>
          <w:tcPr>
            <w:tcW w:w="1440" w:type="dxa"/>
            <w:tcBorders>
              <w:top w:val="nil"/>
              <w:left w:val="nil"/>
              <w:bottom w:val="nil"/>
              <w:right w:val="nil"/>
            </w:tcBorders>
            <w:shd w:val="clear" w:color="auto" w:fill="auto"/>
            <w:noWrap/>
            <w:vAlign w:val="bottom"/>
          </w:tcPr>
          <w:p w14:paraId="1A6FEE41" w14:textId="77777777" w:rsidR="00142D2B" w:rsidRPr="009B5184" w:rsidRDefault="00142D2B" w:rsidP="00786B13">
            <w:pPr>
              <w:spacing w:after="0"/>
              <w:jc w:val="both"/>
              <w:rPr>
                <w:rFonts w:eastAsia="Times New Roman" w:cs="Times New Roman"/>
                <w:color w:val="000000"/>
                <w:lang w:eastAsia="en-US"/>
              </w:rPr>
            </w:pPr>
          </w:p>
        </w:tc>
        <w:tc>
          <w:tcPr>
            <w:tcW w:w="1620" w:type="dxa"/>
            <w:tcBorders>
              <w:top w:val="nil"/>
              <w:left w:val="nil"/>
              <w:bottom w:val="nil"/>
              <w:right w:val="nil"/>
            </w:tcBorders>
            <w:shd w:val="clear" w:color="auto" w:fill="auto"/>
            <w:noWrap/>
            <w:vAlign w:val="bottom"/>
          </w:tcPr>
          <w:p w14:paraId="5313ED3B" w14:textId="77777777" w:rsidR="00142D2B" w:rsidRPr="009B5184" w:rsidRDefault="00142D2B" w:rsidP="00786B13">
            <w:pPr>
              <w:spacing w:after="0"/>
              <w:jc w:val="both"/>
              <w:rPr>
                <w:rFonts w:eastAsia="Times New Roman" w:cs="Times New Roman"/>
                <w:color w:val="000000"/>
                <w:lang w:eastAsia="en-US"/>
              </w:rPr>
            </w:pPr>
          </w:p>
        </w:tc>
      </w:tr>
      <w:tr w:rsidR="00142D2B" w:rsidRPr="009B5184" w14:paraId="7DE6F75D" w14:textId="77777777" w:rsidTr="00786B13">
        <w:trPr>
          <w:trHeight w:val="300"/>
        </w:trPr>
        <w:tc>
          <w:tcPr>
            <w:tcW w:w="5055" w:type="dxa"/>
            <w:tcBorders>
              <w:top w:val="nil"/>
              <w:left w:val="nil"/>
              <w:bottom w:val="nil"/>
              <w:right w:val="nil"/>
            </w:tcBorders>
            <w:shd w:val="clear" w:color="auto" w:fill="auto"/>
            <w:vAlign w:val="bottom"/>
          </w:tcPr>
          <w:p w14:paraId="71C7E3F7" w14:textId="77777777" w:rsidR="00142D2B" w:rsidRPr="009B5184" w:rsidRDefault="00142D2B" w:rsidP="00786B13">
            <w:pPr>
              <w:spacing w:after="0"/>
              <w:jc w:val="both"/>
              <w:rPr>
                <w:rFonts w:eastAsia="Times New Roman" w:cs="Times New Roman"/>
                <w:b/>
                <w:bCs/>
                <w:color w:val="000000"/>
                <w:lang w:eastAsia="en-US"/>
              </w:rPr>
            </w:pPr>
            <w:r w:rsidRPr="009B5184">
              <w:rPr>
                <w:rFonts w:eastAsia="Times New Roman" w:cs="Times New Roman"/>
                <w:b/>
                <w:bCs/>
                <w:color w:val="000000"/>
                <w:lang w:eastAsia="en-US"/>
              </w:rPr>
              <w:t>Economic variables</w:t>
            </w:r>
          </w:p>
        </w:tc>
        <w:tc>
          <w:tcPr>
            <w:tcW w:w="1440" w:type="dxa"/>
            <w:tcBorders>
              <w:top w:val="nil"/>
              <w:left w:val="nil"/>
              <w:bottom w:val="nil"/>
              <w:right w:val="nil"/>
            </w:tcBorders>
            <w:shd w:val="clear" w:color="auto" w:fill="auto"/>
            <w:noWrap/>
            <w:vAlign w:val="bottom"/>
          </w:tcPr>
          <w:p w14:paraId="1C8167AE" w14:textId="77777777" w:rsidR="00142D2B" w:rsidRPr="009B5184" w:rsidRDefault="00142D2B" w:rsidP="00786B13">
            <w:pPr>
              <w:spacing w:after="0"/>
              <w:jc w:val="both"/>
              <w:rPr>
                <w:rFonts w:eastAsia="Times New Roman" w:cs="Times New Roman"/>
                <w:color w:val="000000"/>
                <w:lang w:eastAsia="en-US"/>
              </w:rPr>
            </w:pPr>
          </w:p>
        </w:tc>
        <w:tc>
          <w:tcPr>
            <w:tcW w:w="1620" w:type="dxa"/>
            <w:tcBorders>
              <w:top w:val="nil"/>
              <w:left w:val="nil"/>
              <w:bottom w:val="nil"/>
              <w:right w:val="nil"/>
            </w:tcBorders>
            <w:shd w:val="clear" w:color="auto" w:fill="auto"/>
            <w:noWrap/>
            <w:vAlign w:val="bottom"/>
          </w:tcPr>
          <w:p w14:paraId="2B7335E2" w14:textId="77777777" w:rsidR="00142D2B" w:rsidRPr="009B5184" w:rsidRDefault="00142D2B" w:rsidP="00786B13">
            <w:pPr>
              <w:spacing w:after="0"/>
              <w:jc w:val="both"/>
              <w:rPr>
                <w:rFonts w:eastAsia="Times New Roman" w:cs="Times New Roman"/>
                <w:color w:val="000000"/>
                <w:lang w:eastAsia="en-US"/>
              </w:rPr>
            </w:pPr>
          </w:p>
        </w:tc>
      </w:tr>
      <w:tr w:rsidR="00142D2B" w:rsidRPr="009B5184" w14:paraId="69C34197" w14:textId="77777777" w:rsidTr="00786B13">
        <w:trPr>
          <w:trHeight w:val="300"/>
        </w:trPr>
        <w:tc>
          <w:tcPr>
            <w:tcW w:w="5055" w:type="dxa"/>
            <w:tcBorders>
              <w:top w:val="nil"/>
              <w:left w:val="nil"/>
              <w:bottom w:val="nil"/>
              <w:right w:val="nil"/>
            </w:tcBorders>
            <w:shd w:val="clear" w:color="auto" w:fill="auto"/>
            <w:vAlign w:val="bottom"/>
          </w:tcPr>
          <w:p w14:paraId="20ACA9F1" w14:textId="77777777" w:rsidR="00142D2B" w:rsidRPr="009B5184" w:rsidRDefault="00142D2B" w:rsidP="00786B13">
            <w:pPr>
              <w:spacing w:after="0"/>
              <w:rPr>
                <w:rFonts w:eastAsia="Times New Roman" w:cs="Times New Roman"/>
                <w:color w:val="000000"/>
                <w:lang w:eastAsia="en-US"/>
              </w:rPr>
            </w:pPr>
            <w:r w:rsidRPr="009B5184">
              <w:rPr>
                <w:rFonts w:eastAsia="Times New Roman" w:cs="Times New Roman"/>
                <w:color w:val="000000"/>
                <w:lang w:eastAsia="en-US"/>
              </w:rPr>
              <w:t>Total bilateral aid committed, in millions of USD</w:t>
            </w:r>
          </w:p>
        </w:tc>
        <w:tc>
          <w:tcPr>
            <w:tcW w:w="1440" w:type="dxa"/>
            <w:tcBorders>
              <w:top w:val="nil"/>
              <w:left w:val="nil"/>
              <w:bottom w:val="nil"/>
              <w:right w:val="nil"/>
            </w:tcBorders>
            <w:shd w:val="clear" w:color="auto" w:fill="auto"/>
            <w:noWrap/>
            <w:vAlign w:val="bottom"/>
          </w:tcPr>
          <w:p w14:paraId="1B003F78"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70.7</w:t>
            </w:r>
          </w:p>
        </w:tc>
        <w:tc>
          <w:tcPr>
            <w:tcW w:w="1620" w:type="dxa"/>
            <w:tcBorders>
              <w:top w:val="nil"/>
              <w:left w:val="nil"/>
              <w:bottom w:val="nil"/>
              <w:right w:val="nil"/>
            </w:tcBorders>
            <w:shd w:val="clear" w:color="auto" w:fill="auto"/>
            <w:noWrap/>
            <w:vAlign w:val="bottom"/>
          </w:tcPr>
          <w:p w14:paraId="738FABEB"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14.9</w:t>
            </w:r>
            <w:r>
              <w:rPr>
                <w:rFonts w:eastAsia="Times New Roman" w:cs="Times New Roman"/>
                <w:color w:val="000000"/>
                <w:lang w:eastAsia="en-US"/>
              </w:rPr>
              <w:t>)</w:t>
            </w:r>
          </w:p>
        </w:tc>
      </w:tr>
      <w:tr w:rsidR="00142D2B" w:rsidRPr="009B5184" w14:paraId="37E3F999" w14:textId="77777777" w:rsidTr="00786B13">
        <w:trPr>
          <w:trHeight w:val="600"/>
        </w:trPr>
        <w:tc>
          <w:tcPr>
            <w:tcW w:w="5055" w:type="dxa"/>
            <w:tcBorders>
              <w:top w:val="nil"/>
              <w:left w:val="nil"/>
              <w:bottom w:val="nil"/>
              <w:right w:val="nil"/>
            </w:tcBorders>
            <w:shd w:val="clear" w:color="auto" w:fill="auto"/>
            <w:vAlign w:val="bottom"/>
          </w:tcPr>
          <w:p w14:paraId="02B83B5D" w14:textId="77777777" w:rsidR="00142D2B" w:rsidRPr="009B5184" w:rsidRDefault="00142D2B" w:rsidP="00786B13">
            <w:pPr>
              <w:spacing w:after="0"/>
              <w:rPr>
                <w:rFonts w:eastAsia="Times New Roman" w:cs="Times New Roman"/>
                <w:color w:val="000000"/>
                <w:lang w:eastAsia="en-US"/>
              </w:rPr>
            </w:pPr>
            <w:r w:rsidRPr="009B5184">
              <w:rPr>
                <w:rFonts w:eastAsia="Times New Roman" w:cs="Times New Roman"/>
                <w:color w:val="000000"/>
                <w:lang w:eastAsia="en-US"/>
              </w:rPr>
              <w:t>Total multilateral aid committed to recipient country, in millions</w:t>
            </w:r>
            <w:r>
              <w:rPr>
                <w:rFonts w:eastAsia="Times New Roman" w:cs="Times New Roman"/>
                <w:color w:val="000000"/>
                <w:lang w:eastAsia="en-US"/>
              </w:rPr>
              <w:t xml:space="preserve"> of USD</w:t>
            </w:r>
          </w:p>
        </w:tc>
        <w:tc>
          <w:tcPr>
            <w:tcW w:w="1440" w:type="dxa"/>
            <w:tcBorders>
              <w:top w:val="nil"/>
              <w:left w:val="nil"/>
              <w:bottom w:val="nil"/>
              <w:right w:val="nil"/>
            </w:tcBorders>
            <w:shd w:val="clear" w:color="auto" w:fill="auto"/>
            <w:noWrap/>
            <w:vAlign w:val="bottom"/>
          </w:tcPr>
          <w:p w14:paraId="70CA1BC6"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314</w:t>
            </w:r>
          </w:p>
        </w:tc>
        <w:tc>
          <w:tcPr>
            <w:tcW w:w="1620" w:type="dxa"/>
            <w:tcBorders>
              <w:top w:val="nil"/>
              <w:left w:val="nil"/>
              <w:bottom w:val="nil"/>
              <w:right w:val="nil"/>
            </w:tcBorders>
            <w:shd w:val="clear" w:color="auto" w:fill="auto"/>
            <w:noWrap/>
            <w:vAlign w:val="bottom"/>
          </w:tcPr>
          <w:p w14:paraId="14987598"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416</w:t>
            </w:r>
            <w:r>
              <w:rPr>
                <w:rFonts w:eastAsia="Times New Roman" w:cs="Times New Roman"/>
                <w:color w:val="000000"/>
                <w:lang w:eastAsia="en-US"/>
              </w:rPr>
              <w:t>)</w:t>
            </w:r>
          </w:p>
        </w:tc>
      </w:tr>
      <w:tr w:rsidR="00142D2B" w:rsidRPr="009B5184" w14:paraId="4161DAB0" w14:textId="77777777" w:rsidTr="00786B13">
        <w:trPr>
          <w:trHeight w:val="300"/>
        </w:trPr>
        <w:tc>
          <w:tcPr>
            <w:tcW w:w="5055" w:type="dxa"/>
            <w:tcBorders>
              <w:top w:val="nil"/>
              <w:left w:val="nil"/>
              <w:bottom w:val="nil"/>
              <w:right w:val="nil"/>
            </w:tcBorders>
            <w:shd w:val="clear" w:color="auto" w:fill="auto"/>
            <w:vAlign w:val="bottom"/>
          </w:tcPr>
          <w:p w14:paraId="3FEB30F5" w14:textId="77777777" w:rsidR="00142D2B" w:rsidRPr="009B5184" w:rsidRDefault="00142D2B" w:rsidP="00786B13">
            <w:pPr>
              <w:spacing w:after="0"/>
              <w:rPr>
                <w:rFonts w:eastAsia="Times New Roman" w:cs="Times New Roman"/>
                <w:color w:val="000000"/>
                <w:lang w:eastAsia="en-US"/>
              </w:rPr>
            </w:pPr>
            <w:r w:rsidRPr="009B5184">
              <w:rPr>
                <w:rFonts w:eastAsia="Times New Roman" w:cs="Times New Roman"/>
                <w:color w:val="000000"/>
                <w:lang w:eastAsia="en-US"/>
              </w:rPr>
              <w:t xml:space="preserve">Real GDP, in </w:t>
            </w:r>
            <w:r>
              <w:rPr>
                <w:rFonts w:eastAsia="Times New Roman" w:cs="Times New Roman"/>
                <w:color w:val="000000"/>
                <w:lang w:eastAsia="en-US"/>
              </w:rPr>
              <w:t>billions USD (constant at 2010 prices)</w:t>
            </w:r>
          </w:p>
        </w:tc>
        <w:tc>
          <w:tcPr>
            <w:tcW w:w="1440" w:type="dxa"/>
            <w:tcBorders>
              <w:top w:val="nil"/>
              <w:left w:val="nil"/>
              <w:bottom w:val="nil"/>
              <w:right w:val="nil"/>
            </w:tcBorders>
            <w:shd w:val="clear" w:color="auto" w:fill="auto"/>
            <w:noWrap/>
            <w:vAlign w:val="bottom"/>
          </w:tcPr>
          <w:p w14:paraId="3CC200B2"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25.03</w:t>
            </w:r>
          </w:p>
        </w:tc>
        <w:tc>
          <w:tcPr>
            <w:tcW w:w="1620" w:type="dxa"/>
            <w:tcBorders>
              <w:top w:val="nil"/>
              <w:left w:val="nil"/>
              <w:bottom w:val="nil"/>
              <w:right w:val="nil"/>
            </w:tcBorders>
            <w:shd w:val="clear" w:color="auto" w:fill="auto"/>
            <w:noWrap/>
            <w:vAlign w:val="bottom"/>
          </w:tcPr>
          <w:p w14:paraId="79A17065"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56.32</w:t>
            </w:r>
            <w:r>
              <w:rPr>
                <w:rFonts w:eastAsia="Times New Roman" w:cs="Times New Roman"/>
                <w:color w:val="000000"/>
                <w:lang w:eastAsia="en-US"/>
              </w:rPr>
              <w:t>)</w:t>
            </w:r>
          </w:p>
        </w:tc>
      </w:tr>
      <w:tr w:rsidR="00142D2B" w:rsidRPr="009B5184" w14:paraId="58CF6D3C" w14:textId="77777777" w:rsidTr="00786B13">
        <w:trPr>
          <w:trHeight w:val="300"/>
        </w:trPr>
        <w:tc>
          <w:tcPr>
            <w:tcW w:w="5055" w:type="dxa"/>
            <w:tcBorders>
              <w:top w:val="nil"/>
              <w:left w:val="nil"/>
              <w:bottom w:val="nil"/>
              <w:right w:val="nil"/>
            </w:tcBorders>
            <w:shd w:val="clear" w:color="auto" w:fill="auto"/>
            <w:noWrap/>
            <w:vAlign w:val="bottom"/>
          </w:tcPr>
          <w:p w14:paraId="620F5F7D" w14:textId="77777777" w:rsidR="00142D2B" w:rsidRPr="009B5184" w:rsidRDefault="00142D2B" w:rsidP="00786B13">
            <w:pPr>
              <w:spacing w:after="0"/>
              <w:jc w:val="both"/>
              <w:rPr>
                <w:rFonts w:eastAsia="Times New Roman" w:cs="Times New Roman"/>
                <w:color w:val="000000"/>
                <w:lang w:eastAsia="en-US"/>
              </w:rPr>
            </w:pPr>
          </w:p>
        </w:tc>
        <w:tc>
          <w:tcPr>
            <w:tcW w:w="1440" w:type="dxa"/>
            <w:tcBorders>
              <w:top w:val="nil"/>
              <w:left w:val="nil"/>
              <w:bottom w:val="nil"/>
              <w:right w:val="nil"/>
            </w:tcBorders>
            <w:shd w:val="clear" w:color="auto" w:fill="auto"/>
            <w:noWrap/>
            <w:vAlign w:val="bottom"/>
          </w:tcPr>
          <w:p w14:paraId="02CF182E" w14:textId="77777777" w:rsidR="00142D2B" w:rsidRPr="009B5184" w:rsidRDefault="00142D2B" w:rsidP="00786B13">
            <w:pPr>
              <w:spacing w:after="0"/>
              <w:jc w:val="both"/>
              <w:rPr>
                <w:rFonts w:eastAsia="Times New Roman" w:cs="Times New Roman"/>
                <w:color w:val="000000"/>
                <w:lang w:eastAsia="en-US"/>
              </w:rPr>
            </w:pPr>
          </w:p>
        </w:tc>
        <w:tc>
          <w:tcPr>
            <w:tcW w:w="1620" w:type="dxa"/>
            <w:tcBorders>
              <w:top w:val="nil"/>
              <w:left w:val="nil"/>
              <w:bottom w:val="nil"/>
              <w:right w:val="nil"/>
            </w:tcBorders>
            <w:shd w:val="clear" w:color="auto" w:fill="auto"/>
            <w:noWrap/>
            <w:vAlign w:val="bottom"/>
          </w:tcPr>
          <w:p w14:paraId="5DDF410D" w14:textId="77777777" w:rsidR="00142D2B" w:rsidRPr="009B5184" w:rsidRDefault="00142D2B" w:rsidP="00786B13">
            <w:pPr>
              <w:spacing w:after="0"/>
              <w:jc w:val="both"/>
              <w:rPr>
                <w:rFonts w:eastAsia="Times New Roman" w:cs="Times New Roman"/>
                <w:color w:val="000000"/>
                <w:lang w:eastAsia="en-US"/>
              </w:rPr>
            </w:pPr>
          </w:p>
        </w:tc>
      </w:tr>
      <w:tr w:rsidR="00142D2B" w:rsidRPr="009B5184" w14:paraId="486FD497" w14:textId="77777777" w:rsidTr="00786B13">
        <w:trPr>
          <w:trHeight w:val="300"/>
        </w:trPr>
        <w:tc>
          <w:tcPr>
            <w:tcW w:w="5055" w:type="dxa"/>
            <w:tcBorders>
              <w:top w:val="nil"/>
              <w:left w:val="nil"/>
              <w:bottom w:val="nil"/>
              <w:right w:val="nil"/>
            </w:tcBorders>
            <w:shd w:val="clear" w:color="auto" w:fill="auto"/>
            <w:vAlign w:val="bottom"/>
          </w:tcPr>
          <w:p w14:paraId="289E7BA7" w14:textId="77777777" w:rsidR="00142D2B" w:rsidRPr="009B5184" w:rsidRDefault="00142D2B" w:rsidP="00786B13">
            <w:pPr>
              <w:spacing w:after="0"/>
              <w:jc w:val="both"/>
              <w:rPr>
                <w:rFonts w:eastAsia="Times New Roman" w:cs="Times New Roman"/>
                <w:b/>
                <w:bCs/>
                <w:color w:val="000000"/>
                <w:lang w:eastAsia="en-US"/>
              </w:rPr>
            </w:pPr>
            <w:r w:rsidRPr="009B5184">
              <w:rPr>
                <w:rFonts w:eastAsia="Times New Roman" w:cs="Times New Roman"/>
                <w:b/>
                <w:bCs/>
                <w:color w:val="000000"/>
                <w:lang w:eastAsia="en-US"/>
              </w:rPr>
              <w:t>Political variables</w:t>
            </w:r>
          </w:p>
        </w:tc>
        <w:tc>
          <w:tcPr>
            <w:tcW w:w="1440" w:type="dxa"/>
            <w:tcBorders>
              <w:top w:val="nil"/>
              <w:left w:val="nil"/>
              <w:bottom w:val="nil"/>
              <w:right w:val="nil"/>
            </w:tcBorders>
            <w:shd w:val="clear" w:color="auto" w:fill="auto"/>
            <w:noWrap/>
            <w:vAlign w:val="bottom"/>
          </w:tcPr>
          <w:p w14:paraId="62FA7BE0" w14:textId="77777777" w:rsidR="00142D2B" w:rsidRPr="009B5184" w:rsidRDefault="00142D2B" w:rsidP="00786B13">
            <w:pPr>
              <w:spacing w:after="0"/>
              <w:jc w:val="both"/>
              <w:rPr>
                <w:rFonts w:eastAsia="Times New Roman" w:cs="Times New Roman"/>
                <w:color w:val="000000"/>
                <w:lang w:eastAsia="en-US"/>
              </w:rPr>
            </w:pPr>
          </w:p>
        </w:tc>
        <w:tc>
          <w:tcPr>
            <w:tcW w:w="1620" w:type="dxa"/>
            <w:tcBorders>
              <w:top w:val="nil"/>
              <w:left w:val="nil"/>
              <w:bottom w:val="nil"/>
              <w:right w:val="nil"/>
            </w:tcBorders>
            <w:shd w:val="clear" w:color="auto" w:fill="auto"/>
            <w:noWrap/>
            <w:vAlign w:val="bottom"/>
          </w:tcPr>
          <w:p w14:paraId="3E6F21C8" w14:textId="77777777" w:rsidR="00142D2B" w:rsidRPr="009B5184" w:rsidRDefault="00142D2B" w:rsidP="00786B13">
            <w:pPr>
              <w:spacing w:after="0"/>
              <w:jc w:val="both"/>
              <w:rPr>
                <w:rFonts w:eastAsia="Times New Roman" w:cs="Times New Roman"/>
                <w:color w:val="000000"/>
                <w:lang w:eastAsia="en-US"/>
              </w:rPr>
            </w:pPr>
          </w:p>
        </w:tc>
      </w:tr>
      <w:tr w:rsidR="00142D2B" w:rsidRPr="009B5184" w14:paraId="1A32037A" w14:textId="77777777" w:rsidTr="00786B13">
        <w:trPr>
          <w:trHeight w:val="300"/>
        </w:trPr>
        <w:tc>
          <w:tcPr>
            <w:tcW w:w="5055" w:type="dxa"/>
            <w:tcBorders>
              <w:top w:val="nil"/>
              <w:left w:val="nil"/>
              <w:bottom w:val="nil"/>
              <w:right w:val="nil"/>
            </w:tcBorders>
            <w:shd w:val="clear" w:color="auto" w:fill="auto"/>
            <w:vAlign w:val="bottom"/>
          </w:tcPr>
          <w:p w14:paraId="053B8405"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External war indicator</w:t>
            </w:r>
          </w:p>
        </w:tc>
        <w:tc>
          <w:tcPr>
            <w:tcW w:w="1440" w:type="dxa"/>
            <w:tcBorders>
              <w:top w:val="nil"/>
              <w:left w:val="nil"/>
              <w:bottom w:val="nil"/>
              <w:right w:val="nil"/>
            </w:tcBorders>
            <w:shd w:val="clear" w:color="auto" w:fill="auto"/>
            <w:noWrap/>
            <w:vAlign w:val="bottom"/>
          </w:tcPr>
          <w:p w14:paraId="57445B27"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0.008</w:t>
            </w:r>
          </w:p>
        </w:tc>
        <w:tc>
          <w:tcPr>
            <w:tcW w:w="1620" w:type="dxa"/>
            <w:tcBorders>
              <w:top w:val="nil"/>
              <w:left w:val="nil"/>
              <w:bottom w:val="nil"/>
              <w:right w:val="nil"/>
            </w:tcBorders>
            <w:shd w:val="clear" w:color="auto" w:fill="auto"/>
            <w:noWrap/>
            <w:vAlign w:val="bottom"/>
          </w:tcPr>
          <w:p w14:paraId="7469CEDE"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0.09</w:t>
            </w:r>
            <w:r>
              <w:rPr>
                <w:rFonts w:eastAsia="Times New Roman" w:cs="Times New Roman"/>
                <w:color w:val="000000"/>
                <w:lang w:eastAsia="en-US"/>
              </w:rPr>
              <w:t>)</w:t>
            </w:r>
          </w:p>
        </w:tc>
      </w:tr>
      <w:tr w:rsidR="00142D2B" w:rsidRPr="009B5184" w14:paraId="538FC5C0" w14:textId="77777777" w:rsidTr="00786B13">
        <w:trPr>
          <w:trHeight w:val="300"/>
        </w:trPr>
        <w:tc>
          <w:tcPr>
            <w:tcW w:w="5055" w:type="dxa"/>
            <w:tcBorders>
              <w:top w:val="nil"/>
              <w:left w:val="nil"/>
              <w:bottom w:val="nil"/>
              <w:right w:val="nil"/>
            </w:tcBorders>
            <w:shd w:val="clear" w:color="auto" w:fill="auto"/>
            <w:vAlign w:val="bottom"/>
          </w:tcPr>
          <w:p w14:paraId="0BBC174C"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Civil war indicator</w:t>
            </w:r>
          </w:p>
        </w:tc>
        <w:tc>
          <w:tcPr>
            <w:tcW w:w="1440" w:type="dxa"/>
            <w:tcBorders>
              <w:top w:val="nil"/>
              <w:left w:val="nil"/>
              <w:bottom w:val="nil"/>
              <w:right w:val="nil"/>
            </w:tcBorders>
            <w:shd w:val="clear" w:color="auto" w:fill="auto"/>
            <w:noWrap/>
            <w:vAlign w:val="bottom"/>
          </w:tcPr>
          <w:p w14:paraId="49D66605"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0.048</w:t>
            </w:r>
          </w:p>
        </w:tc>
        <w:tc>
          <w:tcPr>
            <w:tcW w:w="1620" w:type="dxa"/>
            <w:tcBorders>
              <w:top w:val="nil"/>
              <w:left w:val="nil"/>
              <w:bottom w:val="nil"/>
              <w:right w:val="nil"/>
            </w:tcBorders>
            <w:shd w:val="clear" w:color="auto" w:fill="auto"/>
            <w:noWrap/>
            <w:vAlign w:val="bottom"/>
          </w:tcPr>
          <w:p w14:paraId="4114BC7C"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0.215</w:t>
            </w:r>
            <w:r>
              <w:rPr>
                <w:rFonts w:eastAsia="Times New Roman" w:cs="Times New Roman"/>
                <w:color w:val="000000"/>
                <w:lang w:eastAsia="en-US"/>
              </w:rPr>
              <w:t>)</w:t>
            </w:r>
          </w:p>
        </w:tc>
      </w:tr>
      <w:tr w:rsidR="00142D2B" w:rsidRPr="009B5184" w14:paraId="03D73388" w14:textId="77777777" w:rsidTr="00786B13">
        <w:trPr>
          <w:trHeight w:val="300"/>
        </w:trPr>
        <w:tc>
          <w:tcPr>
            <w:tcW w:w="5055" w:type="dxa"/>
            <w:tcBorders>
              <w:top w:val="nil"/>
              <w:left w:val="nil"/>
              <w:bottom w:val="nil"/>
              <w:right w:val="nil"/>
            </w:tcBorders>
            <w:shd w:val="clear" w:color="auto" w:fill="auto"/>
            <w:vAlign w:val="bottom"/>
          </w:tcPr>
          <w:p w14:paraId="4DA23562"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Number of years in current regime</w:t>
            </w:r>
          </w:p>
        </w:tc>
        <w:tc>
          <w:tcPr>
            <w:tcW w:w="1440" w:type="dxa"/>
            <w:tcBorders>
              <w:top w:val="nil"/>
              <w:left w:val="nil"/>
              <w:bottom w:val="nil"/>
              <w:right w:val="nil"/>
            </w:tcBorders>
            <w:shd w:val="clear" w:color="auto" w:fill="auto"/>
            <w:noWrap/>
            <w:vAlign w:val="bottom"/>
          </w:tcPr>
          <w:p w14:paraId="62E6DA40"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17.72</w:t>
            </w:r>
          </w:p>
        </w:tc>
        <w:tc>
          <w:tcPr>
            <w:tcW w:w="1620" w:type="dxa"/>
            <w:tcBorders>
              <w:top w:val="nil"/>
              <w:left w:val="nil"/>
              <w:bottom w:val="nil"/>
              <w:right w:val="nil"/>
            </w:tcBorders>
            <w:shd w:val="clear" w:color="auto" w:fill="auto"/>
            <w:noWrap/>
            <w:vAlign w:val="bottom"/>
          </w:tcPr>
          <w:p w14:paraId="4D4FA76F"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12.9</w:t>
            </w:r>
            <w:r>
              <w:rPr>
                <w:rFonts w:eastAsia="Times New Roman" w:cs="Times New Roman"/>
                <w:color w:val="000000"/>
                <w:lang w:eastAsia="en-US"/>
              </w:rPr>
              <w:t>)</w:t>
            </w:r>
          </w:p>
        </w:tc>
      </w:tr>
      <w:tr w:rsidR="00142D2B" w:rsidRPr="009B5184" w14:paraId="03ADBD9E" w14:textId="77777777" w:rsidTr="00786B13">
        <w:trPr>
          <w:trHeight w:val="300"/>
        </w:trPr>
        <w:tc>
          <w:tcPr>
            <w:tcW w:w="5055" w:type="dxa"/>
            <w:tcBorders>
              <w:top w:val="nil"/>
              <w:left w:val="nil"/>
              <w:bottom w:val="nil"/>
              <w:right w:val="nil"/>
            </w:tcBorders>
            <w:shd w:val="clear" w:color="auto" w:fill="auto"/>
            <w:vAlign w:val="bottom"/>
          </w:tcPr>
          <w:p w14:paraId="71E09297"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Polity IV</w:t>
            </w:r>
            <w:r w:rsidRPr="009B5184">
              <w:rPr>
                <w:rFonts w:eastAsia="Times New Roman" w:cs="Times New Roman"/>
                <w:color w:val="000000"/>
                <w:lang w:eastAsia="en-US"/>
              </w:rPr>
              <w:t xml:space="preserve"> score</w:t>
            </w:r>
          </w:p>
        </w:tc>
        <w:tc>
          <w:tcPr>
            <w:tcW w:w="1440" w:type="dxa"/>
            <w:tcBorders>
              <w:top w:val="nil"/>
              <w:left w:val="nil"/>
              <w:bottom w:val="nil"/>
              <w:right w:val="nil"/>
            </w:tcBorders>
            <w:shd w:val="clear" w:color="auto" w:fill="auto"/>
            <w:noWrap/>
            <w:vAlign w:val="bottom"/>
          </w:tcPr>
          <w:p w14:paraId="4F648ECF"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-1.96</w:t>
            </w:r>
          </w:p>
        </w:tc>
        <w:tc>
          <w:tcPr>
            <w:tcW w:w="1620" w:type="dxa"/>
            <w:tcBorders>
              <w:top w:val="nil"/>
              <w:left w:val="nil"/>
              <w:bottom w:val="nil"/>
              <w:right w:val="nil"/>
            </w:tcBorders>
            <w:shd w:val="clear" w:color="auto" w:fill="auto"/>
            <w:noWrap/>
            <w:vAlign w:val="bottom"/>
          </w:tcPr>
          <w:p w14:paraId="5FC78106"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5.83</w:t>
            </w:r>
            <w:r>
              <w:rPr>
                <w:rFonts w:eastAsia="Times New Roman" w:cs="Times New Roman"/>
                <w:color w:val="000000"/>
                <w:lang w:eastAsia="en-US"/>
              </w:rPr>
              <w:t>)</w:t>
            </w:r>
          </w:p>
        </w:tc>
      </w:tr>
      <w:tr w:rsidR="00142D2B" w:rsidRPr="009B5184" w14:paraId="59AC784B" w14:textId="77777777" w:rsidTr="00786B13">
        <w:trPr>
          <w:trHeight w:val="300"/>
        </w:trPr>
        <w:tc>
          <w:tcPr>
            <w:tcW w:w="5055" w:type="dxa"/>
            <w:tcBorders>
              <w:top w:val="nil"/>
              <w:left w:val="nil"/>
              <w:bottom w:val="nil"/>
              <w:right w:val="nil"/>
            </w:tcBorders>
            <w:shd w:val="clear" w:color="auto" w:fill="auto"/>
            <w:vAlign w:val="bottom"/>
          </w:tcPr>
          <w:p w14:paraId="3B50023B"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Democracy (dummy)</w:t>
            </w:r>
          </w:p>
        </w:tc>
        <w:tc>
          <w:tcPr>
            <w:tcW w:w="1440" w:type="dxa"/>
            <w:tcBorders>
              <w:top w:val="nil"/>
              <w:left w:val="nil"/>
              <w:bottom w:val="nil"/>
              <w:right w:val="nil"/>
            </w:tcBorders>
            <w:shd w:val="clear" w:color="auto" w:fill="auto"/>
            <w:noWrap/>
            <w:vAlign w:val="bottom"/>
          </w:tcPr>
          <w:p w14:paraId="0772753E"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0.18</w:t>
            </w:r>
          </w:p>
        </w:tc>
        <w:tc>
          <w:tcPr>
            <w:tcW w:w="1620" w:type="dxa"/>
            <w:tcBorders>
              <w:top w:val="nil"/>
              <w:left w:val="nil"/>
              <w:bottom w:val="nil"/>
              <w:right w:val="nil"/>
            </w:tcBorders>
            <w:shd w:val="clear" w:color="auto" w:fill="auto"/>
            <w:noWrap/>
            <w:vAlign w:val="bottom"/>
          </w:tcPr>
          <w:p w14:paraId="4D087CE7"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0.39</w:t>
            </w:r>
            <w:r>
              <w:rPr>
                <w:rFonts w:eastAsia="Times New Roman" w:cs="Times New Roman"/>
                <w:color w:val="000000"/>
                <w:lang w:eastAsia="en-US"/>
              </w:rPr>
              <w:t>)</w:t>
            </w:r>
          </w:p>
        </w:tc>
      </w:tr>
      <w:tr w:rsidR="00142D2B" w:rsidRPr="009B5184" w14:paraId="524E36A0" w14:textId="77777777" w:rsidTr="00786B13">
        <w:trPr>
          <w:trHeight w:val="300"/>
        </w:trPr>
        <w:tc>
          <w:tcPr>
            <w:tcW w:w="5055" w:type="dxa"/>
            <w:tcBorders>
              <w:top w:val="nil"/>
              <w:left w:val="nil"/>
              <w:bottom w:val="nil"/>
              <w:right w:val="nil"/>
            </w:tcBorders>
            <w:shd w:val="clear" w:color="auto" w:fill="auto"/>
            <w:vAlign w:val="bottom"/>
          </w:tcPr>
          <w:p w14:paraId="488FAEEF"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Presence of natural disaster</w:t>
            </w:r>
          </w:p>
        </w:tc>
        <w:tc>
          <w:tcPr>
            <w:tcW w:w="1440" w:type="dxa"/>
            <w:tcBorders>
              <w:top w:val="nil"/>
              <w:left w:val="nil"/>
              <w:bottom w:val="nil"/>
              <w:right w:val="nil"/>
            </w:tcBorders>
            <w:shd w:val="clear" w:color="auto" w:fill="auto"/>
            <w:noWrap/>
            <w:vAlign w:val="bottom"/>
          </w:tcPr>
          <w:p w14:paraId="4B36F0EC"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2.09</w:t>
            </w:r>
          </w:p>
        </w:tc>
        <w:tc>
          <w:tcPr>
            <w:tcW w:w="1620" w:type="dxa"/>
            <w:tcBorders>
              <w:top w:val="nil"/>
              <w:left w:val="nil"/>
              <w:bottom w:val="nil"/>
              <w:right w:val="nil"/>
            </w:tcBorders>
            <w:shd w:val="clear" w:color="auto" w:fill="auto"/>
            <w:noWrap/>
            <w:vAlign w:val="bottom"/>
          </w:tcPr>
          <w:p w14:paraId="15C56F5E"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3.66</w:t>
            </w:r>
            <w:r>
              <w:rPr>
                <w:rFonts w:eastAsia="Times New Roman" w:cs="Times New Roman"/>
                <w:color w:val="000000"/>
                <w:lang w:eastAsia="en-US"/>
              </w:rPr>
              <w:t>)</w:t>
            </w:r>
          </w:p>
        </w:tc>
      </w:tr>
      <w:tr w:rsidR="00142D2B" w:rsidRPr="009B5184" w14:paraId="1FA1FA5E" w14:textId="77777777" w:rsidTr="00786B13">
        <w:trPr>
          <w:trHeight w:val="300"/>
        </w:trPr>
        <w:tc>
          <w:tcPr>
            <w:tcW w:w="5055" w:type="dxa"/>
            <w:tcBorders>
              <w:top w:val="nil"/>
              <w:left w:val="nil"/>
              <w:bottom w:val="nil"/>
              <w:right w:val="nil"/>
            </w:tcBorders>
            <w:shd w:val="clear" w:color="auto" w:fill="auto"/>
            <w:vAlign w:val="bottom"/>
          </w:tcPr>
          <w:p w14:paraId="1D926AEC"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Population, in millions</w:t>
            </w:r>
          </w:p>
        </w:tc>
        <w:tc>
          <w:tcPr>
            <w:tcW w:w="1440" w:type="dxa"/>
            <w:tcBorders>
              <w:top w:val="nil"/>
              <w:left w:val="nil"/>
              <w:bottom w:val="nil"/>
              <w:right w:val="nil"/>
            </w:tcBorders>
            <w:shd w:val="clear" w:color="auto" w:fill="auto"/>
            <w:noWrap/>
            <w:vAlign w:val="bottom"/>
          </w:tcPr>
          <w:p w14:paraId="151CAE90"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13.16</w:t>
            </w:r>
          </w:p>
        </w:tc>
        <w:tc>
          <w:tcPr>
            <w:tcW w:w="1620" w:type="dxa"/>
            <w:tcBorders>
              <w:top w:val="nil"/>
              <w:left w:val="nil"/>
              <w:bottom w:val="nil"/>
              <w:right w:val="nil"/>
            </w:tcBorders>
            <w:shd w:val="clear" w:color="auto" w:fill="auto"/>
            <w:noWrap/>
            <w:vAlign w:val="bottom"/>
          </w:tcPr>
          <w:p w14:paraId="08618117"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19.84</w:t>
            </w:r>
            <w:r>
              <w:rPr>
                <w:rFonts w:eastAsia="Times New Roman" w:cs="Times New Roman"/>
                <w:color w:val="000000"/>
                <w:lang w:eastAsia="en-US"/>
              </w:rPr>
              <w:t>)</w:t>
            </w:r>
          </w:p>
        </w:tc>
      </w:tr>
      <w:tr w:rsidR="00142D2B" w:rsidRPr="009B5184" w14:paraId="72DD40E5" w14:textId="77777777" w:rsidTr="00786B13">
        <w:trPr>
          <w:trHeight w:val="300"/>
        </w:trPr>
        <w:tc>
          <w:tcPr>
            <w:tcW w:w="5055" w:type="dxa"/>
            <w:tcBorders>
              <w:top w:val="nil"/>
              <w:left w:val="nil"/>
              <w:bottom w:val="nil"/>
              <w:right w:val="nil"/>
            </w:tcBorders>
            <w:shd w:val="clear" w:color="auto" w:fill="auto"/>
            <w:noWrap/>
            <w:vAlign w:val="bottom"/>
          </w:tcPr>
          <w:p w14:paraId="240EA5AB" w14:textId="77777777" w:rsidR="00142D2B" w:rsidRPr="009B5184" w:rsidRDefault="00142D2B" w:rsidP="00786B13">
            <w:pPr>
              <w:spacing w:after="0"/>
              <w:jc w:val="both"/>
              <w:rPr>
                <w:rFonts w:eastAsia="Times New Roman" w:cs="Times New Roman"/>
                <w:color w:val="000000"/>
                <w:lang w:eastAsia="en-US"/>
              </w:rPr>
            </w:pPr>
          </w:p>
        </w:tc>
        <w:tc>
          <w:tcPr>
            <w:tcW w:w="1440" w:type="dxa"/>
            <w:tcBorders>
              <w:top w:val="nil"/>
              <w:left w:val="nil"/>
              <w:bottom w:val="nil"/>
              <w:right w:val="nil"/>
            </w:tcBorders>
            <w:shd w:val="clear" w:color="auto" w:fill="auto"/>
            <w:noWrap/>
            <w:vAlign w:val="bottom"/>
          </w:tcPr>
          <w:p w14:paraId="60F64977" w14:textId="77777777" w:rsidR="00142D2B" w:rsidRPr="009B5184" w:rsidRDefault="00142D2B" w:rsidP="00786B13">
            <w:pPr>
              <w:spacing w:after="0"/>
              <w:jc w:val="both"/>
              <w:rPr>
                <w:rFonts w:eastAsia="Times New Roman" w:cs="Times New Roman"/>
                <w:color w:val="000000"/>
                <w:lang w:eastAsia="en-US"/>
              </w:rPr>
            </w:pPr>
          </w:p>
        </w:tc>
        <w:tc>
          <w:tcPr>
            <w:tcW w:w="1620" w:type="dxa"/>
            <w:tcBorders>
              <w:top w:val="nil"/>
              <w:left w:val="nil"/>
              <w:bottom w:val="nil"/>
              <w:right w:val="nil"/>
            </w:tcBorders>
            <w:shd w:val="clear" w:color="auto" w:fill="auto"/>
            <w:noWrap/>
            <w:vAlign w:val="bottom"/>
          </w:tcPr>
          <w:p w14:paraId="636D4AD9" w14:textId="77777777" w:rsidR="00142D2B" w:rsidRPr="009B5184" w:rsidRDefault="00142D2B" w:rsidP="00786B13">
            <w:pPr>
              <w:spacing w:after="0"/>
              <w:jc w:val="both"/>
              <w:rPr>
                <w:rFonts w:eastAsia="Times New Roman" w:cs="Times New Roman"/>
                <w:color w:val="000000"/>
                <w:lang w:eastAsia="en-US"/>
              </w:rPr>
            </w:pPr>
          </w:p>
        </w:tc>
      </w:tr>
      <w:tr w:rsidR="00142D2B" w:rsidRPr="009B5184" w14:paraId="79A43F1D" w14:textId="77777777" w:rsidTr="00786B13">
        <w:trPr>
          <w:trHeight w:val="300"/>
        </w:trPr>
        <w:tc>
          <w:tcPr>
            <w:tcW w:w="5055" w:type="dxa"/>
            <w:tcBorders>
              <w:top w:val="nil"/>
              <w:left w:val="nil"/>
              <w:bottom w:val="nil"/>
              <w:right w:val="nil"/>
            </w:tcBorders>
            <w:shd w:val="clear" w:color="auto" w:fill="auto"/>
            <w:vAlign w:val="bottom"/>
          </w:tcPr>
          <w:p w14:paraId="2D0F77C5" w14:textId="77777777" w:rsidR="00142D2B" w:rsidRPr="009B5184" w:rsidRDefault="00142D2B" w:rsidP="00786B13">
            <w:pPr>
              <w:spacing w:after="0"/>
              <w:jc w:val="both"/>
              <w:rPr>
                <w:rFonts w:eastAsia="Times New Roman" w:cs="Times New Roman"/>
                <w:b/>
                <w:bCs/>
                <w:color w:val="000000"/>
                <w:lang w:eastAsia="en-US"/>
              </w:rPr>
            </w:pPr>
            <w:r w:rsidRPr="009B5184">
              <w:rPr>
                <w:rFonts w:eastAsia="Times New Roman" w:cs="Times New Roman"/>
                <w:b/>
                <w:bCs/>
                <w:color w:val="000000"/>
                <w:lang w:eastAsia="en-US"/>
              </w:rPr>
              <w:t>Dyadic variables</w:t>
            </w:r>
          </w:p>
        </w:tc>
        <w:tc>
          <w:tcPr>
            <w:tcW w:w="1440" w:type="dxa"/>
            <w:tcBorders>
              <w:top w:val="nil"/>
              <w:left w:val="nil"/>
              <w:bottom w:val="nil"/>
              <w:right w:val="nil"/>
            </w:tcBorders>
            <w:shd w:val="clear" w:color="auto" w:fill="auto"/>
            <w:noWrap/>
            <w:vAlign w:val="bottom"/>
          </w:tcPr>
          <w:p w14:paraId="45728DAB" w14:textId="77777777" w:rsidR="00142D2B" w:rsidRPr="009B5184" w:rsidRDefault="00142D2B" w:rsidP="00786B13">
            <w:pPr>
              <w:spacing w:after="0"/>
              <w:jc w:val="both"/>
              <w:rPr>
                <w:rFonts w:eastAsia="Times New Roman" w:cs="Times New Roman"/>
                <w:color w:val="000000"/>
                <w:lang w:eastAsia="en-US"/>
              </w:rPr>
            </w:pPr>
          </w:p>
        </w:tc>
        <w:tc>
          <w:tcPr>
            <w:tcW w:w="1620" w:type="dxa"/>
            <w:tcBorders>
              <w:top w:val="nil"/>
              <w:left w:val="nil"/>
              <w:bottom w:val="nil"/>
              <w:right w:val="nil"/>
            </w:tcBorders>
            <w:shd w:val="clear" w:color="auto" w:fill="auto"/>
            <w:noWrap/>
            <w:vAlign w:val="bottom"/>
          </w:tcPr>
          <w:p w14:paraId="56B1AF70" w14:textId="77777777" w:rsidR="00142D2B" w:rsidRPr="009B5184" w:rsidRDefault="00142D2B" w:rsidP="00786B13">
            <w:pPr>
              <w:spacing w:after="0"/>
              <w:jc w:val="both"/>
              <w:rPr>
                <w:rFonts w:eastAsia="Times New Roman" w:cs="Times New Roman"/>
                <w:color w:val="000000"/>
                <w:lang w:eastAsia="en-US"/>
              </w:rPr>
            </w:pPr>
          </w:p>
        </w:tc>
      </w:tr>
      <w:tr w:rsidR="00142D2B" w:rsidRPr="009B5184" w14:paraId="4A45D5ED" w14:textId="77777777" w:rsidTr="00786B13">
        <w:trPr>
          <w:trHeight w:val="300"/>
        </w:trPr>
        <w:tc>
          <w:tcPr>
            <w:tcW w:w="5055" w:type="dxa"/>
            <w:tcBorders>
              <w:top w:val="nil"/>
              <w:left w:val="nil"/>
              <w:bottom w:val="nil"/>
              <w:right w:val="nil"/>
            </w:tcBorders>
            <w:shd w:val="clear" w:color="auto" w:fill="auto"/>
            <w:vAlign w:val="bottom"/>
          </w:tcPr>
          <w:p w14:paraId="2D163D2A"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Distance between countries</w:t>
            </w:r>
          </w:p>
        </w:tc>
        <w:tc>
          <w:tcPr>
            <w:tcW w:w="1440" w:type="dxa"/>
            <w:tcBorders>
              <w:top w:val="nil"/>
              <w:left w:val="nil"/>
              <w:bottom w:val="nil"/>
              <w:right w:val="nil"/>
            </w:tcBorders>
            <w:shd w:val="clear" w:color="auto" w:fill="auto"/>
            <w:noWrap/>
            <w:vAlign w:val="bottom"/>
          </w:tcPr>
          <w:p w14:paraId="49353106"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5551</w:t>
            </w:r>
          </w:p>
        </w:tc>
        <w:tc>
          <w:tcPr>
            <w:tcW w:w="1620" w:type="dxa"/>
            <w:tcBorders>
              <w:top w:val="nil"/>
              <w:left w:val="nil"/>
              <w:bottom w:val="nil"/>
              <w:right w:val="nil"/>
            </w:tcBorders>
            <w:shd w:val="clear" w:color="auto" w:fill="auto"/>
            <w:noWrap/>
            <w:vAlign w:val="bottom"/>
          </w:tcPr>
          <w:p w14:paraId="18A698EF"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1939</w:t>
            </w:r>
            <w:r>
              <w:rPr>
                <w:rFonts w:eastAsia="Times New Roman" w:cs="Times New Roman"/>
                <w:color w:val="000000"/>
                <w:lang w:eastAsia="en-US"/>
              </w:rPr>
              <w:t>)</w:t>
            </w:r>
          </w:p>
        </w:tc>
      </w:tr>
      <w:tr w:rsidR="00142D2B" w:rsidRPr="009B5184" w14:paraId="15089CB5" w14:textId="77777777" w:rsidTr="00786B13">
        <w:trPr>
          <w:trHeight w:val="300"/>
        </w:trPr>
        <w:tc>
          <w:tcPr>
            <w:tcW w:w="5055" w:type="dxa"/>
            <w:tcBorders>
              <w:top w:val="nil"/>
              <w:left w:val="nil"/>
              <w:bottom w:val="nil"/>
              <w:right w:val="nil"/>
            </w:tcBorders>
            <w:shd w:val="clear" w:color="auto" w:fill="auto"/>
            <w:vAlign w:val="bottom"/>
          </w:tcPr>
          <w:p w14:paraId="742CBB6A"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Trade flows, in millions</w:t>
            </w:r>
            <w:r>
              <w:rPr>
                <w:rFonts w:eastAsia="Times New Roman" w:cs="Times New Roman"/>
                <w:color w:val="000000"/>
                <w:lang w:eastAsia="en-US"/>
              </w:rPr>
              <w:t xml:space="preserve"> of USD</w:t>
            </w:r>
          </w:p>
        </w:tc>
        <w:tc>
          <w:tcPr>
            <w:tcW w:w="1440" w:type="dxa"/>
            <w:tcBorders>
              <w:top w:val="nil"/>
              <w:left w:val="nil"/>
              <w:bottom w:val="nil"/>
              <w:right w:val="nil"/>
            </w:tcBorders>
            <w:shd w:val="clear" w:color="auto" w:fill="auto"/>
            <w:noWrap/>
            <w:vAlign w:val="bottom"/>
          </w:tcPr>
          <w:p w14:paraId="731EB4EF"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250</w:t>
            </w:r>
          </w:p>
        </w:tc>
        <w:tc>
          <w:tcPr>
            <w:tcW w:w="1620" w:type="dxa"/>
            <w:tcBorders>
              <w:top w:val="nil"/>
              <w:left w:val="nil"/>
              <w:bottom w:val="nil"/>
              <w:right w:val="nil"/>
            </w:tcBorders>
            <w:shd w:val="clear" w:color="auto" w:fill="auto"/>
            <w:noWrap/>
            <w:vAlign w:val="bottom"/>
          </w:tcPr>
          <w:p w14:paraId="7C103686"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647</w:t>
            </w:r>
            <w:r>
              <w:rPr>
                <w:rFonts w:eastAsia="Times New Roman" w:cs="Times New Roman"/>
                <w:color w:val="000000"/>
                <w:lang w:eastAsia="en-US"/>
              </w:rPr>
              <w:t>)</w:t>
            </w:r>
          </w:p>
        </w:tc>
      </w:tr>
      <w:tr w:rsidR="00142D2B" w:rsidRPr="009B5184" w14:paraId="22FA9230" w14:textId="77777777" w:rsidTr="00786B13">
        <w:trPr>
          <w:trHeight w:val="243"/>
        </w:trPr>
        <w:tc>
          <w:tcPr>
            <w:tcW w:w="5055" w:type="dxa"/>
            <w:tcBorders>
              <w:top w:val="nil"/>
              <w:left w:val="nil"/>
              <w:bottom w:val="nil"/>
              <w:right w:val="nil"/>
            </w:tcBorders>
            <w:shd w:val="clear" w:color="auto" w:fill="auto"/>
            <w:vAlign w:val="bottom"/>
          </w:tcPr>
          <w:p w14:paraId="06708022"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UN voting affinity</w:t>
            </w:r>
          </w:p>
        </w:tc>
        <w:tc>
          <w:tcPr>
            <w:tcW w:w="1440" w:type="dxa"/>
            <w:tcBorders>
              <w:top w:val="nil"/>
              <w:left w:val="nil"/>
              <w:bottom w:val="nil"/>
              <w:right w:val="nil"/>
            </w:tcBorders>
            <w:shd w:val="clear" w:color="auto" w:fill="auto"/>
            <w:noWrap/>
            <w:vAlign w:val="bottom"/>
          </w:tcPr>
          <w:p w14:paraId="24F04A8E"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0.62</w:t>
            </w:r>
          </w:p>
        </w:tc>
        <w:tc>
          <w:tcPr>
            <w:tcW w:w="1620" w:type="dxa"/>
            <w:tcBorders>
              <w:top w:val="nil"/>
              <w:left w:val="nil"/>
              <w:bottom w:val="nil"/>
              <w:right w:val="nil"/>
            </w:tcBorders>
            <w:shd w:val="clear" w:color="auto" w:fill="auto"/>
            <w:noWrap/>
            <w:vAlign w:val="bottom"/>
          </w:tcPr>
          <w:p w14:paraId="3168F7E3" w14:textId="77777777" w:rsidR="00142D2B" w:rsidRPr="009B5184" w:rsidRDefault="00142D2B" w:rsidP="00786B13">
            <w:pPr>
              <w:spacing w:after="0"/>
              <w:jc w:val="both"/>
              <w:rPr>
                <w:rFonts w:eastAsia="Times New Roman" w:cs="Times New Roman"/>
                <w:color w:val="000000"/>
                <w:lang w:eastAsia="en-US"/>
              </w:rPr>
            </w:pPr>
            <w:r>
              <w:rPr>
                <w:rFonts w:eastAsia="Times New Roman" w:cs="Times New Roman"/>
                <w:color w:val="000000"/>
                <w:lang w:eastAsia="en-US"/>
              </w:rPr>
              <w:t>(</w:t>
            </w:r>
            <w:r w:rsidRPr="009B5184">
              <w:rPr>
                <w:rFonts w:eastAsia="Times New Roman" w:cs="Times New Roman"/>
                <w:color w:val="000000"/>
                <w:lang w:eastAsia="en-US"/>
              </w:rPr>
              <w:t>0.07</w:t>
            </w:r>
            <w:r>
              <w:rPr>
                <w:rFonts w:eastAsia="Times New Roman" w:cs="Times New Roman"/>
                <w:color w:val="000000"/>
                <w:lang w:eastAsia="en-US"/>
              </w:rPr>
              <w:t>)</w:t>
            </w:r>
          </w:p>
        </w:tc>
      </w:tr>
      <w:tr w:rsidR="00142D2B" w:rsidRPr="009B5184" w14:paraId="2DAA0454" w14:textId="77777777" w:rsidTr="00786B13">
        <w:trPr>
          <w:trHeight w:val="100"/>
        </w:trPr>
        <w:tc>
          <w:tcPr>
            <w:tcW w:w="5055" w:type="dxa"/>
            <w:tcBorders>
              <w:top w:val="nil"/>
              <w:left w:val="nil"/>
              <w:bottom w:val="single" w:sz="8" w:space="0" w:color="auto"/>
              <w:right w:val="nil"/>
            </w:tcBorders>
            <w:shd w:val="clear" w:color="auto" w:fill="auto"/>
            <w:noWrap/>
            <w:vAlign w:val="bottom"/>
          </w:tcPr>
          <w:p w14:paraId="01C7034C"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 </w:t>
            </w:r>
          </w:p>
        </w:tc>
        <w:tc>
          <w:tcPr>
            <w:tcW w:w="1440" w:type="dxa"/>
            <w:tcBorders>
              <w:top w:val="nil"/>
              <w:left w:val="nil"/>
              <w:bottom w:val="single" w:sz="8" w:space="0" w:color="auto"/>
              <w:right w:val="nil"/>
            </w:tcBorders>
            <w:shd w:val="clear" w:color="auto" w:fill="auto"/>
            <w:noWrap/>
            <w:vAlign w:val="bottom"/>
          </w:tcPr>
          <w:p w14:paraId="4AD63581"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 </w:t>
            </w:r>
          </w:p>
        </w:tc>
        <w:tc>
          <w:tcPr>
            <w:tcW w:w="1620" w:type="dxa"/>
            <w:tcBorders>
              <w:top w:val="nil"/>
              <w:left w:val="nil"/>
              <w:bottom w:val="single" w:sz="8" w:space="0" w:color="auto"/>
              <w:right w:val="nil"/>
            </w:tcBorders>
            <w:shd w:val="clear" w:color="auto" w:fill="auto"/>
            <w:noWrap/>
            <w:vAlign w:val="bottom"/>
          </w:tcPr>
          <w:p w14:paraId="16CF66DE" w14:textId="77777777" w:rsidR="00142D2B" w:rsidRPr="009B5184" w:rsidRDefault="00142D2B" w:rsidP="00786B13">
            <w:pPr>
              <w:spacing w:after="0"/>
              <w:jc w:val="both"/>
              <w:rPr>
                <w:rFonts w:eastAsia="Times New Roman" w:cs="Times New Roman"/>
                <w:color w:val="000000"/>
                <w:lang w:eastAsia="en-US"/>
              </w:rPr>
            </w:pPr>
            <w:r w:rsidRPr="009B5184">
              <w:rPr>
                <w:rFonts w:eastAsia="Times New Roman" w:cs="Times New Roman"/>
                <w:color w:val="000000"/>
                <w:lang w:eastAsia="en-US"/>
              </w:rPr>
              <w:t> </w:t>
            </w:r>
          </w:p>
        </w:tc>
      </w:tr>
    </w:tbl>
    <w:p w14:paraId="61B13273" w14:textId="65E95977" w:rsidR="007063EC" w:rsidRDefault="007063EC" w:rsidP="007063EC">
      <w:pPr>
        <w:spacing w:after="0" w:line="480" w:lineRule="auto"/>
        <w:jc w:val="both"/>
      </w:pPr>
      <w:r>
        <w:t>as an independent variable, I use each of the above listed variables independently in order to examine the magnitude or uniqueness of each variable in aid allocation.</w:t>
      </w:r>
    </w:p>
    <w:p w14:paraId="6E74CE66" w14:textId="2DDC0EFF" w:rsidR="00142D2B" w:rsidRDefault="00142D2B" w:rsidP="00142D2B">
      <w:pPr>
        <w:spacing w:after="0" w:line="480" w:lineRule="auto"/>
        <w:ind w:firstLine="720"/>
        <w:jc w:val="both"/>
      </w:pPr>
      <w:r>
        <w:t>Furthermore, I relate bilateral aid flows to other numerous indicators, including economic variables (trade flows and gross domestic product (GDP)), political variables (polity score, a dummy for democracy, and the presence of civil war), and demographic variables (population density in 1950). I present the summary statistics for the Fren</w:t>
      </w:r>
      <w:r w:rsidR="001937B5">
        <w:t>chness and other variables inn Table 3.1</w:t>
      </w:r>
      <w:r>
        <w:t xml:space="preserve">. These variables provide alternate explanations for French aid allocation, while also testing the robustness of “Frenchness.” </w:t>
      </w:r>
    </w:p>
    <w:p w14:paraId="4C80D56F" w14:textId="6E380CFF" w:rsidR="00142D2B" w:rsidRPr="00454CBE" w:rsidRDefault="001418E9" w:rsidP="001937B5">
      <w:pPr>
        <w:spacing w:after="0" w:line="480" w:lineRule="auto"/>
        <w:ind w:firstLine="720"/>
        <w:jc w:val="both"/>
      </w:pPr>
      <w:r>
        <w:t>Figure</w:t>
      </w:r>
      <w:r w:rsidR="00142D2B">
        <w:t xml:space="preserve"> </w:t>
      </w:r>
      <w:r>
        <w:t>3.</w:t>
      </w:r>
      <w:r w:rsidR="00142D2B">
        <w:t>1</w:t>
      </w:r>
      <w:r>
        <w:t>.</w:t>
      </w:r>
      <w:r w:rsidR="00142D2B">
        <w:t xml:space="preserve"> </w:t>
      </w:r>
      <w:r w:rsidR="002150DE">
        <w:t>and Figure 3.2. illustrate</w:t>
      </w:r>
      <w:r w:rsidR="00142D2B">
        <w:t xml:space="preserve"> the amount of “Frenchness” in each African country, both former French colonies and non-colonies In order to simply present the information, </w:t>
      </w:r>
      <w:r>
        <w:t>Figure 3.1.</w:t>
      </w:r>
      <w:r w:rsidR="002150DE">
        <w:t xml:space="preserve"> and Figure 3.2.</w:t>
      </w:r>
      <w:r>
        <w:t xml:space="preserve"> </w:t>
      </w:r>
      <w:r w:rsidR="002150DE">
        <w:t xml:space="preserve">show </w:t>
      </w:r>
      <w:r w:rsidR="00142D2B">
        <w:t xml:space="preserve">the mean for each country, and therefore the time variance of “Frenchness” is not visually illustrated. Additionally, “Frenchness” can be negative or positive. Although it is possible to standardize the principal component analysis between 0 and 1, the analysis is still the same. A negative “Frenchness” simply means the absence of the composition variables. For example, Zimbabwe and Kenya lack “Frenchness” because they also lack a colonial relationship with the French colonial empire and are not yet included in the policy of Françafrique. However, Equatorial Guinea is less negative than other non-colonies because it has adopted the CFA franc as its official currency and is also a member of the </w:t>
      </w:r>
      <w:r w:rsidR="00142D2B">
        <w:rPr>
          <w:i/>
        </w:rPr>
        <w:t xml:space="preserve">Organization Internationale de la Francophonie. </w:t>
      </w:r>
      <w:r w:rsidR="00142D2B">
        <w:t xml:space="preserve">On the other hand, Senegal has the strongest level of “Frenchness,” primarily due to their unique colonial and post-colonial relationship with France. </w:t>
      </w:r>
    </w:p>
    <w:p w14:paraId="0588DDD7" w14:textId="77777777" w:rsidR="00142D2B" w:rsidRDefault="00142D2B" w:rsidP="00142D2B">
      <w:pPr>
        <w:jc w:val="center"/>
        <w:sectPr w:rsidR="00142D2B" w:rsidSect="00D0314C">
          <w:pgSz w:w="12240" w:h="15840"/>
          <w:pgMar w:top="1440" w:right="1440" w:bottom="1440" w:left="2520" w:header="720" w:footer="720" w:gutter="0"/>
          <w:pgNumType w:start="1"/>
          <w:cols w:space="720"/>
        </w:sectPr>
      </w:pPr>
    </w:p>
    <w:p w14:paraId="6EB344C3" w14:textId="6FEC6234" w:rsidR="002150DE" w:rsidRDefault="002150DE" w:rsidP="00142D2B">
      <w:pPr>
        <w:ind w:left="-360"/>
        <w:jc w:val="both"/>
      </w:pPr>
      <w:r>
        <w:rPr>
          <w:noProof/>
          <w:lang w:eastAsia="en-US"/>
        </w:rPr>
        <w:drawing>
          <wp:anchor distT="0" distB="0" distL="114300" distR="114300" simplePos="0" relativeHeight="251662336" behindDoc="0" locked="0" layoutInCell="1" allowOverlap="1" wp14:anchorId="4CF61823" wp14:editId="06185E75">
            <wp:simplePos x="0" y="0"/>
            <wp:positionH relativeFrom="column">
              <wp:posOffset>0</wp:posOffset>
            </wp:positionH>
            <wp:positionV relativeFrom="paragraph">
              <wp:posOffset>0</wp:posOffset>
            </wp:positionV>
            <wp:extent cx="5257800" cy="2879011"/>
            <wp:effectExtent l="0" t="0" r="25400" b="17145"/>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42200DFB" w14:textId="77777777" w:rsidR="002150DE" w:rsidRPr="002150DE" w:rsidRDefault="002150DE" w:rsidP="002150DE"/>
    <w:p w14:paraId="4340174C" w14:textId="77777777" w:rsidR="002150DE" w:rsidRPr="002150DE" w:rsidRDefault="002150DE" w:rsidP="002150DE"/>
    <w:p w14:paraId="54A5F5AC" w14:textId="77777777" w:rsidR="002150DE" w:rsidRPr="002150DE" w:rsidRDefault="002150DE" w:rsidP="002150DE"/>
    <w:p w14:paraId="7A634695" w14:textId="77777777" w:rsidR="002150DE" w:rsidRPr="002150DE" w:rsidRDefault="002150DE" w:rsidP="002150DE"/>
    <w:p w14:paraId="4ECB2DDF" w14:textId="77777777" w:rsidR="002150DE" w:rsidRPr="002150DE" w:rsidRDefault="002150DE" w:rsidP="002150DE"/>
    <w:p w14:paraId="4A719EC1" w14:textId="77777777" w:rsidR="002150DE" w:rsidRPr="002150DE" w:rsidRDefault="002150DE" w:rsidP="002150DE"/>
    <w:p w14:paraId="63ECDC02" w14:textId="77777777" w:rsidR="002150DE" w:rsidRPr="002150DE" w:rsidRDefault="002150DE" w:rsidP="002150DE"/>
    <w:p w14:paraId="5D4D8FAD" w14:textId="77777777" w:rsidR="002150DE" w:rsidRPr="002150DE" w:rsidRDefault="002150DE" w:rsidP="002150DE"/>
    <w:p w14:paraId="5A804B77" w14:textId="038DDB09" w:rsidR="002150DE" w:rsidRDefault="002150DE" w:rsidP="002150DE"/>
    <w:p w14:paraId="74188D0E" w14:textId="602451F2" w:rsidR="002150DE" w:rsidRDefault="002150DE" w:rsidP="002150DE">
      <w:r>
        <w:t>Figure 3.1. “Frenchness” index in former colonies</w:t>
      </w:r>
    </w:p>
    <w:p w14:paraId="28BAC66C" w14:textId="205AD668" w:rsidR="002150DE" w:rsidRDefault="002150DE" w:rsidP="002150DE"/>
    <w:p w14:paraId="57E01DF6" w14:textId="53C06167" w:rsidR="002150DE" w:rsidRDefault="002150DE" w:rsidP="002150DE">
      <w:r>
        <w:rPr>
          <w:noProof/>
          <w:lang w:eastAsia="en-US"/>
        </w:rPr>
        <w:drawing>
          <wp:inline distT="0" distB="0" distL="0" distR="0" wp14:anchorId="6582FEB9" wp14:editId="52C5ADD6">
            <wp:extent cx="5257800" cy="3034797"/>
            <wp:effectExtent l="0" t="0" r="25400" b="1333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665989E" w14:textId="03381291" w:rsidR="002150DE" w:rsidRDefault="002150DE" w:rsidP="002150DE">
      <w:r>
        <w:t xml:space="preserve">Figure 3.2. “Frenchness” index in non-former colonies </w:t>
      </w:r>
    </w:p>
    <w:p w14:paraId="5E4B07E8" w14:textId="7F7B2C90" w:rsidR="002150DE" w:rsidRDefault="002150DE" w:rsidP="002150DE"/>
    <w:p w14:paraId="336995FC" w14:textId="77777777" w:rsidR="00142D2B" w:rsidRPr="002150DE" w:rsidRDefault="00142D2B" w:rsidP="002150DE">
      <w:pPr>
        <w:sectPr w:rsidR="00142D2B" w:rsidRPr="002150DE" w:rsidSect="00D0314C">
          <w:pgSz w:w="12240" w:h="15840"/>
          <w:pgMar w:top="1440" w:right="1440" w:bottom="1440" w:left="2520" w:header="720" w:footer="720" w:gutter="0"/>
          <w:cols w:space="720"/>
        </w:sectPr>
      </w:pPr>
    </w:p>
    <w:p w14:paraId="6E61EDDD" w14:textId="77777777" w:rsidR="00142D2B" w:rsidRDefault="00142D2B" w:rsidP="00142D2B">
      <w:pPr>
        <w:spacing w:after="0" w:line="480" w:lineRule="auto"/>
        <w:jc w:val="center"/>
      </w:pPr>
      <w:r>
        <w:rPr>
          <w:b/>
        </w:rPr>
        <w:t>Results</w:t>
      </w:r>
    </w:p>
    <w:p w14:paraId="3DEF2F65" w14:textId="77777777" w:rsidR="00142D2B" w:rsidRDefault="00142D2B" w:rsidP="00142D2B">
      <w:pPr>
        <w:spacing w:after="0" w:line="480" w:lineRule="auto"/>
        <w:ind w:firstLine="720"/>
        <w:jc w:val="both"/>
      </w:pPr>
      <w:r>
        <w:t>In this section, I will present several regressions that explain the variation in French bilateral aid flows, including the individual components of the “Frenchness” index as well as the “Frenchness” index.</w:t>
      </w:r>
      <w:r w:rsidRPr="00603B62">
        <w:rPr>
          <w:rStyle w:val="FootnoteReference"/>
        </w:rPr>
        <w:footnoteReference w:id="205"/>
      </w:r>
      <w:r w:rsidRPr="00603B62">
        <w:t xml:space="preserve"> </w:t>
      </w:r>
      <w:r>
        <w:t xml:space="preserve">Overall, my regressions confirm my hypothesis that France favors former colonies over non-colonies, especially former colonies with an identity more aligned with the French, in terms of culture, language, education, etc. </w:t>
      </w:r>
    </w:p>
    <w:p w14:paraId="688E86DB" w14:textId="77777777" w:rsidR="001937B5" w:rsidRDefault="00142D2B" w:rsidP="001937B5">
      <w:pPr>
        <w:spacing w:after="0" w:line="480" w:lineRule="auto"/>
        <w:ind w:firstLine="720"/>
        <w:jc w:val="both"/>
      </w:pPr>
      <w:r>
        <w:t xml:space="preserve">In Table 3.2., Column (1) reports the raw correlation of “Frenchness” and the natural log of bilateral aid committed. The coefficient is positive and significant, which implies that the amount of aid received is increasing as “Frenchness” increases. In subsequent columns, I implement controls in groups (political, economic, and other) with respect to the existing literature. The last column implements all of the control variables. From the regression tables, we see that “Frenchness” is robust in determining bilateral aid allocation. This confirms my hypothesis that France gives aid based on the amount of French identity present. Moreover, the amount of aid increases on average by 30 percent with each unit increase of “Frenchness,” created using the principal component analysis. </w:t>
      </w:r>
    </w:p>
    <w:p w14:paraId="1765FA5B" w14:textId="3ED87891" w:rsidR="00142D2B" w:rsidRDefault="001937B5" w:rsidP="001937B5">
      <w:pPr>
        <w:spacing w:after="0" w:line="480" w:lineRule="auto"/>
        <w:ind w:firstLine="720"/>
        <w:jc w:val="both"/>
      </w:pPr>
      <w:r>
        <w:t>This</w:t>
      </w:r>
      <w:r w:rsidR="00142D2B">
        <w:t xml:space="preserve"> table is in agreement with the existing economics literature that gross domestic product (GDP), trade, and the presence of democratic norms are important factors in determining aid receipts. GDP is both positive and significant, meaning that the level of economic development also influences the amount of aid a country receives. This is both intuitive and in agreement with the economics literature and policy makers. However, these results do not significantly lessen the effect of “Frenchness.” Although trade is significant, it has a minimal effect on bilateral aid committed, which will be further emphasized on in the next section. </w:t>
      </w:r>
    </w:p>
    <w:p w14:paraId="3E42319A" w14:textId="6952FEF1" w:rsidR="00142D2B" w:rsidRDefault="00142D2B" w:rsidP="00142D2B">
      <w:pPr>
        <w:spacing w:after="0" w:line="480" w:lineRule="auto"/>
        <w:ind w:firstLine="720"/>
        <w:jc w:val="both"/>
      </w:pPr>
      <w:r>
        <w:t>Various political measurements—democracy, Polity IV score, and the age of the current regime—have similar effects on bilateral aid flows. The democracy variable, which is a dummy variable, is both positive and significant, but again does not alter the significance of “Frenchness.” In order to gain a more complete understanding of the importance of regime type, I use Polity IV, which ranges from -10 (aut</w:t>
      </w:r>
      <w:r w:rsidR="001937B5">
        <w:t xml:space="preserve">horitarian) to 10 (democracy). Most </w:t>
      </w:r>
      <w:r>
        <w:t xml:space="preserve">African states lean towards the negative end of the spectrum, which is reported in the summary statistics in Table 3.1. Polity IV is in accordance with the democracy dummy as a negative Polity IV score has a negative impact on bilateral aid flows. Again, this does not necessarily mean that “Frenchness” is not a key determinant in aid allocation but rather than donor countries can consider a variety of influences in addition to strategic interests. </w:t>
      </w:r>
    </w:p>
    <w:p w14:paraId="74C04522" w14:textId="77777777" w:rsidR="00981E30" w:rsidRDefault="00142D2B" w:rsidP="00142D2B">
      <w:pPr>
        <w:spacing w:after="0" w:line="480" w:lineRule="auto"/>
        <w:ind w:firstLine="720"/>
        <w:jc w:val="both"/>
      </w:pPr>
      <w:r>
        <w:t xml:space="preserve">Finally, the age in years of current regime is positive and significant. This measure, however, could be slightly related to “Frenchness” because of the length in the regimes of former French possessions. Some of these long-term politicians include President Léopold Sédar Senghor of Senegal (20 years), President Felix Houphouët-Boigny of Côte d’Ivoire (33 years), and President Omar Bongo of Gabon (41 years). As presented in previous chapter, these presidents had special or privileged relationships with various French administrations through the channels of Françafrique. Because of the nature and scope of these special relationships, the </w:t>
      </w:r>
    </w:p>
    <w:tbl>
      <w:tblPr>
        <w:tblW w:w="6720" w:type="dxa"/>
        <w:tblInd w:w="93" w:type="dxa"/>
        <w:tblLook w:val="04A0" w:firstRow="1" w:lastRow="0" w:firstColumn="1" w:lastColumn="0" w:noHBand="0" w:noVBand="1"/>
      </w:tblPr>
      <w:tblGrid>
        <w:gridCol w:w="498"/>
        <w:gridCol w:w="498"/>
        <w:gridCol w:w="498"/>
        <w:gridCol w:w="498"/>
        <w:gridCol w:w="498"/>
        <w:gridCol w:w="498"/>
        <w:gridCol w:w="498"/>
        <w:gridCol w:w="498"/>
        <w:gridCol w:w="498"/>
        <w:gridCol w:w="498"/>
        <w:gridCol w:w="498"/>
        <w:gridCol w:w="498"/>
        <w:gridCol w:w="498"/>
        <w:gridCol w:w="498"/>
        <w:gridCol w:w="498"/>
        <w:gridCol w:w="498"/>
      </w:tblGrid>
      <w:tr w:rsidR="00C8575A" w:rsidRPr="00C8575A" w14:paraId="43B754FB" w14:textId="77777777" w:rsidTr="00C8575A">
        <w:trPr>
          <w:trHeight w:val="1180"/>
        </w:trPr>
        <w:tc>
          <w:tcPr>
            <w:tcW w:w="420" w:type="dxa"/>
            <w:vMerge w:val="restart"/>
            <w:tcBorders>
              <w:top w:val="nil"/>
              <w:left w:val="nil"/>
              <w:bottom w:val="nil"/>
              <w:right w:val="single" w:sz="4" w:space="0" w:color="auto"/>
            </w:tcBorders>
            <w:shd w:val="clear" w:color="auto" w:fill="auto"/>
            <w:noWrap/>
            <w:textDirection w:val="btLr"/>
            <w:vAlign w:val="bottom"/>
            <w:hideMark/>
          </w:tcPr>
          <w:p w14:paraId="4AA09E8B"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 xml:space="preserve">Table 3.2. Bilateral aid committed (ln), full sample </w:t>
            </w:r>
          </w:p>
        </w:tc>
        <w:tc>
          <w:tcPr>
            <w:tcW w:w="420" w:type="dxa"/>
            <w:tcBorders>
              <w:top w:val="nil"/>
              <w:left w:val="nil"/>
              <w:bottom w:val="nil"/>
              <w:right w:val="nil"/>
            </w:tcBorders>
            <w:shd w:val="clear" w:color="auto" w:fill="auto"/>
            <w:textDirection w:val="btLr"/>
            <w:vAlign w:val="center"/>
            <w:hideMark/>
          </w:tcPr>
          <w:p w14:paraId="0EEF0760" w14:textId="77777777" w:rsidR="00C8575A" w:rsidRPr="00C8575A" w:rsidRDefault="00C8575A" w:rsidP="00C8575A">
            <w:pPr>
              <w:spacing w:after="0"/>
              <w:rPr>
                <w:rFonts w:eastAsia="Times New Roman" w:cs="Times New Roman"/>
                <w:b/>
                <w:bCs/>
                <w:lang w:eastAsia="en-US"/>
              </w:rPr>
            </w:pPr>
            <w:r w:rsidRPr="00C8575A">
              <w:rPr>
                <w:rFonts w:eastAsia="Times New Roman" w:cs="Times New Roman"/>
                <w:b/>
                <w:bCs/>
                <w:lang w:eastAsia="en-US"/>
              </w:rPr>
              <w:t>(8)</w:t>
            </w:r>
          </w:p>
        </w:tc>
        <w:tc>
          <w:tcPr>
            <w:tcW w:w="420" w:type="dxa"/>
            <w:tcBorders>
              <w:top w:val="nil"/>
              <w:left w:val="nil"/>
              <w:bottom w:val="nil"/>
              <w:right w:val="nil"/>
            </w:tcBorders>
            <w:shd w:val="clear" w:color="auto" w:fill="auto"/>
            <w:noWrap/>
            <w:textDirection w:val="btLr"/>
            <w:vAlign w:val="center"/>
            <w:hideMark/>
          </w:tcPr>
          <w:p w14:paraId="02FAAF4B"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0.324***</w:t>
            </w:r>
          </w:p>
        </w:tc>
        <w:tc>
          <w:tcPr>
            <w:tcW w:w="420" w:type="dxa"/>
            <w:tcBorders>
              <w:top w:val="nil"/>
              <w:left w:val="nil"/>
              <w:bottom w:val="nil"/>
              <w:right w:val="nil"/>
            </w:tcBorders>
            <w:shd w:val="clear" w:color="auto" w:fill="auto"/>
            <w:noWrap/>
            <w:textDirection w:val="btLr"/>
            <w:vAlign w:val="center"/>
            <w:hideMark/>
          </w:tcPr>
          <w:p w14:paraId="6623734F"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(0.022)</w:t>
            </w:r>
          </w:p>
        </w:tc>
        <w:tc>
          <w:tcPr>
            <w:tcW w:w="420" w:type="dxa"/>
            <w:tcBorders>
              <w:top w:val="nil"/>
              <w:left w:val="nil"/>
              <w:bottom w:val="nil"/>
              <w:right w:val="nil"/>
            </w:tcBorders>
            <w:shd w:val="clear" w:color="auto" w:fill="auto"/>
            <w:noWrap/>
            <w:textDirection w:val="btLr"/>
            <w:vAlign w:val="center"/>
            <w:hideMark/>
          </w:tcPr>
          <w:p w14:paraId="790B9E33"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0.466***</w:t>
            </w:r>
          </w:p>
        </w:tc>
        <w:tc>
          <w:tcPr>
            <w:tcW w:w="420" w:type="dxa"/>
            <w:tcBorders>
              <w:top w:val="nil"/>
              <w:left w:val="nil"/>
              <w:bottom w:val="nil"/>
              <w:right w:val="nil"/>
            </w:tcBorders>
            <w:shd w:val="clear" w:color="auto" w:fill="auto"/>
            <w:noWrap/>
            <w:textDirection w:val="btLr"/>
            <w:vAlign w:val="center"/>
            <w:hideMark/>
          </w:tcPr>
          <w:p w14:paraId="4DC10F13"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(0.045)</w:t>
            </w:r>
          </w:p>
        </w:tc>
        <w:tc>
          <w:tcPr>
            <w:tcW w:w="420" w:type="dxa"/>
            <w:tcBorders>
              <w:top w:val="nil"/>
              <w:left w:val="nil"/>
              <w:bottom w:val="nil"/>
              <w:right w:val="nil"/>
            </w:tcBorders>
            <w:shd w:val="clear" w:color="auto" w:fill="auto"/>
            <w:noWrap/>
            <w:textDirection w:val="btLr"/>
            <w:vAlign w:val="center"/>
            <w:hideMark/>
          </w:tcPr>
          <w:p w14:paraId="026C322F"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0.000**</w:t>
            </w:r>
          </w:p>
        </w:tc>
        <w:tc>
          <w:tcPr>
            <w:tcW w:w="420" w:type="dxa"/>
            <w:tcBorders>
              <w:top w:val="nil"/>
              <w:left w:val="nil"/>
              <w:bottom w:val="nil"/>
              <w:right w:val="nil"/>
            </w:tcBorders>
            <w:shd w:val="clear" w:color="auto" w:fill="auto"/>
            <w:noWrap/>
            <w:textDirection w:val="btLr"/>
            <w:vAlign w:val="center"/>
            <w:hideMark/>
          </w:tcPr>
          <w:p w14:paraId="0BCDE63B"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5061EE7"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0.034</w:t>
            </w:r>
          </w:p>
        </w:tc>
        <w:tc>
          <w:tcPr>
            <w:tcW w:w="420" w:type="dxa"/>
            <w:tcBorders>
              <w:top w:val="nil"/>
              <w:left w:val="nil"/>
              <w:bottom w:val="nil"/>
              <w:right w:val="nil"/>
            </w:tcBorders>
            <w:shd w:val="clear" w:color="auto" w:fill="auto"/>
            <w:noWrap/>
            <w:textDirection w:val="btLr"/>
            <w:vAlign w:val="center"/>
            <w:hideMark/>
          </w:tcPr>
          <w:p w14:paraId="06DC80F8"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(0.188)</w:t>
            </w:r>
          </w:p>
        </w:tc>
        <w:tc>
          <w:tcPr>
            <w:tcW w:w="420" w:type="dxa"/>
            <w:tcBorders>
              <w:top w:val="nil"/>
              <w:left w:val="nil"/>
              <w:bottom w:val="nil"/>
              <w:right w:val="nil"/>
            </w:tcBorders>
            <w:shd w:val="clear" w:color="auto" w:fill="auto"/>
            <w:noWrap/>
            <w:textDirection w:val="btLr"/>
            <w:vAlign w:val="center"/>
            <w:hideMark/>
          </w:tcPr>
          <w:p w14:paraId="544C546D"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0.485</w:t>
            </w:r>
          </w:p>
        </w:tc>
        <w:tc>
          <w:tcPr>
            <w:tcW w:w="420" w:type="dxa"/>
            <w:tcBorders>
              <w:top w:val="nil"/>
              <w:left w:val="nil"/>
              <w:bottom w:val="nil"/>
              <w:right w:val="nil"/>
            </w:tcBorders>
            <w:shd w:val="clear" w:color="auto" w:fill="auto"/>
            <w:noWrap/>
            <w:textDirection w:val="btLr"/>
            <w:vAlign w:val="center"/>
            <w:hideMark/>
          </w:tcPr>
          <w:p w14:paraId="0F4FCB7E"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(0.479)</w:t>
            </w:r>
          </w:p>
        </w:tc>
        <w:tc>
          <w:tcPr>
            <w:tcW w:w="420" w:type="dxa"/>
            <w:tcBorders>
              <w:top w:val="nil"/>
              <w:left w:val="nil"/>
              <w:bottom w:val="nil"/>
              <w:right w:val="nil"/>
            </w:tcBorders>
            <w:shd w:val="clear" w:color="auto" w:fill="auto"/>
            <w:noWrap/>
            <w:textDirection w:val="btLr"/>
            <w:vAlign w:val="center"/>
            <w:hideMark/>
          </w:tcPr>
          <w:p w14:paraId="033E57DA"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0.615***</w:t>
            </w:r>
          </w:p>
        </w:tc>
        <w:tc>
          <w:tcPr>
            <w:tcW w:w="420" w:type="dxa"/>
            <w:tcBorders>
              <w:top w:val="nil"/>
              <w:left w:val="nil"/>
              <w:bottom w:val="nil"/>
              <w:right w:val="nil"/>
            </w:tcBorders>
            <w:shd w:val="clear" w:color="auto" w:fill="auto"/>
            <w:noWrap/>
            <w:textDirection w:val="btLr"/>
            <w:vAlign w:val="center"/>
            <w:hideMark/>
          </w:tcPr>
          <w:p w14:paraId="09BCE6B8"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(0.197)</w:t>
            </w:r>
          </w:p>
        </w:tc>
        <w:tc>
          <w:tcPr>
            <w:tcW w:w="420" w:type="dxa"/>
            <w:tcBorders>
              <w:top w:val="nil"/>
              <w:left w:val="nil"/>
              <w:bottom w:val="nil"/>
              <w:right w:val="nil"/>
            </w:tcBorders>
            <w:shd w:val="clear" w:color="auto" w:fill="auto"/>
            <w:noWrap/>
            <w:textDirection w:val="btLr"/>
            <w:vAlign w:val="center"/>
            <w:hideMark/>
          </w:tcPr>
          <w:p w14:paraId="2EEBCDE1"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-0.033***</w:t>
            </w:r>
          </w:p>
        </w:tc>
        <w:tc>
          <w:tcPr>
            <w:tcW w:w="420" w:type="dxa"/>
            <w:tcBorders>
              <w:top w:val="nil"/>
              <w:left w:val="nil"/>
              <w:bottom w:val="nil"/>
              <w:right w:val="nil"/>
            </w:tcBorders>
            <w:shd w:val="clear" w:color="auto" w:fill="auto"/>
            <w:noWrap/>
            <w:textDirection w:val="btLr"/>
            <w:vAlign w:val="center"/>
            <w:hideMark/>
          </w:tcPr>
          <w:p w14:paraId="27460194"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(0.012)</w:t>
            </w:r>
          </w:p>
        </w:tc>
      </w:tr>
      <w:tr w:rsidR="00C8575A" w:rsidRPr="00C8575A" w14:paraId="04681AFE" w14:textId="77777777" w:rsidTr="00C8575A">
        <w:trPr>
          <w:trHeight w:val="1180"/>
        </w:trPr>
        <w:tc>
          <w:tcPr>
            <w:tcW w:w="420" w:type="dxa"/>
            <w:vMerge/>
            <w:tcBorders>
              <w:top w:val="nil"/>
              <w:left w:val="nil"/>
              <w:bottom w:val="nil"/>
              <w:right w:val="single" w:sz="4" w:space="0" w:color="auto"/>
            </w:tcBorders>
            <w:vAlign w:val="center"/>
            <w:hideMark/>
          </w:tcPr>
          <w:p w14:paraId="6B440AF1" w14:textId="77777777" w:rsidR="00C8575A" w:rsidRPr="00C8575A" w:rsidRDefault="00C8575A" w:rsidP="00C8575A">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center"/>
            <w:hideMark/>
          </w:tcPr>
          <w:p w14:paraId="2C64BB55" w14:textId="77777777" w:rsidR="00C8575A" w:rsidRPr="00C8575A" w:rsidRDefault="00C8575A" w:rsidP="00C8575A">
            <w:pPr>
              <w:spacing w:after="0"/>
              <w:rPr>
                <w:rFonts w:eastAsia="Times New Roman" w:cs="Times New Roman"/>
                <w:b/>
                <w:bCs/>
                <w:lang w:eastAsia="en-US"/>
              </w:rPr>
            </w:pPr>
            <w:r w:rsidRPr="00C8575A">
              <w:rPr>
                <w:rFonts w:eastAsia="Times New Roman" w:cs="Times New Roman"/>
                <w:b/>
                <w:bCs/>
                <w:lang w:eastAsia="en-US"/>
              </w:rPr>
              <w:t>(7)</w:t>
            </w:r>
          </w:p>
        </w:tc>
        <w:tc>
          <w:tcPr>
            <w:tcW w:w="420" w:type="dxa"/>
            <w:tcBorders>
              <w:top w:val="nil"/>
              <w:left w:val="nil"/>
              <w:bottom w:val="nil"/>
              <w:right w:val="nil"/>
            </w:tcBorders>
            <w:shd w:val="clear" w:color="auto" w:fill="auto"/>
            <w:noWrap/>
            <w:textDirection w:val="btLr"/>
            <w:vAlign w:val="center"/>
            <w:hideMark/>
          </w:tcPr>
          <w:p w14:paraId="2F73886B"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0.348***</w:t>
            </w:r>
          </w:p>
        </w:tc>
        <w:tc>
          <w:tcPr>
            <w:tcW w:w="420" w:type="dxa"/>
            <w:tcBorders>
              <w:top w:val="nil"/>
              <w:left w:val="nil"/>
              <w:bottom w:val="nil"/>
              <w:right w:val="nil"/>
            </w:tcBorders>
            <w:shd w:val="clear" w:color="auto" w:fill="auto"/>
            <w:noWrap/>
            <w:textDirection w:val="btLr"/>
            <w:vAlign w:val="center"/>
            <w:hideMark/>
          </w:tcPr>
          <w:p w14:paraId="7E4530DB"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(0.020)</w:t>
            </w:r>
          </w:p>
        </w:tc>
        <w:tc>
          <w:tcPr>
            <w:tcW w:w="420" w:type="dxa"/>
            <w:tcBorders>
              <w:top w:val="nil"/>
              <w:left w:val="nil"/>
              <w:bottom w:val="nil"/>
              <w:right w:val="nil"/>
            </w:tcBorders>
            <w:shd w:val="clear" w:color="auto" w:fill="auto"/>
            <w:noWrap/>
            <w:textDirection w:val="btLr"/>
            <w:vAlign w:val="center"/>
            <w:hideMark/>
          </w:tcPr>
          <w:p w14:paraId="3F704668"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0.422***</w:t>
            </w:r>
          </w:p>
        </w:tc>
        <w:tc>
          <w:tcPr>
            <w:tcW w:w="420" w:type="dxa"/>
            <w:tcBorders>
              <w:top w:val="nil"/>
              <w:left w:val="nil"/>
              <w:bottom w:val="nil"/>
              <w:right w:val="nil"/>
            </w:tcBorders>
            <w:shd w:val="clear" w:color="auto" w:fill="auto"/>
            <w:noWrap/>
            <w:textDirection w:val="btLr"/>
            <w:vAlign w:val="center"/>
            <w:hideMark/>
          </w:tcPr>
          <w:p w14:paraId="5149DF91"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(0.045)</w:t>
            </w:r>
          </w:p>
        </w:tc>
        <w:tc>
          <w:tcPr>
            <w:tcW w:w="420" w:type="dxa"/>
            <w:tcBorders>
              <w:top w:val="nil"/>
              <w:left w:val="nil"/>
              <w:bottom w:val="nil"/>
              <w:right w:val="nil"/>
            </w:tcBorders>
            <w:shd w:val="clear" w:color="auto" w:fill="auto"/>
            <w:noWrap/>
            <w:textDirection w:val="btLr"/>
            <w:vAlign w:val="center"/>
            <w:hideMark/>
          </w:tcPr>
          <w:p w14:paraId="1A12AB13"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0.000***</w:t>
            </w:r>
          </w:p>
        </w:tc>
        <w:tc>
          <w:tcPr>
            <w:tcW w:w="420" w:type="dxa"/>
            <w:tcBorders>
              <w:top w:val="nil"/>
              <w:left w:val="nil"/>
              <w:bottom w:val="nil"/>
              <w:right w:val="nil"/>
            </w:tcBorders>
            <w:shd w:val="clear" w:color="auto" w:fill="auto"/>
            <w:noWrap/>
            <w:textDirection w:val="btLr"/>
            <w:vAlign w:val="center"/>
            <w:hideMark/>
          </w:tcPr>
          <w:p w14:paraId="5939B2DF"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158FECFB"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-0.007</w:t>
            </w:r>
          </w:p>
        </w:tc>
        <w:tc>
          <w:tcPr>
            <w:tcW w:w="420" w:type="dxa"/>
            <w:tcBorders>
              <w:top w:val="nil"/>
              <w:left w:val="nil"/>
              <w:bottom w:val="nil"/>
              <w:right w:val="nil"/>
            </w:tcBorders>
            <w:shd w:val="clear" w:color="auto" w:fill="auto"/>
            <w:noWrap/>
            <w:textDirection w:val="btLr"/>
            <w:vAlign w:val="center"/>
            <w:hideMark/>
          </w:tcPr>
          <w:p w14:paraId="4D83161A"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(0.186)</w:t>
            </w:r>
          </w:p>
        </w:tc>
        <w:tc>
          <w:tcPr>
            <w:tcW w:w="420" w:type="dxa"/>
            <w:tcBorders>
              <w:top w:val="nil"/>
              <w:left w:val="nil"/>
              <w:bottom w:val="nil"/>
              <w:right w:val="nil"/>
            </w:tcBorders>
            <w:shd w:val="clear" w:color="auto" w:fill="auto"/>
            <w:noWrap/>
            <w:textDirection w:val="btLr"/>
            <w:vAlign w:val="center"/>
            <w:hideMark/>
          </w:tcPr>
          <w:p w14:paraId="38F3B0C6"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0.452</w:t>
            </w:r>
          </w:p>
        </w:tc>
        <w:tc>
          <w:tcPr>
            <w:tcW w:w="420" w:type="dxa"/>
            <w:tcBorders>
              <w:top w:val="nil"/>
              <w:left w:val="nil"/>
              <w:bottom w:val="nil"/>
              <w:right w:val="nil"/>
            </w:tcBorders>
            <w:shd w:val="clear" w:color="auto" w:fill="auto"/>
            <w:noWrap/>
            <w:textDirection w:val="btLr"/>
            <w:vAlign w:val="center"/>
            <w:hideMark/>
          </w:tcPr>
          <w:p w14:paraId="77D160C9"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(0.475)</w:t>
            </w:r>
          </w:p>
        </w:tc>
        <w:tc>
          <w:tcPr>
            <w:tcW w:w="420" w:type="dxa"/>
            <w:tcBorders>
              <w:top w:val="nil"/>
              <w:left w:val="nil"/>
              <w:bottom w:val="nil"/>
              <w:right w:val="nil"/>
            </w:tcBorders>
            <w:shd w:val="clear" w:color="auto" w:fill="auto"/>
            <w:noWrap/>
            <w:textDirection w:val="btLr"/>
            <w:vAlign w:val="center"/>
            <w:hideMark/>
          </w:tcPr>
          <w:p w14:paraId="367AFC73"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0.619***</w:t>
            </w:r>
          </w:p>
        </w:tc>
        <w:tc>
          <w:tcPr>
            <w:tcW w:w="420" w:type="dxa"/>
            <w:tcBorders>
              <w:top w:val="nil"/>
              <w:left w:val="nil"/>
              <w:bottom w:val="nil"/>
              <w:right w:val="nil"/>
            </w:tcBorders>
            <w:shd w:val="clear" w:color="auto" w:fill="auto"/>
            <w:noWrap/>
            <w:textDirection w:val="btLr"/>
            <w:vAlign w:val="center"/>
            <w:hideMark/>
          </w:tcPr>
          <w:p w14:paraId="2733A451"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(0.198)</w:t>
            </w:r>
          </w:p>
        </w:tc>
        <w:tc>
          <w:tcPr>
            <w:tcW w:w="420" w:type="dxa"/>
            <w:tcBorders>
              <w:top w:val="nil"/>
              <w:left w:val="nil"/>
              <w:bottom w:val="nil"/>
              <w:right w:val="nil"/>
            </w:tcBorders>
            <w:shd w:val="clear" w:color="auto" w:fill="auto"/>
            <w:noWrap/>
            <w:textDirection w:val="btLr"/>
            <w:vAlign w:val="center"/>
            <w:hideMark/>
          </w:tcPr>
          <w:p w14:paraId="0333776B"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-0.040***</w:t>
            </w:r>
          </w:p>
        </w:tc>
        <w:tc>
          <w:tcPr>
            <w:tcW w:w="420" w:type="dxa"/>
            <w:tcBorders>
              <w:top w:val="nil"/>
              <w:left w:val="nil"/>
              <w:bottom w:val="nil"/>
              <w:right w:val="nil"/>
            </w:tcBorders>
            <w:shd w:val="clear" w:color="auto" w:fill="auto"/>
            <w:noWrap/>
            <w:textDirection w:val="btLr"/>
            <w:vAlign w:val="center"/>
            <w:hideMark/>
          </w:tcPr>
          <w:p w14:paraId="6878FBFE"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(0.012)</w:t>
            </w:r>
          </w:p>
        </w:tc>
      </w:tr>
      <w:tr w:rsidR="00C8575A" w:rsidRPr="00C8575A" w14:paraId="0EB064DD" w14:textId="77777777" w:rsidTr="00C8575A">
        <w:trPr>
          <w:trHeight w:val="1180"/>
        </w:trPr>
        <w:tc>
          <w:tcPr>
            <w:tcW w:w="420" w:type="dxa"/>
            <w:vMerge/>
            <w:tcBorders>
              <w:top w:val="nil"/>
              <w:left w:val="nil"/>
              <w:bottom w:val="nil"/>
              <w:right w:val="single" w:sz="4" w:space="0" w:color="auto"/>
            </w:tcBorders>
            <w:vAlign w:val="center"/>
            <w:hideMark/>
          </w:tcPr>
          <w:p w14:paraId="28E032FB" w14:textId="77777777" w:rsidR="00C8575A" w:rsidRPr="00C8575A" w:rsidRDefault="00C8575A" w:rsidP="00C8575A">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center"/>
            <w:hideMark/>
          </w:tcPr>
          <w:p w14:paraId="3C107D35" w14:textId="77777777" w:rsidR="00C8575A" w:rsidRPr="00C8575A" w:rsidRDefault="00C8575A" w:rsidP="00C8575A">
            <w:pPr>
              <w:spacing w:after="0"/>
              <w:rPr>
                <w:rFonts w:eastAsia="Times New Roman" w:cs="Times New Roman"/>
                <w:b/>
                <w:bCs/>
                <w:lang w:eastAsia="en-US"/>
              </w:rPr>
            </w:pPr>
            <w:r w:rsidRPr="00C8575A">
              <w:rPr>
                <w:rFonts w:eastAsia="Times New Roman" w:cs="Times New Roman"/>
                <w:b/>
                <w:bCs/>
                <w:lang w:eastAsia="en-US"/>
              </w:rPr>
              <w:t>(6)</w:t>
            </w:r>
          </w:p>
        </w:tc>
        <w:tc>
          <w:tcPr>
            <w:tcW w:w="420" w:type="dxa"/>
            <w:tcBorders>
              <w:top w:val="nil"/>
              <w:left w:val="nil"/>
              <w:bottom w:val="nil"/>
              <w:right w:val="nil"/>
            </w:tcBorders>
            <w:shd w:val="clear" w:color="auto" w:fill="auto"/>
            <w:noWrap/>
            <w:textDirection w:val="btLr"/>
            <w:vAlign w:val="center"/>
            <w:hideMark/>
          </w:tcPr>
          <w:p w14:paraId="5FA032AB"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0.323***</w:t>
            </w:r>
          </w:p>
        </w:tc>
        <w:tc>
          <w:tcPr>
            <w:tcW w:w="420" w:type="dxa"/>
            <w:tcBorders>
              <w:top w:val="nil"/>
              <w:left w:val="nil"/>
              <w:bottom w:val="nil"/>
              <w:right w:val="nil"/>
            </w:tcBorders>
            <w:shd w:val="clear" w:color="auto" w:fill="auto"/>
            <w:noWrap/>
            <w:textDirection w:val="btLr"/>
            <w:vAlign w:val="center"/>
            <w:hideMark/>
          </w:tcPr>
          <w:p w14:paraId="1FC4B0DA"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(0.022)</w:t>
            </w:r>
          </w:p>
        </w:tc>
        <w:tc>
          <w:tcPr>
            <w:tcW w:w="420" w:type="dxa"/>
            <w:tcBorders>
              <w:top w:val="nil"/>
              <w:left w:val="nil"/>
              <w:bottom w:val="nil"/>
              <w:right w:val="nil"/>
            </w:tcBorders>
            <w:shd w:val="clear" w:color="auto" w:fill="auto"/>
            <w:noWrap/>
            <w:textDirection w:val="btLr"/>
            <w:vAlign w:val="center"/>
            <w:hideMark/>
          </w:tcPr>
          <w:p w14:paraId="57C14FCB"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0.452***</w:t>
            </w:r>
          </w:p>
        </w:tc>
        <w:tc>
          <w:tcPr>
            <w:tcW w:w="420" w:type="dxa"/>
            <w:tcBorders>
              <w:top w:val="nil"/>
              <w:left w:val="nil"/>
              <w:bottom w:val="nil"/>
              <w:right w:val="nil"/>
            </w:tcBorders>
            <w:shd w:val="clear" w:color="auto" w:fill="auto"/>
            <w:noWrap/>
            <w:textDirection w:val="btLr"/>
            <w:vAlign w:val="center"/>
            <w:hideMark/>
          </w:tcPr>
          <w:p w14:paraId="2E1F0C38"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(0.046)</w:t>
            </w:r>
          </w:p>
        </w:tc>
        <w:tc>
          <w:tcPr>
            <w:tcW w:w="420" w:type="dxa"/>
            <w:tcBorders>
              <w:top w:val="nil"/>
              <w:left w:val="nil"/>
              <w:bottom w:val="nil"/>
              <w:right w:val="nil"/>
            </w:tcBorders>
            <w:shd w:val="clear" w:color="auto" w:fill="auto"/>
            <w:noWrap/>
            <w:textDirection w:val="btLr"/>
            <w:vAlign w:val="center"/>
            <w:hideMark/>
          </w:tcPr>
          <w:p w14:paraId="78248247"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0.000***</w:t>
            </w:r>
          </w:p>
        </w:tc>
        <w:tc>
          <w:tcPr>
            <w:tcW w:w="420" w:type="dxa"/>
            <w:tcBorders>
              <w:top w:val="nil"/>
              <w:left w:val="nil"/>
              <w:bottom w:val="nil"/>
              <w:right w:val="nil"/>
            </w:tcBorders>
            <w:shd w:val="clear" w:color="auto" w:fill="auto"/>
            <w:noWrap/>
            <w:textDirection w:val="btLr"/>
            <w:vAlign w:val="center"/>
            <w:hideMark/>
          </w:tcPr>
          <w:p w14:paraId="2BA6D801"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3AB95BBB"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7400E5B4"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61792340"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7F4A27A3"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5ADF8CCD"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4D298697"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4D1D1AD5"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709B3E42" w14:textId="77777777" w:rsidR="00C8575A" w:rsidRPr="00C8575A" w:rsidRDefault="00C8575A" w:rsidP="00C8575A">
            <w:pPr>
              <w:spacing w:after="0"/>
              <w:rPr>
                <w:rFonts w:ascii="Cambria" w:eastAsia="Times New Roman" w:hAnsi="Cambria" w:cs="Times New Roman"/>
                <w:color w:val="000000"/>
                <w:lang w:eastAsia="en-US"/>
              </w:rPr>
            </w:pPr>
          </w:p>
        </w:tc>
      </w:tr>
      <w:tr w:rsidR="00C8575A" w:rsidRPr="00C8575A" w14:paraId="7AD5FA08" w14:textId="77777777" w:rsidTr="00C8575A">
        <w:trPr>
          <w:trHeight w:val="1180"/>
        </w:trPr>
        <w:tc>
          <w:tcPr>
            <w:tcW w:w="420" w:type="dxa"/>
            <w:vMerge/>
            <w:tcBorders>
              <w:top w:val="nil"/>
              <w:left w:val="nil"/>
              <w:bottom w:val="nil"/>
              <w:right w:val="single" w:sz="4" w:space="0" w:color="auto"/>
            </w:tcBorders>
            <w:vAlign w:val="center"/>
            <w:hideMark/>
          </w:tcPr>
          <w:p w14:paraId="201A2191" w14:textId="77777777" w:rsidR="00C8575A" w:rsidRPr="00C8575A" w:rsidRDefault="00C8575A" w:rsidP="00C8575A">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center"/>
            <w:hideMark/>
          </w:tcPr>
          <w:p w14:paraId="258682C2" w14:textId="77777777" w:rsidR="00C8575A" w:rsidRPr="00C8575A" w:rsidRDefault="00C8575A" w:rsidP="00C8575A">
            <w:pPr>
              <w:spacing w:after="0"/>
              <w:rPr>
                <w:rFonts w:eastAsia="Times New Roman" w:cs="Times New Roman"/>
                <w:b/>
                <w:bCs/>
                <w:lang w:eastAsia="en-US"/>
              </w:rPr>
            </w:pPr>
            <w:r w:rsidRPr="00C8575A">
              <w:rPr>
                <w:rFonts w:eastAsia="Times New Roman" w:cs="Times New Roman"/>
                <w:b/>
                <w:bCs/>
                <w:lang w:eastAsia="en-US"/>
              </w:rPr>
              <w:t>(5)</w:t>
            </w:r>
          </w:p>
        </w:tc>
        <w:tc>
          <w:tcPr>
            <w:tcW w:w="420" w:type="dxa"/>
            <w:tcBorders>
              <w:top w:val="nil"/>
              <w:left w:val="nil"/>
              <w:bottom w:val="nil"/>
              <w:right w:val="nil"/>
            </w:tcBorders>
            <w:shd w:val="clear" w:color="auto" w:fill="auto"/>
            <w:noWrap/>
            <w:textDirection w:val="btLr"/>
            <w:vAlign w:val="center"/>
            <w:hideMark/>
          </w:tcPr>
          <w:p w14:paraId="3453001A"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0.373***</w:t>
            </w:r>
          </w:p>
        </w:tc>
        <w:tc>
          <w:tcPr>
            <w:tcW w:w="420" w:type="dxa"/>
            <w:tcBorders>
              <w:top w:val="nil"/>
              <w:left w:val="nil"/>
              <w:bottom w:val="nil"/>
              <w:right w:val="nil"/>
            </w:tcBorders>
            <w:shd w:val="clear" w:color="auto" w:fill="auto"/>
            <w:noWrap/>
            <w:textDirection w:val="btLr"/>
            <w:vAlign w:val="center"/>
            <w:hideMark/>
          </w:tcPr>
          <w:p w14:paraId="6F37C50D"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(0.023)</w:t>
            </w:r>
          </w:p>
        </w:tc>
        <w:tc>
          <w:tcPr>
            <w:tcW w:w="420" w:type="dxa"/>
            <w:tcBorders>
              <w:top w:val="nil"/>
              <w:left w:val="nil"/>
              <w:bottom w:val="nil"/>
              <w:right w:val="nil"/>
            </w:tcBorders>
            <w:shd w:val="clear" w:color="auto" w:fill="auto"/>
            <w:noWrap/>
            <w:textDirection w:val="btLr"/>
            <w:vAlign w:val="center"/>
            <w:hideMark/>
          </w:tcPr>
          <w:p w14:paraId="498F7B3C"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20777BD9"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22D6FF83"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2D15099A"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1B1E1797"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6C7BA9A2"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5F27AB61"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0FE68813"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19FF0098"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66C689D4"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69A27636"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189DDA8C" w14:textId="77777777" w:rsidR="00C8575A" w:rsidRPr="00C8575A" w:rsidRDefault="00C8575A" w:rsidP="00C8575A">
            <w:pPr>
              <w:spacing w:after="0"/>
              <w:rPr>
                <w:rFonts w:ascii="Cambria" w:eastAsia="Times New Roman" w:hAnsi="Cambria" w:cs="Times New Roman"/>
                <w:color w:val="000000"/>
                <w:lang w:eastAsia="en-US"/>
              </w:rPr>
            </w:pPr>
          </w:p>
        </w:tc>
      </w:tr>
      <w:tr w:rsidR="00C8575A" w:rsidRPr="00C8575A" w14:paraId="05062EFA" w14:textId="77777777" w:rsidTr="00C8575A">
        <w:trPr>
          <w:trHeight w:val="1180"/>
        </w:trPr>
        <w:tc>
          <w:tcPr>
            <w:tcW w:w="420" w:type="dxa"/>
            <w:vMerge/>
            <w:tcBorders>
              <w:top w:val="nil"/>
              <w:left w:val="nil"/>
              <w:bottom w:val="nil"/>
              <w:right w:val="single" w:sz="4" w:space="0" w:color="auto"/>
            </w:tcBorders>
            <w:vAlign w:val="center"/>
            <w:hideMark/>
          </w:tcPr>
          <w:p w14:paraId="7DE6088D" w14:textId="77777777" w:rsidR="00C8575A" w:rsidRPr="00C8575A" w:rsidRDefault="00C8575A" w:rsidP="00C8575A">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center"/>
            <w:hideMark/>
          </w:tcPr>
          <w:p w14:paraId="7CE30EF7" w14:textId="77777777" w:rsidR="00C8575A" w:rsidRPr="00C8575A" w:rsidRDefault="00C8575A" w:rsidP="00C8575A">
            <w:pPr>
              <w:spacing w:after="0"/>
              <w:rPr>
                <w:rFonts w:eastAsia="Times New Roman" w:cs="Times New Roman"/>
                <w:b/>
                <w:bCs/>
                <w:lang w:eastAsia="en-US"/>
              </w:rPr>
            </w:pPr>
            <w:r w:rsidRPr="00C8575A">
              <w:rPr>
                <w:rFonts w:eastAsia="Times New Roman" w:cs="Times New Roman"/>
                <w:b/>
                <w:bCs/>
                <w:lang w:eastAsia="en-US"/>
              </w:rPr>
              <w:t>(4)</w:t>
            </w:r>
          </w:p>
        </w:tc>
        <w:tc>
          <w:tcPr>
            <w:tcW w:w="420" w:type="dxa"/>
            <w:tcBorders>
              <w:top w:val="nil"/>
              <w:left w:val="nil"/>
              <w:bottom w:val="nil"/>
              <w:right w:val="nil"/>
            </w:tcBorders>
            <w:shd w:val="clear" w:color="auto" w:fill="auto"/>
            <w:noWrap/>
            <w:textDirection w:val="btLr"/>
            <w:vAlign w:val="center"/>
            <w:hideMark/>
          </w:tcPr>
          <w:p w14:paraId="2DC222C7"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0.343***</w:t>
            </w:r>
          </w:p>
        </w:tc>
        <w:tc>
          <w:tcPr>
            <w:tcW w:w="420" w:type="dxa"/>
            <w:tcBorders>
              <w:top w:val="nil"/>
              <w:left w:val="nil"/>
              <w:bottom w:val="nil"/>
              <w:right w:val="nil"/>
            </w:tcBorders>
            <w:shd w:val="clear" w:color="auto" w:fill="auto"/>
            <w:noWrap/>
            <w:textDirection w:val="btLr"/>
            <w:vAlign w:val="center"/>
            <w:hideMark/>
          </w:tcPr>
          <w:p w14:paraId="0BBCE850"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(0.022)</w:t>
            </w:r>
          </w:p>
        </w:tc>
        <w:tc>
          <w:tcPr>
            <w:tcW w:w="420" w:type="dxa"/>
            <w:tcBorders>
              <w:top w:val="nil"/>
              <w:left w:val="nil"/>
              <w:bottom w:val="nil"/>
              <w:right w:val="nil"/>
            </w:tcBorders>
            <w:shd w:val="clear" w:color="auto" w:fill="auto"/>
            <w:noWrap/>
            <w:textDirection w:val="btLr"/>
            <w:vAlign w:val="center"/>
            <w:hideMark/>
          </w:tcPr>
          <w:p w14:paraId="69290B7E"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66AAD715"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430A3990"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7A4F2998"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49FB95B8"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0.083</w:t>
            </w:r>
          </w:p>
        </w:tc>
        <w:tc>
          <w:tcPr>
            <w:tcW w:w="420" w:type="dxa"/>
            <w:tcBorders>
              <w:top w:val="nil"/>
              <w:left w:val="nil"/>
              <w:bottom w:val="nil"/>
              <w:right w:val="nil"/>
            </w:tcBorders>
            <w:shd w:val="clear" w:color="auto" w:fill="auto"/>
            <w:noWrap/>
            <w:textDirection w:val="btLr"/>
            <w:vAlign w:val="center"/>
            <w:hideMark/>
          </w:tcPr>
          <w:p w14:paraId="53AB8417"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(0.190)</w:t>
            </w:r>
          </w:p>
        </w:tc>
        <w:tc>
          <w:tcPr>
            <w:tcW w:w="420" w:type="dxa"/>
            <w:tcBorders>
              <w:top w:val="nil"/>
              <w:left w:val="nil"/>
              <w:bottom w:val="nil"/>
              <w:right w:val="nil"/>
            </w:tcBorders>
            <w:shd w:val="clear" w:color="auto" w:fill="auto"/>
            <w:noWrap/>
            <w:textDirection w:val="btLr"/>
            <w:vAlign w:val="center"/>
            <w:hideMark/>
          </w:tcPr>
          <w:p w14:paraId="75F754CC"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0.389</w:t>
            </w:r>
          </w:p>
        </w:tc>
        <w:tc>
          <w:tcPr>
            <w:tcW w:w="420" w:type="dxa"/>
            <w:tcBorders>
              <w:top w:val="nil"/>
              <w:left w:val="nil"/>
              <w:bottom w:val="nil"/>
              <w:right w:val="nil"/>
            </w:tcBorders>
            <w:shd w:val="clear" w:color="auto" w:fill="auto"/>
            <w:noWrap/>
            <w:textDirection w:val="btLr"/>
            <w:vAlign w:val="center"/>
            <w:hideMark/>
          </w:tcPr>
          <w:p w14:paraId="2C7D0C46"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(0.445)</w:t>
            </w:r>
          </w:p>
        </w:tc>
        <w:tc>
          <w:tcPr>
            <w:tcW w:w="420" w:type="dxa"/>
            <w:tcBorders>
              <w:top w:val="nil"/>
              <w:left w:val="nil"/>
              <w:bottom w:val="nil"/>
              <w:right w:val="nil"/>
            </w:tcBorders>
            <w:shd w:val="clear" w:color="auto" w:fill="auto"/>
            <w:noWrap/>
            <w:textDirection w:val="btLr"/>
            <w:vAlign w:val="center"/>
            <w:hideMark/>
          </w:tcPr>
          <w:p w14:paraId="544C9E23"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0.997***</w:t>
            </w:r>
          </w:p>
        </w:tc>
        <w:tc>
          <w:tcPr>
            <w:tcW w:w="420" w:type="dxa"/>
            <w:tcBorders>
              <w:top w:val="nil"/>
              <w:left w:val="nil"/>
              <w:bottom w:val="nil"/>
              <w:right w:val="nil"/>
            </w:tcBorders>
            <w:shd w:val="clear" w:color="auto" w:fill="auto"/>
            <w:noWrap/>
            <w:textDirection w:val="btLr"/>
            <w:vAlign w:val="center"/>
            <w:hideMark/>
          </w:tcPr>
          <w:p w14:paraId="1A5B9436"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(0.210)</w:t>
            </w:r>
          </w:p>
        </w:tc>
        <w:tc>
          <w:tcPr>
            <w:tcW w:w="420" w:type="dxa"/>
            <w:tcBorders>
              <w:top w:val="nil"/>
              <w:left w:val="nil"/>
              <w:bottom w:val="nil"/>
              <w:right w:val="nil"/>
            </w:tcBorders>
            <w:shd w:val="clear" w:color="auto" w:fill="auto"/>
            <w:noWrap/>
            <w:textDirection w:val="btLr"/>
            <w:vAlign w:val="center"/>
            <w:hideMark/>
          </w:tcPr>
          <w:p w14:paraId="465199E2"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-0.057***</w:t>
            </w:r>
          </w:p>
        </w:tc>
        <w:tc>
          <w:tcPr>
            <w:tcW w:w="420" w:type="dxa"/>
            <w:tcBorders>
              <w:top w:val="nil"/>
              <w:left w:val="nil"/>
              <w:bottom w:val="nil"/>
              <w:right w:val="nil"/>
            </w:tcBorders>
            <w:shd w:val="clear" w:color="auto" w:fill="auto"/>
            <w:noWrap/>
            <w:textDirection w:val="btLr"/>
            <w:vAlign w:val="center"/>
            <w:hideMark/>
          </w:tcPr>
          <w:p w14:paraId="43894AC5"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(0.012)</w:t>
            </w:r>
          </w:p>
        </w:tc>
      </w:tr>
      <w:tr w:rsidR="00C8575A" w:rsidRPr="00C8575A" w14:paraId="1F81562B" w14:textId="77777777" w:rsidTr="00C8575A">
        <w:trPr>
          <w:trHeight w:val="1180"/>
        </w:trPr>
        <w:tc>
          <w:tcPr>
            <w:tcW w:w="420" w:type="dxa"/>
            <w:vMerge/>
            <w:tcBorders>
              <w:top w:val="nil"/>
              <w:left w:val="nil"/>
              <w:bottom w:val="nil"/>
              <w:right w:val="single" w:sz="4" w:space="0" w:color="auto"/>
            </w:tcBorders>
            <w:vAlign w:val="center"/>
            <w:hideMark/>
          </w:tcPr>
          <w:p w14:paraId="5944E444" w14:textId="77777777" w:rsidR="00C8575A" w:rsidRPr="00C8575A" w:rsidRDefault="00C8575A" w:rsidP="00C8575A">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center"/>
            <w:hideMark/>
          </w:tcPr>
          <w:p w14:paraId="42F5EE6D" w14:textId="77777777" w:rsidR="00C8575A" w:rsidRPr="00C8575A" w:rsidRDefault="00C8575A" w:rsidP="00C8575A">
            <w:pPr>
              <w:spacing w:after="0"/>
              <w:rPr>
                <w:rFonts w:eastAsia="Times New Roman" w:cs="Times New Roman"/>
                <w:b/>
                <w:bCs/>
                <w:lang w:eastAsia="en-US"/>
              </w:rPr>
            </w:pPr>
            <w:r w:rsidRPr="00C8575A">
              <w:rPr>
                <w:rFonts w:eastAsia="Times New Roman" w:cs="Times New Roman"/>
                <w:b/>
                <w:bCs/>
                <w:lang w:eastAsia="en-US"/>
              </w:rPr>
              <w:t>(3)</w:t>
            </w:r>
          </w:p>
        </w:tc>
        <w:tc>
          <w:tcPr>
            <w:tcW w:w="420" w:type="dxa"/>
            <w:tcBorders>
              <w:top w:val="nil"/>
              <w:left w:val="nil"/>
              <w:bottom w:val="nil"/>
              <w:right w:val="nil"/>
            </w:tcBorders>
            <w:shd w:val="clear" w:color="auto" w:fill="auto"/>
            <w:noWrap/>
            <w:textDirection w:val="btLr"/>
            <w:vAlign w:val="center"/>
            <w:hideMark/>
          </w:tcPr>
          <w:p w14:paraId="6FC8B0C0"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0.351***</w:t>
            </w:r>
          </w:p>
        </w:tc>
        <w:tc>
          <w:tcPr>
            <w:tcW w:w="420" w:type="dxa"/>
            <w:tcBorders>
              <w:top w:val="nil"/>
              <w:left w:val="nil"/>
              <w:bottom w:val="nil"/>
              <w:right w:val="nil"/>
            </w:tcBorders>
            <w:shd w:val="clear" w:color="auto" w:fill="auto"/>
            <w:noWrap/>
            <w:textDirection w:val="btLr"/>
            <w:vAlign w:val="center"/>
            <w:hideMark/>
          </w:tcPr>
          <w:p w14:paraId="013197D6"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(0.020)</w:t>
            </w:r>
          </w:p>
        </w:tc>
        <w:tc>
          <w:tcPr>
            <w:tcW w:w="420" w:type="dxa"/>
            <w:tcBorders>
              <w:top w:val="nil"/>
              <w:left w:val="nil"/>
              <w:bottom w:val="nil"/>
              <w:right w:val="nil"/>
            </w:tcBorders>
            <w:shd w:val="clear" w:color="auto" w:fill="auto"/>
            <w:noWrap/>
            <w:textDirection w:val="btLr"/>
            <w:vAlign w:val="center"/>
            <w:hideMark/>
          </w:tcPr>
          <w:p w14:paraId="669A9760"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0.416***</w:t>
            </w:r>
          </w:p>
        </w:tc>
        <w:tc>
          <w:tcPr>
            <w:tcW w:w="420" w:type="dxa"/>
            <w:tcBorders>
              <w:top w:val="nil"/>
              <w:left w:val="nil"/>
              <w:bottom w:val="nil"/>
              <w:right w:val="nil"/>
            </w:tcBorders>
            <w:shd w:val="clear" w:color="auto" w:fill="auto"/>
            <w:noWrap/>
            <w:textDirection w:val="btLr"/>
            <w:vAlign w:val="center"/>
            <w:hideMark/>
          </w:tcPr>
          <w:p w14:paraId="53AE2547"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(0.036)</w:t>
            </w:r>
          </w:p>
        </w:tc>
        <w:tc>
          <w:tcPr>
            <w:tcW w:w="420" w:type="dxa"/>
            <w:tcBorders>
              <w:top w:val="nil"/>
              <w:left w:val="nil"/>
              <w:bottom w:val="nil"/>
              <w:right w:val="nil"/>
            </w:tcBorders>
            <w:shd w:val="clear" w:color="auto" w:fill="auto"/>
            <w:noWrap/>
            <w:textDirection w:val="btLr"/>
            <w:vAlign w:val="center"/>
            <w:hideMark/>
          </w:tcPr>
          <w:p w14:paraId="5AD8ED35"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0.001***</w:t>
            </w:r>
          </w:p>
        </w:tc>
        <w:tc>
          <w:tcPr>
            <w:tcW w:w="420" w:type="dxa"/>
            <w:tcBorders>
              <w:top w:val="nil"/>
              <w:left w:val="nil"/>
              <w:bottom w:val="nil"/>
              <w:right w:val="nil"/>
            </w:tcBorders>
            <w:shd w:val="clear" w:color="auto" w:fill="auto"/>
            <w:noWrap/>
            <w:textDirection w:val="btLr"/>
            <w:vAlign w:val="center"/>
            <w:hideMark/>
          </w:tcPr>
          <w:p w14:paraId="4F10F0FB"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57F9A825"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1FB480EA"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6AC252F1"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3BF4E1C2"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3C85B322"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7035E927"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5F3E7A26"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7AE0DCBE" w14:textId="77777777" w:rsidR="00C8575A" w:rsidRPr="00C8575A" w:rsidRDefault="00C8575A" w:rsidP="00C8575A">
            <w:pPr>
              <w:spacing w:after="0"/>
              <w:rPr>
                <w:rFonts w:ascii="Cambria" w:eastAsia="Times New Roman" w:hAnsi="Cambria" w:cs="Times New Roman"/>
                <w:color w:val="000000"/>
                <w:lang w:eastAsia="en-US"/>
              </w:rPr>
            </w:pPr>
          </w:p>
        </w:tc>
      </w:tr>
      <w:tr w:rsidR="00C8575A" w:rsidRPr="00C8575A" w14:paraId="4A763E04" w14:textId="77777777" w:rsidTr="00C8575A">
        <w:trPr>
          <w:trHeight w:val="1180"/>
        </w:trPr>
        <w:tc>
          <w:tcPr>
            <w:tcW w:w="420" w:type="dxa"/>
            <w:vMerge/>
            <w:tcBorders>
              <w:top w:val="nil"/>
              <w:left w:val="nil"/>
              <w:bottom w:val="nil"/>
              <w:right w:val="single" w:sz="4" w:space="0" w:color="auto"/>
            </w:tcBorders>
            <w:vAlign w:val="center"/>
            <w:hideMark/>
          </w:tcPr>
          <w:p w14:paraId="3FD36DE3" w14:textId="77777777" w:rsidR="00C8575A" w:rsidRPr="00C8575A" w:rsidRDefault="00C8575A" w:rsidP="00C8575A">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center"/>
            <w:hideMark/>
          </w:tcPr>
          <w:p w14:paraId="2D2B7522" w14:textId="77777777" w:rsidR="00C8575A" w:rsidRPr="00C8575A" w:rsidRDefault="00C8575A" w:rsidP="00C8575A">
            <w:pPr>
              <w:spacing w:after="0"/>
              <w:rPr>
                <w:rFonts w:eastAsia="Times New Roman" w:cs="Times New Roman"/>
                <w:b/>
                <w:bCs/>
                <w:lang w:eastAsia="en-US"/>
              </w:rPr>
            </w:pPr>
            <w:r w:rsidRPr="00C8575A">
              <w:rPr>
                <w:rFonts w:eastAsia="Times New Roman" w:cs="Times New Roman"/>
                <w:b/>
                <w:bCs/>
                <w:lang w:eastAsia="en-US"/>
              </w:rPr>
              <w:t>(2)</w:t>
            </w:r>
          </w:p>
        </w:tc>
        <w:tc>
          <w:tcPr>
            <w:tcW w:w="420" w:type="dxa"/>
            <w:tcBorders>
              <w:top w:val="nil"/>
              <w:left w:val="nil"/>
              <w:bottom w:val="nil"/>
              <w:right w:val="nil"/>
            </w:tcBorders>
            <w:shd w:val="clear" w:color="auto" w:fill="auto"/>
            <w:noWrap/>
            <w:textDirection w:val="btLr"/>
            <w:vAlign w:val="center"/>
            <w:hideMark/>
          </w:tcPr>
          <w:p w14:paraId="773960C1"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0.365***</w:t>
            </w:r>
          </w:p>
        </w:tc>
        <w:tc>
          <w:tcPr>
            <w:tcW w:w="420" w:type="dxa"/>
            <w:tcBorders>
              <w:top w:val="nil"/>
              <w:left w:val="nil"/>
              <w:bottom w:val="nil"/>
              <w:right w:val="nil"/>
            </w:tcBorders>
            <w:shd w:val="clear" w:color="auto" w:fill="auto"/>
            <w:noWrap/>
            <w:textDirection w:val="btLr"/>
            <w:vAlign w:val="center"/>
            <w:hideMark/>
          </w:tcPr>
          <w:p w14:paraId="6F41D049"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(0.019)</w:t>
            </w:r>
          </w:p>
        </w:tc>
        <w:tc>
          <w:tcPr>
            <w:tcW w:w="420" w:type="dxa"/>
            <w:tcBorders>
              <w:top w:val="nil"/>
              <w:left w:val="nil"/>
              <w:bottom w:val="nil"/>
              <w:right w:val="nil"/>
            </w:tcBorders>
            <w:shd w:val="clear" w:color="auto" w:fill="auto"/>
            <w:noWrap/>
            <w:textDirection w:val="btLr"/>
            <w:vAlign w:val="center"/>
            <w:hideMark/>
          </w:tcPr>
          <w:p w14:paraId="4AE06A3E"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0.481***</w:t>
            </w:r>
          </w:p>
        </w:tc>
        <w:tc>
          <w:tcPr>
            <w:tcW w:w="420" w:type="dxa"/>
            <w:tcBorders>
              <w:top w:val="nil"/>
              <w:left w:val="nil"/>
              <w:bottom w:val="nil"/>
              <w:right w:val="nil"/>
            </w:tcBorders>
            <w:shd w:val="clear" w:color="auto" w:fill="auto"/>
            <w:noWrap/>
            <w:textDirection w:val="btLr"/>
            <w:vAlign w:val="center"/>
            <w:hideMark/>
          </w:tcPr>
          <w:p w14:paraId="1E58B1C1"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(0.031)</w:t>
            </w:r>
          </w:p>
        </w:tc>
        <w:tc>
          <w:tcPr>
            <w:tcW w:w="420" w:type="dxa"/>
            <w:tcBorders>
              <w:top w:val="nil"/>
              <w:left w:val="nil"/>
              <w:bottom w:val="nil"/>
              <w:right w:val="nil"/>
            </w:tcBorders>
            <w:shd w:val="clear" w:color="auto" w:fill="auto"/>
            <w:noWrap/>
            <w:textDirection w:val="btLr"/>
            <w:vAlign w:val="center"/>
            <w:hideMark/>
          </w:tcPr>
          <w:p w14:paraId="4BA7FBCD"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0673B447"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1FD7C23D"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33436BB6"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3C87FEE2"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4849EECE"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575B3258"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60A74E2E"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0D6F305A"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7D9EA6E9" w14:textId="77777777" w:rsidR="00C8575A" w:rsidRPr="00C8575A" w:rsidRDefault="00C8575A" w:rsidP="00C8575A">
            <w:pPr>
              <w:spacing w:after="0"/>
              <w:rPr>
                <w:rFonts w:ascii="Cambria" w:eastAsia="Times New Roman" w:hAnsi="Cambria" w:cs="Times New Roman"/>
                <w:color w:val="000000"/>
                <w:lang w:eastAsia="en-US"/>
              </w:rPr>
            </w:pPr>
          </w:p>
        </w:tc>
      </w:tr>
      <w:tr w:rsidR="00C8575A" w:rsidRPr="00C8575A" w14:paraId="253D1572" w14:textId="77777777" w:rsidTr="00C8575A">
        <w:trPr>
          <w:trHeight w:val="1180"/>
        </w:trPr>
        <w:tc>
          <w:tcPr>
            <w:tcW w:w="420" w:type="dxa"/>
            <w:vMerge/>
            <w:tcBorders>
              <w:top w:val="nil"/>
              <w:left w:val="nil"/>
              <w:bottom w:val="nil"/>
              <w:right w:val="single" w:sz="4" w:space="0" w:color="auto"/>
            </w:tcBorders>
            <w:vAlign w:val="center"/>
            <w:hideMark/>
          </w:tcPr>
          <w:p w14:paraId="35360595" w14:textId="77777777" w:rsidR="00C8575A" w:rsidRPr="00C8575A" w:rsidRDefault="00C8575A" w:rsidP="00C8575A">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center"/>
            <w:hideMark/>
          </w:tcPr>
          <w:p w14:paraId="7480EEB5" w14:textId="77777777" w:rsidR="00C8575A" w:rsidRPr="00C8575A" w:rsidRDefault="00C8575A" w:rsidP="00C8575A">
            <w:pPr>
              <w:spacing w:after="0"/>
              <w:rPr>
                <w:rFonts w:eastAsia="Times New Roman" w:cs="Times New Roman"/>
                <w:b/>
                <w:bCs/>
                <w:lang w:eastAsia="en-US"/>
              </w:rPr>
            </w:pPr>
            <w:r w:rsidRPr="00C8575A">
              <w:rPr>
                <w:rFonts w:eastAsia="Times New Roman" w:cs="Times New Roman"/>
                <w:b/>
                <w:bCs/>
                <w:lang w:eastAsia="en-US"/>
              </w:rPr>
              <w:t>(1)</w:t>
            </w:r>
          </w:p>
        </w:tc>
        <w:tc>
          <w:tcPr>
            <w:tcW w:w="420" w:type="dxa"/>
            <w:tcBorders>
              <w:top w:val="nil"/>
              <w:left w:val="nil"/>
              <w:bottom w:val="nil"/>
              <w:right w:val="nil"/>
            </w:tcBorders>
            <w:shd w:val="clear" w:color="auto" w:fill="auto"/>
            <w:noWrap/>
            <w:textDirection w:val="btLr"/>
            <w:vAlign w:val="center"/>
            <w:hideMark/>
          </w:tcPr>
          <w:p w14:paraId="11527DD5"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0.375***</w:t>
            </w:r>
          </w:p>
        </w:tc>
        <w:tc>
          <w:tcPr>
            <w:tcW w:w="420" w:type="dxa"/>
            <w:tcBorders>
              <w:top w:val="nil"/>
              <w:left w:val="nil"/>
              <w:bottom w:val="nil"/>
              <w:right w:val="nil"/>
            </w:tcBorders>
            <w:shd w:val="clear" w:color="auto" w:fill="auto"/>
            <w:noWrap/>
            <w:textDirection w:val="btLr"/>
            <w:vAlign w:val="center"/>
            <w:hideMark/>
          </w:tcPr>
          <w:p w14:paraId="24B21365"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(0.022)</w:t>
            </w:r>
          </w:p>
        </w:tc>
        <w:tc>
          <w:tcPr>
            <w:tcW w:w="420" w:type="dxa"/>
            <w:tcBorders>
              <w:top w:val="nil"/>
              <w:left w:val="nil"/>
              <w:bottom w:val="nil"/>
              <w:right w:val="nil"/>
            </w:tcBorders>
            <w:shd w:val="clear" w:color="auto" w:fill="auto"/>
            <w:noWrap/>
            <w:textDirection w:val="btLr"/>
            <w:vAlign w:val="center"/>
            <w:hideMark/>
          </w:tcPr>
          <w:p w14:paraId="5E9EDA50"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0F2A19FD"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5D33BA1A"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24776451"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13504E58"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0ADA546C"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74E56D87"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20A7BA06"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5D9833E5"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330BCF7A"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67235BC0"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5283CC2F" w14:textId="77777777" w:rsidR="00C8575A" w:rsidRPr="00C8575A" w:rsidRDefault="00C8575A" w:rsidP="00C8575A">
            <w:pPr>
              <w:spacing w:after="0"/>
              <w:rPr>
                <w:rFonts w:ascii="Cambria" w:eastAsia="Times New Roman" w:hAnsi="Cambria" w:cs="Times New Roman"/>
                <w:color w:val="000000"/>
                <w:lang w:eastAsia="en-US"/>
              </w:rPr>
            </w:pPr>
          </w:p>
        </w:tc>
      </w:tr>
      <w:tr w:rsidR="00C8575A" w:rsidRPr="00C8575A" w14:paraId="370D4FF4" w14:textId="77777777" w:rsidTr="00C8575A">
        <w:trPr>
          <w:trHeight w:val="2280"/>
        </w:trPr>
        <w:tc>
          <w:tcPr>
            <w:tcW w:w="420" w:type="dxa"/>
            <w:vMerge/>
            <w:tcBorders>
              <w:top w:val="nil"/>
              <w:left w:val="nil"/>
              <w:bottom w:val="nil"/>
              <w:right w:val="single" w:sz="4" w:space="0" w:color="auto"/>
            </w:tcBorders>
            <w:vAlign w:val="center"/>
            <w:hideMark/>
          </w:tcPr>
          <w:p w14:paraId="336C7F3F" w14:textId="77777777" w:rsidR="00C8575A" w:rsidRPr="00C8575A" w:rsidRDefault="00C8575A" w:rsidP="00C8575A">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bottom"/>
            <w:hideMark/>
          </w:tcPr>
          <w:p w14:paraId="645A5CA4"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bottom"/>
            <w:hideMark/>
          </w:tcPr>
          <w:p w14:paraId="79A0E7BA"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Frenchness</w:t>
            </w:r>
          </w:p>
        </w:tc>
        <w:tc>
          <w:tcPr>
            <w:tcW w:w="420" w:type="dxa"/>
            <w:tcBorders>
              <w:top w:val="nil"/>
              <w:left w:val="nil"/>
              <w:bottom w:val="nil"/>
              <w:right w:val="nil"/>
            </w:tcBorders>
            <w:shd w:val="clear" w:color="auto" w:fill="auto"/>
            <w:noWrap/>
            <w:textDirection w:val="btLr"/>
            <w:vAlign w:val="bottom"/>
            <w:hideMark/>
          </w:tcPr>
          <w:p w14:paraId="2CE6B6D8"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bottom"/>
            <w:hideMark/>
          </w:tcPr>
          <w:p w14:paraId="2A014214"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Real GDP (ln)</w:t>
            </w:r>
          </w:p>
        </w:tc>
        <w:tc>
          <w:tcPr>
            <w:tcW w:w="420" w:type="dxa"/>
            <w:tcBorders>
              <w:top w:val="nil"/>
              <w:left w:val="nil"/>
              <w:bottom w:val="nil"/>
              <w:right w:val="nil"/>
            </w:tcBorders>
            <w:shd w:val="clear" w:color="auto" w:fill="auto"/>
            <w:noWrap/>
            <w:textDirection w:val="btLr"/>
            <w:vAlign w:val="bottom"/>
            <w:hideMark/>
          </w:tcPr>
          <w:p w14:paraId="0D50C94B"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bottom"/>
            <w:hideMark/>
          </w:tcPr>
          <w:p w14:paraId="6F46F56B"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Trade flows</w:t>
            </w:r>
          </w:p>
        </w:tc>
        <w:tc>
          <w:tcPr>
            <w:tcW w:w="420" w:type="dxa"/>
            <w:tcBorders>
              <w:top w:val="nil"/>
              <w:left w:val="nil"/>
              <w:bottom w:val="nil"/>
              <w:right w:val="nil"/>
            </w:tcBorders>
            <w:shd w:val="clear" w:color="auto" w:fill="auto"/>
            <w:noWrap/>
            <w:textDirection w:val="btLr"/>
            <w:vAlign w:val="bottom"/>
            <w:hideMark/>
          </w:tcPr>
          <w:p w14:paraId="10420C66"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bottom"/>
            <w:hideMark/>
          </w:tcPr>
          <w:p w14:paraId="50E268B7"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Recipient Civil War</w:t>
            </w:r>
          </w:p>
        </w:tc>
        <w:tc>
          <w:tcPr>
            <w:tcW w:w="420" w:type="dxa"/>
            <w:tcBorders>
              <w:top w:val="nil"/>
              <w:left w:val="nil"/>
              <w:bottom w:val="nil"/>
              <w:right w:val="nil"/>
            </w:tcBorders>
            <w:shd w:val="clear" w:color="auto" w:fill="auto"/>
            <w:noWrap/>
            <w:textDirection w:val="btLr"/>
            <w:vAlign w:val="bottom"/>
            <w:hideMark/>
          </w:tcPr>
          <w:p w14:paraId="18D80F25" w14:textId="77777777" w:rsidR="00C8575A" w:rsidRPr="00C8575A" w:rsidRDefault="00C8575A" w:rsidP="00C8575A">
            <w:pPr>
              <w:spacing w:after="0"/>
              <w:rPr>
                <w:rFonts w:ascii="Cambria" w:eastAsia="Times New Roman" w:hAnsi="Cambria" w:cs="Times New Roman"/>
                <w:color w:val="000000"/>
                <w:lang w:eastAsia="en-US"/>
              </w:rPr>
            </w:pPr>
          </w:p>
        </w:tc>
        <w:tc>
          <w:tcPr>
            <w:tcW w:w="840" w:type="dxa"/>
            <w:gridSpan w:val="2"/>
            <w:tcBorders>
              <w:top w:val="nil"/>
              <w:left w:val="nil"/>
              <w:bottom w:val="nil"/>
              <w:right w:val="nil"/>
            </w:tcBorders>
            <w:shd w:val="clear" w:color="auto" w:fill="auto"/>
            <w:textDirection w:val="btLr"/>
            <w:vAlign w:val="bottom"/>
            <w:hideMark/>
          </w:tcPr>
          <w:p w14:paraId="33C9D00A"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Recipient External War</w:t>
            </w:r>
          </w:p>
        </w:tc>
        <w:tc>
          <w:tcPr>
            <w:tcW w:w="420" w:type="dxa"/>
            <w:tcBorders>
              <w:top w:val="nil"/>
              <w:left w:val="nil"/>
              <w:bottom w:val="nil"/>
              <w:right w:val="nil"/>
            </w:tcBorders>
            <w:shd w:val="clear" w:color="auto" w:fill="auto"/>
            <w:noWrap/>
            <w:textDirection w:val="btLr"/>
            <w:vAlign w:val="bottom"/>
            <w:hideMark/>
          </w:tcPr>
          <w:p w14:paraId="603EE20D"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Democracy (Dummy)</w:t>
            </w:r>
          </w:p>
        </w:tc>
        <w:tc>
          <w:tcPr>
            <w:tcW w:w="420" w:type="dxa"/>
            <w:tcBorders>
              <w:top w:val="nil"/>
              <w:left w:val="nil"/>
              <w:bottom w:val="nil"/>
              <w:right w:val="nil"/>
            </w:tcBorders>
            <w:shd w:val="clear" w:color="auto" w:fill="auto"/>
            <w:noWrap/>
            <w:textDirection w:val="btLr"/>
            <w:vAlign w:val="bottom"/>
            <w:hideMark/>
          </w:tcPr>
          <w:p w14:paraId="6773056E"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bottom"/>
            <w:hideMark/>
          </w:tcPr>
          <w:p w14:paraId="42A43EB4"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Polity IV</w:t>
            </w:r>
          </w:p>
        </w:tc>
        <w:tc>
          <w:tcPr>
            <w:tcW w:w="420" w:type="dxa"/>
            <w:tcBorders>
              <w:top w:val="nil"/>
              <w:left w:val="nil"/>
              <w:bottom w:val="nil"/>
              <w:right w:val="nil"/>
            </w:tcBorders>
            <w:shd w:val="clear" w:color="auto" w:fill="auto"/>
            <w:noWrap/>
            <w:textDirection w:val="btLr"/>
            <w:vAlign w:val="bottom"/>
            <w:hideMark/>
          </w:tcPr>
          <w:p w14:paraId="32064EE4" w14:textId="77777777" w:rsidR="00C8575A" w:rsidRPr="00C8575A" w:rsidRDefault="00C8575A" w:rsidP="00C8575A">
            <w:pPr>
              <w:spacing w:after="0"/>
              <w:rPr>
                <w:rFonts w:ascii="Cambria" w:eastAsia="Times New Roman" w:hAnsi="Cambria" w:cs="Times New Roman"/>
                <w:color w:val="000000"/>
                <w:lang w:eastAsia="en-US"/>
              </w:rPr>
            </w:pPr>
          </w:p>
        </w:tc>
      </w:tr>
    </w:tbl>
    <w:p w14:paraId="1BFA1620" w14:textId="0F292044" w:rsidR="00142D2B" w:rsidRDefault="00142D2B" w:rsidP="00142D2B">
      <w:pPr>
        <w:spacing w:after="0" w:line="480" w:lineRule="auto"/>
        <w:ind w:firstLine="720"/>
        <w:jc w:val="both"/>
      </w:pPr>
      <w:r>
        <w:br w:type="page"/>
      </w:r>
    </w:p>
    <w:p w14:paraId="642F9AB2" w14:textId="77777777" w:rsidR="00142D2B" w:rsidRDefault="00142D2B" w:rsidP="00142D2B">
      <w:pPr>
        <w:spacing w:after="0" w:line="480" w:lineRule="auto"/>
        <w:jc w:val="both"/>
        <w:sectPr w:rsidR="00142D2B" w:rsidSect="00D0314C">
          <w:pgSz w:w="12240" w:h="15840"/>
          <w:pgMar w:top="1440" w:right="1440" w:bottom="1440" w:left="2520" w:header="720" w:footer="720" w:gutter="0"/>
          <w:cols w:space="720"/>
        </w:sectPr>
      </w:pPr>
    </w:p>
    <w:tbl>
      <w:tblPr>
        <w:tblW w:w="5460" w:type="dxa"/>
        <w:tblInd w:w="93" w:type="dxa"/>
        <w:tblLook w:val="04A0" w:firstRow="1" w:lastRow="0" w:firstColumn="1" w:lastColumn="0" w:noHBand="0" w:noVBand="1"/>
      </w:tblPr>
      <w:tblGrid>
        <w:gridCol w:w="498"/>
        <w:gridCol w:w="498"/>
        <w:gridCol w:w="498"/>
        <w:gridCol w:w="498"/>
        <w:gridCol w:w="498"/>
        <w:gridCol w:w="498"/>
        <w:gridCol w:w="498"/>
        <w:gridCol w:w="498"/>
        <w:gridCol w:w="498"/>
        <w:gridCol w:w="498"/>
        <w:gridCol w:w="498"/>
        <w:gridCol w:w="498"/>
        <w:gridCol w:w="515"/>
      </w:tblGrid>
      <w:tr w:rsidR="00C8575A" w:rsidRPr="00C8575A" w14:paraId="1C89CECD" w14:textId="77777777" w:rsidTr="00C8575A">
        <w:trPr>
          <w:trHeight w:val="1180"/>
        </w:trPr>
        <w:tc>
          <w:tcPr>
            <w:tcW w:w="420" w:type="dxa"/>
            <w:tcBorders>
              <w:top w:val="nil"/>
              <w:left w:val="nil"/>
              <w:bottom w:val="nil"/>
              <w:right w:val="nil"/>
            </w:tcBorders>
            <w:shd w:val="clear" w:color="auto" w:fill="auto"/>
            <w:noWrap/>
            <w:textDirection w:val="btLr"/>
            <w:vAlign w:val="center"/>
            <w:hideMark/>
          </w:tcPr>
          <w:p w14:paraId="3D0547AC"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0.010*</w:t>
            </w:r>
          </w:p>
        </w:tc>
        <w:tc>
          <w:tcPr>
            <w:tcW w:w="420" w:type="dxa"/>
            <w:tcBorders>
              <w:top w:val="nil"/>
              <w:left w:val="nil"/>
              <w:bottom w:val="nil"/>
              <w:right w:val="nil"/>
            </w:tcBorders>
            <w:shd w:val="clear" w:color="auto" w:fill="auto"/>
            <w:noWrap/>
            <w:textDirection w:val="btLr"/>
            <w:vAlign w:val="center"/>
            <w:hideMark/>
          </w:tcPr>
          <w:p w14:paraId="0E9B542D"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(0.005)</w:t>
            </w:r>
          </w:p>
        </w:tc>
        <w:tc>
          <w:tcPr>
            <w:tcW w:w="420" w:type="dxa"/>
            <w:tcBorders>
              <w:top w:val="nil"/>
              <w:left w:val="nil"/>
              <w:bottom w:val="nil"/>
              <w:right w:val="nil"/>
            </w:tcBorders>
            <w:shd w:val="clear" w:color="auto" w:fill="auto"/>
            <w:noWrap/>
            <w:textDirection w:val="btLr"/>
            <w:vAlign w:val="center"/>
            <w:hideMark/>
          </w:tcPr>
          <w:p w14:paraId="77F8E8C8"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0.113</w:t>
            </w:r>
          </w:p>
        </w:tc>
        <w:tc>
          <w:tcPr>
            <w:tcW w:w="420" w:type="dxa"/>
            <w:tcBorders>
              <w:top w:val="nil"/>
              <w:left w:val="nil"/>
              <w:bottom w:val="nil"/>
              <w:right w:val="nil"/>
            </w:tcBorders>
            <w:shd w:val="clear" w:color="auto" w:fill="auto"/>
            <w:noWrap/>
            <w:textDirection w:val="btLr"/>
            <w:vAlign w:val="center"/>
            <w:hideMark/>
          </w:tcPr>
          <w:p w14:paraId="230747D4"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(0.098)</w:t>
            </w:r>
          </w:p>
        </w:tc>
        <w:tc>
          <w:tcPr>
            <w:tcW w:w="420" w:type="dxa"/>
            <w:tcBorders>
              <w:top w:val="nil"/>
              <w:left w:val="nil"/>
              <w:bottom w:val="nil"/>
              <w:right w:val="nil"/>
            </w:tcBorders>
            <w:shd w:val="clear" w:color="auto" w:fill="auto"/>
            <w:noWrap/>
            <w:textDirection w:val="btLr"/>
            <w:vAlign w:val="center"/>
            <w:hideMark/>
          </w:tcPr>
          <w:p w14:paraId="695B5D90"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-0.000*</w:t>
            </w:r>
          </w:p>
        </w:tc>
        <w:tc>
          <w:tcPr>
            <w:tcW w:w="420" w:type="dxa"/>
            <w:tcBorders>
              <w:top w:val="nil"/>
              <w:left w:val="nil"/>
              <w:bottom w:val="nil"/>
              <w:right w:val="nil"/>
            </w:tcBorders>
            <w:shd w:val="clear" w:color="auto" w:fill="auto"/>
            <w:noWrap/>
            <w:textDirection w:val="btLr"/>
            <w:vAlign w:val="center"/>
            <w:hideMark/>
          </w:tcPr>
          <w:p w14:paraId="71215D70"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80A82C2"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364703B3"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5D65BED8"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12.696***</w:t>
            </w:r>
          </w:p>
        </w:tc>
        <w:tc>
          <w:tcPr>
            <w:tcW w:w="420" w:type="dxa"/>
            <w:tcBorders>
              <w:top w:val="nil"/>
              <w:left w:val="nil"/>
              <w:bottom w:val="nil"/>
              <w:right w:val="nil"/>
            </w:tcBorders>
            <w:shd w:val="clear" w:color="auto" w:fill="auto"/>
            <w:noWrap/>
            <w:textDirection w:val="btLr"/>
            <w:vAlign w:val="center"/>
            <w:hideMark/>
          </w:tcPr>
          <w:p w14:paraId="235755FD"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(0.469)</w:t>
            </w:r>
          </w:p>
        </w:tc>
        <w:tc>
          <w:tcPr>
            <w:tcW w:w="420" w:type="dxa"/>
            <w:tcBorders>
              <w:top w:val="nil"/>
              <w:left w:val="nil"/>
              <w:bottom w:val="nil"/>
              <w:right w:val="nil"/>
            </w:tcBorders>
            <w:shd w:val="clear" w:color="auto" w:fill="auto"/>
            <w:noWrap/>
            <w:textDirection w:val="btLr"/>
            <w:vAlign w:val="center"/>
            <w:hideMark/>
          </w:tcPr>
          <w:p w14:paraId="688A8580"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922</w:t>
            </w:r>
          </w:p>
        </w:tc>
        <w:tc>
          <w:tcPr>
            <w:tcW w:w="420" w:type="dxa"/>
            <w:tcBorders>
              <w:top w:val="nil"/>
              <w:left w:val="nil"/>
              <w:bottom w:val="nil"/>
              <w:right w:val="nil"/>
            </w:tcBorders>
            <w:shd w:val="clear" w:color="auto" w:fill="auto"/>
            <w:noWrap/>
            <w:textDirection w:val="btLr"/>
            <w:vAlign w:val="center"/>
            <w:hideMark/>
          </w:tcPr>
          <w:p w14:paraId="2530815A"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0.403</w:t>
            </w:r>
          </w:p>
        </w:tc>
        <w:tc>
          <w:tcPr>
            <w:tcW w:w="420" w:type="dxa"/>
            <w:tcBorders>
              <w:top w:val="nil"/>
              <w:left w:val="nil"/>
              <w:bottom w:val="nil"/>
              <w:right w:val="single" w:sz="4" w:space="0" w:color="auto"/>
            </w:tcBorders>
            <w:shd w:val="clear" w:color="auto" w:fill="auto"/>
            <w:noWrap/>
            <w:textDirection w:val="btLr"/>
            <w:vAlign w:val="bottom"/>
            <w:hideMark/>
          </w:tcPr>
          <w:p w14:paraId="50DF2B37" w14:textId="77777777" w:rsidR="00C8575A" w:rsidRPr="00C8575A" w:rsidRDefault="00C8575A" w:rsidP="00C8575A">
            <w:pPr>
              <w:spacing w:after="0"/>
              <w:rPr>
                <w:rFonts w:ascii="Calibri" w:eastAsia="Times New Roman" w:hAnsi="Calibri" w:cs="Times New Roman"/>
                <w:color w:val="000000"/>
                <w:lang w:eastAsia="en-US"/>
              </w:rPr>
            </w:pPr>
            <w:r w:rsidRPr="00C8575A">
              <w:rPr>
                <w:rFonts w:ascii="Calibri" w:eastAsia="Times New Roman" w:hAnsi="Calibri" w:cs="Times New Roman"/>
                <w:color w:val="000000"/>
                <w:lang w:eastAsia="en-US"/>
              </w:rPr>
              <w:t> </w:t>
            </w:r>
          </w:p>
        </w:tc>
      </w:tr>
      <w:tr w:rsidR="00C8575A" w:rsidRPr="00C8575A" w14:paraId="56D6B6AC" w14:textId="77777777" w:rsidTr="00C8575A">
        <w:trPr>
          <w:trHeight w:val="1180"/>
        </w:trPr>
        <w:tc>
          <w:tcPr>
            <w:tcW w:w="420" w:type="dxa"/>
            <w:tcBorders>
              <w:top w:val="nil"/>
              <w:left w:val="nil"/>
              <w:bottom w:val="nil"/>
              <w:right w:val="nil"/>
            </w:tcBorders>
            <w:shd w:val="clear" w:color="auto" w:fill="auto"/>
            <w:noWrap/>
            <w:textDirection w:val="btLr"/>
            <w:vAlign w:val="center"/>
            <w:hideMark/>
          </w:tcPr>
          <w:p w14:paraId="6DCF3E93"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0.009*</w:t>
            </w:r>
          </w:p>
        </w:tc>
        <w:tc>
          <w:tcPr>
            <w:tcW w:w="420" w:type="dxa"/>
            <w:tcBorders>
              <w:top w:val="nil"/>
              <w:left w:val="nil"/>
              <w:bottom w:val="nil"/>
              <w:right w:val="nil"/>
            </w:tcBorders>
            <w:shd w:val="clear" w:color="auto" w:fill="auto"/>
            <w:noWrap/>
            <w:textDirection w:val="btLr"/>
            <w:vAlign w:val="center"/>
            <w:hideMark/>
          </w:tcPr>
          <w:p w14:paraId="42A07EC5"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(0.005)</w:t>
            </w:r>
          </w:p>
        </w:tc>
        <w:tc>
          <w:tcPr>
            <w:tcW w:w="420" w:type="dxa"/>
            <w:tcBorders>
              <w:top w:val="nil"/>
              <w:left w:val="nil"/>
              <w:bottom w:val="nil"/>
              <w:right w:val="nil"/>
            </w:tcBorders>
            <w:shd w:val="clear" w:color="auto" w:fill="auto"/>
            <w:noWrap/>
            <w:textDirection w:val="btLr"/>
            <w:vAlign w:val="center"/>
            <w:hideMark/>
          </w:tcPr>
          <w:p w14:paraId="222C1EAA"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11A12418"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6DF2795E"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0A270463"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15DFF98C"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4C753072"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46D07548"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12.626***</w:t>
            </w:r>
          </w:p>
        </w:tc>
        <w:tc>
          <w:tcPr>
            <w:tcW w:w="420" w:type="dxa"/>
            <w:tcBorders>
              <w:top w:val="nil"/>
              <w:left w:val="nil"/>
              <w:bottom w:val="nil"/>
              <w:right w:val="nil"/>
            </w:tcBorders>
            <w:shd w:val="clear" w:color="auto" w:fill="auto"/>
            <w:noWrap/>
            <w:textDirection w:val="btLr"/>
            <w:vAlign w:val="center"/>
            <w:hideMark/>
          </w:tcPr>
          <w:p w14:paraId="46302C43"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(0.358)</w:t>
            </w:r>
          </w:p>
        </w:tc>
        <w:tc>
          <w:tcPr>
            <w:tcW w:w="420" w:type="dxa"/>
            <w:tcBorders>
              <w:top w:val="nil"/>
              <w:left w:val="nil"/>
              <w:bottom w:val="nil"/>
              <w:right w:val="nil"/>
            </w:tcBorders>
            <w:shd w:val="clear" w:color="auto" w:fill="auto"/>
            <w:noWrap/>
            <w:textDirection w:val="btLr"/>
            <w:vAlign w:val="center"/>
            <w:hideMark/>
          </w:tcPr>
          <w:p w14:paraId="411EEFC4"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922</w:t>
            </w:r>
          </w:p>
        </w:tc>
        <w:tc>
          <w:tcPr>
            <w:tcW w:w="420" w:type="dxa"/>
            <w:tcBorders>
              <w:top w:val="nil"/>
              <w:left w:val="nil"/>
              <w:bottom w:val="nil"/>
              <w:right w:val="nil"/>
            </w:tcBorders>
            <w:shd w:val="clear" w:color="auto" w:fill="auto"/>
            <w:noWrap/>
            <w:textDirection w:val="btLr"/>
            <w:vAlign w:val="center"/>
            <w:hideMark/>
          </w:tcPr>
          <w:p w14:paraId="5AE0FB7B"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0.396</w:t>
            </w:r>
          </w:p>
        </w:tc>
        <w:tc>
          <w:tcPr>
            <w:tcW w:w="420" w:type="dxa"/>
            <w:tcBorders>
              <w:top w:val="nil"/>
              <w:left w:val="nil"/>
              <w:bottom w:val="nil"/>
              <w:right w:val="single" w:sz="4" w:space="0" w:color="auto"/>
            </w:tcBorders>
            <w:shd w:val="clear" w:color="auto" w:fill="auto"/>
            <w:noWrap/>
            <w:textDirection w:val="btLr"/>
            <w:vAlign w:val="bottom"/>
            <w:hideMark/>
          </w:tcPr>
          <w:p w14:paraId="041C9041" w14:textId="77777777" w:rsidR="00C8575A" w:rsidRPr="00C8575A" w:rsidRDefault="00C8575A" w:rsidP="00C8575A">
            <w:pPr>
              <w:spacing w:after="0"/>
              <w:rPr>
                <w:rFonts w:ascii="Calibri" w:eastAsia="Times New Roman" w:hAnsi="Calibri" w:cs="Times New Roman"/>
                <w:color w:val="000000"/>
                <w:lang w:eastAsia="en-US"/>
              </w:rPr>
            </w:pPr>
            <w:r w:rsidRPr="00C8575A">
              <w:rPr>
                <w:rFonts w:ascii="Calibri" w:eastAsia="Times New Roman" w:hAnsi="Calibri" w:cs="Times New Roman"/>
                <w:color w:val="000000"/>
                <w:lang w:eastAsia="en-US"/>
              </w:rPr>
              <w:t> </w:t>
            </w:r>
          </w:p>
        </w:tc>
      </w:tr>
      <w:tr w:rsidR="00C8575A" w:rsidRPr="00C8575A" w14:paraId="7F33AE59" w14:textId="77777777" w:rsidTr="00C8575A">
        <w:trPr>
          <w:trHeight w:val="1180"/>
        </w:trPr>
        <w:tc>
          <w:tcPr>
            <w:tcW w:w="420" w:type="dxa"/>
            <w:tcBorders>
              <w:top w:val="nil"/>
              <w:left w:val="nil"/>
              <w:bottom w:val="nil"/>
              <w:right w:val="nil"/>
            </w:tcBorders>
            <w:shd w:val="clear" w:color="auto" w:fill="auto"/>
            <w:noWrap/>
            <w:textDirection w:val="btLr"/>
            <w:vAlign w:val="center"/>
            <w:hideMark/>
          </w:tcPr>
          <w:p w14:paraId="062AD302"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33EDA422"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3EBE6CDD"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0.084</w:t>
            </w:r>
          </w:p>
        </w:tc>
        <w:tc>
          <w:tcPr>
            <w:tcW w:w="420" w:type="dxa"/>
            <w:tcBorders>
              <w:top w:val="nil"/>
              <w:left w:val="nil"/>
              <w:bottom w:val="nil"/>
              <w:right w:val="nil"/>
            </w:tcBorders>
            <w:shd w:val="clear" w:color="auto" w:fill="auto"/>
            <w:noWrap/>
            <w:textDirection w:val="btLr"/>
            <w:vAlign w:val="center"/>
            <w:hideMark/>
          </w:tcPr>
          <w:p w14:paraId="2A634330"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(0.097)</w:t>
            </w:r>
          </w:p>
        </w:tc>
        <w:tc>
          <w:tcPr>
            <w:tcW w:w="420" w:type="dxa"/>
            <w:tcBorders>
              <w:top w:val="nil"/>
              <w:left w:val="nil"/>
              <w:bottom w:val="nil"/>
              <w:right w:val="nil"/>
            </w:tcBorders>
            <w:shd w:val="clear" w:color="auto" w:fill="auto"/>
            <w:noWrap/>
            <w:textDirection w:val="btLr"/>
            <w:vAlign w:val="center"/>
            <w:hideMark/>
          </w:tcPr>
          <w:p w14:paraId="3D15474E"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w:t>
            </w:r>
          </w:p>
        </w:tc>
        <w:tc>
          <w:tcPr>
            <w:tcW w:w="420" w:type="dxa"/>
            <w:tcBorders>
              <w:top w:val="nil"/>
              <w:left w:val="nil"/>
              <w:bottom w:val="nil"/>
              <w:right w:val="nil"/>
            </w:tcBorders>
            <w:shd w:val="clear" w:color="auto" w:fill="auto"/>
            <w:noWrap/>
            <w:textDirection w:val="btLr"/>
            <w:vAlign w:val="center"/>
            <w:hideMark/>
          </w:tcPr>
          <w:p w14:paraId="745D3E05"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382138FB"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6D93D610"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5B881EB2"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13.222***</w:t>
            </w:r>
          </w:p>
        </w:tc>
        <w:tc>
          <w:tcPr>
            <w:tcW w:w="420" w:type="dxa"/>
            <w:tcBorders>
              <w:top w:val="nil"/>
              <w:left w:val="nil"/>
              <w:bottom w:val="nil"/>
              <w:right w:val="nil"/>
            </w:tcBorders>
            <w:shd w:val="clear" w:color="auto" w:fill="auto"/>
            <w:noWrap/>
            <w:textDirection w:val="btLr"/>
            <w:vAlign w:val="center"/>
            <w:hideMark/>
          </w:tcPr>
          <w:p w14:paraId="100E684F"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(0.387)</w:t>
            </w:r>
          </w:p>
        </w:tc>
        <w:tc>
          <w:tcPr>
            <w:tcW w:w="420" w:type="dxa"/>
            <w:tcBorders>
              <w:top w:val="nil"/>
              <w:left w:val="nil"/>
              <w:bottom w:val="nil"/>
              <w:right w:val="nil"/>
            </w:tcBorders>
            <w:shd w:val="clear" w:color="auto" w:fill="auto"/>
            <w:noWrap/>
            <w:textDirection w:val="btLr"/>
            <w:vAlign w:val="center"/>
            <w:hideMark/>
          </w:tcPr>
          <w:p w14:paraId="13C469C8"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945</w:t>
            </w:r>
          </w:p>
        </w:tc>
        <w:tc>
          <w:tcPr>
            <w:tcW w:w="420" w:type="dxa"/>
            <w:tcBorders>
              <w:top w:val="nil"/>
              <w:left w:val="nil"/>
              <w:bottom w:val="nil"/>
              <w:right w:val="nil"/>
            </w:tcBorders>
            <w:shd w:val="clear" w:color="auto" w:fill="auto"/>
            <w:noWrap/>
            <w:textDirection w:val="btLr"/>
            <w:vAlign w:val="center"/>
            <w:hideMark/>
          </w:tcPr>
          <w:p w14:paraId="711AD147"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0.399</w:t>
            </w:r>
          </w:p>
        </w:tc>
        <w:tc>
          <w:tcPr>
            <w:tcW w:w="420" w:type="dxa"/>
            <w:tcBorders>
              <w:top w:val="nil"/>
              <w:left w:val="nil"/>
              <w:bottom w:val="nil"/>
              <w:right w:val="single" w:sz="4" w:space="0" w:color="auto"/>
            </w:tcBorders>
            <w:shd w:val="clear" w:color="auto" w:fill="auto"/>
            <w:noWrap/>
            <w:textDirection w:val="btLr"/>
            <w:vAlign w:val="bottom"/>
            <w:hideMark/>
          </w:tcPr>
          <w:p w14:paraId="2CDB96C4" w14:textId="77777777" w:rsidR="00C8575A" w:rsidRPr="00C8575A" w:rsidRDefault="00C8575A" w:rsidP="00C8575A">
            <w:pPr>
              <w:spacing w:after="0"/>
              <w:rPr>
                <w:rFonts w:ascii="Calibri" w:eastAsia="Times New Roman" w:hAnsi="Calibri" w:cs="Times New Roman"/>
                <w:color w:val="000000"/>
                <w:lang w:eastAsia="en-US"/>
              </w:rPr>
            </w:pPr>
            <w:r w:rsidRPr="00C8575A">
              <w:rPr>
                <w:rFonts w:ascii="Calibri" w:eastAsia="Times New Roman" w:hAnsi="Calibri" w:cs="Times New Roman"/>
                <w:color w:val="000000"/>
                <w:lang w:eastAsia="en-US"/>
              </w:rPr>
              <w:t> </w:t>
            </w:r>
          </w:p>
        </w:tc>
      </w:tr>
      <w:tr w:rsidR="00C8575A" w:rsidRPr="00C8575A" w14:paraId="0A93E398" w14:textId="77777777" w:rsidTr="00C8575A">
        <w:trPr>
          <w:trHeight w:val="1180"/>
        </w:trPr>
        <w:tc>
          <w:tcPr>
            <w:tcW w:w="420" w:type="dxa"/>
            <w:tcBorders>
              <w:top w:val="nil"/>
              <w:left w:val="nil"/>
              <w:bottom w:val="nil"/>
              <w:right w:val="nil"/>
            </w:tcBorders>
            <w:shd w:val="clear" w:color="auto" w:fill="auto"/>
            <w:noWrap/>
            <w:textDirection w:val="btLr"/>
            <w:vAlign w:val="center"/>
            <w:hideMark/>
          </w:tcPr>
          <w:p w14:paraId="7CB481AB"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33DF6858"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1CB2CF1D"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0.186*</w:t>
            </w:r>
          </w:p>
        </w:tc>
        <w:tc>
          <w:tcPr>
            <w:tcW w:w="420" w:type="dxa"/>
            <w:tcBorders>
              <w:top w:val="nil"/>
              <w:left w:val="nil"/>
              <w:bottom w:val="nil"/>
              <w:right w:val="nil"/>
            </w:tcBorders>
            <w:shd w:val="clear" w:color="auto" w:fill="auto"/>
            <w:noWrap/>
            <w:textDirection w:val="btLr"/>
            <w:vAlign w:val="center"/>
            <w:hideMark/>
          </w:tcPr>
          <w:p w14:paraId="12C04888"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(0.103)</w:t>
            </w:r>
          </w:p>
        </w:tc>
        <w:tc>
          <w:tcPr>
            <w:tcW w:w="420" w:type="dxa"/>
            <w:tcBorders>
              <w:top w:val="nil"/>
              <w:left w:val="nil"/>
              <w:bottom w:val="nil"/>
              <w:right w:val="nil"/>
            </w:tcBorders>
            <w:shd w:val="clear" w:color="auto" w:fill="auto"/>
            <w:noWrap/>
            <w:textDirection w:val="btLr"/>
            <w:vAlign w:val="center"/>
            <w:hideMark/>
          </w:tcPr>
          <w:p w14:paraId="75AB3756"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0.000***</w:t>
            </w:r>
          </w:p>
        </w:tc>
        <w:tc>
          <w:tcPr>
            <w:tcW w:w="420" w:type="dxa"/>
            <w:tcBorders>
              <w:top w:val="nil"/>
              <w:left w:val="nil"/>
              <w:bottom w:val="nil"/>
              <w:right w:val="nil"/>
            </w:tcBorders>
            <w:shd w:val="clear" w:color="auto" w:fill="auto"/>
            <w:noWrap/>
            <w:textDirection w:val="btLr"/>
            <w:vAlign w:val="center"/>
            <w:hideMark/>
          </w:tcPr>
          <w:p w14:paraId="4476C558"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1B7D986A"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3C4CCD03"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6961AFE6"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16.966***</w:t>
            </w:r>
          </w:p>
        </w:tc>
        <w:tc>
          <w:tcPr>
            <w:tcW w:w="420" w:type="dxa"/>
            <w:tcBorders>
              <w:top w:val="nil"/>
              <w:left w:val="nil"/>
              <w:bottom w:val="nil"/>
              <w:right w:val="nil"/>
            </w:tcBorders>
            <w:shd w:val="clear" w:color="auto" w:fill="auto"/>
            <w:noWrap/>
            <w:textDirection w:val="btLr"/>
            <w:vAlign w:val="center"/>
            <w:hideMark/>
          </w:tcPr>
          <w:p w14:paraId="63A5F327"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(0.177)</w:t>
            </w:r>
          </w:p>
        </w:tc>
        <w:tc>
          <w:tcPr>
            <w:tcW w:w="420" w:type="dxa"/>
            <w:tcBorders>
              <w:top w:val="nil"/>
              <w:left w:val="nil"/>
              <w:bottom w:val="nil"/>
              <w:right w:val="nil"/>
            </w:tcBorders>
            <w:shd w:val="clear" w:color="auto" w:fill="auto"/>
            <w:noWrap/>
            <w:textDirection w:val="btLr"/>
            <w:vAlign w:val="center"/>
            <w:hideMark/>
          </w:tcPr>
          <w:p w14:paraId="706E0EE2"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952</w:t>
            </w:r>
          </w:p>
        </w:tc>
        <w:tc>
          <w:tcPr>
            <w:tcW w:w="420" w:type="dxa"/>
            <w:tcBorders>
              <w:top w:val="nil"/>
              <w:left w:val="nil"/>
              <w:bottom w:val="nil"/>
              <w:right w:val="nil"/>
            </w:tcBorders>
            <w:shd w:val="clear" w:color="auto" w:fill="auto"/>
            <w:noWrap/>
            <w:textDirection w:val="btLr"/>
            <w:vAlign w:val="center"/>
            <w:hideMark/>
          </w:tcPr>
          <w:p w14:paraId="493DEDA3"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0.305</w:t>
            </w:r>
          </w:p>
        </w:tc>
        <w:tc>
          <w:tcPr>
            <w:tcW w:w="420" w:type="dxa"/>
            <w:tcBorders>
              <w:top w:val="nil"/>
              <w:left w:val="nil"/>
              <w:bottom w:val="nil"/>
              <w:right w:val="single" w:sz="4" w:space="0" w:color="auto"/>
            </w:tcBorders>
            <w:shd w:val="clear" w:color="auto" w:fill="auto"/>
            <w:noWrap/>
            <w:textDirection w:val="btLr"/>
            <w:vAlign w:val="bottom"/>
            <w:hideMark/>
          </w:tcPr>
          <w:p w14:paraId="67D251AA" w14:textId="77777777" w:rsidR="00C8575A" w:rsidRPr="00C8575A" w:rsidRDefault="00C8575A" w:rsidP="00C8575A">
            <w:pPr>
              <w:spacing w:after="0"/>
              <w:rPr>
                <w:rFonts w:ascii="Calibri" w:eastAsia="Times New Roman" w:hAnsi="Calibri" w:cs="Times New Roman"/>
                <w:color w:val="000000"/>
                <w:lang w:eastAsia="en-US"/>
              </w:rPr>
            </w:pPr>
            <w:r w:rsidRPr="00C8575A">
              <w:rPr>
                <w:rFonts w:ascii="Calibri" w:eastAsia="Times New Roman" w:hAnsi="Calibri" w:cs="Times New Roman"/>
                <w:color w:val="000000"/>
                <w:lang w:eastAsia="en-US"/>
              </w:rPr>
              <w:t> </w:t>
            </w:r>
          </w:p>
        </w:tc>
      </w:tr>
      <w:tr w:rsidR="00C8575A" w:rsidRPr="00C8575A" w14:paraId="31F952AF" w14:textId="77777777" w:rsidTr="00C8575A">
        <w:trPr>
          <w:trHeight w:val="1180"/>
        </w:trPr>
        <w:tc>
          <w:tcPr>
            <w:tcW w:w="420" w:type="dxa"/>
            <w:tcBorders>
              <w:top w:val="nil"/>
              <w:left w:val="nil"/>
              <w:bottom w:val="nil"/>
              <w:right w:val="nil"/>
            </w:tcBorders>
            <w:shd w:val="clear" w:color="auto" w:fill="auto"/>
            <w:noWrap/>
            <w:textDirection w:val="btLr"/>
            <w:vAlign w:val="center"/>
            <w:hideMark/>
          </w:tcPr>
          <w:p w14:paraId="668EE2DB"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0.044***</w:t>
            </w:r>
          </w:p>
        </w:tc>
        <w:tc>
          <w:tcPr>
            <w:tcW w:w="420" w:type="dxa"/>
            <w:tcBorders>
              <w:top w:val="nil"/>
              <w:left w:val="nil"/>
              <w:bottom w:val="nil"/>
              <w:right w:val="nil"/>
            </w:tcBorders>
            <w:shd w:val="clear" w:color="auto" w:fill="auto"/>
            <w:noWrap/>
            <w:textDirection w:val="btLr"/>
            <w:vAlign w:val="center"/>
            <w:hideMark/>
          </w:tcPr>
          <w:p w14:paraId="12A1E4F2"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(0.005)</w:t>
            </w:r>
          </w:p>
        </w:tc>
        <w:tc>
          <w:tcPr>
            <w:tcW w:w="420" w:type="dxa"/>
            <w:tcBorders>
              <w:top w:val="nil"/>
              <w:left w:val="nil"/>
              <w:bottom w:val="nil"/>
              <w:right w:val="nil"/>
            </w:tcBorders>
            <w:shd w:val="clear" w:color="auto" w:fill="auto"/>
            <w:noWrap/>
            <w:textDirection w:val="btLr"/>
            <w:vAlign w:val="center"/>
            <w:hideMark/>
          </w:tcPr>
          <w:p w14:paraId="67D8D547"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047AFBEF"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7D1FABF4"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4314AF52"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0B96A40D"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2D20303C"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46E73966"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15.729***</w:t>
            </w:r>
          </w:p>
        </w:tc>
        <w:tc>
          <w:tcPr>
            <w:tcW w:w="420" w:type="dxa"/>
            <w:tcBorders>
              <w:top w:val="nil"/>
              <w:left w:val="nil"/>
              <w:bottom w:val="nil"/>
              <w:right w:val="nil"/>
            </w:tcBorders>
            <w:shd w:val="clear" w:color="auto" w:fill="auto"/>
            <w:noWrap/>
            <w:textDirection w:val="btLr"/>
            <w:vAlign w:val="center"/>
            <w:hideMark/>
          </w:tcPr>
          <w:p w14:paraId="2F91E276"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(0.120)</w:t>
            </w:r>
          </w:p>
        </w:tc>
        <w:tc>
          <w:tcPr>
            <w:tcW w:w="420" w:type="dxa"/>
            <w:tcBorders>
              <w:top w:val="nil"/>
              <w:left w:val="nil"/>
              <w:bottom w:val="nil"/>
              <w:right w:val="nil"/>
            </w:tcBorders>
            <w:shd w:val="clear" w:color="auto" w:fill="auto"/>
            <w:noWrap/>
            <w:textDirection w:val="btLr"/>
            <w:vAlign w:val="center"/>
            <w:hideMark/>
          </w:tcPr>
          <w:p w14:paraId="0AA98BA2"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964</w:t>
            </w:r>
          </w:p>
        </w:tc>
        <w:tc>
          <w:tcPr>
            <w:tcW w:w="420" w:type="dxa"/>
            <w:tcBorders>
              <w:top w:val="nil"/>
              <w:left w:val="nil"/>
              <w:bottom w:val="nil"/>
              <w:right w:val="nil"/>
            </w:tcBorders>
            <w:shd w:val="clear" w:color="auto" w:fill="auto"/>
            <w:noWrap/>
            <w:textDirection w:val="btLr"/>
            <w:vAlign w:val="center"/>
            <w:hideMark/>
          </w:tcPr>
          <w:p w14:paraId="255E7343"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0.3</w:t>
            </w:r>
          </w:p>
        </w:tc>
        <w:tc>
          <w:tcPr>
            <w:tcW w:w="420" w:type="dxa"/>
            <w:tcBorders>
              <w:top w:val="nil"/>
              <w:left w:val="nil"/>
              <w:bottom w:val="nil"/>
              <w:right w:val="single" w:sz="4" w:space="0" w:color="auto"/>
            </w:tcBorders>
            <w:shd w:val="clear" w:color="auto" w:fill="auto"/>
            <w:noWrap/>
            <w:textDirection w:val="btLr"/>
            <w:vAlign w:val="bottom"/>
            <w:hideMark/>
          </w:tcPr>
          <w:p w14:paraId="337887AA" w14:textId="77777777" w:rsidR="00C8575A" w:rsidRPr="00C8575A" w:rsidRDefault="00C8575A" w:rsidP="00C8575A">
            <w:pPr>
              <w:spacing w:after="0"/>
              <w:rPr>
                <w:rFonts w:ascii="Calibri" w:eastAsia="Times New Roman" w:hAnsi="Calibri" w:cs="Times New Roman"/>
                <w:color w:val="000000"/>
                <w:lang w:eastAsia="en-US"/>
              </w:rPr>
            </w:pPr>
            <w:r w:rsidRPr="00C8575A">
              <w:rPr>
                <w:rFonts w:ascii="Calibri" w:eastAsia="Times New Roman" w:hAnsi="Calibri" w:cs="Times New Roman"/>
                <w:color w:val="000000"/>
                <w:lang w:eastAsia="en-US"/>
              </w:rPr>
              <w:t> </w:t>
            </w:r>
          </w:p>
        </w:tc>
      </w:tr>
      <w:tr w:rsidR="00C8575A" w:rsidRPr="00C8575A" w14:paraId="0C9B5487" w14:textId="77777777" w:rsidTr="00C8575A">
        <w:trPr>
          <w:trHeight w:val="1180"/>
        </w:trPr>
        <w:tc>
          <w:tcPr>
            <w:tcW w:w="420" w:type="dxa"/>
            <w:tcBorders>
              <w:top w:val="nil"/>
              <w:left w:val="nil"/>
              <w:bottom w:val="nil"/>
              <w:right w:val="nil"/>
            </w:tcBorders>
            <w:shd w:val="clear" w:color="auto" w:fill="auto"/>
            <w:noWrap/>
            <w:textDirection w:val="btLr"/>
            <w:vAlign w:val="center"/>
            <w:hideMark/>
          </w:tcPr>
          <w:p w14:paraId="44E5D9D1"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40E20363"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39A8CC59"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1BB454F1"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702B5686"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49A33CA1"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1659C056"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0C346089"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50683193"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13.038***</w:t>
            </w:r>
          </w:p>
        </w:tc>
        <w:tc>
          <w:tcPr>
            <w:tcW w:w="420" w:type="dxa"/>
            <w:tcBorders>
              <w:top w:val="nil"/>
              <w:left w:val="nil"/>
              <w:bottom w:val="nil"/>
              <w:right w:val="nil"/>
            </w:tcBorders>
            <w:shd w:val="clear" w:color="auto" w:fill="auto"/>
            <w:noWrap/>
            <w:textDirection w:val="btLr"/>
            <w:vAlign w:val="center"/>
            <w:hideMark/>
          </w:tcPr>
          <w:p w14:paraId="4842AB05"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(0.309)</w:t>
            </w:r>
          </w:p>
        </w:tc>
        <w:tc>
          <w:tcPr>
            <w:tcW w:w="420" w:type="dxa"/>
            <w:tcBorders>
              <w:top w:val="nil"/>
              <w:left w:val="nil"/>
              <w:bottom w:val="nil"/>
              <w:right w:val="nil"/>
            </w:tcBorders>
            <w:shd w:val="clear" w:color="auto" w:fill="auto"/>
            <w:noWrap/>
            <w:textDirection w:val="btLr"/>
            <w:vAlign w:val="center"/>
            <w:hideMark/>
          </w:tcPr>
          <w:p w14:paraId="40A7B7C2"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945</w:t>
            </w:r>
          </w:p>
        </w:tc>
        <w:tc>
          <w:tcPr>
            <w:tcW w:w="420" w:type="dxa"/>
            <w:tcBorders>
              <w:top w:val="nil"/>
              <w:left w:val="nil"/>
              <w:bottom w:val="nil"/>
              <w:right w:val="nil"/>
            </w:tcBorders>
            <w:shd w:val="clear" w:color="auto" w:fill="auto"/>
            <w:noWrap/>
            <w:textDirection w:val="btLr"/>
            <w:vAlign w:val="center"/>
            <w:hideMark/>
          </w:tcPr>
          <w:p w14:paraId="7D415840"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0.393</w:t>
            </w:r>
          </w:p>
        </w:tc>
        <w:tc>
          <w:tcPr>
            <w:tcW w:w="420" w:type="dxa"/>
            <w:tcBorders>
              <w:top w:val="nil"/>
              <w:left w:val="nil"/>
              <w:bottom w:val="nil"/>
              <w:right w:val="single" w:sz="4" w:space="0" w:color="auto"/>
            </w:tcBorders>
            <w:shd w:val="clear" w:color="auto" w:fill="auto"/>
            <w:noWrap/>
            <w:textDirection w:val="btLr"/>
            <w:vAlign w:val="bottom"/>
            <w:hideMark/>
          </w:tcPr>
          <w:p w14:paraId="4EE39A17" w14:textId="77777777" w:rsidR="00C8575A" w:rsidRPr="00C8575A" w:rsidRDefault="00C8575A" w:rsidP="00C8575A">
            <w:pPr>
              <w:spacing w:after="0"/>
              <w:rPr>
                <w:rFonts w:ascii="Calibri" w:eastAsia="Times New Roman" w:hAnsi="Calibri" w:cs="Times New Roman"/>
                <w:color w:val="000000"/>
                <w:lang w:eastAsia="en-US"/>
              </w:rPr>
            </w:pPr>
            <w:r w:rsidRPr="00C8575A">
              <w:rPr>
                <w:rFonts w:ascii="Calibri" w:eastAsia="Times New Roman" w:hAnsi="Calibri" w:cs="Times New Roman"/>
                <w:color w:val="000000"/>
                <w:lang w:eastAsia="en-US"/>
              </w:rPr>
              <w:t> </w:t>
            </w:r>
          </w:p>
        </w:tc>
      </w:tr>
      <w:tr w:rsidR="00C8575A" w:rsidRPr="00C8575A" w14:paraId="04CFB313" w14:textId="77777777" w:rsidTr="00C8575A">
        <w:trPr>
          <w:trHeight w:val="1180"/>
        </w:trPr>
        <w:tc>
          <w:tcPr>
            <w:tcW w:w="420" w:type="dxa"/>
            <w:tcBorders>
              <w:top w:val="nil"/>
              <w:left w:val="nil"/>
              <w:bottom w:val="nil"/>
              <w:right w:val="nil"/>
            </w:tcBorders>
            <w:shd w:val="clear" w:color="auto" w:fill="auto"/>
            <w:noWrap/>
            <w:textDirection w:val="btLr"/>
            <w:vAlign w:val="center"/>
            <w:hideMark/>
          </w:tcPr>
          <w:p w14:paraId="3E066F4C"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17E88F8D"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4FD7DF00"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2792E77B"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49C7236A"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77A66927"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461D0098"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61AC91C5"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34612881"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12.569***</w:t>
            </w:r>
          </w:p>
        </w:tc>
        <w:tc>
          <w:tcPr>
            <w:tcW w:w="420" w:type="dxa"/>
            <w:tcBorders>
              <w:top w:val="nil"/>
              <w:left w:val="nil"/>
              <w:bottom w:val="nil"/>
              <w:right w:val="nil"/>
            </w:tcBorders>
            <w:shd w:val="clear" w:color="auto" w:fill="auto"/>
            <w:noWrap/>
            <w:textDirection w:val="btLr"/>
            <w:vAlign w:val="center"/>
            <w:hideMark/>
          </w:tcPr>
          <w:p w14:paraId="0E5BB2F6"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(0.278)</w:t>
            </w:r>
          </w:p>
        </w:tc>
        <w:tc>
          <w:tcPr>
            <w:tcW w:w="420" w:type="dxa"/>
            <w:tcBorders>
              <w:top w:val="nil"/>
              <w:left w:val="nil"/>
              <w:bottom w:val="nil"/>
              <w:right w:val="nil"/>
            </w:tcBorders>
            <w:shd w:val="clear" w:color="auto" w:fill="auto"/>
            <w:noWrap/>
            <w:textDirection w:val="btLr"/>
            <w:vAlign w:val="center"/>
            <w:hideMark/>
          </w:tcPr>
          <w:p w14:paraId="6EED2F87"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952</w:t>
            </w:r>
          </w:p>
        </w:tc>
        <w:tc>
          <w:tcPr>
            <w:tcW w:w="420" w:type="dxa"/>
            <w:tcBorders>
              <w:top w:val="nil"/>
              <w:left w:val="nil"/>
              <w:bottom w:val="nil"/>
              <w:right w:val="nil"/>
            </w:tcBorders>
            <w:shd w:val="clear" w:color="auto" w:fill="auto"/>
            <w:noWrap/>
            <w:textDirection w:val="btLr"/>
            <w:vAlign w:val="center"/>
            <w:hideMark/>
          </w:tcPr>
          <w:p w14:paraId="1C4535AC"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0.381</w:t>
            </w:r>
          </w:p>
        </w:tc>
        <w:tc>
          <w:tcPr>
            <w:tcW w:w="420" w:type="dxa"/>
            <w:vMerge w:val="restart"/>
            <w:tcBorders>
              <w:top w:val="nil"/>
              <w:left w:val="nil"/>
              <w:bottom w:val="nil"/>
              <w:right w:val="single" w:sz="4" w:space="0" w:color="auto"/>
            </w:tcBorders>
            <w:shd w:val="clear" w:color="auto" w:fill="auto"/>
            <w:noWrap/>
            <w:textDirection w:val="btLr"/>
            <w:vAlign w:val="bottom"/>
            <w:hideMark/>
          </w:tcPr>
          <w:p w14:paraId="2628C30E"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note:  *** p&lt;0.01, ** p&lt;0.05, * p&lt;0.1</w:t>
            </w:r>
          </w:p>
        </w:tc>
      </w:tr>
      <w:tr w:rsidR="00C8575A" w:rsidRPr="00C8575A" w14:paraId="24F3562D" w14:textId="77777777" w:rsidTr="00C8575A">
        <w:trPr>
          <w:trHeight w:val="1180"/>
        </w:trPr>
        <w:tc>
          <w:tcPr>
            <w:tcW w:w="420" w:type="dxa"/>
            <w:tcBorders>
              <w:top w:val="nil"/>
              <w:left w:val="nil"/>
              <w:bottom w:val="nil"/>
              <w:right w:val="nil"/>
            </w:tcBorders>
            <w:shd w:val="clear" w:color="auto" w:fill="auto"/>
            <w:noWrap/>
            <w:textDirection w:val="btLr"/>
            <w:vAlign w:val="center"/>
            <w:hideMark/>
          </w:tcPr>
          <w:p w14:paraId="2F15A237"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6BFCE84D"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6068C762"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2EB5ECB8"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14471AD3"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06DCCB2D"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5F6B2B80"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2D70C982"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noWrap/>
            <w:textDirection w:val="btLr"/>
            <w:vAlign w:val="center"/>
            <w:hideMark/>
          </w:tcPr>
          <w:p w14:paraId="5AEF4B4E"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16.720***</w:t>
            </w:r>
          </w:p>
        </w:tc>
        <w:tc>
          <w:tcPr>
            <w:tcW w:w="420" w:type="dxa"/>
            <w:tcBorders>
              <w:top w:val="nil"/>
              <w:left w:val="nil"/>
              <w:bottom w:val="nil"/>
              <w:right w:val="nil"/>
            </w:tcBorders>
            <w:shd w:val="clear" w:color="auto" w:fill="auto"/>
            <w:noWrap/>
            <w:textDirection w:val="btLr"/>
            <w:vAlign w:val="center"/>
            <w:hideMark/>
          </w:tcPr>
          <w:p w14:paraId="2928C954"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(0.050)</w:t>
            </w:r>
          </w:p>
        </w:tc>
        <w:tc>
          <w:tcPr>
            <w:tcW w:w="420" w:type="dxa"/>
            <w:tcBorders>
              <w:top w:val="nil"/>
              <w:left w:val="nil"/>
              <w:bottom w:val="nil"/>
              <w:right w:val="nil"/>
            </w:tcBorders>
            <w:shd w:val="clear" w:color="auto" w:fill="auto"/>
            <w:noWrap/>
            <w:textDirection w:val="btLr"/>
            <w:vAlign w:val="center"/>
            <w:hideMark/>
          </w:tcPr>
          <w:p w14:paraId="1CC054C3"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1,018</w:t>
            </w:r>
          </w:p>
        </w:tc>
        <w:tc>
          <w:tcPr>
            <w:tcW w:w="420" w:type="dxa"/>
            <w:tcBorders>
              <w:top w:val="nil"/>
              <w:left w:val="nil"/>
              <w:bottom w:val="nil"/>
              <w:right w:val="nil"/>
            </w:tcBorders>
            <w:shd w:val="clear" w:color="auto" w:fill="auto"/>
            <w:noWrap/>
            <w:textDirection w:val="btLr"/>
            <w:vAlign w:val="center"/>
            <w:hideMark/>
          </w:tcPr>
          <w:p w14:paraId="19808DFD"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0.229</w:t>
            </w:r>
          </w:p>
        </w:tc>
        <w:tc>
          <w:tcPr>
            <w:tcW w:w="420" w:type="dxa"/>
            <w:vMerge/>
            <w:tcBorders>
              <w:top w:val="nil"/>
              <w:left w:val="nil"/>
              <w:bottom w:val="nil"/>
              <w:right w:val="single" w:sz="4" w:space="0" w:color="auto"/>
            </w:tcBorders>
            <w:vAlign w:val="center"/>
            <w:hideMark/>
          </w:tcPr>
          <w:p w14:paraId="73D3F1E2" w14:textId="77777777" w:rsidR="00C8575A" w:rsidRPr="00C8575A" w:rsidRDefault="00C8575A" w:rsidP="00C8575A">
            <w:pPr>
              <w:spacing w:after="0"/>
              <w:rPr>
                <w:rFonts w:eastAsia="Times New Roman" w:cs="Times New Roman"/>
                <w:color w:val="000000"/>
                <w:lang w:eastAsia="en-US"/>
              </w:rPr>
            </w:pPr>
          </w:p>
        </w:tc>
      </w:tr>
      <w:tr w:rsidR="00C8575A" w:rsidRPr="00C8575A" w14:paraId="00F6D851" w14:textId="77777777" w:rsidTr="00C8575A">
        <w:trPr>
          <w:trHeight w:val="2280"/>
        </w:trPr>
        <w:tc>
          <w:tcPr>
            <w:tcW w:w="840" w:type="dxa"/>
            <w:gridSpan w:val="2"/>
            <w:tcBorders>
              <w:top w:val="nil"/>
              <w:left w:val="nil"/>
              <w:bottom w:val="nil"/>
              <w:right w:val="nil"/>
            </w:tcBorders>
            <w:shd w:val="clear" w:color="auto" w:fill="auto"/>
            <w:textDirection w:val="btLr"/>
            <w:vAlign w:val="bottom"/>
            <w:hideMark/>
          </w:tcPr>
          <w:p w14:paraId="263DC58E"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 xml:space="preserve">Age in years of current regime </w:t>
            </w:r>
          </w:p>
        </w:tc>
        <w:tc>
          <w:tcPr>
            <w:tcW w:w="840" w:type="dxa"/>
            <w:gridSpan w:val="2"/>
            <w:tcBorders>
              <w:top w:val="nil"/>
              <w:left w:val="nil"/>
              <w:bottom w:val="nil"/>
              <w:right w:val="nil"/>
            </w:tcBorders>
            <w:shd w:val="clear" w:color="auto" w:fill="auto"/>
            <w:textDirection w:val="btLr"/>
            <w:vAlign w:val="bottom"/>
            <w:hideMark/>
          </w:tcPr>
          <w:p w14:paraId="2AD09DD2"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If recipient had any type of disaster</w:t>
            </w:r>
          </w:p>
        </w:tc>
        <w:tc>
          <w:tcPr>
            <w:tcW w:w="840" w:type="dxa"/>
            <w:gridSpan w:val="2"/>
            <w:tcBorders>
              <w:top w:val="nil"/>
              <w:left w:val="nil"/>
              <w:bottom w:val="nil"/>
              <w:right w:val="nil"/>
            </w:tcBorders>
            <w:shd w:val="clear" w:color="auto" w:fill="auto"/>
            <w:textDirection w:val="btLr"/>
            <w:vAlign w:val="bottom"/>
            <w:hideMark/>
          </w:tcPr>
          <w:p w14:paraId="204354D6"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Population (in thousands)</w:t>
            </w:r>
          </w:p>
        </w:tc>
        <w:tc>
          <w:tcPr>
            <w:tcW w:w="840" w:type="dxa"/>
            <w:gridSpan w:val="2"/>
            <w:tcBorders>
              <w:top w:val="nil"/>
              <w:left w:val="nil"/>
              <w:bottom w:val="nil"/>
              <w:right w:val="nil"/>
            </w:tcBorders>
            <w:shd w:val="clear" w:color="auto" w:fill="auto"/>
            <w:textDirection w:val="btLr"/>
            <w:vAlign w:val="bottom"/>
            <w:hideMark/>
          </w:tcPr>
          <w:p w14:paraId="521A5D86" w14:textId="77777777" w:rsidR="00C8575A" w:rsidRPr="00C8575A" w:rsidRDefault="00C8575A" w:rsidP="00C8575A">
            <w:pPr>
              <w:spacing w:after="0"/>
              <w:rPr>
                <w:rFonts w:eastAsia="Times New Roman" w:cs="Times New Roman"/>
                <w:lang w:eastAsia="en-US"/>
              </w:rPr>
            </w:pPr>
            <w:r w:rsidRPr="00C8575A">
              <w:rPr>
                <w:rFonts w:eastAsia="Times New Roman" w:cs="Times New Roman"/>
                <w:lang w:eastAsia="en-US"/>
              </w:rPr>
              <w:t>Distance between capitals (capitals, km)</w:t>
            </w:r>
          </w:p>
        </w:tc>
        <w:tc>
          <w:tcPr>
            <w:tcW w:w="420" w:type="dxa"/>
            <w:tcBorders>
              <w:top w:val="nil"/>
              <w:left w:val="nil"/>
              <w:bottom w:val="nil"/>
              <w:right w:val="nil"/>
            </w:tcBorders>
            <w:shd w:val="clear" w:color="auto" w:fill="auto"/>
            <w:textDirection w:val="btLr"/>
            <w:vAlign w:val="bottom"/>
            <w:hideMark/>
          </w:tcPr>
          <w:p w14:paraId="5882B7F8"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Constant</w:t>
            </w:r>
          </w:p>
        </w:tc>
        <w:tc>
          <w:tcPr>
            <w:tcW w:w="420" w:type="dxa"/>
            <w:tcBorders>
              <w:top w:val="nil"/>
              <w:left w:val="nil"/>
              <w:bottom w:val="nil"/>
              <w:right w:val="nil"/>
            </w:tcBorders>
            <w:shd w:val="clear" w:color="auto" w:fill="auto"/>
            <w:textDirection w:val="btLr"/>
            <w:vAlign w:val="bottom"/>
            <w:hideMark/>
          </w:tcPr>
          <w:p w14:paraId="29D87A37" w14:textId="77777777" w:rsidR="00C8575A" w:rsidRPr="00C8575A" w:rsidRDefault="00C8575A" w:rsidP="00C8575A">
            <w:pPr>
              <w:spacing w:after="0"/>
              <w:rPr>
                <w:rFonts w:ascii="Cambria" w:eastAsia="Times New Roman" w:hAnsi="Cambria" w:cs="Times New Roman"/>
                <w:color w:val="000000"/>
                <w:lang w:eastAsia="en-US"/>
              </w:rPr>
            </w:pPr>
          </w:p>
        </w:tc>
        <w:tc>
          <w:tcPr>
            <w:tcW w:w="420" w:type="dxa"/>
            <w:tcBorders>
              <w:top w:val="nil"/>
              <w:left w:val="nil"/>
              <w:bottom w:val="nil"/>
              <w:right w:val="nil"/>
            </w:tcBorders>
            <w:shd w:val="clear" w:color="auto" w:fill="auto"/>
            <w:textDirection w:val="btLr"/>
            <w:vAlign w:val="bottom"/>
            <w:hideMark/>
          </w:tcPr>
          <w:p w14:paraId="70D550A4"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No. of observations</w:t>
            </w:r>
          </w:p>
        </w:tc>
        <w:tc>
          <w:tcPr>
            <w:tcW w:w="420" w:type="dxa"/>
            <w:tcBorders>
              <w:top w:val="nil"/>
              <w:left w:val="nil"/>
              <w:bottom w:val="nil"/>
              <w:right w:val="nil"/>
            </w:tcBorders>
            <w:shd w:val="clear" w:color="auto" w:fill="auto"/>
            <w:textDirection w:val="btLr"/>
            <w:vAlign w:val="bottom"/>
            <w:hideMark/>
          </w:tcPr>
          <w:p w14:paraId="42839A6A" w14:textId="77777777" w:rsidR="00C8575A" w:rsidRPr="00C8575A" w:rsidRDefault="00C8575A" w:rsidP="00C8575A">
            <w:pPr>
              <w:spacing w:after="0"/>
              <w:rPr>
                <w:rFonts w:eastAsia="Times New Roman" w:cs="Times New Roman"/>
                <w:color w:val="000000"/>
                <w:lang w:eastAsia="en-US"/>
              </w:rPr>
            </w:pPr>
            <w:r w:rsidRPr="00C8575A">
              <w:rPr>
                <w:rFonts w:eastAsia="Times New Roman" w:cs="Times New Roman"/>
                <w:color w:val="000000"/>
                <w:lang w:eastAsia="en-US"/>
              </w:rPr>
              <w:t>R2</w:t>
            </w:r>
          </w:p>
        </w:tc>
        <w:tc>
          <w:tcPr>
            <w:tcW w:w="420" w:type="dxa"/>
            <w:vMerge/>
            <w:tcBorders>
              <w:top w:val="nil"/>
              <w:left w:val="nil"/>
              <w:bottom w:val="nil"/>
              <w:right w:val="single" w:sz="4" w:space="0" w:color="auto"/>
            </w:tcBorders>
            <w:vAlign w:val="center"/>
            <w:hideMark/>
          </w:tcPr>
          <w:p w14:paraId="4DC7B1A5" w14:textId="77777777" w:rsidR="00C8575A" w:rsidRPr="00C8575A" w:rsidRDefault="00C8575A" w:rsidP="00C8575A">
            <w:pPr>
              <w:spacing w:after="0"/>
              <w:rPr>
                <w:rFonts w:eastAsia="Times New Roman" w:cs="Times New Roman"/>
                <w:color w:val="000000"/>
                <w:lang w:eastAsia="en-US"/>
              </w:rPr>
            </w:pPr>
          </w:p>
        </w:tc>
      </w:tr>
    </w:tbl>
    <w:p w14:paraId="6BF416C3" w14:textId="77777777" w:rsidR="00142D2B" w:rsidRDefault="00142D2B" w:rsidP="00142D2B">
      <w:pPr>
        <w:spacing w:after="0" w:line="480" w:lineRule="auto"/>
        <w:jc w:val="both"/>
        <w:sectPr w:rsidR="00142D2B" w:rsidSect="00D0314C">
          <w:pgSz w:w="12240" w:h="15840"/>
          <w:pgMar w:top="1440" w:right="1440" w:bottom="1440" w:left="2520" w:header="720" w:footer="720" w:gutter="0"/>
          <w:cols w:space="720"/>
        </w:sectPr>
      </w:pPr>
    </w:p>
    <w:p w14:paraId="34AAD602" w14:textId="7A4C309E" w:rsidR="00142D2B" w:rsidRDefault="00142D2B" w:rsidP="00142D2B">
      <w:pPr>
        <w:spacing w:after="0" w:line="480" w:lineRule="auto"/>
        <w:jc w:val="both"/>
      </w:pPr>
      <w:r>
        <w:t xml:space="preserve">significance of the age of the regime for bilateral aid allocation is not surprising. </w:t>
      </w:r>
    </w:p>
    <w:p w14:paraId="18E0CBD8" w14:textId="47BEFCC9" w:rsidR="00142D2B" w:rsidRDefault="00142D2B" w:rsidP="00142D2B">
      <w:pPr>
        <w:spacing w:after="0" w:line="480" w:lineRule="auto"/>
        <w:jc w:val="both"/>
      </w:pPr>
      <w:r>
        <w:tab/>
        <w:t>Because the level of “Frenchness” and historical relationship varies between former colony and non-colony, Table 3.3. investigates the relationship between “Frenchness” and bilateral aid committed to former colonies only. The exclusion of non-colonies is important because I expect “Frenchness” to be strongest within the countries that have had repeated interactions with French administrators during both colonization and throughout the policy of Françafrique. In this table, we observe, again, that “Frenchness” is positive and significant in determining aid allocation. Similarly to the previous table, which included all African countries, Table 3.3. is robust as additional controls are implemented. Of particular note are the political variables—democracy, Polity IV, and the age in years of current regime</w:t>
      </w:r>
      <w:r w:rsidR="001937B5">
        <w:t>, which are significant determinants of French aid allocation</w:t>
      </w:r>
      <w:r>
        <w:t xml:space="preserve">. This is not surprising considering the lengthy regimes of several African presidents that maintained a very close relationship with France, including Leopold Senghor of Senegal, Felix Houphouet-Boigny of Côte d’Ivoire, and Omar Bongo of Gabon. Furthermore, this regression analysis also supports the finding that GDP influences the amount of bilateral aid. </w:t>
      </w:r>
    </w:p>
    <w:p w14:paraId="4E54869D" w14:textId="77777777" w:rsidR="00981E30" w:rsidRDefault="00142D2B" w:rsidP="00142D2B">
      <w:pPr>
        <w:spacing w:after="0" w:line="480" w:lineRule="auto"/>
        <w:ind w:firstLine="720"/>
        <w:jc w:val="both"/>
      </w:pPr>
      <w:r>
        <w:t xml:space="preserve">In order to more fully understand the implications of “Frenchness,” Table 3.4. breaks down the channels of Françafrique and the colonial identities and their relationship with bilateral aid. From this regression analysis, I observe that the variable for years under French rule is significant throughout. This finding is intuitive based on identity theory, which stresses that repeated interaction fosters identity formation—interactions would be longer and most likely more frequent the longer France occupied a specific place. Other variables of significance include the </w:t>
      </w:r>
    </w:p>
    <w:tbl>
      <w:tblPr>
        <w:tblW w:w="7160" w:type="dxa"/>
        <w:tblInd w:w="93" w:type="dxa"/>
        <w:tblLook w:val="04A0" w:firstRow="1" w:lastRow="0" w:firstColumn="1" w:lastColumn="0" w:noHBand="0" w:noVBand="1"/>
      </w:tblPr>
      <w:tblGrid>
        <w:gridCol w:w="498"/>
        <w:gridCol w:w="498"/>
        <w:gridCol w:w="498"/>
        <w:gridCol w:w="498"/>
        <w:gridCol w:w="740"/>
        <w:gridCol w:w="498"/>
        <w:gridCol w:w="498"/>
        <w:gridCol w:w="498"/>
        <w:gridCol w:w="498"/>
        <w:gridCol w:w="498"/>
        <w:gridCol w:w="498"/>
        <w:gridCol w:w="498"/>
        <w:gridCol w:w="498"/>
        <w:gridCol w:w="498"/>
        <w:gridCol w:w="498"/>
        <w:gridCol w:w="498"/>
      </w:tblGrid>
      <w:tr w:rsidR="004A654C" w:rsidRPr="004A654C" w14:paraId="2EF58D56" w14:textId="77777777" w:rsidTr="004A654C">
        <w:trPr>
          <w:trHeight w:val="1180"/>
        </w:trPr>
        <w:tc>
          <w:tcPr>
            <w:tcW w:w="420" w:type="dxa"/>
            <w:vMerge w:val="restart"/>
            <w:tcBorders>
              <w:top w:val="nil"/>
              <w:left w:val="nil"/>
              <w:bottom w:val="nil"/>
              <w:right w:val="single" w:sz="4" w:space="0" w:color="auto"/>
            </w:tcBorders>
            <w:shd w:val="clear" w:color="auto" w:fill="auto"/>
            <w:noWrap/>
            <w:textDirection w:val="btLr"/>
            <w:vAlign w:val="center"/>
            <w:hideMark/>
          </w:tcPr>
          <w:p w14:paraId="4F8ACD17" w14:textId="77777777" w:rsidR="004A654C" w:rsidRPr="004A654C" w:rsidRDefault="004A654C" w:rsidP="004A654C">
            <w:pPr>
              <w:spacing w:after="0"/>
              <w:rPr>
                <w:rFonts w:eastAsia="Times New Roman" w:cs="Times New Roman"/>
                <w:color w:val="000000"/>
                <w:lang w:eastAsia="en-US"/>
              </w:rPr>
            </w:pPr>
            <w:r w:rsidRPr="004A654C">
              <w:rPr>
                <w:rFonts w:eastAsia="Times New Roman" w:cs="Times New Roman"/>
                <w:color w:val="000000"/>
                <w:lang w:eastAsia="en-US"/>
              </w:rPr>
              <w:t>Table 3.3. Bilateral aid committed (ln), former French colonies only</w:t>
            </w:r>
          </w:p>
        </w:tc>
        <w:tc>
          <w:tcPr>
            <w:tcW w:w="440" w:type="dxa"/>
            <w:tcBorders>
              <w:top w:val="nil"/>
              <w:left w:val="nil"/>
              <w:bottom w:val="nil"/>
              <w:right w:val="nil"/>
            </w:tcBorders>
            <w:shd w:val="clear" w:color="auto" w:fill="auto"/>
            <w:textDirection w:val="btLr"/>
            <w:vAlign w:val="center"/>
            <w:hideMark/>
          </w:tcPr>
          <w:p w14:paraId="1AEADE39" w14:textId="77777777" w:rsidR="004A654C" w:rsidRPr="004A654C" w:rsidRDefault="004A654C" w:rsidP="004A654C">
            <w:pPr>
              <w:spacing w:after="0"/>
              <w:rPr>
                <w:rFonts w:eastAsia="Times New Roman" w:cs="Times New Roman"/>
                <w:b/>
                <w:bCs/>
                <w:lang w:eastAsia="en-US"/>
              </w:rPr>
            </w:pPr>
            <w:r w:rsidRPr="004A654C">
              <w:rPr>
                <w:rFonts w:eastAsia="Times New Roman" w:cs="Times New Roman"/>
                <w:b/>
                <w:bCs/>
                <w:lang w:eastAsia="en-US"/>
              </w:rPr>
              <w:t>(8)</w:t>
            </w:r>
          </w:p>
        </w:tc>
        <w:tc>
          <w:tcPr>
            <w:tcW w:w="440" w:type="dxa"/>
            <w:tcBorders>
              <w:top w:val="nil"/>
              <w:left w:val="nil"/>
              <w:bottom w:val="nil"/>
              <w:right w:val="nil"/>
            </w:tcBorders>
            <w:shd w:val="clear" w:color="auto" w:fill="auto"/>
            <w:noWrap/>
            <w:textDirection w:val="btLr"/>
            <w:vAlign w:val="center"/>
            <w:hideMark/>
          </w:tcPr>
          <w:p w14:paraId="3F5BF5A4"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1.410***</w:t>
            </w:r>
          </w:p>
        </w:tc>
        <w:tc>
          <w:tcPr>
            <w:tcW w:w="420" w:type="dxa"/>
            <w:tcBorders>
              <w:top w:val="nil"/>
              <w:left w:val="nil"/>
              <w:bottom w:val="nil"/>
              <w:right w:val="nil"/>
            </w:tcBorders>
            <w:shd w:val="clear" w:color="auto" w:fill="auto"/>
            <w:noWrap/>
            <w:textDirection w:val="btLr"/>
            <w:vAlign w:val="center"/>
            <w:hideMark/>
          </w:tcPr>
          <w:p w14:paraId="45EB729D"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(0.155)</w:t>
            </w:r>
          </w:p>
        </w:tc>
        <w:tc>
          <w:tcPr>
            <w:tcW w:w="740" w:type="dxa"/>
            <w:tcBorders>
              <w:top w:val="nil"/>
              <w:left w:val="nil"/>
              <w:bottom w:val="nil"/>
              <w:right w:val="nil"/>
            </w:tcBorders>
            <w:shd w:val="clear" w:color="auto" w:fill="auto"/>
            <w:noWrap/>
            <w:textDirection w:val="btLr"/>
            <w:vAlign w:val="center"/>
            <w:hideMark/>
          </w:tcPr>
          <w:p w14:paraId="7498C94C"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0.640***</w:t>
            </w:r>
          </w:p>
        </w:tc>
        <w:tc>
          <w:tcPr>
            <w:tcW w:w="420" w:type="dxa"/>
            <w:tcBorders>
              <w:top w:val="nil"/>
              <w:left w:val="nil"/>
              <w:bottom w:val="nil"/>
              <w:right w:val="nil"/>
            </w:tcBorders>
            <w:shd w:val="clear" w:color="auto" w:fill="auto"/>
            <w:noWrap/>
            <w:textDirection w:val="btLr"/>
            <w:vAlign w:val="center"/>
            <w:hideMark/>
          </w:tcPr>
          <w:p w14:paraId="246F67C4"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(0.092)</w:t>
            </w:r>
          </w:p>
        </w:tc>
        <w:tc>
          <w:tcPr>
            <w:tcW w:w="440" w:type="dxa"/>
            <w:tcBorders>
              <w:top w:val="nil"/>
              <w:left w:val="nil"/>
              <w:bottom w:val="nil"/>
              <w:right w:val="nil"/>
            </w:tcBorders>
            <w:shd w:val="clear" w:color="auto" w:fill="auto"/>
            <w:noWrap/>
            <w:textDirection w:val="btLr"/>
            <w:vAlign w:val="center"/>
            <w:hideMark/>
          </w:tcPr>
          <w:p w14:paraId="60EC871E"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6D087D96"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(0.001)</w:t>
            </w:r>
          </w:p>
        </w:tc>
        <w:tc>
          <w:tcPr>
            <w:tcW w:w="440" w:type="dxa"/>
            <w:tcBorders>
              <w:top w:val="nil"/>
              <w:left w:val="nil"/>
              <w:bottom w:val="nil"/>
              <w:right w:val="nil"/>
            </w:tcBorders>
            <w:shd w:val="clear" w:color="auto" w:fill="auto"/>
            <w:noWrap/>
            <w:textDirection w:val="btLr"/>
            <w:vAlign w:val="center"/>
            <w:hideMark/>
          </w:tcPr>
          <w:p w14:paraId="79C6CEB6"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0.076</w:t>
            </w:r>
          </w:p>
        </w:tc>
        <w:tc>
          <w:tcPr>
            <w:tcW w:w="420" w:type="dxa"/>
            <w:tcBorders>
              <w:top w:val="nil"/>
              <w:left w:val="nil"/>
              <w:bottom w:val="nil"/>
              <w:right w:val="nil"/>
            </w:tcBorders>
            <w:shd w:val="clear" w:color="auto" w:fill="auto"/>
            <w:noWrap/>
            <w:textDirection w:val="btLr"/>
            <w:vAlign w:val="center"/>
            <w:hideMark/>
          </w:tcPr>
          <w:p w14:paraId="5AF5199F"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(0.239)</w:t>
            </w:r>
          </w:p>
        </w:tc>
        <w:tc>
          <w:tcPr>
            <w:tcW w:w="420" w:type="dxa"/>
            <w:tcBorders>
              <w:top w:val="nil"/>
              <w:left w:val="nil"/>
              <w:bottom w:val="nil"/>
              <w:right w:val="nil"/>
            </w:tcBorders>
            <w:shd w:val="clear" w:color="auto" w:fill="auto"/>
            <w:noWrap/>
            <w:textDirection w:val="btLr"/>
            <w:vAlign w:val="center"/>
            <w:hideMark/>
          </w:tcPr>
          <w:p w14:paraId="07E4CC32"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0.724</w:t>
            </w:r>
          </w:p>
        </w:tc>
        <w:tc>
          <w:tcPr>
            <w:tcW w:w="420" w:type="dxa"/>
            <w:tcBorders>
              <w:top w:val="nil"/>
              <w:left w:val="nil"/>
              <w:bottom w:val="nil"/>
              <w:right w:val="nil"/>
            </w:tcBorders>
            <w:shd w:val="clear" w:color="auto" w:fill="auto"/>
            <w:noWrap/>
            <w:textDirection w:val="btLr"/>
            <w:vAlign w:val="center"/>
            <w:hideMark/>
          </w:tcPr>
          <w:p w14:paraId="6F7A4F10"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(0.689)</w:t>
            </w:r>
          </w:p>
        </w:tc>
        <w:tc>
          <w:tcPr>
            <w:tcW w:w="440" w:type="dxa"/>
            <w:tcBorders>
              <w:top w:val="nil"/>
              <w:left w:val="nil"/>
              <w:bottom w:val="nil"/>
              <w:right w:val="nil"/>
            </w:tcBorders>
            <w:shd w:val="clear" w:color="auto" w:fill="auto"/>
            <w:noWrap/>
            <w:textDirection w:val="btLr"/>
            <w:vAlign w:val="center"/>
            <w:hideMark/>
          </w:tcPr>
          <w:p w14:paraId="4237FBCB"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0.249</w:t>
            </w:r>
          </w:p>
        </w:tc>
        <w:tc>
          <w:tcPr>
            <w:tcW w:w="420" w:type="dxa"/>
            <w:tcBorders>
              <w:top w:val="nil"/>
              <w:left w:val="nil"/>
              <w:bottom w:val="nil"/>
              <w:right w:val="nil"/>
            </w:tcBorders>
            <w:shd w:val="clear" w:color="auto" w:fill="auto"/>
            <w:noWrap/>
            <w:textDirection w:val="btLr"/>
            <w:vAlign w:val="center"/>
            <w:hideMark/>
          </w:tcPr>
          <w:p w14:paraId="78C372A2"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(0.283)</w:t>
            </w:r>
          </w:p>
        </w:tc>
        <w:tc>
          <w:tcPr>
            <w:tcW w:w="440" w:type="dxa"/>
            <w:tcBorders>
              <w:top w:val="nil"/>
              <w:left w:val="nil"/>
              <w:bottom w:val="nil"/>
              <w:right w:val="nil"/>
            </w:tcBorders>
            <w:shd w:val="clear" w:color="auto" w:fill="auto"/>
            <w:noWrap/>
            <w:textDirection w:val="btLr"/>
            <w:vAlign w:val="center"/>
            <w:hideMark/>
          </w:tcPr>
          <w:p w14:paraId="7D11B386"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-0.018</w:t>
            </w:r>
          </w:p>
        </w:tc>
        <w:tc>
          <w:tcPr>
            <w:tcW w:w="420" w:type="dxa"/>
            <w:tcBorders>
              <w:top w:val="nil"/>
              <w:left w:val="nil"/>
              <w:bottom w:val="nil"/>
              <w:right w:val="nil"/>
            </w:tcBorders>
            <w:shd w:val="clear" w:color="auto" w:fill="auto"/>
            <w:noWrap/>
            <w:textDirection w:val="btLr"/>
            <w:vAlign w:val="center"/>
            <w:hideMark/>
          </w:tcPr>
          <w:p w14:paraId="2B21137E"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(0.018)</w:t>
            </w:r>
          </w:p>
        </w:tc>
      </w:tr>
      <w:tr w:rsidR="004A654C" w:rsidRPr="004A654C" w14:paraId="1B7BFBFF" w14:textId="77777777" w:rsidTr="004A654C">
        <w:trPr>
          <w:trHeight w:val="1180"/>
        </w:trPr>
        <w:tc>
          <w:tcPr>
            <w:tcW w:w="420" w:type="dxa"/>
            <w:vMerge/>
            <w:tcBorders>
              <w:top w:val="nil"/>
              <w:left w:val="nil"/>
              <w:bottom w:val="nil"/>
              <w:right w:val="single" w:sz="4" w:space="0" w:color="auto"/>
            </w:tcBorders>
            <w:vAlign w:val="center"/>
            <w:hideMark/>
          </w:tcPr>
          <w:p w14:paraId="1D3BD770" w14:textId="77777777" w:rsidR="004A654C" w:rsidRPr="004A654C" w:rsidRDefault="004A654C" w:rsidP="004A654C">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textDirection w:val="btLr"/>
            <w:vAlign w:val="center"/>
            <w:hideMark/>
          </w:tcPr>
          <w:p w14:paraId="1BC4AA33" w14:textId="77777777" w:rsidR="004A654C" w:rsidRPr="004A654C" w:rsidRDefault="004A654C" w:rsidP="004A654C">
            <w:pPr>
              <w:spacing w:after="0"/>
              <w:rPr>
                <w:rFonts w:eastAsia="Times New Roman" w:cs="Times New Roman"/>
                <w:b/>
                <w:bCs/>
                <w:lang w:eastAsia="en-US"/>
              </w:rPr>
            </w:pPr>
            <w:r w:rsidRPr="004A654C">
              <w:rPr>
                <w:rFonts w:eastAsia="Times New Roman" w:cs="Times New Roman"/>
                <w:b/>
                <w:bCs/>
                <w:lang w:eastAsia="en-US"/>
              </w:rPr>
              <w:t>(7)</w:t>
            </w:r>
          </w:p>
        </w:tc>
        <w:tc>
          <w:tcPr>
            <w:tcW w:w="440" w:type="dxa"/>
            <w:tcBorders>
              <w:top w:val="nil"/>
              <w:left w:val="nil"/>
              <w:bottom w:val="nil"/>
              <w:right w:val="nil"/>
            </w:tcBorders>
            <w:shd w:val="clear" w:color="auto" w:fill="auto"/>
            <w:noWrap/>
            <w:textDirection w:val="btLr"/>
            <w:vAlign w:val="center"/>
            <w:hideMark/>
          </w:tcPr>
          <w:p w14:paraId="62C21714"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1.387***</w:t>
            </w:r>
          </w:p>
        </w:tc>
        <w:tc>
          <w:tcPr>
            <w:tcW w:w="420" w:type="dxa"/>
            <w:tcBorders>
              <w:top w:val="nil"/>
              <w:left w:val="nil"/>
              <w:bottom w:val="nil"/>
              <w:right w:val="nil"/>
            </w:tcBorders>
            <w:shd w:val="clear" w:color="auto" w:fill="auto"/>
            <w:noWrap/>
            <w:textDirection w:val="btLr"/>
            <w:vAlign w:val="center"/>
            <w:hideMark/>
          </w:tcPr>
          <w:p w14:paraId="4AFC4F14"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(0.152)</w:t>
            </w:r>
          </w:p>
        </w:tc>
        <w:tc>
          <w:tcPr>
            <w:tcW w:w="740" w:type="dxa"/>
            <w:tcBorders>
              <w:top w:val="nil"/>
              <w:left w:val="nil"/>
              <w:bottom w:val="nil"/>
              <w:right w:val="nil"/>
            </w:tcBorders>
            <w:shd w:val="clear" w:color="auto" w:fill="auto"/>
            <w:noWrap/>
            <w:textDirection w:val="btLr"/>
            <w:vAlign w:val="center"/>
            <w:hideMark/>
          </w:tcPr>
          <w:p w14:paraId="4C7292EC"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0.610***</w:t>
            </w:r>
          </w:p>
        </w:tc>
        <w:tc>
          <w:tcPr>
            <w:tcW w:w="420" w:type="dxa"/>
            <w:tcBorders>
              <w:top w:val="nil"/>
              <w:left w:val="nil"/>
              <w:bottom w:val="nil"/>
              <w:right w:val="nil"/>
            </w:tcBorders>
            <w:shd w:val="clear" w:color="auto" w:fill="auto"/>
            <w:noWrap/>
            <w:textDirection w:val="btLr"/>
            <w:vAlign w:val="center"/>
            <w:hideMark/>
          </w:tcPr>
          <w:p w14:paraId="627B4DB6"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(0.071)</w:t>
            </w:r>
          </w:p>
        </w:tc>
        <w:tc>
          <w:tcPr>
            <w:tcW w:w="440" w:type="dxa"/>
            <w:tcBorders>
              <w:top w:val="nil"/>
              <w:left w:val="nil"/>
              <w:bottom w:val="nil"/>
              <w:right w:val="nil"/>
            </w:tcBorders>
            <w:shd w:val="clear" w:color="auto" w:fill="auto"/>
            <w:noWrap/>
            <w:textDirection w:val="btLr"/>
            <w:vAlign w:val="center"/>
            <w:hideMark/>
          </w:tcPr>
          <w:p w14:paraId="2F612120"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3C409294"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(0.001)</w:t>
            </w:r>
          </w:p>
        </w:tc>
        <w:tc>
          <w:tcPr>
            <w:tcW w:w="440" w:type="dxa"/>
            <w:tcBorders>
              <w:top w:val="nil"/>
              <w:left w:val="nil"/>
              <w:bottom w:val="nil"/>
              <w:right w:val="nil"/>
            </w:tcBorders>
            <w:shd w:val="clear" w:color="auto" w:fill="auto"/>
            <w:noWrap/>
            <w:textDirection w:val="btLr"/>
            <w:vAlign w:val="center"/>
            <w:hideMark/>
          </w:tcPr>
          <w:p w14:paraId="14441C53"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0.132</w:t>
            </w:r>
          </w:p>
        </w:tc>
        <w:tc>
          <w:tcPr>
            <w:tcW w:w="420" w:type="dxa"/>
            <w:tcBorders>
              <w:top w:val="nil"/>
              <w:left w:val="nil"/>
              <w:bottom w:val="nil"/>
              <w:right w:val="nil"/>
            </w:tcBorders>
            <w:shd w:val="clear" w:color="auto" w:fill="auto"/>
            <w:noWrap/>
            <w:textDirection w:val="btLr"/>
            <w:vAlign w:val="center"/>
            <w:hideMark/>
          </w:tcPr>
          <w:p w14:paraId="13FF467D"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(0.232)</w:t>
            </w:r>
          </w:p>
        </w:tc>
        <w:tc>
          <w:tcPr>
            <w:tcW w:w="420" w:type="dxa"/>
            <w:tcBorders>
              <w:top w:val="nil"/>
              <w:left w:val="nil"/>
              <w:bottom w:val="nil"/>
              <w:right w:val="nil"/>
            </w:tcBorders>
            <w:shd w:val="clear" w:color="auto" w:fill="auto"/>
            <w:noWrap/>
            <w:textDirection w:val="btLr"/>
            <w:vAlign w:val="center"/>
            <w:hideMark/>
          </w:tcPr>
          <w:p w14:paraId="433FF4F0"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0.616</w:t>
            </w:r>
          </w:p>
        </w:tc>
        <w:tc>
          <w:tcPr>
            <w:tcW w:w="420" w:type="dxa"/>
            <w:tcBorders>
              <w:top w:val="nil"/>
              <w:left w:val="nil"/>
              <w:bottom w:val="nil"/>
              <w:right w:val="nil"/>
            </w:tcBorders>
            <w:shd w:val="clear" w:color="auto" w:fill="auto"/>
            <w:noWrap/>
            <w:textDirection w:val="btLr"/>
            <w:vAlign w:val="center"/>
            <w:hideMark/>
          </w:tcPr>
          <w:p w14:paraId="07A478A0"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(0.666)</w:t>
            </w:r>
          </w:p>
        </w:tc>
        <w:tc>
          <w:tcPr>
            <w:tcW w:w="440" w:type="dxa"/>
            <w:tcBorders>
              <w:top w:val="nil"/>
              <w:left w:val="nil"/>
              <w:bottom w:val="nil"/>
              <w:right w:val="nil"/>
            </w:tcBorders>
            <w:shd w:val="clear" w:color="auto" w:fill="auto"/>
            <w:noWrap/>
            <w:textDirection w:val="btLr"/>
            <w:vAlign w:val="center"/>
            <w:hideMark/>
          </w:tcPr>
          <w:p w14:paraId="4BB45902"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0.282</w:t>
            </w:r>
          </w:p>
        </w:tc>
        <w:tc>
          <w:tcPr>
            <w:tcW w:w="420" w:type="dxa"/>
            <w:tcBorders>
              <w:top w:val="nil"/>
              <w:left w:val="nil"/>
              <w:bottom w:val="nil"/>
              <w:right w:val="nil"/>
            </w:tcBorders>
            <w:shd w:val="clear" w:color="auto" w:fill="auto"/>
            <w:noWrap/>
            <w:textDirection w:val="btLr"/>
            <w:vAlign w:val="center"/>
            <w:hideMark/>
          </w:tcPr>
          <w:p w14:paraId="60C7751F"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(0.279)</w:t>
            </w:r>
          </w:p>
        </w:tc>
        <w:tc>
          <w:tcPr>
            <w:tcW w:w="440" w:type="dxa"/>
            <w:tcBorders>
              <w:top w:val="nil"/>
              <w:left w:val="nil"/>
              <w:bottom w:val="nil"/>
              <w:right w:val="nil"/>
            </w:tcBorders>
            <w:shd w:val="clear" w:color="auto" w:fill="auto"/>
            <w:noWrap/>
            <w:textDirection w:val="btLr"/>
            <w:vAlign w:val="center"/>
            <w:hideMark/>
          </w:tcPr>
          <w:p w14:paraId="5EE50678"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-0.012</w:t>
            </w:r>
          </w:p>
        </w:tc>
        <w:tc>
          <w:tcPr>
            <w:tcW w:w="420" w:type="dxa"/>
            <w:tcBorders>
              <w:top w:val="nil"/>
              <w:left w:val="nil"/>
              <w:bottom w:val="nil"/>
              <w:right w:val="nil"/>
            </w:tcBorders>
            <w:shd w:val="clear" w:color="auto" w:fill="auto"/>
            <w:noWrap/>
            <w:textDirection w:val="btLr"/>
            <w:vAlign w:val="center"/>
            <w:hideMark/>
          </w:tcPr>
          <w:p w14:paraId="13360C21"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(0.017)</w:t>
            </w:r>
          </w:p>
        </w:tc>
      </w:tr>
      <w:tr w:rsidR="004A654C" w:rsidRPr="004A654C" w14:paraId="619175FD" w14:textId="77777777" w:rsidTr="004A654C">
        <w:trPr>
          <w:trHeight w:val="1180"/>
        </w:trPr>
        <w:tc>
          <w:tcPr>
            <w:tcW w:w="420" w:type="dxa"/>
            <w:vMerge/>
            <w:tcBorders>
              <w:top w:val="nil"/>
              <w:left w:val="nil"/>
              <w:bottom w:val="nil"/>
              <w:right w:val="single" w:sz="4" w:space="0" w:color="auto"/>
            </w:tcBorders>
            <w:vAlign w:val="center"/>
            <w:hideMark/>
          </w:tcPr>
          <w:p w14:paraId="7E7F2D57" w14:textId="77777777" w:rsidR="004A654C" w:rsidRPr="004A654C" w:rsidRDefault="004A654C" w:rsidP="004A654C">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textDirection w:val="btLr"/>
            <w:vAlign w:val="center"/>
            <w:hideMark/>
          </w:tcPr>
          <w:p w14:paraId="6FFB5C49" w14:textId="77777777" w:rsidR="004A654C" w:rsidRPr="004A654C" w:rsidRDefault="004A654C" w:rsidP="004A654C">
            <w:pPr>
              <w:spacing w:after="0"/>
              <w:rPr>
                <w:rFonts w:eastAsia="Times New Roman" w:cs="Times New Roman"/>
                <w:b/>
                <w:bCs/>
                <w:lang w:eastAsia="en-US"/>
              </w:rPr>
            </w:pPr>
            <w:r w:rsidRPr="004A654C">
              <w:rPr>
                <w:rFonts w:eastAsia="Times New Roman" w:cs="Times New Roman"/>
                <w:b/>
                <w:bCs/>
                <w:lang w:eastAsia="en-US"/>
              </w:rPr>
              <w:t>(6)</w:t>
            </w:r>
          </w:p>
        </w:tc>
        <w:tc>
          <w:tcPr>
            <w:tcW w:w="440" w:type="dxa"/>
            <w:tcBorders>
              <w:top w:val="nil"/>
              <w:left w:val="nil"/>
              <w:bottom w:val="nil"/>
              <w:right w:val="nil"/>
            </w:tcBorders>
            <w:shd w:val="clear" w:color="auto" w:fill="auto"/>
            <w:noWrap/>
            <w:textDirection w:val="btLr"/>
            <w:vAlign w:val="center"/>
            <w:hideMark/>
          </w:tcPr>
          <w:p w14:paraId="19105C20"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1.369***</w:t>
            </w:r>
          </w:p>
        </w:tc>
        <w:tc>
          <w:tcPr>
            <w:tcW w:w="420" w:type="dxa"/>
            <w:tcBorders>
              <w:top w:val="nil"/>
              <w:left w:val="nil"/>
              <w:bottom w:val="nil"/>
              <w:right w:val="nil"/>
            </w:tcBorders>
            <w:shd w:val="clear" w:color="auto" w:fill="auto"/>
            <w:noWrap/>
            <w:textDirection w:val="btLr"/>
            <w:vAlign w:val="center"/>
            <w:hideMark/>
          </w:tcPr>
          <w:p w14:paraId="23AAF7FE"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(0.144)</w:t>
            </w:r>
          </w:p>
        </w:tc>
        <w:tc>
          <w:tcPr>
            <w:tcW w:w="740" w:type="dxa"/>
            <w:tcBorders>
              <w:top w:val="nil"/>
              <w:left w:val="nil"/>
              <w:bottom w:val="nil"/>
              <w:right w:val="nil"/>
            </w:tcBorders>
            <w:shd w:val="clear" w:color="auto" w:fill="auto"/>
            <w:noWrap/>
            <w:textDirection w:val="btLr"/>
            <w:vAlign w:val="center"/>
            <w:hideMark/>
          </w:tcPr>
          <w:p w14:paraId="70F87FDF"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0.514***</w:t>
            </w:r>
          </w:p>
        </w:tc>
        <w:tc>
          <w:tcPr>
            <w:tcW w:w="420" w:type="dxa"/>
            <w:tcBorders>
              <w:top w:val="nil"/>
              <w:left w:val="nil"/>
              <w:bottom w:val="nil"/>
              <w:right w:val="nil"/>
            </w:tcBorders>
            <w:shd w:val="clear" w:color="auto" w:fill="auto"/>
            <w:noWrap/>
            <w:textDirection w:val="btLr"/>
            <w:vAlign w:val="center"/>
            <w:hideMark/>
          </w:tcPr>
          <w:p w14:paraId="084E7B7C"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(0.067)</w:t>
            </w:r>
          </w:p>
        </w:tc>
        <w:tc>
          <w:tcPr>
            <w:tcW w:w="440" w:type="dxa"/>
            <w:tcBorders>
              <w:top w:val="nil"/>
              <w:left w:val="nil"/>
              <w:bottom w:val="nil"/>
              <w:right w:val="nil"/>
            </w:tcBorders>
            <w:shd w:val="clear" w:color="auto" w:fill="auto"/>
            <w:noWrap/>
            <w:textDirection w:val="btLr"/>
            <w:vAlign w:val="center"/>
            <w:hideMark/>
          </w:tcPr>
          <w:p w14:paraId="45E4060F"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57C94843"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(0.001)</w:t>
            </w:r>
          </w:p>
        </w:tc>
        <w:tc>
          <w:tcPr>
            <w:tcW w:w="440" w:type="dxa"/>
            <w:tcBorders>
              <w:top w:val="nil"/>
              <w:left w:val="nil"/>
              <w:bottom w:val="nil"/>
              <w:right w:val="nil"/>
            </w:tcBorders>
            <w:shd w:val="clear" w:color="auto" w:fill="auto"/>
            <w:noWrap/>
            <w:textDirection w:val="btLr"/>
            <w:vAlign w:val="center"/>
            <w:hideMark/>
          </w:tcPr>
          <w:p w14:paraId="5FE611DF"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848888F"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1AB82AF"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BC137E9"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5E8AB24B"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9E6E07C"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793EA479"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338B555" w14:textId="77777777" w:rsidR="004A654C" w:rsidRPr="004A654C" w:rsidRDefault="004A654C" w:rsidP="004A654C">
            <w:pPr>
              <w:spacing w:after="0"/>
              <w:rPr>
                <w:rFonts w:eastAsia="Times New Roman" w:cs="Times New Roman"/>
                <w:lang w:eastAsia="en-US"/>
              </w:rPr>
            </w:pPr>
          </w:p>
        </w:tc>
      </w:tr>
      <w:tr w:rsidR="004A654C" w:rsidRPr="004A654C" w14:paraId="5E53A897" w14:textId="77777777" w:rsidTr="004A654C">
        <w:trPr>
          <w:trHeight w:val="1180"/>
        </w:trPr>
        <w:tc>
          <w:tcPr>
            <w:tcW w:w="420" w:type="dxa"/>
            <w:vMerge/>
            <w:tcBorders>
              <w:top w:val="nil"/>
              <w:left w:val="nil"/>
              <w:bottom w:val="nil"/>
              <w:right w:val="single" w:sz="4" w:space="0" w:color="auto"/>
            </w:tcBorders>
            <w:vAlign w:val="center"/>
            <w:hideMark/>
          </w:tcPr>
          <w:p w14:paraId="24684B58" w14:textId="77777777" w:rsidR="004A654C" w:rsidRPr="004A654C" w:rsidRDefault="004A654C" w:rsidP="004A654C">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textDirection w:val="btLr"/>
            <w:vAlign w:val="center"/>
            <w:hideMark/>
          </w:tcPr>
          <w:p w14:paraId="501F400A" w14:textId="77777777" w:rsidR="004A654C" w:rsidRPr="004A654C" w:rsidRDefault="004A654C" w:rsidP="004A654C">
            <w:pPr>
              <w:spacing w:after="0"/>
              <w:rPr>
                <w:rFonts w:eastAsia="Times New Roman" w:cs="Times New Roman"/>
                <w:b/>
                <w:bCs/>
                <w:lang w:eastAsia="en-US"/>
              </w:rPr>
            </w:pPr>
            <w:r w:rsidRPr="004A654C">
              <w:rPr>
                <w:rFonts w:eastAsia="Times New Roman" w:cs="Times New Roman"/>
                <w:b/>
                <w:bCs/>
                <w:lang w:eastAsia="en-US"/>
              </w:rPr>
              <w:t>(5)</w:t>
            </w:r>
          </w:p>
        </w:tc>
        <w:tc>
          <w:tcPr>
            <w:tcW w:w="440" w:type="dxa"/>
            <w:tcBorders>
              <w:top w:val="nil"/>
              <w:left w:val="nil"/>
              <w:bottom w:val="nil"/>
              <w:right w:val="nil"/>
            </w:tcBorders>
            <w:shd w:val="clear" w:color="auto" w:fill="auto"/>
            <w:noWrap/>
            <w:textDirection w:val="btLr"/>
            <w:vAlign w:val="center"/>
            <w:hideMark/>
          </w:tcPr>
          <w:p w14:paraId="59E8AE00"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1.103***</w:t>
            </w:r>
          </w:p>
        </w:tc>
        <w:tc>
          <w:tcPr>
            <w:tcW w:w="420" w:type="dxa"/>
            <w:tcBorders>
              <w:top w:val="nil"/>
              <w:left w:val="nil"/>
              <w:bottom w:val="nil"/>
              <w:right w:val="nil"/>
            </w:tcBorders>
            <w:shd w:val="clear" w:color="auto" w:fill="auto"/>
            <w:noWrap/>
            <w:textDirection w:val="btLr"/>
            <w:vAlign w:val="center"/>
            <w:hideMark/>
          </w:tcPr>
          <w:p w14:paraId="4E682531"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(0.148)</w:t>
            </w:r>
          </w:p>
        </w:tc>
        <w:tc>
          <w:tcPr>
            <w:tcW w:w="740" w:type="dxa"/>
            <w:tcBorders>
              <w:top w:val="nil"/>
              <w:left w:val="nil"/>
              <w:bottom w:val="nil"/>
              <w:right w:val="nil"/>
            </w:tcBorders>
            <w:shd w:val="clear" w:color="auto" w:fill="auto"/>
            <w:noWrap/>
            <w:textDirection w:val="btLr"/>
            <w:vAlign w:val="center"/>
            <w:hideMark/>
          </w:tcPr>
          <w:p w14:paraId="0C67B7EC"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2079A87"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78BFCC96"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1188263"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544F1676"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91D8880"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D0A9C52"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B1BDF84"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175A89D2"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765FFFB"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6F19E69F"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FB14292" w14:textId="77777777" w:rsidR="004A654C" w:rsidRPr="004A654C" w:rsidRDefault="004A654C" w:rsidP="004A654C">
            <w:pPr>
              <w:spacing w:after="0"/>
              <w:rPr>
                <w:rFonts w:eastAsia="Times New Roman" w:cs="Times New Roman"/>
                <w:lang w:eastAsia="en-US"/>
              </w:rPr>
            </w:pPr>
          </w:p>
        </w:tc>
      </w:tr>
      <w:tr w:rsidR="004A654C" w:rsidRPr="004A654C" w14:paraId="72334867" w14:textId="77777777" w:rsidTr="004A654C">
        <w:trPr>
          <w:trHeight w:val="1180"/>
        </w:trPr>
        <w:tc>
          <w:tcPr>
            <w:tcW w:w="420" w:type="dxa"/>
            <w:vMerge/>
            <w:tcBorders>
              <w:top w:val="nil"/>
              <w:left w:val="nil"/>
              <w:bottom w:val="nil"/>
              <w:right w:val="single" w:sz="4" w:space="0" w:color="auto"/>
            </w:tcBorders>
            <w:vAlign w:val="center"/>
            <w:hideMark/>
          </w:tcPr>
          <w:p w14:paraId="4A77829F" w14:textId="77777777" w:rsidR="004A654C" w:rsidRPr="004A654C" w:rsidRDefault="004A654C" w:rsidP="004A654C">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textDirection w:val="btLr"/>
            <w:vAlign w:val="center"/>
            <w:hideMark/>
          </w:tcPr>
          <w:p w14:paraId="65DAD877" w14:textId="77777777" w:rsidR="004A654C" w:rsidRPr="004A654C" w:rsidRDefault="004A654C" w:rsidP="004A654C">
            <w:pPr>
              <w:spacing w:after="0"/>
              <w:rPr>
                <w:rFonts w:eastAsia="Times New Roman" w:cs="Times New Roman"/>
                <w:b/>
                <w:bCs/>
                <w:lang w:eastAsia="en-US"/>
              </w:rPr>
            </w:pPr>
            <w:r w:rsidRPr="004A654C">
              <w:rPr>
                <w:rFonts w:eastAsia="Times New Roman" w:cs="Times New Roman"/>
                <w:b/>
                <w:bCs/>
                <w:lang w:eastAsia="en-US"/>
              </w:rPr>
              <w:t>(4)</w:t>
            </w:r>
          </w:p>
        </w:tc>
        <w:tc>
          <w:tcPr>
            <w:tcW w:w="440" w:type="dxa"/>
            <w:tcBorders>
              <w:top w:val="nil"/>
              <w:left w:val="nil"/>
              <w:bottom w:val="nil"/>
              <w:right w:val="nil"/>
            </w:tcBorders>
            <w:shd w:val="clear" w:color="auto" w:fill="auto"/>
            <w:noWrap/>
            <w:textDirection w:val="btLr"/>
            <w:vAlign w:val="center"/>
            <w:hideMark/>
          </w:tcPr>
          <w:p w14:paraId="17AF2ABE"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0.827***</w:t>
            </w:r>
          </w:p>
        </w:tc>
        <w:tc>
          <w:tcPr>
            <w:tcW w:w="420" w:type="dxa"/>
            <w:tcBorders>
              <w:top w:val="nil"/>
              <w:left w:val="nil"/>
              <w:bottom w:val="nil"/>
              <w:right w:val="nil"/>
            </w:tcBorders>
            <w:shd w:val="clear" w:color="auto" w:fill="auto"/>
            <w:noWrap/>
            <w:textDirection w:val="btLr"/>
            <w:vAlign w:val="center"/>
            <w:hideMark/>
          </w:tcPr>
          <w:p w14:paraId="360788E0"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(0.151)</w:t>
            </w:r>
          </w:p>
        </w:tc>
        <w:tc>
          <w:tcPr>
            <w:tcW w:w="740" w:type="dxa"/>
            <w:tcBorders>
              <w:top w:val="nil"/>
              <w:left w:val="nil"/>
              <w:bottom w:val="nil"/>
              <w:right w:val="nil"/>
            </w:tcBorders>
            <w:shd w:val="clear" w:color="auto" w:fill="auto"/>
            <w:noWrap/>
            <w:textDirection w:val="btLr"/>
            <w:vAlign w:val="center"/>
            <w:hideMark/>
          </w:tcPr>
          <w:p w14:paraId="5A1AC8A6"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09068E3"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4F14AB79"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7032715"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7EFF4091"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0.331</w:t>
            </w:r>
          </w:p>
        </w:tc>
        <w:tc>
          <w:tcPr>
            <w:tcW w:w="420" w:type="dxa"/>
            <w:tcBorders>
              <w:top w:val="nil"/>
              <w:left w:val="nil"/>
              <w:bottom w:val="nil"/>
              <w:right w:val="nil"/>
            </w:tcBorders>
            <w:shd w:val="clear" w:color="auto" w:fill="auto"/>
            <w:noWrap/>
            <w:textDirection w:val="btLr"/>
            <w:vAlign w:val="center"/>
            <w:hideMark/>
          </w:tcPr>
          <w:p w14:paraId="215D091E"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(0.237)</w:t>
            </w:r>
          </w:p>
        </w:tc>
        <w:tc>
          <w:tcPr>
            <w:tcW w:w="420" w:type="dxa"/>
            <w:tcBorders>
              <w:top w:val="nil"/>
              <w:left w:val="nil"/>
              <w:bottom w:val="nil"/>
              <w:right w:val="nil"/>
            </w:tcBorders>
            <w:shd w:val="clear" w:color="auto" w:fill="auto"/>
            <w:noWrap/>
            <w:textDirection w:val="btLr"/>
            <w:vAlign w:val="center"/>
            <w:hideMark/>
          </w:tcPr>
          <w:p w14:paraId="093382EB"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0.742</w:t>
            </w:r>
          </w:p>
        </w:tc>
        <w:tc>
          <w:tcPr>
            <w:tcW w:w="420" w:type="dxa"/>
            <w:tcBorders>
              <w:top w:val="nil"/>
              <w:left w:val="nil"/>
              <w:bottom w:val="nil"/>
              <w:right w:val="nil"/>
            </w:tcBorders>
            <w:shd w:val="clear" w:color="auto" w:fill="auto"/>
            <w:noWrap/>
            <w:textDirection w:val="btLr"/>
            <w:vAlign w:val="center"/>
            <w:hideMark/>
          </w:tcPr>
          <w:p w14:paraId="18321BA2"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(0.585)</w:t>
            </w:r>
          </w:p>
        </w:tc>
        <w:tc>
          <w:tcPr>
            <w:tcW w:w="440" w:type="dxa"/>
            <w:tcBorders>
              <w:top w:val="nil"/>
              <w:left w:val="nil"/>
              <w:bottom w:val="nil"/>
              <w:right w:val="nil"/>
            </w:tcBorders>
            <w:shd w:val="clear" w:color="auto" w:fill="auto"/>
            <w:noWrap/>
            <w:textDirection w:val="btLr"/>
            <w:vAlign w:val="center"/>
            <w:hideMark/>
          </w:tcPr>
          <w:p w14:paraId="555ADA69"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0.846***</w:t>
            </w:r>
          </w:p>
        </w:tc>
        <w:tc>
          <w:tcPr>
            <w:tcW w:w="420" w:type="dxa"/>
            <w:tcBorders>
              <w:top w:val="nil"/>
              <w:left w:val="nil"/>
              <w:bottom w:val="nil"/>
              <w:right w:val="nil"/>
            </w:tcBorders>
            <w:shd w:val="clear" w:color="auto" w:fill="auto"/>
            <w:noWrap/>
            <w:textDirection w:val="btLr"/>
            <w:vAlign w:val="center"/>
            <w:hideMark/>
          </w:tcPr>
          <w:p w14:paraId="1979CFB4"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(0.294)</w:t>
            </w:r>
          </w:p>
        </w:tc>
        <w:tc>
          <w:tcPr>
            <w:tcW w:w="440" w:type="dxa"/>
            <w:tcBorders>
              <w:top w:val="nil"/>
              <w:left w:val="nil"/>
              <w:bottom w:val="nil"/>
              <w:right w:val="nil"/>
            </w:tcBorders>
            <w:shd w:val="clear" w:color="auto" w:fill="auto"/>
            <w:noWrap/>
            <w:textDirection w:val="btLr"/>
            <w:vAlign w:val="center"/>
            <w:hideMark/>
          </w:tcPr>
          <w:p w14:paraId="7121F2E5"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-0.048***</w:t>
            </w:r>
          </w:p>
        </w:tc>
        <w:tc>
          <w:tcPr>
            <w:tcW w:w="420" w:type="dxa"/>
            <w:tcBorders>
              <w:top w:val="nil"/>
              <w:left w:val="nil"/>
              <w:bottom w:val="nil"/>
              <w:right w:val="nil"/>
            </w:tcBorders>
            <w:shd w:val="clear" w:color="auto" w:fill="auto"/>
            <w:noWrap/>
            <w:textDirection w:val="btLr"/>
            <w:vAlign w:val="center"/>
            <w:hideMark/>
          </w:tcPr>
          <w:p w14:paraId="3E703879"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(0.017)</w:t>
            </w:r>
          </w:p>
        </w:tc>
      </w:tr>
      <w:tr w:rsidR="004A654C" w:rsidRPr="004A654C" w14:paraId="7E3FCF36" w14:textId="77777777" w:rsidTr="004A654C">
        <w:trPr>
          <w:trHeight w:val="1180"/>
        </w:trPr>
        <w:tc>
          <w:tcPr>
            <w:tcW w:w="420" w:type="dxa"/>
            <w:vMerge/>
            <w:tcBorders>
              <w:top w:val="nil"/>
              <w:left w:val="nil"/>
              <w:bottom w:val="nil"/>
              <w:right w:val="single" w:sz="4" w:space="0" w:color="auto"/>
            </w:tcBorders>
            <w:vAlign w:val="center"/>
            <w:hideMark/>
          </w:tcPr>
          <w:p w14:paraId="346D9E71" w14:textId="77777777" w:rsidR="004A654C" w:rsidRPr="004A654C" w:rsidRDefault="004A654C" w:rsidP="004A654C">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textDirection w:val="btLr"/>
            <w:vAlign w:val="center"/>
            <w:hideMark/>
          </w:tcPr>
          <w:p w14:paraId="6C6414D0" w14:textId="77777777" w:rsidR="004A654C" w:rsidRPr="004A654C" w:rsidRDefault="004A654C" w:rsidP="004A654C">
            <w:pPr>
              <w:spacing w:after="0"/>
              <w:rPr>
                <w:rFonts w:eastAsia="Times New Roman" w:cs="Times New Roman"/>
                <w:b/>
                <w:bCs/>
                <w:lang w:eastAsia="en-US"/>
              </w:rPr>
            </w:pPr>
            <w:r w:rsidRPr="004A654C">
              <w:rPr>
                <w:rFonts w:eastAsia="Times New Roman" w:cs="Times New Roman"/>
                <w:b/>
                <w:bCs/>
                <w:lang w:eastAsia="en-US"/>
              </w:rPr>
              <w:t>(3)</w:t>
            </w:r>
          </w:p>
        </w:tc>
        <w:tc>
          <w:tcPr>
            <w:tcW w:w="440" w:type="dxa"/>
            <w:tcBorders>
              <w:top w:val="nil"/>
              <w:left w:val="nil"/>
              <w:bottom w:val="nil"/>
              <w:right w:val="nil"/>
            </w:tcBorders>
            <w:shd w:val="clear" w:color="auto" w:fill="auto"/>
            <w:noWrap/>
            <w:textDirection w:val="btLr"/>
            <w:vAlign w:val="center"/>
            <w:hideMark/>
          </w:tcPr>
          <w:p w14:paraId="567F5F81"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1.367***</w:t>
            </w:r>
          </w:p>
        </w:tc>
        <w:tc>
          <w:tcPr>
            <w:tcW w:w="420" w:type="dxa"/>
            <w:tcBorders>
              <w:top w:val="nil"/>
              <w:left w:val="nil"/>
              <w:bottom w:val="nil"/>
              <w:right w:val="nil"/>
            </w:tcBorders>
            <w:shd w:val="clear" w:color="auto" w:fill="auto"/>
            <w:noWrap/>
            <w:textDirection w:val="btLr"/>
            <w:vAlign w:val="center"/>
            <w:hideMark/>
          </w:tcPr>
          <w:p w14:paraId="6F7FC016"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(0.142)</w:t>
            </w:r>
          </w:p>
        </w:tc>
        <w:tc>
          <w:tcPr>
            <w:tcW w:w="740" w:type="dxa"/>
            <w:tcBorders>
              <w:top w:val="nil"/>
              <w:left w:val="nil"/>
              <w:bottom w:val="nil"/>
              <w:right w:val="nil"/>
            </w:tcBorders>
            <w:shd w:val="clear" w:color="auto" w:fill="auto"/>
            <w:noWrap/>
            <w:textDirection w:val="btLr"/>
            <w:vAlign w:val="center"/>
            <w:hideMark/>
          </w:tcPr>
          <w:p w14:paraId="12F8FF3C"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0.533***</w:t>
            </w:r>
          </w:p>
        </w:tc>
        <w:tc>
          <w:tcPr>
            <w:tcW w:w="420" w:type="dxa"/>
            <w:tcBorders>
              <w:top w:val="nil"/>
              <w:left w:val="nil"/>
              <w:bottom w:val="nil"/>
              <w:right w:val="nil"/>
            </w:tcBorders>
            <w:shd w:val="clear" w:color="auto" w:fill="auto"/>
            <w:noWrap/>
            <w:textDirection w:val="btLr"/>
            <w:vAlign w:val="center"/>
            <w:hideMark/>
          </w:tcPr>
          <w:p w14:paraId="7564625B"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(0.051)</w:t>
            </w:r>
          </w:p>
        </w:tc>
        <w:tc>
          <w:tcPr>
            <w:tcW w:w="440" w:type="dxa"/>
            <w:tcBorders>
              <w:top w:val="nil"/>
              <w:left w:val="nil"/>
              <w:bottom w:val="nil"/>
              <w:right w:val="nil"/>
            </w:tcBorders>
            <w:shd w:val="clear" w:color="auto" w:fill="auto"/>
            <w:noWrap/>
            <w:textDirection w:val="btLr"/>
            <w:vAlign w:val="center"/>
            <w:hideMark/>
          </w:tcPr>
          <w:p w14:paraId="271E3ACA"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4DC2296E"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(0.001)</w:t>
            </w:r>
          </w:p>
        </w:tc>
        <w:tc>
          <w:tcPr>
            <w:tcW w:w="440" w:type="dxa"/>
            <w:tcBorders>
              <w:top w:val="nil"/>
              <w:left w:val="nil"/>
              <w:bottom w:val="nil"/>
              <w:right w:val="nil"/>
            </w:tcBorders>
            <w:shd w:val="clear" w:color="auto" w:fill="auto"/>
            <w:noWrap/>
            <w:textDirection w:val="btLr"/>
            <w:vAlign w:val="center"/>
            <w:hideMark/>
          </w:tcPr>
          <w:p w14:paraId="2CBC36D5"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B904300"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867249F"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7F4EEDC"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7A7C3493"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9F9F69F"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5576F81E"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019863E" w14:textId="77777777" w:rsidR="004A654C" w:rsidRPr="004A654C" w:rsidRDefault="004A654C" w:rsidP="004A654C">
            <w:pPr>
              <w:spacing w:after="0"/>
              <w:rPr>
                <w:rFonts w:eastAsia="Times New Roman" w:cs="Times New Roman"/>
                <w:lang w:eastAsia="en-US"/>
              </w:rPr>
            </w:pPr>
          </w:p>
        </w:tc>
      </w:tr>
      <w:tr w:rsidR="004A654C" w:rsidRPr="004A654C" w14:paraId="4D4D2DA5" w14:textId="77777777" w:rsidTr="004A654C">
        <w:trPr>
          <w:trHeight w:val="1180"/>
        </w:trPr>
        <w:tc>
          <w:tcPr>
            <w:tcW w:w="420" w:type="dxa"/>
            <w:vMerge/>
            <w:tcBorders>
              <w:top w:val="nil"/>
              <w:left w:val="nil"/>
              <w:bottom w:val="nil"/>
              <w:right w:val="single" w:sz="4" w:space="0" w:color="auto"/>
            </w:tcBorders>
            <w:vAlign w:val="center"/>
            <w:hideMark/>
          </w:tcPr>
          <w:p w14:paraId="70FD50E3" w14:textId="77777777" w:rsidR="004A654C" w:rsidRPr="004A654C" w:rsidRDefault="004A654C" w:rsidP="004A654C">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textDirection w:val="btLr"/>
            <w:vAlign w:val="center"/>
            <w:hideMark/>
          </w:tcPr>
          <w:p w14:paraId="4115017C" w14:textId="77777777" w:rsidR="004A654C" w:rsidRPr="004A654C" w:rsidRDefault="004A654C" w:rsidP="004A654C">
            <w:pPr>
              <w:spacing w:after="0"/>
              <w:rPr>
                <w:rFonts w:eastAsia="Times New Roman" w:cs="Times New Roman"/>
                <w:b/>
                <w:bCs/>
                <w:lang w:eastAsia="en-US"/>
              </w:rPr>
            </w:pPr>
            <w:r w:rsidRPr="004A654C">
              <w:rPr>
                <w:rFonts w:eastAsia="Times New Roman" w:cs="Times New Roman"/>
                <w:b/>
                <w:bCs/>
                <w:lang w:eastAsia="en-US"/>
              </w:rPr>
              <w:t>(2)</w:t>
            </w:r>
          </w:p>
        </w:tc>
        <w:tc>
          <w:tcPr>
            <w:tcW w:w="440" w:type="dxa"/>
            <w:tcBorders>
              <w:top w:val="nil"/>
              <w:left w:val="nil"/>
              <w:bottom w:val="nil"/>
              <w:right w:val="nil"/>
            </w:tcBorders>
            <w:shd w:val="clear" w:color="auto" w:fill="auto"/>
            <w:noWrap/>
            <w:textDirection w:val="btLr"/>
            <w:vAlign w:val="center"/>
            <w:hideMark/>
          </w:tcPr>
          <w:p w14:paraId="5DE6D6F9"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1.331***</w:t>
            </w:r>
          </w:p>
        </w:tc>
        <w:tc>
          <w:tcPr>
            <w:tcW w:w="420" w:type="dxa"/>
            <w:tcBorders>
              <w:top w:val="nil"/>
              <w:left w:val="nil"/>
              <w:bottom w:val="nil"/>
              <w:right w:val="nil"/>
            </w:tcBorders>
            <w:shd w:val="clear" w:color="auto" w:fill="auto"/>
            <w:noWrap/>
            <w:textDirection w:val="btLr"/>
            <w:vAlign w:val="center"/>
            <w:hideMark/>
          </w:tcPr>
          <w:p w14:paraId="7BD201FE"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(0.139)</w:t>
            </w:r>
          </w:p>
        </w:tc>
        <w:tc>
          <w:tcPr>
            <w:tcW w:w="740" w:type="dxa"/>
            <w:tcBorders>
              <w:top w:val="nil"/>
              <w:left w:val="nil"/>
              <w:bottom w:val="nil"/>
              <w:right w:val="nil"/>
            </w:tcBorders>
            <w:shd w:val="clear" w:color="auto" w:fill="auto"/>
            <w:noWrap/>
            <w:textDirection w:val="btLr"/>
            <w:vAlign w:val="center"/>
            <w:hideMark/>
          </w:tcPr>
          <w:p w14:paraId="42A370EC"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0.494***</w:t>
            </w:r>
          </w:p>
        </w:tc>
        <w:tc>
          <w:tcPr>
            <w:tcW w:w="420" w:type="dxa"/>
            <w:tcBorders>
              <w:top w:val="nil"/>
              <w:left w:val="nil"/>
              <w:bottom w:val="nil"/>
              <w:right w:val="nil"/>
            </w:tcBorders>
            <w:shd w:val="clear" w:color="auto" w:fill="auto"/>
            <w:noWrap/>
            <w:textDirection w:val="btLr"/>
            <w:vAlign w:val="center"/>
            <w:hideMark/>
          </w:tcPr>
          <w:p w14:paraId="132FED1F"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(0.043)</w:t>
            </w:r>
          </w:p>
        </w:tc>
        <w:tc>
          <w:tcPr>
            <w:tcW w:w="440" w:type="dxa"/>
            <w:tcBorders>
              <w:top w:val="nil"/>
              <w:left w:val="nil"/>
              <w:bottom w:val="nil"/>
              <w:right w:val="nil"/>
            </w:tcBorders>
            <w:shd w:val="clear" w:color="auto" w:fill="auto"/>
            <w:noWrap/>
            <w:textDirection w:val="btLr"/>
            <w:vAlign w:val="center"/>
            <w:hideMark/>
          </w:tcPr>
          <w:p w14:paraId="30A87A81"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A708233"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593FC87A"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EFAC403"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53EA32B"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F06A107"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3C5C85D9"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487BCDC"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26651466"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ECC43AE" w14:textId="77777777" w:rsidR="004A654C" w:rsidRPr="004A654C" w:rsidRDefault="004A654C" w:rsidP="004A654C">
            <w:pPr>
              <w:spacing w:after="0"/>
              <w:rPr>
                <w:rFonts w:eastAsia="Times New Roman" w:cs="Times New Roman"/>
                <w:lang w:eastAsia="en-US"/>
              </w:rPr>
            </w:pPr>
          </w:p>
        </w:tc>
      </w:tr>
      <w:tr w:rsidR="004A654C" w:rsidRPr="004A654C" w14:paraId="14BEC3E3" w14:textId="77777777" w:rsidTr="004A654C">
        <w:trPr>
          <w:trHeight w:val="1180"/>
        </w:trPr>
        <w:tc>
          <w:tcPr>
            <w:tcW w:w="420" w:type="dxa"/>
            <w:vMerge/>
            <w:tcBorders>
              <w:top w:val="nil"/>
              <w:left w:val="nil"/>
              <w:bottom w:val="nil"/>
              <w:right w:val="single" w:sz="4" w:space="0" w:color="auto"/>
            </w:tcBorders>
            <w:vAlign w:val="center"/>
            <w:hideMark/>
          </w:tcPr>
          <w:p w14:paraId="24DCFF11" w14:textId="77777777" w:rsidR="004A654C" w:rsidRPr="004A654C" w:rsidRDefault="004A654C" w:rsidP="004A654C">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textDirection w:val="btLr"/>
            <w:vAlign w:val="center"/>
            <w:hideMark/>
          </w:tcPr>
          <w:p w14:paraId="4D31E6C6" w14:textId="77777777" w:rsidR="004A654C" w:rsidRPr="004A654C" w:rsidRDefault="004A654C" w:rsidP="004A654C">
            <w:pPr>
              <w:spacing w:after="0"/>
              <w:rPr>
                <w:rFonts w:eastAsia="Times New Roman" w:cs="Times New Roman"/>
                <w:b/>
                <w:bCs/>
                <w:lang w:eastAsia="en-US"/>
              </w:rPr>
            </w:pPr>
            <w:r w:rsidRPr="004A654C">
              <w:rPr>
                <w:rFonts w:eastAsia="Times New Roman" w:cs="Times New Roman"/>
                <w:b/>
                <w:bCs/>
                <w:lang w:eastAsia="en-US"/>
              </w:rPr>
              <w:t>(1)</w:t>
            </w:r>
          </w:p>
        </w:tc>
        <w:tc>
          <w:tcPr>
            <w:tcW w:w="440" w:type="dxa"/>
            <w:tcBorders>
              <w:top w:val="nil"/>
              <w:left w:val="nil"/>
              <w:bottom w:val="nil"/>
              <w:right w:val="nil"/>
            </w:tcBorders>
            <w:shd w:val="clear" w:color="auto" w:fill="auto"/>
            <w:noWrap/>
            <w:textDirection w:val="btLr"/>
            <w:vAlign w:val="center"/>
            <w:hideMark/>
          </w:tcPr>
          <w:p w14:paraId="0E6F0B3B"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0.527***</w:t>
            </w:r>
          </w:p>
        </w:tc>
        <w:tc>
          <w:tcPr>
            <w:tcW w:w="420" w:type="dxa"/>
            <w:tcBorders>
              <w:top w:val="nil"/>
              <w:left w:val="nil"/>
              <w:bottom w:val="nil"/>
              <w:right w:val="nil"/>
            </w:tcBorders>
            <w:shd w:val="clear" w:color="auto" w:fill="auto"/>
            <w:noWrap/>
            <w:textDirection w:val="btLr"/>
            <w:vAlign w:val="center"/>
            <w:hideMark/>
          </w:tcPr>
          <w:p w14:paraId="550E8CFB"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(0.126)</w:t>
            </w:r>
          </w:p>
        </w:tc>
        <w:tc>
          <w:tcPr>
            <w:tcW w:w="740" w:type="dxa"/>
            <w:tcBorders>
              <w:top w:val="nil"/>
              <w:left w:val="nil"/>
              <w:bottom w:val="nil"/>
              <w:right w:val="nil"/>
            </w:tcBorders>
            <w:shd w:val="clear" w:color="auto" w:fill="auto"/>
            <w:noWrap/>
            <w:textDirection w:val="btLr"/>
            <w:vAlign w:val="center"/>
            <w:hideMark/>
          </w:tcPr>
          <w:p w14:paraId="2A435C04"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52DCF54"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7977CD76"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4122321"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46DA54D2"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0F4E018"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D45D077"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A5B0D3E"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2217DD37"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88E4AB8"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55D5301C"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EA39602" w14:textId="77777777" w:rsidR="004A654C" w:rsidRPr="004A654C" w:rsidRDefault="004A654C" w:rsidP="004A654C">
            <w:pPr>
              <w:spacing w:after="0"/>
              <w:rPr>
                <w:rFonts w:eastAsia="Times New Roman" w:cs="Times New Roman"/>
                <w:lang w:eastAsia="en-US"/>
              </w:rPr>
            </w:pPr>
          </w:p>
        </w:tc>
      </w:tr>
      <w:tr w:rsidR="004A654C" w:rsidRPr="004A654C" w14:paraId="587F7BCC" w14:textId="77777777" w:rsidTr="004A654C">
        <w:trPr>
          <w:trHeight w:val="2360"/>
        </w:trPr>
        <w:tc>
          <w:tcPr>
            <w:tcW w:w="420" w:type="dxa"/>
            <w:vMerge/>
            <w:tcBorders>
              <w:top w:val="nil"/>
              <w:left w:val="nil"/>
              <w:bottom w:val="nil"/>
              <w:right w:val="single" w:sz="4" w:space="0" w:color="auto"/>
            </w:tcBorders>
            <w:vAlign w:val="center"/>
            <w:hideMark/>
          </w:tcPr>
          <w:p w14:paraId="756DAA5D" w14:textId="77777777" w:rsidR="004A654C" w:rsidRPr="004A654C" w:rsidRDefault="004A654C" w:rsidP="004A654C">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noWrap/>
            <w:textDirection w:val="btLr"/>
            <w:vAlign w:val="center"/>
            <w:hideMark/>
          </w:tcPr>
          <w:p w14:paraId="0B2D95E5" w14:textId="77777777" w:rsidR="004A654C" w:rsidRPr="004A654C" w:rsidRDefault="004A654C" w:rsidP="004A654C">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textDirection w:val="btLr"/>
            <w:vAlign w:val="center"/>
            <w:hideMark/>
          </w:tcPr>
          <w:p w14:paraId="6EDC1914"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Frenchness</w:t>
            </w:r>
          </w:p>
        </w:tc>
        <w:tc>
          <w:tcPr>
            <w:tcW w:w="420" w:type="dxa"/>
            <w:tcBorders>
              <w:top w:val="nil"/>
              <w:left w:val="nil"/>
              <w:bottom w:val="nil"/>
              <w:right w:val="nil"/>
            </w:tcBorders>
            <w:shd w:val="clear" w:color="auto" w:fill="auto"/>
            <w:textDirection w:val="btLr"/>
            <w:vAlign w:val="center"/>
            <w:hideMark/>
          </w:tcPr>
          <w:p w14:paraId="0CBAF886" w14:textId="77777777" w:rsidR="004A654C" w:rsidRPr="004A654C" w:rsidRDefault="004A654C" w:rsidP="004A654C">
            <w:pPr>
              <w:spacing w:after="0"/>
              <w:rPr>
                <w:rFonts w:eastAsia="Times New Roman" w:cs="Times New Roman"/>
                <w:lang w:eastAsia="en-US"/>
              </w:rPr>
            </w:pPr>
          </w:p>
        </w:tc>
        <w:tc>
          <w:tcPr>
            <w:tcW w:w="740" w:type="dxa"/>
            <w:tcBorders>
              <w:top w:val="nil"/>
              <w:left w:val="nil"/>
              <w:bottom w:val="nil"/>
              <w:right w:val="nil"/>
            </w:tcBorders>
            <w:shd w:val="clear" w:color="auto" w:fill="auto"/>
            <w:textDirection w:val="btLr"/>
            <w:vAlign w:val="center"/>
            <w:hideMark/>
          </w:tcPr>
          <w:p w14:paraId="7BDCE1A7"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Real GDP (ln)</w:t>
            </w:r>
          </w:p>
        </w:tc>
        <w:tc>
          <w:tcPr>
            <w:tcW w:w="420" w:type="dxa"/>
            <w:tcBorders>
              <w:top w:val="nil"/>
              <w:left w:val="nil"/>
              <w:bottom w:val="nil"/>
              <w:right w:val="nil"/>
            </w:tcBorders>
            <w:shd w:val="clear" w:color="auto" w:fill="auto"/>
            <w:textDirection w:val="btLr"/>
            <w:vAlign w:val="center"/>
            <w:hideMark/>
          </w:tcPr>
          <w:p w14:paraId="63C9AD9D"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textDirection w:val="btLr"/>
            <w:vAlign w:val="center"/>
            <w:hideMark/>
          </w:tcPr>
          <w:p w14:paraId="4B165A3E"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Trade flows</w:t>
            </w:r>
          </w:p>
        </w:tc>
        <w:tc>
          <w:tcPr>
            <w:tcW w:w="420" w:type="dxa"/>
            <w:tcBorders>
              <w:top w:val="nil"/>
              <w:left w:val="nil"/>
              <w:bottom w:val="nil"/>
              <w:right w:val="nil"/>
            </w:tcBorders>
            <w:shd w:val="clear" w:color="auto" w:fill="auto"/>
            <w:textDirection w:val="btLr"/>
            <w:vAlign w:val="center"/>
            <w:hideMark/>
          </w:tcPr>
          <w:p w14:paraId="3390E02E"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textDirection w:val="btLr"/>
            <w:vAlign w:val="center"/>
            <w:hideMark/>
          </w:tcPr>
          <w:p w14:paraId="57F50E84"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Recipient Civil War</w:t>
            </w:r>
          </w:p>
        </w:tc>
        <w:tc>
          <w:tcPr>
            <w:tcW w:w="420" w:type="dxa"/>
            <w:tcBorders>
              <w:top w:val="nil"/>
              <w:left w:val="nil"/>
              <w:bottom w:val="nil"/>
              <w:right w:val="nil"/>
            </w:tcBorders>
            <w:shd w:val="clear" w:color="auto" w:fill="auto"/>
            <w:textDirection w:val="btLr"/>
            <w:vAlign w:val="center"/>
            <w:hideMark/>
          </w:tcPr>
          <w:p w14:paraId="6F3AB491" w14:textId="77777777" w:rsidR="004A654C" w:rsidRPr="004A654C" w:rsidRDefault="004A654C" w:rsidP="004A654C">
            <w:pPr>
              <w:spacing w:after="0"/>
              <w:rPr>
                <w:rFonts w:eastAsia="Times New Roman" w:cs="Times New Roman"/>
                <w:lang w:eastAsia="en-US"/>
              </w:rPr>
            </w:pPr>
          </w:p>
        </w:tc>
        <w:tc>
          <w:tcPr>
            <w:tcW w:w="840" w:type="dxa"/>
            <w:gridSpan w:val="2"/>
            <w:tcBorders>
              <w:top w:val="nil"/>
              <w:left w:val="nil"/>
              <w:bottom w:val="nil"/>
              <w:right w:val="nil"/>
            </w:tcBorders>
            <w:shd w:val="clear" w:color="auto" w:fill="auto"/>
            <w:textDirection w:val="btLr"/>
            <w:vAlign w:val="center"/>
            <w:hideMark/>
          </w:tcPr>
          <w:p w14:paraId="3A2E1DFB"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Recipient External War</w:t>
            </w:r>
          </w:p>
        </w:tc>
        <w:tc>
          <w:tcPr>
            <w:tcW w:w="440" w:type="dxa"/>
            <w:tcBorders>
              <w:top w:val="nil"/>
              <w:left w:val="nil"/>
              <w:bottom w:val="nil"/>
              <w:right w:val="nil"/>
            </w:tcBorders>
            <w:shd w:val="clear" w:color="auto" w:fill="auto"/>
            <w:textDirection w:val="btLr"/>
            <w:vAlign w:val="center"/>
            <w:hideMark/>
          </w:tcPr>
          <w:p w14:paraId="1640F10A"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Democracy (Dummy)</w:t>
            </w:r>
          </w:p>
        </w:tc>
        <w:tc>
          <w:tcPr>
            <w:tcW w:w="420" w:type="dxa"/>
            <w:tcBorders>
              <w:top w:val="nil"/>
              <w:left w:val="nil"/>
              <w:bottom w:val="nil"/>
              <w:right w:val="nil"/>
            </w:tcBorders>
            <w:shd w:val="clear" w:color="auto" w:fill="auto"/>
            <w:textDirection w:val="btLr"/>
            <w:vAlign w:val="center"/>
            <w:hideMark/>
          </w:tcPr>
          <w:p w14:paraId="546BD1B7"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textDirection w:val="btLr"/>
            <w:vAlign w:val="center"/>
            <w:hideMark/>
          </w:tcPr>
          <w:p w14:paraId="47594574"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Polity IV</w:t>
            </w:r>
          </w:p>
        </w:tc>
        <w:tc>
          <w:tcPr>
            <w:tcW w:w="420" w:type="dxa"/>
            <w:tcBorders>
              <w:top w:val="nil"/>
              <w:left w:val="nil"/>
              <w:bottom w:val="nil"/>
              <w:right w:val="nil"/>
            </w:tcBorders>
            <w:shd w:val="clear" w:color="auto" w:fill="auto"/>
            <w:textDirection w:val="btLr"/>
            <w:vAlign w:val="center"/>
            <w:hideMark/>
          </w:tcPr>
          <w:p w14:paraId="46CA432A" w14:textId="77777777" w:rsidR="004A654C" w:rsidRPr="004A654C" w:rsidRDefault="004A654C" w:rsidP="004A654C">
            <w:pPr>
              <w:spacing w:after="0"/>
              <w:rPr>
                <w:rFonts w:eastAsia="Times New Roman" w:cs="Times New Roman"/>
                <w:lang w:eastAsia="en-US"/>
              </w:rPr>
            </w:pPr>
          </w:p>
        </w:tc>
      </w:tr>
    </w:tbl>
    <w:p w14:paraId="3DDC123B" w14:textId="77777777" w:rsidR="00142D2B" w:rsidRDefault="00142D2B" w:rsidP="00142D2B">
      <w:pPr>
        <w:spacing w:after="0" w:line="480" w:lineRule="auto"/>
        <w:jc w:val="both"/>
      </w:pPr>
      <w:r>
        <w:br w:type="page"/>
      </w:r>
    </w:p>
    <w:p w14:paraId="3EB42CA9" w14:textId="77777777" w:rsidR="00142D2B" w:rsidRDefault="00142D2B" w:rsidP="00142D2B">
      <w:pPr>
        <w:spacing w:after="0" w:line="480" w:lineRule="auto"/>
        <w:jc w:val="both"/>
        <w:sectPr w:rsidR="00142D2B" w:rsidSect="00D0314C">
          <w:pgSz w:w="12240" w:h="15840"/>
          <w:pgMar w:top="1440" w:right="1440" w:bottom="1440" w:left="2520" w:header="720" w:footer="720" w:gutter="0"/>
          <w:cols w:space="720"/>
        </w:sectPr>
      </w:pPr>
    </w:p>
    <w:tbl>
      <w:tblPr>
        <w:tblW w:w="5520" w:type="dxa"/>
        <w:tblInd w:w="93" w:type="dxa"/>
        <w:tblLook w:val="04A0" w:firstRow="1" w:lastRow="0" w:firstColumn="1" w:lastColumn="0" w:noHBand="0" w:noVBand="1"/>
      </w:tblPr>
      <w:tblGrid>
        <w:gridCol w:w="498"/>
        <w:gridCol w:w="498"/>
        <w:gridCol w:w="498"/>
        <w:gridCol w:w="498"/>
        <w:gridCol w:w="498"/>
        <w:gridCol w:w="498"/>
        <w:gridCol w:w="498"/>
        <w:gridCol w:w="498"/>
        <w:gridCol w:w="498"/>
        <w:gridCol w:w="498"/>
        <w:gridCol w:w="498"/>
        <w:gridCol w:w="498"/>
        <w:gridCol w:w="498"/>
      </w:tblGrid>
      <w:tr w:rsidR="004A654C" w:rsidRPr="004A654C" w14:paraId="083A15DE" w14:textId="77777777" w:rsidTr="004A654C">
        <w:trPr>
          <w:trHeight w:val="1180"/>
        </w:trPr>
        <w:tc>
          <w:tcPr>
            <w:tcW w:w="420" w:type="dxa"/>
            <w:tcBorders>
              <w:top w:val="nil"/>
              <w:left w:val="nil"/>
              <w:bottom w:val="nil"/>
              <w:right w:val="nil"/>
            </w:tcBorders>
            <w:shd w:val="clear" w:color="auto" w:fill="auto"/>
            <w:noWrap/>
            <w:textDirection w:val="btLr"/>
            <w:vAlign w:val="center"/>
            <w:hideMark/>
          </w:tcPr>
          <w:p w14:paraId="62BED734"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4E52C6EC"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(0.009)</w:t>
            </w:r>
          </w:p>
        </w:tc>
        <w:tc>
          <w:tcPr>
            <w:tcW w:w="420" w:type="dxa"/>
            <w:tcBorders>
              <w:top w:val="nil"/>
              <w:left w:val="nil"/>
              <w:bottom w:val="nil"/>
              <w:right w:val="nil"/>
            </w:tcBorders>
            <w:shd w:val="clear" w:color="auto" w:fill="auto"/>
            <w:noWrap/>
            <w:textDirection w:val="btLr"/>
            <w:vAlign w:val="center"/>
            <w:hideMark/>
          </w:tcPr>
          <w:p w14:paraId="58A62E30"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-0.067</w:t>
            </w:r>
          </w:p>
        </w:tc>
        <w:tc>
          <w:tcPr>
            <w:tcW w:w="420" w:type="dxa"/>
            <w:tcBorders>
              <w:top w:val="nil"/>
              <w:left w:val="nil"/>
              <w:bottom w:val="nil"/>
              <w:right w:val="nil"/>
            </w:tcBorders>
            <w:shd w:val="clear" w:color="auto" w:fill="auto"/>
            <w:noWrap/>
            <w:textDirection w:val="btLr"/>
            <w:vAlign w:val="center"/>
            <w:hideMark/>
          </w:tcPr>
          <w:p w14:paraId="7A46DB33"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(0.168)</w:t>
            </w:r>
          </w:p>
        </w:tc>
        <w:tc>
          <w:tcPr>
            <w:tcW w:w="420" w:type="dxa"/>
            <w:tcBorders>
              <w:top w:val="nil"/>
              <w:left w:val="nil"/>
              <w:bottom w:val="nil"/>
              <w:right w:val="nil"/>
            </w:tcBorders>
            <w:shd w:val="clear" w:color="auto" w:fill="auto"/>
            <w:noWrap/>
            <w:textDirection w:val="btLr"/>
            <w:vAlign w:val="center"/>
            <w:hideMark/>
          </w:tcPr>
          <w:p w14:paraId="0B5425B9"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3637D6CA"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1737E026"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559EC056"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(0.000)</w:t>
            </w:r>
          </w:p>
        </w:tc>
        <w:tc>
          <w:tcPr>
            <w:tcW w:w="440" w:type="dxa"/>
            <w:tcBorders>
              <w:top w:val="nil"/>
              <w:left w:val="nil"/>
              <w:bottom w:val="nil"/>
              <w:right w:val="nil"/>
            </w:tcBorders>
            <w:shd w:val="clear" w:color="auto" w:fill="auto"/>
            <w:noWrap/>
            <w:textDirection w:val="btLr"/>
            <w:vAlign w:val="center"/>
            <w:hideMark/>
          </w:tcPr>
          <w:p w14:paraId="4645755D"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12.675***</w:t>
            </w:r>
          </w:p>
        </w:tc>
        <w:tc>
          <w:tcPr>
            <w:tcW w:w="420" w:type="dxa"/>
            <w:tcBorders>
              <w:top w:val="nil"/>
              <w:left w:val="nil"/>
              <w:bottom w:val="nil"/>
              <w:right w:val="nil"/>
            </w:tcBorders>
            <w:shd w:val="clear" w:color="auto" w:fill="auto"/>
            <w:noWrap/>
            <w:textDirection w:val="btLr"/>
            <w:vAlign w:val="center"/>
            <w:hideMark/>
          </w:tcPr>
          <w:p w14:paraId="71B44D9E"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(0.636)</w:t>
            </w:r>
          </w:p>
        </w:tc>
        <w:tc>
          <w:tcPr>
            <w:tcW w:w="440" w:type="dxa"/>
            <w:tcBorders>
              <w:top w:val="nil"/>
              <w:left w:val="nil"/>
              <w:bottom w:val="nil"/>
              <w:right w:val="nil"/>
            </w:tcBorders>
            <w:shd w:val="clear" w:color="auto" w:fill="auto"/>
            <w:noWrap/>
            <w:textDirection w:val="btLr"/>
            <w:vAlign w:val="center"/>
            <w:hideMark/>
          </w:tcPr>
          <w:p w14:paraId="2D12A8A0"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440</w:t>
            </w:r>
          </w:p>
        </w:tc>
        <w:tc>
          <w:tcPr>
            <w:tcW w:w="440" w:type="dxa"/>
            <w:tcBorders>
              <w:top w:val="nil"/>
              <w:left w:val="nil"/>
              <w:bottom w:val="nil"/>
              <w:right w:val="nil"/>
            </w:tcBorders>
            <w:shd w:val="clear" w:color="auto" w:fill="auto"/>
            <w:noWrap/>
            <w:textDirection w:val="btLr"/>
            <w:vAlign w:val="center"/>
            <w:hideMark/>
          </w:tcPr>
          <w:p w14:paraId="3FDBD047"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0.305</w:t>
            </w:r>
          </w:p>
        </w:tc>
        <w:tc>
          <w:tcPr>
            <w:tcW w:w="420" w:type="dxa"/>
            <w:vMerge w:val="restart"/>
            <w:tcBorders>
              <w:top w:val="nil"/>
              <w:left w:val="nil"/>
              <w:bottom w:val="nil"/>
              <w:right w:val="single" w:sz="4" w:space="0" w:color="auto"/>
            </w:tcBorders>
            <w:shd w:val="clear" w:color="auto" w:fill="auto"/>
            <w:noWrap/>
            <w:textDirection w:val="btLr"/>
            <w:vAlign w:val="center"/>
            <w:hideMark/>
          </w:tcPr>
          <w:p w14:paraId="6ED1F893"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note:  *** p&lt;0.01, ** p&lt;0.05, * p&lt;0.1</w:t>
            </w:r>
          </w:p>
        </w:tc>
      </w:tr>
      <w:tr w:rsidR="004A654C" w:rsidRPr="004A654C" w14:paraId="2548A591" w14:textId="77777777" w:rsidTr="004A654C">
        <w:trPr>
          <w:trHeight w:val="1180"/>
        </w:trPr>
        <w:tc>
          <w:tcPr>
            <w:tcW w:w="420" w:type="dxa"/>
            <w:tcBorders>
              <w:top w:val="nil"/>
              <w:left w:val="nil"/>
              <w:bottom w:val="nil"/>
              <w:right w:val="nil"/>
            </w:tcBorders>
            <w:shd w:val="clear" w:color="auto" w:fill="auto"/>
            <w:noWrap/>
            <w:textDirection w:val="btLr"/>
            <w:vAlign w:val="center"/>
            <w:hideMark/>
          </w:tcPr>
          <w:p w14:paraId="37659FDE"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0.004</w:t>
            </w:r>
          </w:p>
        </w:tc>
        <w:tc>
          <w:tcPr>
            <w:tcW w:w="420" w:type="dxa"/>
            <w:tcBorders>
              <w:top w:val="nil"/>
              <w:left w:val="nil"/>
              <w:bottom w:val="nil"/>
              <w:right w:val="nil"/>
            </w:tcBorders>
            <w:shd w:val="clear" w:color="auto" w:fill="auto"/>
            <w:noWrap/>
            <w:textDirection w:val="btLr"/>
            <w:vAlign w:val="center"/>
            <w:hideMark/>
          </w:tcPr>
          <w:p w14:paraId="50B2E6A8"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(0.008)</w:t>
            </w:r>
          </w:p>
        </w:tc>
        <w:tc>
          <w:tcPr>
            <w:tcW w:w="420" w:type="dxa"/>
            <w:tcBorders>
              <w:top w:val="nil"/>
              <w:left w:val="nil"/>
              <w:bottom w:val="nil"/>
              <w:right w:val="nil"/>
            </w:tcBorders>
            <w:shd w:val="clear" w:color="auto" w:fill="auto"/>
            <w:noWrap/>
            <w:textDirection w:val="btLr"/>
            <w:vAlign w:val="center"/>
            <w:hideMark/>
          </w:tcPr>
          <w:p w14:paraId="7A47A128"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8FE6B7A"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36DE92F"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A977CF3"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0A15E0D"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9A20884"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382D8A18"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13.075***</w:t>
            </w:r>
          </w:p>
        </w:tc>
        <w:tc>
          <w:tcPr>
            <w:tcW w:w="420" w:type="dxa"/>
            <w:tcBorders>
              <w:top w:val="nil"/>
              <w:left w:val="nil"/>
              <w:bottom w:val="nil"/>
              <w:right w:val="nil"/>
            </w:tcBorders>
            <w:shd w:val="clear" w:color="auto" w:fill="auto"/>
            <w:noWrap/>
            <w:textDirection w:val="btLr"/>
            <w:vAlign w:val="center"/>
            <w:hideMark/>
          </w:tcPr>
          <w:p w14:paraId="461781E7"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(0.519)</w:t>
            </w:r>
          </w:p>
        </w:tc>
        <w:tc>
          <w:tcPr>
            <w:tcW w:w="440" w:type="dxa"/>
            <w:tcBorders>
              <w:top w:val="nil"/>
              <w:left w:val="nil"/>
              <w:bottom w:val="nil"/>
              <w:right w:val="nil"/>
            </w:tcBorders>
            <w:shd w:val="clear" w:color="auto" w:fill="auto"/>
            <w:noWrap/>
            <w:textDirection w:val="btLr"/>
            <w:vAlign w:val="center"/>
            <w:hideMark/>
          </w:tcPr>
          <w:p w14:paraId="0EDF43D4"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440</w:t>
            </w:r>
          </w:p>
        </w:tc>
        <w:tc>
          <w:tcPr>
            <w:tcW w:w="440" w:type="dxa"/>
            <w:tcBorders>
              <w:top w:val="nil"/>
              <w:left w:val="nil"/>
              <w:bottom w:val="nil"/>
              <w:right w:val="nil"/>
            </w:tcBorders>
            <w:shd w:val="clear" w:color="auto" w:fill="auto"/>
            <w:noWrap/>
            <w:textDirection w:val="btLr"/>
            <w:vAlign w:val="center"/>
            <w:hideMark/>
          </w:tcPr>
          <w:p w14:paraId="2639C561"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0.303</w:t>
            </w:r>
          </w:p>
        </w:tc>
        <w:tc>
          <w:tcPr>
            <w:tcW w:w="420" w:type="dxa"/>
            <w:vMerge/>
            <w:tcBorders>
              <w:top w:val="nil"/>
              <w:left w:val="nil"/>
              <w:bottom w:val="nil"/>
              <w:right w:val="single" w:sz="4" w:space="0" w:color="auto"/>
            </w:tcBorders>
            <w:vAlign w:val="center"/>
            <w:hideMark/>
          </w:tcPr>
          <w:p w14:paraId="1155D7E8" w14:textId="77777777" w:rsidR="004A654C" w:rsidRPr="004A654C" w:rsidRDefault="004A654C" w:rsidP="004A654C">
            <w:pPr>
              <w:spacing w:after="0"/>
              <w:rPr>
                <w:rFonts w:eastAsia="Times New Roman" w:cs="Times New Roman"/>
                <w:lang w:eastAsia="en-US"/>
              </w:rPr>
            </w:pPr>
          </w:p>
        </w:tc>
      </w:tr>
      <w:tr w:rsidR="004A654C" w:rsidRPr="004A654C" w14:paraId="0D7A1E8A" w14:textId="77777777" w:rsidTr="004A654C">
        <w:trPr>
          <w:trHeight w:val="1180"/>
        </w:trPr>
        <w:tc>
          <w:tcPr>
            <w:tcW w:w="420" w:type="dxa"/>
            <w:tcBorders>
              <w:top w:val="nil"/>
              <w:left w:val="nil"/>
              <w:bottom w:val="nil"/>
              <w:right w:val="nil"/>
            </w:tcBorders>
            <w:shd w:val="clear" w:color="auto" w:fill="auto"/>
            <w:noWrap/>
            <w:textDirection w:val="btLr"/>
            <w:vAlign w:val="center"/>
            <w:hideMark/>
          </w:tcPr>
          <w:p w14:paraId="6F046DAF"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7F0D3C1"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CF84C49"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-0.134</w:t>
            </w:r>
          </w:p>
        </w:tc>
        <w:tc>
          <w:tcPr>
            <w:tcW w:w="420" w:type="dxa"/>
            <w:tcBorders>
              <w:top w:val="nil"/>
              <w:left w:val="nil"/>
              <w:bottom w:val="nil"/>
              <w:right w:val="nil"/>
            </w:tcBorders>
            <w:shd w:val="clear" w:color="auto" w:fill="auto"/>
            <w:noWrap/>
            <w:textDirection w:val="btLr"/>
            <w:vAlign w:val="center"/>
            <w:hideMark/>
          </w:tcPr>
          <w:p w14:paraId="2C9356B3"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(0.164)</w:t>
            </w:r>
          </w:p>
        </w:tc>
        <w:tc>
          <w:tcPr>
            <w:tcW w:w="420" w:type="dxa"/>
            <w:tcBorders>
              <w:top w:val="nil"/>
              <w:left w:val="nil"/>
              <w:bottom w:val="nil"/>
              <w:right w:val="nil"/>
            </w:tcBorders>
            <w:shd w:val="clear" w:color="auto" w:fill="auto"/>
            <w:noWrap/>
            <w:textDirection w:val="btLr"/>
            <w:vAlign w:val="center"/>
            <w:hideMark/>
          </w:tcPr>
          <w:p w14:paraId="2B71E420"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4B4963F6"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598CA105"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30A0FB1"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(0.000)</w:t>
            </w:r>
          </w:p>
        </w:tc>
        <w:tc>
          <w:tcPr>
            <w:tcW w:w="440" w:type="dxa"/>
            <w:tcBorders>
              <w:top w:val="nil"/>
              <w:left w:val="nil"/>
              <w:bottom w:val="nil"/>
              <w:right w:val="nil"/>
            </w:tcBorders>
            <w:shd w:val="clear" w:color="auto" w:fill="auto"/>
            <w:noWrap/>
            <w:textDirection w:val="btLr"/>
            <w:vAlign w:val="center"/>
            <w:hideMark/>
          </w:tcPr>
          <w:p w14:paraId="3408A8BB"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13.828***</w:t>
            </w:r>
          </w:p>
        </w:tc>
        <w:tc>
          <w:tcPr>
            <w:tcW w:w="420" w:type="dxa"/>
            <w:tcBorders>
              <w:top w:val="nil"/>
              <w:left w:val="nil"/>
              <w:bottom w:val="nil"/>
              <w:right w:val="nil"/>
            </w:tcBorders>
            <w:shd w:val="clear" w:color="auto" w:fill="auto"/>
            <w:noWrap/>
            <w:textDirection w:val="btLr"/>
            <w:vAlign w:val="center"/>
            <w:hideMark/>
          </w:tcPr>
          <w:p w14:paraId="4B3DE6F3"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(0.505)</w:t>
            </w:r>
          </w:p>
        </w:tc>
        <w:tc>
          <w:tcPr>
            <w:tcW w:w="440" w:type="dxa"/>
            <w:tcBorders>
              <w:top w:val="nil"/>
              <w:left w:val="nil"/>
              <w:bottom w:val="nil"/>
              <w:right w:val="nil"/>
            </w:tcBorders>
            <w:shd w:val="clear" w:color="auto" w:fill="auto"/>
            <w:noWrap/>
            <w:textDirection w:val="btLr"/>
            <w:vAlign w:val="center"/>
            <w:hideMark/>
          </w:tcPr>
          <w:p w14:paraId="20D1E108"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463</w:t>
            </w:r>
          </w:p>
        </w:tc>
        <w:tc>
          <w:tcPr>
            <w:tcW w:w="440" w:type="dxa"/>
            <w:tcBorders>
              <w:top w:val="nil"/>
              <w:left w:val="nil"/>
              <w:bottom w:val="nil"/>
              <w:right w:val="nil"/>
            </w:tcBorders>
            <w:shd w:val="clear" w:color="auto" w:fill="auto"/>
            <w:noWrap/>
            <w:textDirection w:val="btLr"/>
            <w:vAlign w:val="center"/>
            <w:hideMark/>
          </w:tcPr>
          <w:p w14:paraId="2EB2A0D6"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0.282</w:t>
            </w:r>
          </w:p>
        </w:tc>
        <w:tc>
          <w:tcPr>
            <w:tcW w:w="420" w:type="dxa"/>
            <w:vMerge/>
            <w:tcBorders>
              <w:top w:val="nil"/>
              <w:left w:val="nil"/>
              <w:bottom w:val="nil"/>
              <w:right w:val="single" w:sz="4" w:space="0" w:color="auto"/>
            </w:tcBorders>
            <w:vAlign w:val="center"/>
            <w:hideMark/>
          </w:tcPr>
          <w:p w14:paraId="15D0FCAC" w14:textId="77777777" w:rsidR="004A654C" w:rsidRPr="004A654C" w:rsidRDefault="004A654C" w:rsidP="004A654C">
            <w:pPr>
              <w:spacing w:after="0"/>
              <w:rPr>
                <w:rFonts w:eastAsia="Times New Roman" w:cs="Times New Roman"/>
                <w:lang w:eastAsia="en-US"/>
              </w:rPr>
            </w:pPr>
          </w:p>
        </w:tc>
      </w:tr>
      <w:tr w:rsidR="004A654C" w:rsidRPr="004A654C" w14:paraId="293F939B" w14:textId="77777777" w:rsidTr="004A654C">
        <w:trPr>
          <w:trHeight w:val="1180"/>
        </w:trPr>
        <w:tc>
          <w:tcPr>
            <w:tcW w:w="420" w:type="dxa"/>
            <w:tcBorders>
              <w:top w:val="nil"/>
              <w:left w:val="nil"/>
              <w:bottom w:val="nil"/>
              <w:right w:val="nil"/>
            </w:tcBorders>
            <w:shd w:val="clear" w:color="auto" w:fill="auto"/>
            <w:noWrap/>
            <w:textDirection w:val="btLr"/>
            <w:vAlign w:val="center"/>
            <w:hideMark/>
          </w:tcPr>
          <w:p w14:paraId="20F2559F"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BCB852A"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9C04BEA"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0.078</w:t>
            </w:r>
          </w:p>
        </w:tc>
        <w:tc>
          <w:tcPr>
            <w:tcW w:w="420" w:type="dxa"/>
            <w:tcBorders>
              <w:top w:val="nil"/>
              <w:left w:val="nil"/>
              <w:bottom w:val="nil"/>
              <w:right w:val="nil"/>
            </w:tcBorders>
            <w:shd w:val="clear" w:color="auto" w:fill="auto"/>
            <w:noWrap/>
            <w:textDirection w:val="btLr"/>
            <w:vAlign w:val="center"/>
            <w:hideMark/>
          </w:tcPr>
          <w:p w14:paraId="012D1792"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(0.171)</w:t>
            </w:r>
          </w:p>
        </w:tc>
        <w:tc>
          <w:tcPr>
            <w:tcW w:w="420" w:type="dxa"/>
            <w:tcBorders>
              <w:top w:val="nil"/>
              <w:left w:val="nil"/>
              <w:bottom w:val="nil"/>
              <w:right w:val="nil"/>
            </w:tcBorders>
            <w:shd w:val="clear" w:color="auto" w:fill="auto"/>
            <w:noWrap/>
            <w:textDirection w:val="btLr"/>
            <w:vAlign w:val="center"/>
            <w:hideMark/>
          </w:tcPr>
          <w:p w14:paraId="39EDDB0F"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4F9AFEE"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9DF2ED4"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2144E1C"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(0.000)</w:t>
            </w:r>
          </w:p>
        </w:tc>
        <w:tc>
          <w:tcPr>
            <w:tcW w:w="440" w:type="dxa"/>
            <w:tcBorders>
              <w:top w:val="nil"/>
              <w:left w:val="nil"/>
              <w:bottom w:val="nil"/>
              <w:right w:val="nil"/>
            </w:tcBorders>
            <w:shd w:val="clear" w:color="auto" w:fill="auto"/>
            <w:noWrap/>
            <w:textDirection w:val="btLr"/>
            <w:vAlign w:val="center"/>
            <w:hideMark/>
          </w:tcPr>
          <w:p w14:paraId="100572DF"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16.594***</w:t>
            </w:r>
          </w:p>
        </w:tc>
        <w:tc>
          <w:tcPr>
            <w:tcW w:w="420" w:type="dxa"/>
            <w:tcBorders>
              <w:top w:val="nil"/>
              <w:left w:val="nil"/>
              <w:bottom w:val="nil"/>
              <w:right w:val="nil"/>
            </w:tcBorders>
            <w:shd w:val="clear" w:color="auto" w:fill="auto"/>
            <w:noWrap/>
            <w:textDirection w:val="btLr"/>
            <w:vAlign w:val="center"/>
            <w:hideMark/>
          </w:tcPr>
          <w:p w14:paraId="3C14A1AA"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(0.382)</w:t>
            </w:r>
          </w:p>
        </w:tc>
        <w:tc>
          <w:tcPr>
            <w:tcW w:w="440" w:type="dxa"/>
            <w:tcBorders>
              <w:top w:val="nil"/>
              <w:left w:val="nil"/>
              <w:bottom w:val="nil"/>
              <w:right w:val="nil"/>
            </w:tcBorders>
            <w:shd w:val="clear" w:color="auto" w:fill="auto"/>
            <w:noWrap/>
            <w:textDirection w:val="btLr"/>
            <w:vAlign w:val="center"/>
            <w:hideMark/>
          </w:tcPr>
          <w:p w14:paraId="7E8AC9A0"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464</w:t>
            </w:r>
          </w:p>
        </w:tc>
        <w:tc>
          <w:tcPr>
            <w:tcW w:w="440" w:type="dxa"/>
            <w:tcBorders>
              <w:top w:val="nil"/>
              <w:left w:val="nil"/>
              <w:bottom w:val="nil"/>
              <w:right w:val="nil"/>
            </w:tcBorders>
            <w:shd w:val="clear" w:color="auto" w:fill="auto"/>
            <w:noWrap/>
            <w:textDirection w:val="btLr"/>
            <w:vAlign w:val="center"/>
            <w:hideMark/>
          </w:tcPr>
          <w:p w14:paraId="2D65FB48"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0.187</w:t>
            </w:r>
          </w:p>
        </w:tc>
        <w:tc>
          <w:tcPr>
            <w:tcW w:w="420" w:type="dxa"/>
            <w:vMerge/>
            <w:tcBorders>
              <w:top w:val="nil"/>
              <w:left w:val="nil"/>
              <w:bottom w:val="nil"/>
              <w:right w:val="single" w:sz="4" w:space="0" w:color="auto"/>
            </w:tcBorders>
            <w:vAlign w:val="center"/>
            <w:hideMark/>
          </w:tcPr>
          <w:p w14:paraId="3C65D23F" w14:textId="77777777" w:rsidR="004A654C" w:rsidRPr="004A654C" w:rsidRDefault="004A654C" w:rsidP="004A654C">
            <w:pPr>
              <w:spacing w:after="0"/>
              <w:rPr>
                <w:rFonts w:eastAsia="Times New Roman" w:cs="Times New Roman"/>
                <w:lang w:eastAsia="en-US"/>
              </w:rPr>
            </w:pPr>
          </w:p>
        </w:tc>
      </w:tr>
      <w:tr w:rsidR="004A654C" w:rsidRPr="004A654C" w14:paraId="1E1BD023" w14:textId="77777777" w:rsidTr="004A654C">
        <w:trPr>
          <w:trHeight w:val="1180"/>
        </w:trPr>
        <w:tc>
          <w:tcPr>
            <w:tcW w:w="420" w:type="dxa"/>
            <w:tcBorders>
              <w:top w:val="nil"/>
              <w:left w:val="nil"/>
              <w:bottom w:val="nil"/>
              <w:right w:val="nil"/>
            </w:tcBorders>
            <w:shd w:val="clear" w:color="auto" w:fill="auto"/>
            <w:noWrap/>
            <w:textDirection w:val="btLr"/>
            <w:vAlign w:val="center"/>
            <w:hideMark/>
          </w:tcPr>
          <w:p w14:paraId="070E5730"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0.048***</w:t>
            </w:r>
          </w:p>
        </w:tc>
        <w:tc>
          <w:tcPr>
            <w:tcW w:w="420" w:type="dxa"/>
            <w:tcBorders>
              <w:top w:val="nil"/>
              <w:left w:val="nil"/>
              <w:bottom w:val="nil"/>
              <w:right w:val="nil"/>
            </w:tcBorders>
            <w:shd w:val="clear" w:color="auto" w:fill="auto"/>
            <w:noWrap/>
            <w:textDirection w:val="btLr"/>
            <w:vAlign w:val="center"/>
            <w:hideMark/>
          </w:tcPr>
          <w:p w14:paraId="4C33708D"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(0.007)</w:t>
            </w:r>
          </w:p>
        </w:tc>
        <w:tc>
          <w:tcPr>
            <w:tcW w:w="420" w:type="dxa"/>
            <w:tcBorders>
              <w:top w:val="nil"/>
              <w:left w:val="nil"/>
              <w:bottom w:val="nil"/>
              <w:right w:val="nil"/>
            </w:tcBorders>
            <w:shd w:val="clear" w:color="auto" w:fill="auto"/>
            <w:noWrap/>
            <w:textDirection w:val="btLr"/>
            <w:vAlign w:val="center"/>
            <w:hideMark/>
          </w:tcPr>
          <w:p w14:paraId="6C71C030"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2E6F203"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0DF519A"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24A6C18"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C21A4D2"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1BCC66F"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5215685D"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16.362***</w:t>
            </w:r>
          </w:p>
        </w:tc>
        <w:tc>
          <w:tcPr>
            <w:tcW w:w="420" w:type="dxa"/>
            <w:tcBorders>
              <w:top w:val="nil"/>
              <w:left w:val="nil"/>
              <w:bottom w:val="nil"/>
              <w:right w:val="nil"/>
            </w:tcBorders>
            <w:shd w:val="clear" w:color="auto" w:fill="auto"/>
            <w:noWrap/>
            <w:textDirection w:val="btLr"/>
            <w:vAlign w:val="center"/>
            <w:hideMark/>
          </w:tcPr>
          <w:p w14:paraId="1A51A209"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(0.360)</w:t>
            </w:r>
          </w:p>
        </w:tc>
        <w:tc>
          <w:tcPr>
            <w:tcW w:w="440" w:type="dxa"/>
            <w:tcBorders>
              <w:top w:val="nil"/>
              <w:left w:val="nil"/>
              <w:bottom w:val="nil"/>
              <w:right w:val="nil"/>
            </w:tcBorders>
            <w:shd w:val="clear" w:color="auto" w:fill="auto"/>
            <w:noWrap/>
            <w:textDirection w:val="btLr"/>
            <w:vAlign w:val="center"/>
            <w:hideMark/>
          </w:tcPr>
          <w:p w14:paraId="48C1FC79"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461</w:t>
            </w:r>
          </w:p>
        </w:tc>
        <w:tc>
          <w:tcPr>
            <w:tcW w:w="440" w:type="dxa"/>
            <w:tcBorders>
              <w:top w:val="nil"/>
              <w:left w:val="nil"/>
              <w:bottom w:val="nil"/>
              <w:right w:val="nil"/>
            </w:tcBorders>
            <w:shd w:val="clear" w:color="auto" w:fill="auto"/>
            <w:noWrap/>
            <w:textDirection w:val="btLr"/>
            <w:vAlign w:val="center"/>
            <w:hideMark/>
          </w:tcPr>
          <w:p w14:paraId="54FF998E"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0.157</w:t>
            </w:r>
          </w:p>
        </w:tc>
        <w:tc>
          <w:tcPr>
            <w:tcW w:w="420" w:type="dxa"/>
            <w:vMerge/>
            <w:tcBorders>
              <w:top w:val="nil"/>
              <w:left w:val="nil"/>
              <w:bottom w:val="nil"/>
              <w:right w:val="single" w:sz="4" w:space="0" w:color="auto"/>
            </w:tcBorders>
            <w:vAlign w:val="center"/>
            <w:hideMark/>
          </w:tcPr>
          <w:p w14:paraId="6CB2B021" w14:textId="77777777" w:rsidR="004A654C" w:rsidRPr="004A654C" w:rsidRDefault="004A654C" w:rsidP="004A654C">
            <w:pPr>
              <w:spacing w:after="0"/>
              <w:rPr>
                <w:rFonts w:eastAsia="Times New Roman" w:cs="Times New Roman"/>
                <w:lang w:eastAsia="en-US"/>
              </w:rPr>
            </w:pPr>
          </w:p>
        </w:tc>
      </w:tr>
      <w:tr w:rsidR="004A654C" w:rsidRPr="004A654C" w14:paraId="2F62C852" w14:textId="77777777" w:rsidTr="004A654C">
        <w:trPr>
          <w:trHeight w:val="1180"/>
        </w:trPr>
        <w:tc>
          <w:tcPr>
            <w:tcW w:w="420" w:type="dxa"/>
            <w:tcBorders>
              <w:top w:val="nil"/>
              <w:left w:val="nil"/>
              <w:bottom w:val="nil"/>
              <w:right w:val="nil"/>
            </w:tcBorders>
            <w:shd w:val="clear" w:color="auto" w:fill="auto"/>
            <w:noWrap/>
            <w:textDirection w:val="btLr"/>
            <w:vAlign w:val="center"/>
            <w:hideMark/>
          </w:tcPr>
          <w:p w14:paraId="2C0C82CB"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702626F"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1874179"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CE79041"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A95EA86"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452F982"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E3AE078"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3C23955"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6D1E2E45"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13.906***</w:t>
            </w:r>
          </w:p>
        </w:tc>
        <w:tc>
          <w:tcPr>
            <w:tcW w:w="420" w:type="dxa"/>
            <w:tcBorders>
              <w:top w:val="nil"/>
              <w:left w:val="nil"/>
              <w:bottom w:val="nil"/>
              <w:right w:val="nil"/>
            </w:tcBorders>
            <w:shd w:val="clear" w:color="auto" w:fill="auto"/>
            <w:noWrap/>
            <w:textDirection w:val="btLr"/>
            <w:vAlign w:val="center"/>
            <w:hideMark/>
          </w:tcPr>
          <w:p w14:paraId="39E1F657"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(0.435)</w:t>
            </w:r>
          </w:p>
        </w:tc>
        <w:tc>
          <w:tcPr>
            <w:tcW w:w="440" w:type="dxa"/>
            <w:tcBorders>
              <w:top w:val="nil"/>
              <w:left w:val="nil"/>
              <w:bottom w:val="nil"/>
              <w:right w:val="nil"/>
            </w:tcBorders>
            <w:shd w:val="clear" w:color="auto" w:fill="auto"/>
            <w:noWrap/>
            <w:textDirection w:val="btLr"/>
            <w:vAlign w:val="center"/>
            <w:hideMark/>
          </w:tcPr>
          <w:p w14:paraId="2CB44963"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463</w:t>
            </w:r>
          </w:p>
        </w:tc>
        <w:tc>
          <w:tcPr>
            <w:tcW w:w="440" w:type="dxa"/>
            <w:tcBorders>
              <w:top w:val="nil"/>
              <w:left w:val="nil"/>
              <w:bottom w:val="nil"/>
              <w:right w:val="nil"/>
            </w:tcBorders>
            <w:shd w:val="clear" w:color="auto" w:fill="auto"/>
            <w:noWrap/>
            <w:textDirection w:val="btLr"/>
            <w:vAlign w:val="center"/>
            <w:hideMark/>
          </w:tcPr>
          <w:p w14:paraId="1B703661"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0.280</w:t>
            </w:r>
          </w:p>
        </w:tc>
        <w:tc>
          <w:tcPr>
            <w:tcW w:w="420" w:type="dxa"/>
            <w:vMerge/>
            <w:tcBorders>
              <w:top w:val="nil"/>
              <w:left w:val="nil"/>
              <w:bottom w:val="nil"/>
              <w:right w:val="single" w:sz="4" w:space="0" w:color="auto"/>
            </w:tcBorders>
            <w:vAlign w:val="center"/>
            <w:hideMark/>
          </w:tcPr>
          <w:p w14:paraId="3AE2F1CB" w14:textId="77777777" w:rsidR="004A654C" w:rsidRPr="004A654C" w:rsidRDefault="004A654C" w:rsidP="004A654C">
            <w:pPr>
              <w:spacing w:after="0"/>
              <w:rPr>
                <w:rFonts w:eastAsia="Times New Roman" w:cs="Times New Roman"/>
                <w:lang w:eastAsia="en-US"/>
              </w:rPr>
            </w:pPr>
          </w:p>
        </w:tc>
      </w:tr>
      <w:tr w:rsidR="004A654C" w:rsidRPr="004A654C" w14:paraId="0A558BAC" w14:textId="77777777" w:rsidTr="004A654C">
        <w:trPr>
          <w:trHeight w:val="1180"/>
        </w:trPr>
        <w:tc>
          <w:tcPr>
            <w:tcW w:w="420" w:type="dxa"/>
            <w:tcBorders>
              <w:top w:val="nil"/>
              <w:left w:val="nil"/>
              <w:bottom w:val="nil"/>
              <w:right w:val="nil"/>
            </w:tcBorders>
            <w:shd w:val="clear" w:color="auto" w:fill="auto"/>
            <w:noWrap/>
            <w:textDirection w:val="btLr"/>
            <w:vAlign w:val="center"/>
            <w:hideMark/>
          </w:tcPr>
          <w:p w14:paraId="7BABC7E1"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81FF7A1"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D6B9CC0"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469539B"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7B943B0"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966A3BC"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1A4333E"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34ECA74"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30B9CACA"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14.124***</w:t>
            </w:r>
          </w:p>
        </w:tc>
        <w:tc>
          <w:tcPr>
            <w:tcW w:w="420" w:type="dxa"/>
            <w:tcBorders>
              <w:top w:val="nil"/>
              <w:left w:val="nil"/>
              <w:bottom w:val="nil"/>
              <w:right w:val="nil"/>
            </w:tcBorders>
            <w:shd w:val="clear" w:color="auto" w:fill="auto"/>
            <w:noWrap/>
            <w:textDirection w:val="btLr"/>
            <w:vAlign w:val="center"/>
            <w:hideMark/>
          </w:tcPr>
          <w:p w14:paraId="62A56A97"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(0.407)</w:t>
            </w:r>
          </w:p>
        </w:tc>
        <w:tc>
          <w:tcPr>
            <w:tcW w:w="440" w:type="dxa"/>
            <w:tcBorders>
              <w:top w:val="nil"/>
              <w:left w:val="nil"/>
              <w:bottom w:val="nil"/>
              <w:right w:val="nil"/>
            </w:tcBorders>
            <w:shd w:val="clear" w:color="auto" w:fill="auto"/>
            <w:noWrap/>
            <w:textDirection w:val="btLr"/>
            <w:vAlign w:val="center"/>
            <w:hideMark/>
          </w:tcPr>
          <w:p w14:paraId="7EF7206F"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464</w:t>
            </w:r>
          </w:p>
        </w:tc>
        <w:tc>
          <w:tcPr>
            <w:tcW w:w="440" w:type="dxa"/>
            <w:tcBorders>
              <w:top w:val="nil"/>
              <w:left w:val="nil"/>
              <w:bottom w:val="nil"/>
              <w:right w:val="nil"/>
            </w:tcBorders>
            <w:shd w:val="clear" w:color="auto" w:fill="auto"/>
            <w:noWrap/>
            <w:textDirection w:val="btLr"/>
            <w:vAlign w:val="center"/>
            <w:hideMark/>
          </w:tcPr>
          <w:p w14:paraId="69A42CA5"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0.277</w:t>
            </w:r>
          </w:p>
        </w:tc>
        <w:tc>
          <w:tcPr>
            <w:tcW w:w="420" w:type="dxa"/>
            <w:vMerge/>
            <w:tcBorders>
              <w:top w:val="nil"/>
              <w:left w:val="nil"/>
              <w:bottom w:val="nil"/>
              <w:right w:val="single" w:sz="4" w:space="0" w:color="auto"/>
            </w:tcBorders>
            <w:vAlign w:val="center"/>
            <w:hideMark/>
          </w:tcPr>
          <w:p w14:paraId="5A51AC8D" w14:textId="77777777" w:rsidR="004A654C" w:rsidRPr="004A654C" w:rsidRDefault="004A654C" w:rsidP="004A654C">
            <w:pPr>
              <w:spacing w:after="0"/>
              <w:rPr>
                <w:rFonts w:eastAsia="Times New Roman" w:cs="Times New Roman"/>
                <w:lang w:eastAsia="en-US"/>
              </w:rPr>
            </w:pPr>
          </w:p>
        </w:tc>
      </w:tr>
      <w:tr w:rsidR="004A654C" w:rsidRPr="004A654C" w14:paraId="3296FAC2" w14:textId="77777777" w:rsidTr="004A654C">
        <w:trPr>
          <w:trHeight w:val="1180"/>
        </w:trPr>
        <w:tc>
          <w:tcPr>
            <w:tcW w:w="420" w:type="dxa"/>
            <w:tcBorders>
              <w:top w:val="nil"/>
              <w:left w:val="nil"/>
              <w:bottom w:val="nil"/>
              <w:right w:val="nil"/>
            </w:tcBorders>
            <w:shd w:val="clear" w:color="auto" w:fill="auto"/>
            <w:noWrap/>
            <w:textDirection w:val="btLr"/>
            <w:vAlign w:val="center"/>
            <w:hideMark/>
          </w:tcPr>
          <w:p w14:paraId="0EDBEEEC"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669985F"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C0736AD"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BC94D3B"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4A4CE16"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183135B"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C8A8384" w14:textId="77777777" w:rsidR="004A654C" w:rsidRPr="004A654C" w:rsidRDefault="004A654C" w:rsidP="004A654C">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8E449B9"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68ED3830"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16.765***</w:t>
            </w:r>
          </w:p>
        </w:tc>
        <w:tc>
          <w:tcPr>
            <w:tcW w:w="420" w:type="dxa"/>
            <w:tcBorders>
              <w:top w:val="nil"/>
              <w:left w:val="nil"/>
              <w:bottom w:val="nil"/>
              <w:right w:val="nil"/>
            </w:tcBorders>
            <w:shd w:val="clear" w:color="auto" w:fill="auto"/>
            <w:noWrap/>
            <w:textDirection w:val="btLr"/>
            <w:vAlign w:val="center"/>
            <w:hideMark/>
          </w:tcPr>
          <w:p w14:paraId="6F917E8C"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(0.247)</w:t>
            </w:r>
          </w:p>
        </w:tc>
        <w:tc>
          <w:tcPr>
            <w:tcW w:w="440" w:type="dxa"/>
            <w:tcBorders>
              <w:top w:val="nil"/>
              <w:left w:val="nil"/>
              <w:bottom w:val="nil"/>
              <w:right w:val="nil"/>
            </w:tcBorders>
            <w:shd w:val="clear" w:color="auto" w:fill="auto"/>
            <w:noWrap/>
            <w:textDirection w:val="btLr"/>
            <w:vAlign w:val="center"/>
            <w:hideMark/>
          </w:tcPr>
          <w:p w14:paraId="3BB0BD64"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509</w:t>
            </w:r>
          </w:p>
        </w:tc>
        <w:tc>
          <w:tcPr>
            <w:tcW w:w="440" w:type="dxa"/>
            <w:tcBorders>
              <w:top w:val="nil"/>
              <w:left w:val="nil"/>
              <w:bottom w:val="nil"/>
              <w:right w:val="nil"/>
            </w:tcBorders>
            <w:shd w:val="clear" w:color="auto" w:fill="auto"/>
            <w:noWrap/>
            <w:textDirection w:val="btLr"/>
            <w:vAlign w:val="center"/>
            <w:hideMark/>
          </w:tcPr>
          <w:p w14:paraId="065E7AFA"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0.033</w:t>
            </w:r>
          </w:p>
        </w:tc>
        <w:tc>
          <w:tcPr>
            <w:tcW w:w="420" w:type="dxa"/>
            <w:vMerge/>
            <w:tcBorders>
              <w:top w:val="nil"/>
              <w:left w:val="nil"/>
              <w:bottom w:val="nil"/>
              <w:right w:val="single" w:sz="4" w:space="0" w:color="auto"/>
            </w:tcBorders>
            <w:vAlign w:val="center"/>
            <w:hideMark/>
          </w:tcPr>
          <w:p w14:paraId="71A06D88" w14:textId="77777777" w:rsidR="004A654C" w:rsidRPr="004A654C" w:rsidRDefault="004A654C" w:rsidP="004A654C">
            <w:pPr>
              <w:spacing w:after="0"/>
              <w:rPr>
                <w:rFonts w:eastAsia="Times New Roman" w:cs="Times New Roman"/>
                <w:lang w:eastAsia="en-US"/>
              </w:rPr>
            </w:pPr>
          </w:p>
        </w:tc>
      </w:tr>
      <w:tr w:rsidR="004A654C" w:rsidRPr="004A654C" w14:paraId="35F85E8D" w14:textId="77777777" w:rsidTr="004A654C">
        <w:trPr>
          <w:trHeight w:val="2360"/>
        </w:trPr>
        <w:tc>
          <w:tcPr>
            <w:tcW w:w="840" w:type="dxa"/>
            <w:gridSpan w:val="2"/>
            <w:tcBorders>
              <w:top w:val="nil"/>
              <w:left w:val="nil"/>
              <w:bottom w:val="nil"/>
              <w:right w:val="nil"/>
            </w:tcBorders>
            <w:shd w:val="clear" w:color="auto" w:fill="auto"/>
            <w:textDirection w:val="btLr"/>
            <w:vAlign w:val="center"/>
            <w:hideMark/>
          </w:tcPr>
          <w:p w14:paraId="651EC428"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 xml:space="preserve">Age in years of current regime </w:t>
            </w:r>
          </w:p>
        </w:tc>
        <w:tc>
          <w:tcPr>
            <w:tcW w:w="840" w:type="dxa"/>
            <w:gridSpan w:val="2"/>
            <w:tcBorders>
              <w:top w:val="nil"/>
              <w:left w:val="nil"/>
              <w:bottom w:val="nil"/>
              <w:right w:val="nil"/>
            </w:tcBorders>
            <w:shd w:val="clear" w:color="auto" w:fill="auto"/>
            <w:textDirection w:val="btLr"/>
            <w:vAlign w:val="center"/>
            <w:hideMark/>
          </w:tcPr>
          <w:p w14:paraId="68583102"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If recipient had any type of disaster</w:t>
            </w:r>
          </w:p>
        </w:tc>
        <w:tc>
          <w:tcPr>
            <w:tcW w:w="840" w:type="dxa"/>
            <w:gridSpan w:val="2"/>
            <w:tcBorders>
              <w:top w:val="nil"/>
              <w:left w:val="nil"/>
              <w:bottom w:val="nil"/>
              <w:right w:val="nil"/>
            </w:tcBorders>
            <w:shd w:val="clear" w:color="auto" w:fill="auto"/>
            <w:textDirection w:val="btLr"/>
            <w:vAlign w:val="center"/>
            <w:hideMark/>
          </w:tcPr>
          <w:p w14:paraId="1A5D0AF2"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Population (in thousands)</w:t>
            </w:r>
          </w:p>
        </w:tc>
        <w:tc>
          <w:tcPr>
            <w:tcW w:w="840" w:type="dxa"/>
            <w:gridSpan w:val="2"/>
            <w:tcBorders>
              <w:top w:val="nil"/>
              <w:left w:val="nil"/>
              <w:bottom w:val="nil"/>
              <w:right w:val="nil"/>
            </w:tcBorders>
            <w:shd w:val="clear" w:color="auto" w:fill="auto"/>
            <w:textDirection w:val="btLr"/>
            <w:vAlign w:val="center"/>
            <w:hideMark/>
          </w:tcPr>
          <w:p w14:paraId="7E79AAFF"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Distance between capitals (capitals, km)</w:t>
            </w:r>
          </w:p>
        </w:tc>
        <w:tc>
          <w:tcPr>
            <w:tcW w:w="440" w:type="dxa"/>
            <w:tcBorders>
              <w:top w:val="nil"/>
              <w:left w:val="nil"/>
              <w:bottom w:val="nil"/>
              <w:right w:val="nil"/>
            </w:tcBorders>
            <w:shd w:val="clear" w:color="auto" w:fill="auto"/>
            <w:textDirection w:val="btLr"/>
            <w:vAlign w:val="center"/>
            <w:hideMark/>
          </w:tcPr>
          <w:p w14:paraId="1CA1E49C"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Constant</w:t>
            </w:r>
          </w:p>
        </w:tc>
        <w:tc>
          <w:tcPr>
            <w:tcW w:w="420" w:type="dxa"/>
            <w:tcBorders>
              <w:top w:val="nil"/>
              <w:left w:val="nil"/>
              <w:bottom w:val="nil"/>
              <w:right w:val="nil"/>
            </w:tcBorders>
            <w:shd w:val="clear" w:color="auto" w:fill="auto"/>
            <w:textDirection w:val="btLr"/>
            <w:vAlign w:val="center"/>
            <w:hideMark/>
          </w:tcPr>
          <w:p w14:paraId="09CC04C6" w14:textId="77777777" w:rsidR="004A654C" w:rsidRPr="004A654C" w:rsidRDefault="004A654C" w:rsidP="004A654C">
            <w:pPr>
              <w:spacing w:after="0"/>
              <w:rPr>
                <w:rFonts w:eastAsia="Times New Roman" w:cs="Times New Roman"/>
                <w:lang w:eastAsia="en-US"/>
              </w:rPr>
            </w:pPr>
          </w:p>
        </w:tc>
        <w:tc>
          <w:tcPr>
            <w:tcW w:w="440" w:type="dxa"/>
            <w:tcBorders>
              <w:top w:val="nil"/>
              <w:left w:val="nil"/>
              <w:bottom w:val="nil"/>
              <w:right w:val="nil"/>
            </w:tcBorders>
            <w:shd w:val="clear" w:color="auto" w:fill="auto"/>
            <w:textDirection w:val="btLr"/>
            <w:vAlign w:val="center"/>
            <w:hideMark/>
          </w:tcPr>
          <w:p w14:paraId="72DFDA12"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No. of observations</w:t>
            </w:r>
          </w:p>
        </w:tc>
        <w:tc>
          <w:tcPr>
            <w:tcW w:w="440" w:type="dxa"/>
            <w:tcBorders>
              <w:top w:val="nil"/>
              <w:left w:val="nil"/>
              <w:bottom w:val="nil"/>
              <w:right w:val="nil"/>
            </w:tcBorders>
            <w:shd w:val="clear" w:color="auto" w:fill="auto"/>
            <w:textDirection w:val="btLr"/>
            <w:vAlign w:val="center"/>
            <w:hideMark/>
          </w:tcPr>
          <w:p w14:paraId="10BDE2F2" w14:textId="77777777" w:rsidR="004A654C" w:rsidRPr="004A654C" w:rsidRDefault="004A654C" w:rsidP="004A654C">
            <w:pPr>
              <w:spacing w:after="0"/>
              <w:rPr>
                <w:rFonts w:eastAsia="Times New Roman" w:cs="Times New Roman"/>
                <w:lang w:eastAsia="en-US"/>
              </w:rPr>
            </w:pPr>
            <w:r w:rsidRPr="004A654C">
              <w:rPr>
                <w:rFonts w:eastAsia="Times New Roman" w:cs="Times New Roman"/>
                <w:lang w:eastAsia="en-US"/>
              </w:rPr>
              <w:t>R2</w:t>
            </w:r>
          </w:p>
        </w:tc>
        <w:tc>
          <w:tcPr>
            <w:tcW w:w="420" w:type="dxa"/>
            <w:vMerge/>
            <w:tcBorders>
              <w:top w:val="nil"/>
              <w:left w:val="nil"/>
              <w:bottom w:val="nil"/>
              <w:right w:val="single" w:sz="4" w:space="0" w:color="auto"/>
            </w:tcBorders>
            <w:vAlign w:val="center"/>
            <w:hideMark/>
          </w:tcPr>
          <w:p w14:paraId="5FB821DF" w14:textId="77777777" w:rsidR="004A654C" w:rsidRPr="004A654C" w:rsidRDefault="004A654C" w:rsidP="004A654C">
            <w:pPr>
              <w:spacing w:after="0"/>
              <w:rPr>
                <w:rFonts w:eastAsia="Times New Roman" w:cs="Times New Roman"/>
                <w:lang w:eastAsia="en-US"/>
              </w:rPr>
            </w:pPr>
          </w:p>
        </w:tc>
      </w:tr>
    </w:tbl>
    <w:p w14:paraId="4B18C9F1" w14:textId="77777777" w:rsidR="004A654C" w:rsidRDefault="004A654C">
      <w:r>
        <w:br w:type="page"/>
      </w:r>
    </w:p>
    <w:tbl>
      <w:tblPr>
        <w:tblW w:w="6720" w:type="dxa"/>
        <w:tblInd w:w="93" w:type="dxa"/>
        <w:tblLook w:val="04A0" w:firstRow="1" w:lastRow="0" w:firstColumn="1" w:lastColumn="0" w:noHBand="0" w:noVBand="1"/>
      </w:tblPr>
      <w:tblGrid>
        <w:gridCol w:w="498"/>
        <w:gridCol w:w="498"/>
        <w:gridCol w:w="498"/>
        <w:gridCol w:w="498"/>
        <w:gridCol w:w="498"/>
        <w:gridCol w:w="498"/>
        <w:gridCol w:w="498"/>
        <w:gridCol w:w="498"/>
        <w:gridCol w:w="498"/>
        <w:gridCol w:w="498"/>
        <w:gridCol w:w="498"/>
        <w:gridCol w:w="498"/>
        <w:gridCol w:w="498"/>
        <w:gridCol w:w="498"/>
        <w:gridCol w:w="498"/>
        <w:gridCol w:w="498"/>
      </w:tblGrid>
      <w:tr w:rsidR="00521562" w:rsidRPr="00521562" w14:paraId="27ED4720" w14:textId="77777777" w:rsidTr="00521562">
        <w:trPr>
          <w:trHeight w:val="1180"/>
        </w:trPr>
        <w:tc>
          <w:tcPr>
            <w:tcW w:w="420" w:type="dxa"/>
            <w:vMerge w:val="restart"/>
            <w:tcBorders>
              <w:top w:val="nil"/>
              <w:left w:val="nil"/>
              <w:bottom w:val="nil"/>
              <w:right w:val="single" w:sz="4" w:space="0" w:color="auto"/>
            </w:tcBorders>
            <w:shd w:val="clear" w:color="auto" w:fill="auto"/>
            <w:noWrap/>
            <w:textDirection w:val="btLr"/>
            <w:vAlign w:val="center"/>
            <w:hideMark/>
          </w:tcPr>
          <w:p w14:paraId="5CA6A191" w14:textId="41CB6C14" w:rsidR="00521562" w:rsidRPr="00521562" w:rsidRDefault="00521562" w:rsidP="00521562">
            <w:pPr>
              <w:spacing w:after="0"/>
              <w:rPr>
                <w:rFonts w:eastAsia="Times New Roman" w:cs="Times New Roman"/>
                <w:color w:val="000000"/>
                <w:lang w:eastAsia="en-US"/>
              </w:rPr>
            </w:pPr>
            <w:r w:rsidRPr="00521562">
              <w:rPr>
                <w:rFonts w:eastAsia="Times New Roman" w:cs="Times New Roman"/>
                <w:color w:val="000000"/>
                <w:lang w:eastAsia="en-US"/>
              </w:rPr>
              <w:t>Table 3.4. Bilateral aid committed</w:t>
            </w:r>
            <w:r w:rsidR="007F6C07">
              <w:rPr>
                <w:rFonts w:eastAsia="Times New Roman" w:cs="Times New Roman"/>
                <w:color w:val="000000"/>
                <w:lang w:eastAsia="en-US"/>
              </w:rPr>
              <w:t xml:space="preserve"> (ln)</w:t>
            </w:r>
            <w:r w:rsidRPr="00521562">
              <w:rPr>
                <w:rFonts w:eastAsia="Times New Roman" w:cs="Times New Roman"/>
                <w:color w:val="000000"/>
                <w:lang w:eastAsia="en-US"/>
              </w:rPr>
              <w:t>, individual components of Françafrique, full sample</w:t>
            </w:r>
          </w:p>
        </w:tc>
        <w:tc>
          <w:tcPr>
            <w:tcW w:w="420" w:type="dxa"/>
            <w:tcBorders>
              <w:top w:val="nil"/>
              <w:left w:val="nil"/>
              <w:bottom w:val="nil"/>
              <w:right w:val="nil"/>
            </w:tcBorders>
            <w:shd w:val="clear" w:color="auto" w:fill="auto"/>
            <w:textDirection w:val="btLr"/>
            <w:vAlign w:val="center"/>
            <w:hideMark/>
          </w:tcPr>
          <w:p w14:paraId="7F9119FA" w14:textId="77777777" w:rsidR="00521562" w:rsidRPr="00521562" w:rsidRDefault="00521562" w:rsidP="00521562">
            <w:pPr>
              <w:spacing w:after="0"/>
              <w:rPr>
                <w:rFonts w:eastAsia="Times New Roman" w:cs="Times New Roman"/>
                <w:b/>
                <w:bCs/>
                <w:lang w:eastAsia="en-US"/>
              </w:rPr>
            </w:pPr>
            <w:r w:rsidRPr="00521562">
              <w:rPr>
                <w:rFonts w:eastAsia="Times New Roman" w:cs="Times New Roman"/>
                <w:b/>
                <w:bCs/>
                <w:lang w:eastAsia="en-US"/>
              </w:rPr>
              <w:t>(8)</w:t>
            </w:r>
          </w:p>
        </w:tc>
        <w:tc>
          <w:tcPr>
            <w:tcW w:w="420" w:type="dxa"/>
            <w:tcBorders>
              <w:top w:val="nil"/>
              <w:left w:val="nil"/>
              <w:bottom w:val="nil"/>
              <w:right w:val="nil"/>
            </w:tcBorders>
            <w:shd w:val="clear" w:color="auto" w:fill="auto"/>
            <w:noWrap/>
            <w:textDirection w:val="btLr"/>
            <w:vAlign w:val="center"/>
            <w:hideMark/>
          </w:tcPr>
          <w:p w14:paraId="7C9E9802"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0.003</w:t>
            </w:r>
          </w:p>
        </w:tc>
        <w:tc>
          <w:tcPr>
            <w:tcW w:w="420" w:type="dxa"/>
            <w:tcBorders>
              <w:top w:val="nil"/>
              <w:left w:val="nil"/>
              <w:bottom w:val="nil"/>
              <w:right w:val="nil"/>
            </w:tcBorders>
            <w:shd w:val="clear" w:color="auto" w:fill="auto"/>
            <w:noWrap/>
            <w:textDirection w:val="btLr"/>
            <w:vAlign w:val="center"/>
            <w:hideMark/>
          </w:tcPr>
          <w:p w14:paraId="6B3A7F3B"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(0.008)</w:t>
            </w:r>
          </w:p>
        </w:tc>
        <w:tc>
          <w:tcPr>
            <w:tcW w:w="420" w:type="dxa"/>
            <w:tcBorders>
              <w:top w:val="nil"/>
              <w:left w:val="nil"/>
              <w:bottom w:val="nil"/>
              <w:right w:val="nil"/>
            </w:tcBorders>
            <w:shd w:val="clear" w:color="auto" w:fill="auto"/>
            <w:noWrap/>
            <w:textDirection w:val="btLr"/>
            <w:vAlign w:val="center"/>
            <w:hideMark/>
          </w:tcPr>
          <w:p w14:paraId="3E2FFA09"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0.126</w:t>
            </w:r>
          </w:p>
        </w:tc>
        <w:tc>
          <w:tcPr>
            <w:tcW w:w="420" w:type="dxa"/>
            <w:tcBorders>
              <w:top w:val="nil"/>
              <w:left w:val="nil"/>
              <w:bottom w:val="nil"/>
              <w:right w:val="nil"/>
            </w:tcBorders>
            <w:shd w:val="clear" w:color="auto" w:fill="auto"/>
            <w:noWrap/>
            <w:textDirection w:val="btLr"/>
            <w:vAlign w:val="center"/>
            <w:hideMark/>
          </w:tcPr>
          <w:p w14:paraId="519811FF"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(0.191)</w:t>
            </w:r>
          </w:p>
        </w:tc>
        <w:tc>
          <w:tcPr>
            <w:tcW w:w="420" w:type="dxa"/>
            <w:tcBorders>
              <w:top w:val="nil"/>
              <w:left w:val="nil"/>
              <w:bottom w:val="nil"/>
              <w:right w:val="nil"/>
            </w:tcBorders>
            <w:shd w:val="clear" w:color="auto" w:fill="auto"/>
            <w:noWrap/>
            <w:textDirection w:val="btLr"/>
            <w:vAlign w:val="center"/>
            <w:hideMark/>
          </w:tcPr>
          <w:p w14:paraId="51F73E99"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0.248</w:t>
            </w:r>
          </w:p>
        </w:tc>
        <w:tc>
          <w:tcPr>
            <w:tcW w:w="420" w:type="dxa"/>
            <w:tcBorders>
              <w:top w:val="nil"/>
              <w:left w:val="nil"/>
              <w:bottom w:val="nil"/>
              <w:right w:val="nil"/>
            </w:tcBorders>
            <w:shd w:val="clear" w:color="auto" w:fill="auto"/>
            <w:noWrap/>
            <w:textDirection w:val="btLr"/>
            <w:vAlign w:val="center"/>
            <w:hideMark/>
          </w:tcPr>
          <w:p w14:paraId="1529610E"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(0.164)</w:t>
            </w:r>
          </w:p>
        </w:tc>
        <w:tc>
          <w:tcPr>
            <w:tcW w:w="420" w:type="dxa"/>
            <w:tcBorders>
              <w:top w:val="nil"/>
              <w:left w:val="nil"/>
              <w:bottom w:val="nil"/>
              <w:right w:val="nil"/>
            </w:tcBorders>
            <w:shd w:val="clear" w:color="auto" w:fill="auto"/>
            <w:noWrap/>
            <w:textDirection w:val="btLr"/>
            <w:vAlign w:val="center"/>
            <w:hideMark/>
          </w:tcPr>
          <w:p w14:paraId="6F7D1805"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-0.010***</w:t>
            </w:r>
          </w:p>
        </w:tc>
        <w:tc>
          <w:tcPr>
            <w:tcW w:w="420" w:type="dxa"/>
            <w:tcBorders>
              <w:top w:val="nil"/>
              <w:left w:val="nil"/>
              <w:bottom w:val="nil"/>
              <w:right w:val="nil"/>
            </w:tcBorders>
            <w:shd w:val="clear" w:color="auto" w:fill="auto"/>
            <w:noWrap/>
            <w:textDirection w:val="btLr"/>
            <w:vAlign w:val="center"/>
            <w:hideMark/>
          </w:tcPr>
          <w:p w14:paraId="2D0F7207"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(0.003)</w:t>
            </w:r>
          </w:p>
        </w:tc>
        <w:tc>
          <w:tcPr>
            <w:tcW w:w="420" w:type="dxa"/>
            <w:tcBorders>
              <w:top w:val="nil"/>
              <w:left w:val="nil"/>
              <w:bottom w:val="nil"/>
              <w:right w:val="nil"/>
            </w:tcBorders>
            <w:shd w:val="clear" w:color="auto" w:fill="auto"/>
            <w:noWrap/>
            <w:textDirection w:val="btLr"/>
            <w:vAlign w:val="center"/>
            <w:hideMark/>
          </w:tcPr>
          <w:p w14:paraId="449633E9"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0.482***</w:t>
            </w:r>
          </w:p>
        </w:tc>
        <w:tc>
          <w:tcPr>
            <w:tcW w:w="420" w:type="dxa"/>
            <w:tcBorders>
              <w:top w:val="nil"/>
              <w:left w:val="nil"/>
              <w:bottom w:val="nil"/>
              <w:right w:val="nil"/>
            </w:tcBorders>
            <w:shd w:val="clear" w:color="auto" w:fill="auto"/>
            <w:noWrap/>
            <w:textDirection w:val="btLr"/>
            <w:vAlign w:val="center"/>
            <w:hideMark/>
          </w:tcPr>
          <w:p w14:paraId="5152426B"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(0.142)</w:t>
            </w:r>
          </w:p>
        </w:tc>
        <w:tc>
          <w:tcPr>
            <w:tcW w:w="420" w:type="dxa"/>
            <w:tcBorders>
              <w:top w:val="nil"/>
              <w:left w:val="nil"/>
              <w:bottom w:val="nil"/>
              <w:right w:val="nil"/>
            </w:tcBorders>
            <w:shd w:val="clear" w:color="auto" w:fill="auto"/>
            <w:noWrap/>
            <w:textDirection w:val="btLr"/>
            <w:vAlign w:val="center"/>
            <w:hideMark/>
          </w:tcPr>
          <w:p w14:paraId="5BCAD55E"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0.386**</w:t>
            </w:r>
          </w:p>
        </w:tc>
        <w:tc>
          <w:tcPr>
            <w:tcW w:w="420" w:type="dxa"/>
            <w:tcBorders>
              <w:top w:val="nil"/>
              <w:left w:val="nil"/>
              <w:bottom w:val="nil"/>
              <w:right w:val="nil"/>
            </w:tcBorders>
            <w:shd w:val="clear" w:color="auto" w:fill="auto"/>
            <w:noWrap/>
            <w:textDirection w:val="btLr"/>
            <w:vAlign w:val="center"/>
            <w:hideMark/>
          </w:tcPr>
          <w:p w14:paraId="0F685077"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(0.187)</w:t>
            </w:r>
          </w:p>
        </w:tc>
        <w:tc>
          <w:tcPr>
            <w:tcW w:w="420" w:type="dxa"/>
            <w:tcBorders>
              <w:top w:val="nil"/>
              <w:left w:val="nil"/>
              <w:bottom w:val="nil"/>
              <w:right w:val="nil"/>
            </w:tcBorders>
            <w:shd w:val="clear" w:color="auto" w:fill="auto"/>
            <w:noWrap/>
            <w:textDirection w:val="btLr"/>
            <w:vAlign w:val="center"/>
            <w:hideMark/>
          </w:tcPr>
          <w:p w14:paraId="2FE3AC7D"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0.467</w:t>
            </w:r>
          </w:p>
        </w:tc>
        <w:tc>
          <w:tcPr>
            <w:tcW w:w="420" w:type="dxa"/>
            <w:tcBorders>
              <w:top w:val="nil"/>
              <w:left w:val="nil"/>
              <w:bottom w:val="nil"/>
              <w:right w:val="nil"/>
            </w:tcBorders>
            <w:shd w:val="clear" w:color="auto" w:fill="auto"/>
            <w:noWrap/>
            <w:textDirection w:val="btLr"/>
            <w:vAlign w:val="center"/>
            <w:hideMark/>
          </w:tcPr>
          <w:p w14:paraId="4C5D0749"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(0.412)</w:t>
            </w:r>
          </w:p>
        </w:tc>
      </w:tr>
      <w:tr w:rsidR="00521562" w:rsidRPr="00521562" w14:paraId="60D62AF9" w14:textId="77777777" w:rsidTr="00521562">
        <w:trPr>
          <w:trHeight w:val="1180"/>
        </w:trPr>
        <w:tc>
          <w:tcPr>
            <w:tcW w:w="420" w:type="dxa"/>
            <w:vMerge/>
            <w:tcBorders>
              <w:top w:val="nil"/>
              <w:left w:val="nil"/>
              <w:bottom w:val="nil"/>
              <w:right w:val="single" w:sz="4" w:space="0" w:color="auto"/>
            </w:tcBorders>
            <w:vAlign w:val="center"/>
            <w:hideMark/>
          </w:tcPr>
          <w:p w14:paraId="54CE54AA" w14:textId="77777777" w:rsidR="00521562" w:rsidRPr="00521562" w:rsidRDefault="00521562" w:rsidP="00521562">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center"/>
            <w:hideMark/>
          </w:tcPr>
          <w:p w14:paraId="0A92E6E3" w14:textId="77777777" w:rsidR="00521562" w:rsidRPr="00521562" w:rsidRDefault="00521562" w:rsidP="00521562">
            <w:pPr>
              <w:spacing w:after="0"/>
              <w:rPr>
                <w:rFonts w:eastAsia="Times New Roman" w:cs="Times New Roman"/>
                <w:b/>
                <w:bCs/>
                <w:lang w:eastAsia="en-US"/>
              </w:rPr>
            </w:pPr>
            <w:r w:rsidRPr="00521562">
              <w:rPr>
                <w:rFonts w:eastAsia="Times New Roman" w:cs="Times New Roman"/>
                <w:b/>
                <w:bCs/>
                <w:lang w:eastAsia="en-US"/>
              </w:rPr>
              <w:t>(7)</w:t>
            </w:r>
          </w:p>
        </w:tc>
        <w:tc>
          <w:tcPr>
            <w:tcW w:w="420" w:type="dxa"/>
            <w:tcBorders>
              <w:top w:val="nil"/>
              <w:left w:val="nil"/>
              <w:bottom w:val="nil"/>
              <w:right w:val="nil"/>
            </w:tcBorders>
            <w:shd w:val="clear" w:color="auto" w:fill="auto"/>
            <w:noWrap/>
            <w:textDirection w:val="btLr"/>
            <w:vAlign w:val="center"/>
            <w:hideMark/>
          </w:tcPr>
          <w:p w14:paraId="40B03FDF"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448F2AB3"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(0.002)</w:t>
            </w:r>
          </w:p>
        </w:tc>
        <w:tc>
          <w:tcPr>
            <w:tcW w:w="420" w:type="dxa"/>
            <w:tcBorders>
              <w:top w:val="nil"/>
              <w:left w:val="nil"/>
              <w:bottom w:val="nil"/>
              <w:right w:val="nil"/>
            </w:tcBorders>
            <w:shd w:val="clear" w:color="auto" w:fill="auto"/>
            <w:noWrap/>
            <w:textDirection w:val="btLr"/>
            <w:vAlign w:val="center"/>
            <w:hideMark/>
          </w:tcPr>
          <w:p w14:paraId="4365E2F4"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0.550***</w:t>
            </w:r>
          </w:p>
        </w:tc>
        <w:tc>
          <w:tcPr>
            <w:tcW w:w="420" w:type="dxa"/>
            <w:tcBorders>
              <w:top w:val="nil"/>
              <w:left w:val="nil"/>
              <w:bottom w:val="nil"/>
              <w:right w:val="nil"/>
            </w:tcBorders>
            <w:shd w:val="clear" w:color="auto" w:fill="auto"/>
            <w:noWrap/>
            <w:textDirection w:val="btLr"/>
            <w:vAlign w:val="center"/>
            <w:hideMark/>
          </w:tcPr>
          <w:p w14:paraId="36C080E2"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(0.171)</w:t>
            </w:r>
          </w:p>
        </w:tc>
        <w:tc>
          <w:tcPr>
            <w:tcW w:w="420" w:type="dxa"/>
            <w:tcBorders>
              <w:top w:val="nil"/>
              <w:left w:val="nil"/>
              <w:bottom w:val="nil"/>
              <w:right w:val="nil"/>
            </w:tcBorders>
            <w:shd w:val="clear" w:color="auto" w:fill="auto"/>
            <w:noWrap/>
            <w:textDirection w:val="btLr"/>
            <w:vAlign w:val="center"/>
            <w:hideMark/>
          </w:tcPr>
          <w:p w14:paraId="121D3A91"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0.346**</w:t>
            </w:r>
          </w:p>
        </w:tc>
        <w:tc>
          <w:tcPr>
            <w:tcW w:w="420" w:type="dxa"/>
            <w:tcBorders>
              <w:top w:val="nil"/>
              <w:left w:val="nil"/>
              <w:bottom w:val="nil"/>
              <w:right w:val="nil"/>
            </w:tcBorders>
            <w:shd w:val="clear" w:color="auto" w:fill="auto"/>
            <w:noWrap/>
            <w:textDirection w:val="btLr"/>
            <w:vAlign w:val="center"/>
            <w:hideMark/>
          </w:tcPr>
          <w:p w14:paraId="065C85B3"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(0.157)</w:t>
            </w:r>
          </w:p>
        </w:tc>
        <w:tc>
          <w:tcPr>
            <w:tcW w:w="420" w:type="dxa"/>
            <w:tcBorders>
              <w:top w:val="nil"/>
              <w:left w:val="nil"/>
              <w:bottom w:val="nil"/>
              <w:right w:val="nil"/>
            </w:tcBorders>
            <w:shd w:val="clear" w:color="auto" w:fill="auto"/>
            <w:noWrap/>
            <w:textDirection w:val="btLr"/>
            <w:vAlign w:val="center"/>
            <w:hideMark/>
          </w:tcPr>
          <w:p w14:paraId="2681E046"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-0.005*</w:t>
            </w:r>
          </w:p>
        </w:tc>
        <w:tc>
          <w:tcPr>
            <w:tcW w:w="420" w:type="dxa"/>
            <w:tcBorders>
              <w:top w:val="nil"/>
              <w:left w:val="nil"/>
              <w:bottom w:val="nil"/>
              <w:right w:val="nil"/>
            </w:tcBorders>
            <w:shd w:val="clear" w:color="auto" w:fill="auto"/>
            <w:noWrap/>
            <w:textDirection w:val="btLr"/>
            <w:vAlign w:val="center"/>
            <w:hideMark/>
          </w:tcPr>
          <w:p w14:paraId="5F859267"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(0.003)</w:t>
            </w:r>
          </w:p>
        </w:tc>
        <w:tc>
          <w:tcPr>
            <w:tcW w:w="420" w:type="dxa"/>
            <w:tcBorders>
              <w:top w:val="nil"/>
              <w:left w:val="nil"/>
              <w:bottom w:val="nil"/>
              <w:right w:val="nil"/>
            </w:tcBorders>
            <w:shd w:val="clear" w:color="auto" w:fill="auto"/>
            <w:noWrap/>
            <w:textDirection w:val="btLr"/>
            <w:vAlign w:val="center"/>
            <w:hideMark/>
          </w:tcPr>
          <w:p w14:paraId="224E635E"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0.356**</w:t>
            </w:r>
          </w:p>
        </w:tc>
        <w:tc>
          <w:tcPr>
            <w:tcW w:w="420" w:type="dxa"/>
            <w:tcBorders>
              <w:top w:val="nil"/>
              <w:left w:val="nil"/>
              <w:bottom w:val="nil"/>
              <w:right w:val="nil"/>
            </w:tcBorders>
            <w:shd w:val="clear" w:color="auto" w:fill="auto"/>
            <w:noWrap/>
            <w:textDirection w:val="btLr"/>
            <w:vAlign w:val="center"/>
            <w:hideMark/>
          </w:tcPr>
          <w:p w14:paraId="3446E0D8"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(0.143)</w:t>
            </w:r>
          </w:p>
        </w:tc>
        <w:tc>
          <w:tcPr>
            <w:tcW w:w="420" w:type="dxa"/>
            <w:tcBorders>
              <w:top w:val="nil"/>
              <w:left w:val="nil"/>
              <w:bottom w:val="nil"/>
              <w:right w:val="nil"/>
            </w:tcBorders>
            <w:shd w:val="clear" w:color="auto" w:fill="auto"/>
            <w:noWrap/>
            <w:textDirection w:val="btLr"/>
            <w:vAlign w:val="center"/>
            <w:hideMark/>
          </w:tcPr>
          <w:p w14:paraId="1E2C9430"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-0.043</w:t>
            </w:r>
          </w:p>
        </w:tc>
        <w:tc>
          <w:tcPr>
            <w:tcW w:w="420" w:type="dxa"/>
            <w:tcBorders>
              <w:top w:val="nil"/>
              <w:left w:val="nil"/>
              <w:bottom w:val="nil"/>
              <w:right w:val="nil"/>
            </w:tcBorders>
            <w:shd w:val="clear" w:color="auto" w:fill="auto"/>
            <w:noWrap/>
            <w:textDirection w:val="btLr"/>
            <w:vAlign w:val="center"/>
            <w:hideMark/>
          </w:tcPr>
          <w:p w14:paraId="2F3DC77C"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(0.166)</w:t>
            </w:r>
          </w:p>
        </w:tc>
        <w:tc>
          <w:tcPr>
            <w:tcW w:w="420" w:type="dxa"/>
            <w:tcBorders>
              <w:top w:val="nil"/>
              <w:left w:val="nil"/>
              <w:bottom w:val="nil"/>
              <w:right w:val="nil"/>
            </w:tcBorders>
            <w:shd w:val="clear" w:color="auto" w:fill="auto"/>
            <w:noWrap/>
            <w:textDirection w:val="btLr"/>
            <w:vAlign w:val="center"/>
            <w:hideMark/>
          </w:tcPr>
          <w:p w14:paraId="701AB5E9"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0.451</w:t>
            </w:r>
          </w:p>
        </w:tc>
        <w:tc>
          <w:tcPr>
            <w:tcW w:w="420" w:type="dxa"/>
            <w:tcBorders>
              <w:top w:val="nil"/>
              <w:left w:val="nil"/>
              <w:bottom w:val="nil"/>
              <w:right w:val="nil"/>
            </w:tcBorders>
            <w:shd w:val="clear" w:color="auto" w:fill="auto"/>
            <w:noWrap/>
            <w:textDirection w:val="btLr"/>
            <w:vAlign w:val="center"/>
            <w:hideMark/>
          </w:tcPr>
          <w:p w14:paraId="4BC1B1FE"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(0.284)</w:t>
            </w:r>
          </w:p>
        </w:tc>
      </w:tr>
      <w:tr w:rsidR="00521562" w:rsidRPr="00521562" w14:paraId="5858EFB1" w14:textId="77777777" w:rsidTr="00521562">
        <w:trPr>
          <w:trHeight w:val="1180"/>
        </w:trPr>
        <w:tc>
          <w:tcPr>
            <w:tcW w:w="420" w:type="dxa"/>
            <w:vMerge/>
            <w:tcBorders>
              <w:top w:val="nil"/>
              <w:left w:val="nil"/>
              <w:bottom w:val="nil"/>
              <w:right w:val="single" w:sz="4" w:space="0" w:color="auto"/>
            </w:tcBorders>
            <w:vAlign w:val="center"/>
            <w:hideMark/>
          </w:tcPr>
          <w:p w14:paraId="133B7A29" w14:textId="77777777" w:rsidR="00521562" w:rsidRPr="00521562" w:rsidRDefault="00521562" w:rsidP="00521562">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center"/>
            <w:hideMark/>
          </w:tcPr>
          <w:p w14:paraId="6BCA395B" w14:textId="77777777" w:rsidR="00521562" w:rsidRPr="00521562" w:rsidRDefault="00521562" w:rsidP="00521562">
            <w:pPr>
              <w:spacing w:after="0"/>
              <w:rPr>
                <w:rFonts w:eastAsia="Times New Roman" w:cs="Times New Roman"/>
                <w:b/>
                <w:bCs/>
                <w:lang w:eastAsia="en-US"/>
              </w:rPr>
            </w:pPr>
            <w:r w:rsidRPr="00521562">
              <w:rPr>
                <w:rFonts w:eastAsia="Times New Roman" w:cs="Times New Roman"/>
                <w:b/>
                <w:bCs/>
                <w:lang w:eastAsia="en-US"/>
              </w:rPr>
              <w:t>(6)</w:t>
            </w:r>
          </w:p>
        </w:tc>
        <w:tc>
          <w:tcPr>
            <w:tcW w:w="420" w:type="dxa"/>
            <w:tcBorders>
              <w:top w:val="nil"/>
              <w:left w:val="nil"/>
              <w:bottom w:val="nil"/>
              <w:right w:val="nil"/>
            </w:tcBorders>
            <w:shd w:val="clear" w:color="auto" w:fill="auto"/>
            <w:noWrap/>
            <w:textDirection w:val="btLr"/>
            <w:vAlign w:val="center"/>
            <w:hideMark/>
          </w:tcPr>
          <w:p w14:paraId="48073651"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0.011***</w:t>
            </w:r>
          </w:p>
        </w:tc>
        <w:tc>
          <w:tcPr>
            <w:tcW w:w="420" w:type="dxa"/>
            <w:tcBorders>
              <w:top w:val="nil"/>
              <w:left w:val="nil"/>
              <w:bottom w:val="nil"/>
              <w:right w:val="nil"/>
            </w:tcBorders>
            <w:shd w:val="clear" w:color="auto" w:fill="auto"/>
            <w:noWrap/>
            <w:textDirection w:val="btLr"/>
            <w:vAlign w:val="center"/>
            <w:hideMark/>
          </w:tcPr>
          <w:p w14:paraId="57BBAEBF"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562BAFC0"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0.201</w:t>
            </w:r>
          </w:p>
        </w:tc>
        <w:tc>
          <w:tcPr>
            <w:tcW w:w="420" w:type="dxa"/>
            <w:tcBorders>
              <w:top w:val="nil"/>
              <w:left w:val="nil"/>
              <w:bottom w:val="nil"/>
              <w:right w:val="nil"/>
            </w:tcBorders>
            <w:shd w:val="clear" w:color="auto" w:fill="auto"/>
            <w:noWrap/>
            <w:textDirection w:val="btLr"/>
            <w:vAlign w:val="center"/>
            <w:hideMark/>
          </w:tcPr>
          <w:p w14:paraId="650234D6"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(0.147)</w:t>
            </w:r>
          </w:p>
        </w:tc>
        <w:tc>
          <w:tcPr>
            <w:tcW w:w="420" w:type="dxa"/>
            <w:tcBorders>
              <w:top w:val="nil"/>
              <w:left w:val="nil"/>
              <w:bottom w:val="nil"/>
              <w:right w:val="nil"/>
            </w:tcBorders>
            <w:shd w:val="clear" w:color="auto" w:fill="auto"/>
            <w:noWrap/>
            <w:textDirection w:val="btLr"/>
            <w:vAlign w:val="center"/>
            <w:hideMark/>
          </w:tcPr>
          <w:p w14:paraId="20B1D8A6"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0.215*</w:t>
            </w:r>
          </w:p>
        </w:tc>
        <w:tc>
          <w:tcPr>
            <w:tcW w:w="420" w:type="dxa"/>
            <w:tcBorders>
              <w:top w:val="nil"/>
              <w:left w:val="nil"/>
              <w:bottom w:val="nil"/>
              <w:right w:val="nil"/>
            </w:tcBorders>
            <w:shd w:val="clear" w:color="auto" w:fill="auto"/>
            <w:noWrap/>
            <w:textDirection w:val="btLr"/>
            <w:vAlign w:val="center"/>
            <w:hideMark/>
          </w:tcPr>
          <w:p w14:paraId="61D12927"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(0.122)</w:t>
            </w:r>
          </w:p>
        </w:tc>
        <w:tc>
          <w:tcPr>
            <w:tcW w:w="420" w:type="dxa"/>
            <w:tcBorders>
              <w:top w:val="nil"/>
              <w:left w:val="nil"/>
              <w:bottom w:val="nil"/>
              <w:right w:val="nil"/>
            </w:tcBorders>
            <w:shd w:val="clear" w:color="auto" w:fill="auto"/>
            <w:noWrap/>
            <w:textDirection w:val="btLr"/>
            <w:vAlign w:val="center"/>
            <w:hideMark/>
          </w:tcPr>
          <w:p w14:paraId="302496A2"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0.002</w:t>
            </w:r>
          </w:p>
        </w:tc>
        <w:tc>
          <w:tcPr>
            <w:tcW w:w="420" w:type="dxa"/>
            <w:tcBorders>
              <w:top w:val="nil"/>
              <w:left w:val="nil"/>
              <w:bottom w:val="nil"/>
              <w:right w:val="nil"/>
            </w:tcBorders>
            <w:shd w:val="clear" w:color="auto" w:fill="auto"/>
            <w:noWrap/>
            <w:textDirection w:val="btLr"/>
            <w:vAlign w:val="center"/>
            <w:hideMark/>
          </w:tcPr>
          <w:p w14:paraId="06B39A0D"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(0.003)</w:t>
            </w:r>
          </w:p>
        </w:tc>
        <w:tc>
          <w:tcPr>
            <w:tcW w:w="420" w:type="dxa"/>
            <w:tcBorders>
              <w:top w:val="nil"/>
              <w:left w:val="nil"/>
              <w:bottom w:val="nil"/>
              <w:right w:val="nil"/>
            </w:tcBorders>
            <w:shd w:val="clear" w:color="auto" w:fill="auto"/>
            <w:noWrap/>
            <w:textDirection w:val="btLr"/>
            <w:vAlign w:val="center"/>
            <w:hideMark/>
          </w:tcPr>
          <w:p w14:paraId="332985FE"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1.035***</w:t>
            </w:r>
          </w:p>
        </w:tc>
        <w:tc>
          <w:tcPr>
            <w:tcW w:w="420" w:type="dxa"/>
            <w:tcBorders>
              <w:top w:val="nil"/>
              <w:left w:val="nil"/>
              <w:bottom w:val="nil"/>
              <w:right w:val="nil"/>
            </w:tcBorders>
            <w:shd w:val="clear" w:color="auto" w:fill="auto"/>
            <w:noWrap/>
            <w:textDirection w:val="btLr"/>
            <w:vAlign w:val="center"/>
            <w:hideMark/>
          </w:tcPr>
          <w:p w14:paraId="5B062DA0"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(0.103)</w:t>
            </w:r>
          </w:p>
        </w:tc>
        <w:tc>
          <w:tcPr>
            <w:tcW w:w="420" w:type="dxa"/>
            <w:tcBorders>
              <w:top w:val="nil"/>
              <w:left w:val="nil"/>
              <w:bottom w:val="nil"/>
              <w:right w:val="nil"/>
            </w:tcBorders>
            <w:shd w:val="clear" w:color="auto" w:fill="auto"/>
            <w:noWrap/>
            <w:textDirection w:val="btLr"/>
            <w:vAlign w:val="center"/>
            <w:hideMark/>
          </w:tcPr>
          <w:p w14:paraId="1711307D"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0.057</w:t>
            </w:r>
          </w:p>
        </w:tc>
        <w:tc>
          <w:tcPr>
            <w:tcW w:w="420" w:type="dxa"/>
            <w:tcBorders>
              <w:top w:val="nil"/>
              <w:left w:val="nil"/>
              <w:bottom w:val="nil"/>
              <w:right w:val="nil"/>
            </w:tcBorders>
            <w:shd w:val="clear" w:color="auto" w:fill="auto"/>
            <w:noWrap/>
            <w:textDirection w:val="btLr"/>
            <w:vAlign w:val="center"/>
            <w:hideMark/>
          </w:tcPr>
          <w:p w14:paraId="097DEB54"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(0.133)</w:t>
            </w:r>
          </w:p>
        </w:tc>
        <w:tc>
          <w:tcPr>
            <w:tcW w:w="420" w:type="dxa"/>
            <w:tcBorders>
              <w:top w:val="nil"/>
              <w:left w:val="nil"/>
              <w:bottom w:val="nil"/>
              <w:right w:val="nil"/>
            </w:tcBorders>
            <w:shd w:val="clear" w:color="auto" w:fill="auto"/>
            <w:noWrap/>
            <w:textDirection w:val="btLr"/>
            <w:vAlign w:val="center"/>
            <w:hideMark/>
          </w:tcPr>
          <w:p w14:paraId="3EB9A6AB"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-0.868***</w:t>
            </w:r>
          </w:p>
        </w:tc>
        <w:tc>
          <w:tcPr>
            <w:tcW w:w="420" w:type="dxa"/>
            <w:tcBorders>
              <w:top w:val="nil"/>
              <w:left w:val="nil"/>
              <w:bottom w:val="nil"/>
              <w:right w:val="nil"/>
            </w:tcBorders>
            <w:shd w:val="clear" w:color="auto" w:fill="auto"/>
            <w:noWrap/>
            <w:textDirection w:val="btLr"/>
            <w:vAlign w:val="center"/>
            <w:hideMark/>
          </w:tcPr>
          <w:p w14:paraId="733BCDF4"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(0.206)</w:t>
            </w:r>
          </w:p>
        </w:tc>
      </w:tr>
      <w:tr w:rsidR="00521562" w:rsidRPr="00521562" w14:paraId="43E6478F" w14:textId="77777777" w:rsidTr="00521562">
        <w:trPr>
          <w:trHeight w:val="1180"/>
        </w:trPr>
        <w:tc>
          <w:tcPr>
            <w:tcW w:w="420" w:type="dxa"/>
            <w:vMerge/>
            <w:tcBorders>
              <w:top w:val="nil"/>
              <w:left w:val="nil"/>
              <w:bottom w:val="nil"/>
              <w:right w:val="single" w:sz="4" w:space="0" w:color="auto"/>
            </w:tcBorders>
            <w:vAlign w:val="center"/>
            <w:hideMark/>
          </w:tcPr>
          <w:p w14:paraId="66F0426C" w14:textId="77777777" w:rsidR="00521562" w:rsidRPr="00521562" w:rsidRDefault="00521562" w:rsidP="00521562">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center"/>
            <w:hideMark/>
          </w:tcPr>
          <w:p w14:paraId="2A31235F" w14:textId="77777777" w:rsidR="00521562" w:rsidRPr="00521562" w:rsidRDefault="00521562" w:rsidP="00521562">
            <w:pPr>
              <w:spacing w:after="0"/>
              <w:rPr>
                <w:rFonts w:eastAsia="Times New Roman" w:cs="Times New Roman"/>
                <w:b/>
                <w:bCs/>
                <w:lang w:eastAsia="en-US"/>
              </w:rPr>
            </w:pPr>
            <w:r w:rsidRPr="00521562">
              <w:rPr>
                <w:rFonts w:eastAsia="Times New Roman" w:cs="Times New Roman"/>
                <w:b/>
                <w:bCs/>
                <w:lang w:eastAsia="en-US"/>
              </w:rPr>
              <w:t>(5)</w:t>
            </w:r>
          </w:p>
        </w:tc>
        <w:tc>
          <w:tcPr>
            <w:tcW w:w="420" w:type="dxa"/>
            <w:tcBorders>
              <w:top w:val="nil"/>
              <w:left w:val="nil"/>
              <w:bottom w:val="nil"/>
              <w:right w:val="nil"/>
            </w:tcBorders>
            <w:shd w:val="clear" w:color="auto" w:fill="auto"/>
            <w:noWrap/>
            <w:textDirection w:val="btLr"/>
            <w:vAlign w:val="center"/>
            <w:hideMark/>
          </w:tcPr>
          <w:p w14:paraId="3A26A9D6"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0.011***</w:t>
            </w:r>
          </w:p>
        </w:tc>
        <w:tc>
          <w:tcPr>
            <w:tcW w:w="420" w:type="dxa"/>
            <w:tcBorders>
              <w:top w:val="nil"/>
              <w:left w:val="nil"/>
              <w:bottom w:val="nil"/>
              <w:right w:val="nil"/>
            </w:tcBorders>
            <w:shd w:val="clear" w:color="auto" w:fill="auto"/>
            <w:noWrap/>
            <w:textDirection w:val="btLr"/>
            <w:vAlign w:val="center"/>
            <w:hideMark/>
          </w:tcPr>
          <w:p w14:paraId="784E44AA"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6DAD2A5C"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73F0E53"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9154637"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033917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55F26EA"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E64C5D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B058684"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E065A81"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4CAFDED"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A7C38A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A952F9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84E6E33" w14:textId="77777777" w:rsidR="00521562" w:rsidRPr="00521562" w:rsidRDefault="00521562" w:rsidP="00521562">
            <w:pPr>
              <w:spacing w:after="0"/>
              <w:rPr>
                <w:rFonts w:eastAsia="Times New Roman" w:cs="Times New Roman"/>
                <w:lang w:eastAsia="en-US"/>
              </w:rPr>
            </w:pPr>
          </w:p>
        </w:tc>
      </w:tr>
      <w:tr w:rsidR="00521562" w:rsidRPr="00521562" w14:paraId="0892F3F9" w14:textId="77777777" w:rsidTr="00521562">
        <w:trPr>
          <w:trHeight w:val="1180"/>
        </w:trPr>
        <w:tc>
          <w:tcPr>
            <w:tcW w:w="420" w:type="dxa"/>
            <w:vMerge/>
            <w:tcBorders>
              <w:top w:val="nil"/>
              <w:left w:val="nil"/>
              <w:bottom w:val="nil"/>
              <w:right w:val="single" w:sz="4" w:space="0" w:color="auto"/>
            </w:tcBorders>
            <w:vAlign w:val="center"/>
            <w:hideMark/>
          </w:tcPr>
          <w:p w14:paraId="74541927" w14:textId="77777777" w:rsidR="00521562" w:rsidRPr="00521562" w:rsidRDefault="00521562" w:rsidP="00521562">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center"/>
            <w:hideMark/>
          </w:tcPr>
          <w:p w14:paraId="5955F610" w14:textId="77777777" w:rsidR="00521562" w:rsidRPr="00521562" w:rsidRDefault="00521562" w:rsidP="00521562">
            <w:pPr>
              <w:spacing w:after="0"/>
              <w:rPr>
                <w:rFonts w:eastAsia="Times New Roman" w:cs="Times New Roman"/>
                <w:b/>
                <w:bCs/>
                <w:lang w:eastAsia="en-US"/>
              </w:rPr>
            </w:pPr>
            <w:r w:rsidRPr="00521562">
              <w:rPr>
                <w:rFonts w:eastAsia="Times New Roman" w:cs="Times New Roman"/>
                <w:b/>
                <w:bCs/>
                <w:lang w:eastAsia="en-US"/>
              </w:rPr>
              <w:t>(4)</w:t>
            </w:r>
          </w:p>
        </w:tc>
        <w:tc>
          <w:tcPr>
            <w:tcW w:w="420" w:type="dxa"/>
            <w:tcBorders>
              <w:top w:val="nil"/>
              <w:left w:val="nil"/>
              <w:bottom w:val="nil"/>
              <w:right w:val="nil"/>
            </w:tcBorders>
            <w:shd w:val="clear" w:color="auto" w:fill="auto"/>
            <w:noWrap/>
            <w:textDirection w:val="btLr"/>
            <w:vAlign w:val="center"/>
            <w:hideMark/>
          </w:tcPr>
          <w:p w14:paraId="51CD9842"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756EAA6"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C74D7DE"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98A3943"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6C3A278"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A3CBB59"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6EC1296"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991C261"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7DB04CA"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8539578"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999FF8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3EBA259"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1C009CC"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F44AC4D" w14:textId="77777777" w:rsidR="00521562" w:rsidRPr="00521562" w:rsidRDefault="00521562" w:rsidP="00521562">
            <w:pPr>
              <w:spacing w:after="0"/>
              <w:rPr>
                <w:rFonts w:eastAsia="Times New Roman" w:cs="Times New Roman"/>
                <w:lang w:eastAsia="en-US"/>
              </w:rPr>
            </w:pPr>
          </w:p>
        </w:tc>
      </w:tr>
      <w:tr w:rsidR="00521562" w:rsidRPr="00521562" w14:paraId="42AF7A0A" w14:textId="77777777" w:rsidTr="00521562">
        <w:trPr>
          <w:trHeight w:val="1180"/>
        </w:trPr>
        <w:tc>
          <w:tcPr>
            <w:tcW w:w="420" w:type="dxa"/>
            <w:vMerge/>
            <w:tcBorders>
              <w:top w:val="nil"/>
              <w:left w:val="nil"/>
              <w:bottom w:val="nil"/>
              <w:right w:val="single" w:sz="4" w:space="0" w:color="auto"/>
            </w:tcBorders>
            <w:vAlign w:val="center"/>
            <w:hideMark/>
          </w:tcPr>
          <w:p w14:paraId="08A63D73" w14:textId="77777777" w:rsidR="00521562" w:rsidRPr="00521562" w:rsidRDefault="00521562" w:rsidP="00521562">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center"/>
            <w:hideMark/>
          </w:tcPr>
          <w:p w14:paraId="6C901BC6" w14:textId="77777777" w:rsidR="00521562" w:rsidRPr="00521562" w:rsidRDefault="00521562" w:rsidP="00521562">
            <w:pPr>
              <w:spacing w:after="0"/>
              <w:rPr>
                <w:rFonts w:eastAsia="Times New Roman" w:cs="Times New Roman"/>
                <w:b/>
                <w:bCs/>
                <w:lang w:eastAsia="en-US"/>
              </w:rPr>
            </w:pPr>
            <w:r w:rsidRPr="00521562">
              <w:rPr>
                <w:rFonts w:eastAsia="Times New Roman" w:cs="Times New Roman"/>
                <w:b/>
                <w:bCs/>
                <w:lang w:eastAsia="en-US"/>
              </w:rPr>
              <w:t>(3)</w:t>
            </w:r>
          </w:p>
        </w:tc>
        <w:tc>
          <w:tcPr>
            <w:tcW w:w="420" w:type="dxa"/>
            <w:tcBorders>
              <w:top w:val="nil"/>
              <w:left w:val="nil"/>
              <w:bottom w:val="nil"/>
              <w:right w:val="nil"/>
            </w:tcBorders>
            <w:shd w:val="clear" w:color="auto" w:fill="auto"/>
            <w:noWrap/>
            <w:textDirection w:val="btLr"/>
            <w:vAlign w:val="center"/>
            <w:hideMark/>
          </w:tcPr>
          <w:p w14:paraId="6F866134"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14C05D9"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C891659"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22B16DF"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A1927E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21BA56C"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9A61366"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34310DC"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EEABBD6"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E34DA82"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CAF77ED"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0.320**</w:t>
            </w:r>
          </w:p>
        </w:tc>
        <w:tc>
          <w:tcPr>
            <w:tcW w:w="420" w:type="dxa"/>
            <w:tcBorders>
              <w:top w:val="nil"/>
              <w:left w:val="nil"/>
              <w:bottom w:val="nil"/>
              <w:right w:val="nil"/>
            </w:tcBorders>
            <w:shd w:val="clear" w:color="auto" w:fill="auto"/>
            <w:noWrap/>
            <w:textDirection w:val="btLr"/>
            <w:vAlign w:val="center"/>
            <w:hideMark/>
          </w:tcPr>
          <w:p w14:paraId="2298C2F9"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(0.143)</w:t>
            </w:r>
          </w:p>
        </w:tc>
        <w:tc>
          <w:tcPr>
            <w:tcW w:w="420" w:type="dxa"/>
            <w:tcBorders>
              <w:top w:val="nil"/>
              <w:left w:val="nil"/>
              <w:bottom w:val="nil"/>
              <w:right w:val="nil"/>
            </w:tcBorders>
            <w:shd w:val="clear" w:color="auto" w:fill="auto"/>
            <w:noWrap/>
            <w:textDirection w:val="btLr"/>
            <w:vAlign w:val="center"/>
            <w:hideMark/>
          </w:tcPr>
          <w:p w14:paraId="597C984E"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1.243***</w:t>
            </w:r>
          </w:p>
        </w:tc>
        <w:tc>
          <w:tcPr>
            <w:tcW w:w="420" w:type="dxa"/>
            <w:tcBorders>
              <w:top w:val="nil"/>
              <w:left w:val="nil"/>
              <w:bottom w:val="nil"/>
              <w:right w:val="nil"/>
            </w:tcBorders>
            <w:shd w:val="clear" w:color="auto" w:fill="auto"/>
            <w:noWrap/>
            <w:textDirection w:val="btLr"/>
            <w:vAlign w:val="center"/>
            <w:hideMark/>
          </w:tcPr>
          <w:p w14:paraId="1BEBDDFA"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(0.164)</w:t>
            </w:r>
          </w:p>
        </w:tc>
      </w:tr>
      <w:tr w:rsidR="00521562" w:rsidRPr="00521562" w14:paraId="57ED2E7A" w14:textId="77777777" w:rsidTr="00521562">
        <w:trPr>
          <w:trHeight w:val="1180"/>
        </w:trPr>
        <w:tc>
          <w:tcPr>
            <w:tcW w:w="420" w:type="dxa"/>
            <w:vMerge/>
            <w:tcBorders>
              <w:top w:val="nil"/>
              <w:left w:val="nil"/>
              <w:bottom w:val="nil"/>
              <w:right w:val="single" w:sz="4" w:space="0" w:color="auto"/>
            </w:tcBorders>
            <w:vAlign w:val="center"/>
            <w:hideMark/>
          </w:tcPr>
          <w:p w14:paraId="60E9B0A4" w14:textId="77777777" w:rsidR="00521562" w:rsidRPr="00521562" w:rsidRDefault="00521562" w:rsidP="00521562">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center"/>
            <w:hideMark/>
          </w:tcPr>
          <w:p w14:paraId="002A69B6" w14:textId="77777777" w:rsidR="00521562" w:rsidRPr="00521562" w:rsidRDefault="00521562" w:rsidP="00521562">
            <w:pPr>
              <w:spacing w:after="0"/>
              <w:rPr>
                <w:rFonts w:eastAsia="Times New Roman" w:cs="Times New Roman"/>
                <w:b/>
                <w:bCs/>
                <w:lang w:eastAsia="en-US"/>
              </w:rPr>
            </w:pPr>
            <w:r w:rsidRPr="00521562">
              <w:rPr>
                <w:rFonts w:eastAsia="Times New Roman" w:cs="Times New Roman"/>
                <w:b/>
                <w:bCs/>
                <w:lang w:eastAsia="en-US"/>
              </w:rPr>
              <w:t>(2)</w:t>
            </w:r>
          </w:p>
        </w:tc>
        <w:tc>
          <w:tcPr>
            <w:tcW w:w="420" w:type="dxa"/>
            <w:tcBorders>
              <w:top w:val="nil"/>
              <w:left w:val="nil"/>
              <w:bottom w:val="nil"/>
              <w:right w:val="nil"/>
            </w:tcBorders>
            <w:shd w:val="clear" w:color="auto" w:fill="auto"/>
            <w:noWrap/>
            <w:textDirection w:val="btLr"/>
            <w:vAlign w:val="center"/>
            <w:hideMark/>
          </w:tcPr>
          <w:p w14:paraId="76260E55"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D00BAF5"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0111668"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A955F9B"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F81B69E"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E47A83C"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E0DE1A8"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0.007***</w:t>
            </w:r>
          </w:p>
        </w:tc>
        <w:tc>
          <w:tcPr>
            <w:tcW w:w="420" w:type="dxa"/>
            <w:tcBorders>
              <w:top w:val="nil"/>
              <w:left w:val="nil"/>
              <w:bottom w:val="nil"/>
              <w:right w:val="nil"/>
            </w:tcBorders>
            <w:shd w:val="clear" w:color="auto" w:fill="auto"/>
            <w:noWrap/>
            <w:textDirection w:val="btLr"/>
            <w:vAlign w:val="center"/>
            <w:hideMark/>
          </w:tcPr>
          <w:p w14:paraId="5596DE65"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(0.002)</w:t>
            </w:r>
          </w:p>
        </w:tc>
        <w:tc>
          <w:tcPr>
            <w:tcW w:w="420" w:type="dxa"/>
            <w:tcBorders>
              <w:top w:val="nil"/>
              <w:left w:val="nil"/>
              <w:bottom w:val="nil"/>
              <w:right w:val="nil"/>
            </w:tcBorders>
            <w:shd w:val="clear" w:color="auto" w:fill="auto"/>
            <w:noWrap/>
            <w:textDirection w:val="btLr"/>
            <w:vAlign w:val="center"/>
            <w:hideMark/>
          </w:tcPr>
          <w:p w14:paraId="17DEA5E8"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1.484***</w:t>
            </w:r>
          </w:p>
        </w:tc>
        <w:tc>
          <w:tcPr>
            <w:tcW w:w="420" w:type="dxa"/>
            <w:tcBorders>
              <w:top w:val="nil"/>
              <w:left w:val="nil"/>
              <w:bottom w:val="nil"/>
              <w:right w:val="nil"/>
            </w:tcBorders>
            <w:shd w:val="clear" w:color="auto" w:fill="auto"/>
            <w:noWrap/>
            <w:textDirection w:val="btLr"/>
            <w:vAlign w:val="center"/>
            <w:hideMark/>
          </w:tcPr>
          <w:p w14:paraId="538F6742"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(0.099)</w:t>
            </w:r>
          </w:p>
        </w:tc>
        <w:tc>
          <w:tcPr>
            <w:tcW w:w="420" w:type="dxa"/>
            <w:tcBorders>
              <w:top w:val="nil"/>
              <w:left w:val="nil"/>
              <w:bottom w:val="nil"/>
              <w:right w:val="nil"/>
            </w:tcBorders>
            <w:shd w:val="clear" w:color="auto" w:fill="auto"/>
            <w:noWrap/>
            <w:textDirection w:val="btLr"/>
            <w:vAlign w:val="center"/>
            <w:hideMark/>
          </w:tcPr>
          <w:p w14:paraId="3F792EBC"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702C162"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FC19356"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03E0FB4" w14:textId="77777777" w:rsidR="00521562" w:rsidRPr="00521562" w:rsidRDefault="00521562" w:rsidP="00521562">
            <w:pPr>
              <w:spacing w:after="0"/>
              <w:rPr>
                <w:rFonts w:eastAsia="Times New Roman" w:cs="Times New Roman"/>
                <w:lang w:eastAsia="en-US"/>
              </w:rPr>
            </w:pPr>
          </w:p>
        </w:tc>
      </w:tr>
      <w:tr w:rsidR="00521562" w:rsidRPr="00521562" w14:paraId="71B42609" w14:textId="77777777" w:rsidTr="00521562">
        <w:trPr>
          <w:trHeight w:val="1180"/>
        </w:trPr>
        <w:tc>
          <w:tcPr>
            <w:tcW w:w="420" w:type="dxa"/>
            <w:vMerge/>
            <w:tcBorders>
              <w:top w:val="nil"/>
              <w:left w:val="nil"/>
              <w:bottom w:val="nil"/>
              <w:right w:val="single" w:sz="4" w:space="0" w:color="auto"/>
            </w:tcBorders>
            <w:vAlign w:val="center"/>
            <w:hideMark/>
          </w:tcPr>
          <w:p w14:paraId="411CE01A" w14:textId="77777777" w:rsidR="00521562" w:rsidRPr="00521562" w:rsidRDefault="00521562" w:rsidP="00521562">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center"/>
            <w:hideMark/>
          </w:tcPr>
          <w:p w14:paraId="0BCE20DD" w14:textId="77777777" w:rsidR="00521562" w:rsidRPr="00521562" w:rsidRDefault="00521562" w:rsidP="00521562">
            <w:pPr>
              <w:spacing w:after="0"/>
              <w:rPr>
                <w:rFonts w:eastAsia="Times New Roman" w:cs="Times New Roman"/>
                <w:b/>
                <w:bCs/>
                <w:lang w:eastAsia="en-US"/>
              </w:rPr>
            </w:pPr>
            <w:r w:rsidRPr="00521562">
              <w:rPr>
                <w:rFonts w:eastAsia="Times New Roman" w:cs="Times New Roman"/>
                <w:b/>
                <w:bCs/>
                <w:lang w:eastAsia="en-US"/>
              </w:rPr>
              <w:t>(1)</w:t>
            </w:r>
          </w:p>
        </w:tc>
        <w:tc>
          <w:tcPr>
            <w:tcW w:w="420" w:type="dxa"/>
            <w:tcBorders>
              <w:top w:val="nil"/>
              <w:left w:val="nil"/>
              <w:bottom w:val="nil"/>
              <w:right w:val="nil"/>
            </w:tcBorders>
            <w:shd w:val="clear" w:color="auto" w:fill="auto"/>
            <w:noWrap/>
            <w:textDirection w:val="btLr"/>
            <w:vAlign w:val="center"/>
            <w:hideMark/>
          </w:tcPr>
          <w:p w14:paraId="7DCF6279"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0.010***</w:t>
            </w:r>
          </w:p>
        </w:tc>
        <w:tc>
          <w:tcPr>
            <w:tcW w:w="420" w:type="dxa"/>
            <w:tcBorders>
              <w:top w:val="nil"/>
              <w:left w:val="nil"/>
              <w:bottom w:val="nil"/>
              <w:right w:val="nil"/>
            </w:tcBorders>
            <w:shd w:val="clear" w:color="auto" w:fill="auto"/>
            <w:noWrap/>
            <w:textDirection w:val="btLr"/>
            <w:vAlign w:val="center"/>
            <w:hideMark/>
          </w:tcPr>
          <w:p w14:paraId="1801B1E6"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14127470"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0.283*</w:t>
            </w:r>
          </w:p>
        </w:tc>
        <w:tc>
          <w:tcPr>
            <w:tcW w:w="420" w:type="dxa"/>
            <w:tcBorders>
              <w:top w:val="nil"/>
              <w:left w:val="nil"/>
              <w:bottom w:val="nil"/>
              <w:right w:val="nil"/>
            </w:tcBorders>
            <w:shd w:val="clear" w:color="auto" w:fill="auto"/>
            <w:noWrap/>
            <w:textDirection w:val="btLr"/>
            <w:vAlign w:val="center"/>
            <w:hideMark/>
          </w:tcPr>
          <w:p w14:paraId="2309A2CA"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(0.145)</w:t>
            </w:r>
          </w:p>
        </w:tc>
        <w:tc>
          <w:tcPr>
            <w:tcW w:w="420" w:type="dxa"/>
            <w:tcBorders>
              <w:top w:val="nil"/>
              <w:left w:val="nil"/>
              <w:bottom w:val="nil"/>
              <w:right w:val="nil"/>
            </w:tcBorders>
            <w:shd w:val="clear" w:color="auto" w:fill="auto"/>
            <w:noWrap/>
            <w:textDirection w:val="btLr"/>
            <w:vAlign w:val="center"/>
            <w:hideMark/>
          </w:tcPr>
          <w:p w14:paraId="43B6D867"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0.657***</w:t>
            </w:r>
          </w:p>
        </w:tc>
        <w:tc>
          <w:tcPr>
            <w:tcW w:w="420" w:type="dxa"/>
            <w:tcBorders>
              <w:top w:val="nil"/>
              <w:left w:val="nil"/>
              <w:bottom w:val="nil"/>
              <w:right w:val="nil"/>
            </w:tcBorders>
            <w:shd w:val="clear" w:color="auto" w:fill="auto"/>
            <w:noWrap/>
            <w:textDirection w:val="btLr"/>
            <w:vAlign w:val="center"/>
            <w:hideMark/>
          </w:tcPr>
          <w:p w14:paraId="5898CA06"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(0.108)</w:t>
            </w:r>
          </w:p>
        </w:tc>
        <w:tc>
          <w:tcPr>
            <w:tcW w:w="420" w:type="dxa"/>
            <w:tcBorders>
              <w:top w:val="nil"/>
              <w:left w:val="nil"/>
              <w:bottom w:val="nil"/>
              <w:right w:val="nil"/>
            </w:tcBorders>
            <w:shd w:val="clear" w:color="auto" w:fill="auto"/>
            <w:noWrap/>
            <w:textDirection w:val="btLr"/>
            <w:vAlign w:val="center"/>
            <w:hideMark/>
          </w:tcPr>
          <w:p w14:paraId="788B2384"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CDE68E8"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B6B39C3"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B93D17E"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0D8BEF1"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621FA3E"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089FC6E"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8A5F4FB" w14:textId="77777777" w:rsidR="00521562" w:rsidRPr="00521562" w:rsidRDefault="00521562" w:rsidP="00521562">
            <w:pPr>
              <w:spacing w:after="0"/>
              <w:rPr>
                <w:rFonts w:eastAsia="Times New Roman" w:cs="Times New Roman"/>
                <w:lang w:eastAsia="en-US"/>
              </w:rPr>
            </w:pPr>
          </w:p>
        </w:tc>
      </w:tr>
      <w:tr w:rsidR="00521562" w:rsidRPr="00521562" w14:paraId="024B2B19" w14:textId="77777777" w:rsidTr="00521562">
        <w:trPr>
          <w:trHeight w:val="2340"/>
        </w:trPr>
        <w:tc>
          <w:tcPr>
            <w:tcW w:w="420" w:type="dxa"/>
            <w:vMerge/>
            <w:tcBorders>
              <w:top w:val="nil"/>
              <w:left w:val="nil"/>
              <w:bottom w:val="nil"/>
              <w:right w:val="single" w:sz="4" w:space="0" w:color="auto"/>
            </w:tcBorders>
            <w:vAlign w:val="center"/>
            <w:hideMark/>
          </w:tcPr>
          <w:p w14:paraId="272413D8" w14:textId="77777777" w:rsidR="00521562" w:rsidRPr="00521562" w:rsidRDefault="00521562" w:rsidP="00521562">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bottom"/>
            <w:hideMark/>
          </w:tcPr>
          <w:p w14:paraId="2E1A0097" w14:textId="77777777" w:rsidR="00521562" w:rsidRPr="00521562" w:rsidRDefault="00521562" w:rsidP="00521562">
            <w:pPr>
              <w:spacing w:after="0"/>
              <w:rPr>
                <w:rFonts w:eastAsia="Times New Roman" w:cs="Times New Roman"/>
                <w:lang w:eastAsia="en-US"/>
              </w:rPr>
            </w:pPr>
          </w:p>
        </w:tc>
        <w:tc>
          <w:tcPr>
            <w:tcW w:w="840" w:type="dxa"/>
            <w:gridSpan w:val="2"/>
            <w:tcBorders>
              <w:top w:val="nil"/>
              <w:left w:val="nil"/>
              <w:bottom w:val="nil"/>
              <w:right w:val="nil"/>
            </w:tcBorders>
            <w:shd w:val="clear" w:color="auto" w:fill="auto"/>
            <w:textDirection w:val="btLr"/>
            <w:vAlign w:val="bottom"/>
            <w:hideMark/>
          </w:tcPr>
          <w:p w14:paraId="36956065"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Years under French rule</w:t>
            </w:r>
          </w:p>
        </w:tc>
        <w:tc>
          <w:tcPr>
            <w:tcW w:w="840" w:type="dxa"/>
            <w:gridSpan w:val="2"/>
            <w:tcBorders>
              <w:top w:val="nil"/>
              <w:left w:val="nil"/>
              <w:bottom w:val="nil"/>
              <w:right w:val="nil"/>
            </w:tcBorders>
            <w:shd w:val="clear" w:color="auto" w:fill="auto"/>
            <w:textDirection w:val="btLr"/>
            <w:vAlign w:val="bottom"/>
            <w:hideMark/>
          </w:tcPr>
          <w:p w14:paraId="1B9FDDBB"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If president served on French Assembly</w:t>
            </w:r>
          </w:p>
        </w:tc>
        <w:tc>
          <w:tcPr>
            <w:tcW w:w="420" w:type="dxa"/>
            <w:tcBorders>
              <w:top w:val="nil"/>
              <w:left w:val="nil"/>
              <w:bottom w:val="nil"/>
              <w:right w:val="nil"/>
            </w:tcBorders>
            <w:shd w:val="clear" w:color="auto" w:fill="auto"/>
            <w:textDirection w:val="btLr"/>
            <w:vAlign w:val="bottom"/>
            <w:hideMark/>
          </w:tcPr>
          <w:p w14:paraId="5F0A1D02"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CFA franc</w:t>
            </w:r>
          </w:p>
        </w:tc>
        <w:tc>
          <w:tcPr>
            <w:tcW w:w="420" w:type="dxa"/>
            <w:tcBorders>
              <w:top w:val="nil"/>
              <w:left w:val="nil"/>
              <w:bottom w:val="nil"/>
              <w:right w:val="nil"/>
            </w:tcBorders>
            <w:shd w:val="clear" w:color="auto" w:fill="auto"/>
            <w:textDirection w:val="btLr"/>
            <w:vAlign w:val="bottom"/>
            <w:hideMark/>
          </w:tcPr>
          <w:p w14:paraId="2207B9E8" w14:textId="77777777" w:rsidR="00521562" w:rsidRPr="00521562" w:rsidRDefault="00521562" w:rsidP="00521562">
            <w:pPr>
              <w:spacing w:after="0"/>
              <w:rPr>
                <w:rFonts w:eastAsia="Times New Roman" w:cs="Times New Roman"/>
                <w:lang w:eastAsia="en-US"/>
              </w:rPr>
            </w:pPr>
          </w:p>
        </w:tc>
        <w:tc>
          <w:tcPr>
            <w:tcW w:w="840" w:type="dxa"/>
            <w:gridSpan w:val="2"/>
            <w:tcBorders>
              <w:top w:val="nil"/>
              <w:left w:val="nil"/>
              <w:bottom w:val="nil"/>
              <w:right w:val="nil"/>
            </w:tcBorders>
            <w:shd w:val="clear" w:color="auto" w:fill="auto"/>
            <w:textDirection w:val="btLr"/>
            <w:vAlign w:val="bottom"/>
            <w:hideMark/>
          </w:tcPr>
          <w:p w14:paraId="1D73CD81"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Percent of population that speaks French</w:t>
            </w:r>
          </w:p>
        </w:tc>
        <w:tc>
          <w:tcPr>
            <w:tcW w:w="420" w:type="dxa"/>
            <w:tcBorders>
              <w:top w:val="nil"/>
              <w:left w:val="nil"/>
              <w:bottom w:val="nil"/>
              <w:right w:val="nil"/>
            </w:tcBorders>
            <w:shd w:val="clear" w:color="auto" w:fill="auto"/>
            <w:textDirection w:val="btLr"/>
            <w:vAlign w:val="bottom"/>
            <w:hideMark/>
          </w:tcPr>
          <w:p w14:paraId="7E9F87A1"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La Francophonie</w:t>
            </w:r>
          </w:p>
        </w:tc>
        <w:tc>
          <w:tcPr>
            <w:tcW w:w="420" w:type="dxa"/>
            <w:tcBorders>
              <w:top w:val="nil"/>
              <w:left w:val="nil"/>
              <w:bottom w:val="nil"/>
              <w:right w:val="nil"/>
            </w:tcBorders>
            <w:shd w:val="clear" w:color="auto" w:fill="auto"/>
            <w:textDirection w:val="btLr"/>
            <w:vAlign w:val="bottom"/>
            <w:hideMark/>
          </w:tcPr>
          <w:p w14:paraId="49232D6A"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bottom"/>
            <w:hideMark/>
          </w:tcPr>
          <w:p w14:paraId="65921425"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Interventions</w:t>
            </w:r>
          </w:p>
        </w:tc>
        <w:tc>
          <w:tcPr>
            <w:tcW w:w="420" w:type="dxa"/>
            <w:tcBorders>
              <w:top w:val="nil"/>
              <w:left w:val="nil"/>
              <w:bottom w:val="nil"/>
              <w:right w:val="nil"/>
            </w:tcBorders>
            <w:shd w:val="clear" w:color="auto" w:fill="auto"/>
            <w:textDirection w:val="btLr"/>
            <w:vAlign w:val="bottom"/>
            <w:hideMark/>
          </w:tcPr>
          <w:p w14:paraId="301BCB13" w14:textId="77777777" w:rsidR="00521562" w:rsidRPr="00521562" w:rsidRDefault="00521562" w:rsidP="00521562">
            <w:pPr>
              <w:spacing w:after="0"/>
              <w:rPr>
                <w:rFonts w:eastAsia="Times New Roman" w:cs="Times New Roman"/>
                <w:lang w:eastAsia="en-US"/>
              </w:rPr>
            </w:pPr>
          </w:p>
        </w:tc>
        <w:tc>
          <w:tcPr>
            <w:tcW w:w="840" w:type="dxa"/>
            <w:gridSpan w:val="2"/>
            <w:tcBorders>
              <w:top w:val="nil"/>
              <w:left w:val="nil"/>
              <w:bottom w:val="nil"/>
              <w:right w:val="nil"/>
            </w:tcBorders>
            <w:shd w:val="clear" w:color="auto" w:fill="auto"/>
            <w:textDirection w:val="btLr"/>
            <w:vAlign w:val="bottom"/>
            <w:hideMark/>
          </w:tcPr>
          <w:p w14:paraId="354A6681"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Presence of military base</w:t>
            </w:r>
          </w:p>
        </w:tc>
      </w:tr>
    </w:tbl>
    <w:p w14:paraId="763AF89C" w14:textId="77777777" w:rsidR="00521562" w:rsidRDefault="00521562">
      <w:r>
        <w:br w:type="page"/>
      </w:r>
    </w:p>
    <w:tbl>
      <w:tblPr>
        <w:tblW w:w="6720" w:type="dxa"/>
        <w:tblInd w:w="93" w:type="dxa"/>
        <w:tblLook w:val="04A0" w:firstRow="1" w:lastRow="0" w:firstColumn="1" w:lastColumn="0" w:noHBand="0" w:noVBand="1"/>
      </w:tblPr>
      <w:tblGrid>
        <w:gridCol w:w="498"/>
        <w:gridCol w:w="498"/>
        <w:gridCol w:w="498"/>
        <w:gridCol w:w="498"/>
        <w:gridCol w:w="498"/>
        <w:gridCol w:w="498"/>
        <w:gridCol w:w="498"/>
        <w:gridCol w:w="498"/>
        <w:gridCol w:w="498"/>
        <w:gridCol w:w="498"/>
        <w:gridCol w:w="498"/>
        <w:gridCol w:w="498"/>
        <w:gridCol w:w="498"/>
        <w:gridCol w:w="498"/>
        <w:gridCol w:w="498"/>
        <w:gridCol w:w="498"/>
      </w:tblGrid>
      <w:tr w:rsidR="00521562" w:rsidRPr="00521562" w14:paraId="5B84E43E" w14:textId="77777777" w:rsidTr="00521562">
        <w:trPr>
          <w:trHeight w:val="1180"/>
        </w:trPr>
        <w:tc>
          <w:tcPr>
            <w:tcW w:w="420" w:type="dxa"/>
            <w:tcBorders>
              <w:top w:val="nil"/>
              <w:left w:val="nil"/>
              <w:bottom w:val="nil"/>
              <w:right w:val="nil"/>
            </w:tcBorders>
            <w:shd w:val="clear" w:color="auto" w:fill="auto"/>
            <w:noWrap/>
            <w:textDirection w:val="btLr"/>
            <w:vAlign w:val="center"/>
            <w:hideMark/>
          </w:tcPr>
          <w:p w14:paraId="79EF1A14"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-0.565</w:t>
            </w:r>
          </w:p>
        </w:tc>
        <w:tc>
          <w:tcPr>
            <w:tcW w:w="420" w:type="dxa"/>
            <w:tcBorders>
              <w:top w:val="nil"/>
              <w:left w:val="nil"/>
              <w:bottom w:val="nil"/>
              <w:right w:val="nil"/>
            </w:tcBorders>
            <w:shd w:val="clear" w:color="auto" w:fill="auto"/>
            <w:noWrap/>
            <w:textDirection w:val="btLr"/>
            <w:vAlign w:val="center"/>
            <w:hideMark/>
          </w:tcPr>
          <w:p w14:paraId="64C859DD"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(0.732)</w:t>
            </w:r>
          </w:p>
        </w:tc>
        <w:tc>
          <w:tcPr>
            <w:tcW w:w="420" w:type="dxa"/>
            <w:tcBorders>
              <w:top w:val="nil"/>
              <w:left w:val="nil"/>
              <w:bottom w:val="nil"/>
              <w:right w:val="nil"/>
            </w:tcBorders>
            <w:shd w:val="clear" w:color="auto" w:fill="auto"/>
            <w:noWrap/>
            <w:textDirection w:val="btLr"/>
            <w:vAlign w:val="center"/>
            <w:hideMark/>
          </w:tcPr>
          <w:p w14:paraId="752C6300"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-1.301</w:t>
            </w:r>
          </w:p>
        </w:tc>
        <w:tc>
          <w:tcPr>
            <w:tcW w:w="420" w:type="dxa"/>
            <w:tcBorders>
              <w:top w:val="nil"/>
              <w:left w:val="nil"/>
              <w:bottom w:val="nil"/>
              <w:right w:val="nil"/>
            </w:tcBorders>
            <w:shd w:val="clear" w:color="auto" w:fill="auto"/>
            <w:noWrap/>
            <w:textDirection w:val="btLr"/>
            <w:vAlign w:val="center"/>
            <w:hideMark/>
          </w:tcPr>
          <w:p w14:paraId="42DEF089"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(1.393)</w:t>
            </w:r>
          </w:p>
        </w:tc>
        <w:tc>
          <w:tcPr>
            <w:tcW w:w="420" w:type="dxa"/>
            <w:tcBorders>
              <w:top w:val="nil"/>
              <w:left w:val="nil"/>
              <w:bottom w:val="nil"/>
              <w:right w:val="nil"/>
            </w:tcBorders>
            <w:shd w:val="clear" w:color="auto" w:fill="auto"/>
            <w:noWrap/>
            <w:textDirection w:val="btLr"/>
            <w:vAlign w:val="center"/>
            <w:hideMark/>
          </w:tcPr>
          <w:p w14:paraId="7DBE8338"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1.196</w:t>
            </w:r>
          </w:p>
        </w:tc>
        <w:tc>
          <w:tcPr>
            <w:tcW w:w="420" w:type="dxa"/>
            <w:tcBorders>
              <w:top w:val="nil"/>
              <w:left w:val="nil"/>
              <w:bottom w:val="nil"/>
              <w:right w:val="nil"/>
            </w:tcBorders>
            <w:shd w:val="clear" w:color="auto" w:fill="auto"/>
            <w:noWrap/>
            <w:textDirection w:val="btLr"/>
            <w:vAlign w:val="center"/>
            <w:hideMark/>
          </w:tcPr>
          <w:p w14:paraId="10BCF82D"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(0.752)</w:t>
            </w:r>
          </w:p>
        </w:tc>
        <w:tc>
          <w:tcPr>
            <w:tcW w:w="420" w:type="dxa"/>
            <w:tcBorders>
              <w:top w:val="nil"/>
              <w:left w:val="nil"/>
              <w:bottom w:val="nil"/>
              <w:right w:val="nil"/>
            </w:tcBorders>
            <w:shd w:val="clear" w:color="auto" w:fill="auto"/>
            <w:noWrap/>
            <w:textDirection w:val="btLr"/>
            <w:vAlign w:val="center"/>
            <w:hideMark/>
          </w:tcPr>
          <w:p w14:paraId="3C89A180"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1.322***</w:t>
            </w:r>
          </w:p>
        </w:tc>
        <w:tc>
          <w:tcPr>
            <w:tcW w:w="420" w:type="dxa"/>
            <w:tcBorders>
              <w:top w:val="nil"/>
              <w:left w:val="nil"/>
              <w:bottom w:val="nil"/>
              <w:right w:val="nil"/>
            </w:tcBorders>
            <w:shd w:val="clear" w:color="auto" w:fill="auto"/>
            <w:noWrap/>
            <w:textDirection w:val="btLr"/>
            <w:vAlign w:val="center"/>
            <w:hideMark/>
          </w:tcPr>
          <w:p w14:paraId="07058C76"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(0.419)</w:t>
            </w:r>
          </w:p>
        </w:tc>
        <w:tc>
          <w:tcPr>
            <w:tcW w:w="420" w:type="dxa"/>
            <w:tcBorders>
              <w:top w:val="nil"/>
              <w:left w:val="nil"/>
              <w:bottom w:val="nil"/>
              <w:right w:val="nil"/>
            </w:tcBorders>
            <w:shd w:val="clear" w:color="auto" w:fill="auto"/>
            <w:noWrap/>
            <w:textDirection w:val="btLr"/>
            <w:vAlign w:val="center"/>
            <w:hideMark/>
          </w:tcPr>
          <w:p w14:paraId="7AEA3FFD"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-1.465</w:t>
            </w:r>
          </w:p>
        </w:tc>
        <w:tc>
          <w:tcPr>
            <w:tcW w:w="420" w:type="dxa"/>
            <w:tcBorders>
              <w:top w:val="nil"/>
              <w:left w:val="nil"/>
              <w:bottom w:val="nil"/>
              <w:right w:val="nil"/>
            </w:tcBorders>
            <w:shd w:val="clear" w:color="auto" w:fill="auto"/>
            <w:noWrap/>
            <w:textDirection w:val="btLr"/>
            <w:vAlign w:val="center"/>
            <w:hideMark/>
          </w:tcPr>
          <w:p w14:paraId="07A5C4CD"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(1.455)</w:t>
            </w:r>
          </w:p>
        </w:tc>
        <w:tc>
          <w:tcPr>
            <w:tcW w:w="420" w:type="dxa"/>
            <w:tcBorders>
              <w:top w:val="nil"/>
              <w:left w:val="nil"/>
              <w:bottom w:val="nil"/>
              <w:right w:val="nil"/>
            </w:tcBorders>
            <w:shd w:val="clear" w:color="auto" w:fill="auto"/>
            <w:noWrap/>
            <w:textDirection w:val="btLr"/>
            <w:vAlign w:val="center"/>
            <w:hideMark/>
          </w:tcPr>
          <w:p w14:paraId="7D7B918F"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0.428***</w:t>
            </w:r>
          </w:p>
        </w:tc>
        <w:tc>
          <w:tcPr>
            <w:tcW w:w="420" w:type="dxa"/>
            <w:tcBorders>
              <w:top w:val="nil"/>
              <w:left w:val="nil"/>
              <w:bottom w:val="nil"/>
              <w:right w:val="nil"/>
            </w:tcBorders>
            <w:shd w:val="clear" w:color="auto" w:fill="auto"/>
            <w:noWrap/>
            <w:textDirection w:val="btLr"/>
            <w:vAlign w:val="center"/>
            <w:hideMark/>
          </w:tcPr>
          <w:p w14:paraId="088C17C9"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(0.156)</w:t>
            </w:r>
          </w:p>
        </w:tc>
        <w:tc>
          <w:tcPr>
            <w:tcW w:w="420" w:type="dxa"/>
            <w:tcBorders>
              <w:top w:val="nil"/>
              <w:left w:val="nil"/>
              <w:bottom w:val="nil"/>
              <w:right w:val="nil"/>
            </w:tcBorders>
            <w:shd w:val="clear" w:color="auto" w:fill="auto"/>
            <w:noWrap/>
            <w:textDirection w:val="btLr"/>
            <w:vAlign w:val="center"/>
            <w:hideMark/>
          </w:tcPr>
          <w:p w14:paraId="01791ED0"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0.773***</w:t>
            </w:r>
          </w:p>
        </w:tc>
        <w:tc>
          <w:tcPr>
            <w:tcW w:w="420" w:type="dxa"/>
            <w:tcBorders>
              <w:top w:val="nil"/>
              <w:left w:val="nil"/>
              <w:bottom w:val="nil"/>
              <w:right w:val="nil"/>
            </w:tcBorders>
            <w:shd w:val="clear" w:color="auto" w:fill="auto"/>
            <w:noWrap/>
            <w:textDirection w:val="btLr"/>
            <w:vAlign w:val="center"/>
            <w:hideMark/>
          </w:tcPr>
          <w:p w14:paraId="1E9FCC29"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(0.217)</w:t>
            </w:r>
          </w:p>
        </w:tc>
        <w:tc>
          <w:tcPr>
            <w:tcW w:w="420" w:type="dxa"/>
            <w:tcBorders>
              <w:top w:val="nil"/>
              <w:left w:val="nil"/>
              <w:bottom w:val="nil"/>
              <w:right w:val="nil"/>
            </w:tcBorders>
            <w:shd w:val="clear" w:color="auto" w:fill="auto"/>
            <w:noWrap/>
            <w:textDirection w:val="btLr"/>
            <w:vAlign w:val="center"/>
            <w:hideMark/>
          </w:tcPr>
          <w:p w14:paraId="7367F604"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0.819***</w:t>
            </w:r>
          </w:p>
        </w:tc>
        <w:tc>
          <w:tcPr>
            <w:tcW w:w="420" w:type="dxa"/>
            <w:tcBorders>
              <w:top w:val="nil"/>
              <w:left w:val="nil"/>
              <w:bottom w:val="nil"/>
              <w:right w:val="nil"/>
            </w:tcBorders>
            <w:shd w:val="clear" w:color="auto" w:fill="auto"/>
            <w:noWrap/>
            <w:textDirection w:val="btLr"/>
            <w:vAlign w:val="center"/>
            <w:hideMark/>
          </w:tcPr>
          <w:p w14:paraId="7655FAD6"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(0.150)</w:t>
            </w:r>
          </w:p>
        </w:tc>
      </w:tr>
      <w:tr w:rsidR="00521562" w:rsidRPr="00521562" w14:paraId="460FD924" w14:textId="77777777" w:rsidTr="00521562">
        <w:trPr>
          <w:trHeight w:val="1180"/>
        </w:trPr>
        <w:tc>
          <w:tcPr>
            <w:tcW w:w="420" w:type="dxa"/>
            <w:tcBorders>
              <w:top w:val="nil"/>
              <w:left w:val="nil"/>
              <w:bottom w:val="nil"/>
              <w:right w:val="nil"/>
            </w:tcBorders>
            <w:shd w:val="clear" w:color="auto" w:fill="auto"/>
            <w:noWrap/>
            <w:textDirection w:val="btLr"/>
            <w:vAlign w:val="center"/>
            <w:hideMark/>
          </w:tcPr>
          <w:p w14:paraId="14350C26"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0.827***</w:t>
            </w:r>
          </w:p>
        </w:tc>
        <w:tc>
          <w:tcPr>
            <w:tcW w:w="420" w:type="dxa"/>
            <w:tcBorders>
              <w:top w:val="nil"/>
              <w:left w:val="nil"/>
              <w:bottom w:val="nil"/>
              <w:right w:val="nil"/>
            </w:tcBorders>
            <w:shd w:val="clear" w:color="auto" w:fill="auto"/>
            <w:noWrap/>
            <w:textDirection w:val="btLr"/>
            <w:vAlign w:val="center"/>
            <w:hideMark/>
          </w:tcPr>
          <w:p w14:paraId="521FB750"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(0.216)</w:t>
            </w:r>
          </w:p>
        </w:tc>
        <w:tc>
          <w:tcPr>
            <w:tcW w:w="420" w:type="dxa"/>
            <w:tcBorders>
              <w:top w:val="nil"/>
              <w:left w:val="nil"/>
              <w:bottom w:val="nil"/>
              <w:right w:val="nil"/>
            </w:tcBorders>
            <w:shd w:val="clear" w:color="auto" w:fill="auto"/>
            <w:noWrap/>
            <w:textDirection w:val="btLr"/>
            <w:vAlign w:val="center"/>
            <w:hideMark/>
          </w:tcPr>
          <w:p w14:paraId="25C86A08"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1.604***</w:t>
            </w:r>
          </w:p>
        </w:tc>
        <w:tc>
          <w:tcPr>
            <w:tcW w:w="420" w:type="dxa"/>
            <w:tcBorders>
              <w:top w:val="nil"/>
              <w:left w:val="nil"/>
              <w:bottom w:val="nil"/>
              <w:right w:val="nil"/>
            </w:tcBorders>
            <w:shd w:val="clear" w:color="auto" w:fill="auto"/>
            <w:noWrap/>
            <w:textDirection w:val="btLr"/>
            <w:vAlign w:val="center"/>
            <w:hideMark/>
          </w:tcPr>
          <w:p w14:paraId="149872F3"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(0.449)</w:t>
            </w:r>
          </w:p>
        </w:tc>
        <w:tc>
          <w:tcPr>
            <w:tcW w:w="420" w:type="dxa"/>
            <w:tcBorders>
              <w:top w:val="nil"/>
              <w:left w:val="nil"/>
              <w:bottom w:val="nil"/>
              <w:right w:val="nil"/>
            </w:tcBorders>
            <w:shd w:val="clear" w:color="auto" w:fill="auto"/>
            <w:noWrap/>
            <w:textDirection w:val="btLr"/>
            <w:vAlign w:val="center"/>
            <w:hideMark/>
          </w:tcPr>
          <w:p w14:paraId="377E970A"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2.619***</w:t>
            </w:r>
          </w:p>
        </w:tc>
        <w:tc>
          <w:tcPr>
            <w:tcW w:w="420" w:type="dxa"/>
            <w:tcBorders>
              <w:top w:val="nil"/>
              <w:left w:val="nil"/>
              <w:bottom w:val="nil"/>
              <w:right w:val="nil"/>
            </w:tcBorders>
            <w:shd w:val="clear" w:color="auto" w:fill="auto"/>
            <w:noWrap/>
            <w:textDirection w:val="btLr"/>
            <w:vAlign w:val="center"/>
            <w:hideMark/>
          </w:tcPr>
          <w:p w14:paraId="0E752E68"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(0.265)</w:t>
            </w:r>
          </w:p>
        </w:tc>
        <w:tc>
          <w:tcPr>
            <w:tcW w:w="420" w:type="dxa"/>
            <w:tcBorders>
              <w:top w:val="nil"/>
              <w:left w:val="nil"/>
              <w:bottom w:val="nil"/>
              <w:right w:val="nil"/>
            </w:tcBorders>
            <w:shd w:val="clear" w:color="auto" w:fill="auto"/>
            <w:noWrap/>
            <w:textDirection w:val="btLr"/>
            <w:vAlign w:val="center"/>
            <w:hideMark/>
          </w:tcPr>
          <w:p w14:paraId="4082021B"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1.288***</w:t>
            </w:r>
          </w:p>
        </w:tc>
        <w:tc>
          <w:tcPr>
            <w:tcW w:w="420" w:type="dxa"/>
            <w:tcBorders>
              <w:top w:val="nil"/>
              <w:left w:val="nil"/>
              <w:bottom w:val="nil"/>
              <w:right w:val="nil"/>
            </w:tcBorders>
            <w:shd w:val="clear" w:color="auto" w:fill="auto"/>
            <w:noWrap/>
            <w:textDirection w:val="btLr"/>
            <w:vAlign w:val="center"/>
            <w:hideMark/>
          </w:tcPr>
          <w:p w14:paraId="569793BC"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(0.277)</w:t>
            </w:r>
          </w:p>
        </w:tc>
        <w:tc>
          <w:tcPr>
            <w:tcW w:w="420" w:type="dxa"/>
            <w:tcBorders>
              <w:top w:val="nil"/>
              <w:left w:val="nil"/>
              <w:bottom w:val="nil"/>
              <w:right w:val="nil"/>
            </w:tcBorders>
            <w:shd w:val="clear" w:color="auto" w:fill="auto"/>
            <w:noWrap/>
            <w:textDirection w:val="btLr"/>
            <w:vAlign w:val="center"/>
            <w:hideMark/>
          </w:tcPr>
          <w:p w14:paraId="100B698B"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0DCAF99"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D49399A"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D33AB8E"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2491B9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9B326E7"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8E81941"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0.779***</w:t>
            </w:r>
          </w:p>
        </w:tc>
        <w:tc>
          <w:tcPr>
            <w:tcW w:w="420" w:type="dxa"/>
            <w:tcBorders>
              <w:top w:val="nil"/>
              <w:left w:val="nil"/>
              <w:bottom w:val="nil"/>
              <w:right w:val="nil"/>
            </w:tcBorders>
            <w:shd w:val="clear" w:color="auto" w:fill="auto"/>
            <w:noWrap/>
            <w:textDirection w:val="btLr"/>
            <w:vAlign w:val="center"/>
            <w:hideMark/>
          </w:tcPr>
          <w:p w14:paraId="4B1D81F8"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(0.151)</w:t>
            </w:r>
          </w:p>
        </w:tc>
      </w:tr>
      <w:tr w:rsidR="00521562" w:rsidRPr="00521562" w14:paraId="47D7C633" w14:textId="77777777" w:rsidTr="00521562">
        <w:trPr>
          <w:trHeight w:val="1180"/>
        </w:trPr>
        <w:tc>
          <w:tcPr>
            <w:tcW w:w="420" w:type="dxa"/>
            <w:tcBorders>
              <w:top w:val="nil"/>
              <w:left w:val="nil"/>
              <w:bottom w:val="nil"/>
              <w:right w:val="nil"/>
            </w:tcBorders>
            <w:shd w:val="clear" w:color="auto" w:fill="auto"/>
            <w:noWrap/>
            <w:textDirection w:val="btLr"/>
            <w:vAlign w:val="center"/>
            <w:hideMark/>
          </w:tcPr>
          <w:p w14:paraId="690A0FF2"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21296E6"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E33C32E"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2D39C73"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B25880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9DF1F86"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FC93901"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59CA40C"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54E1B2F"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0757DBE"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665A72E"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4CB82A7"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E600C92"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5CF16F4"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4B06749"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E770A6D" w14:textId="77777777" w:rsidR="00521562" w:rsidRPr="00521562" w:rsidRDefault="00521562" w:rsidP="00521562">
            <w:pPr>
              <w:spacing w:after="0"/>
              <w:rPr>
                <w:rFonts w:eastAsia="Times New Roman" w:cs="Times New Roman"/>
                <w:lang w:eastAsia="en-US"/>
              </w:rPr>
            </w:pPr>
          </w:p>
        </w:tc>
      </w:tr>
      <w:tr w:rsidR="00521562" w:rsidRPr="00521562" w14:paraId="113CA9A3" w14:textId="77777777" w:rsidTr="00521562">
        <w:trPr>
          <w:trHeight w:val="1180"/>
        </w:trPr>
        <w:tc>
          <w:tcPr>
            <w:tcW w:w="420" w:type="dxa"/>
            <w:tcBorders>
              <w:top w:val="nil"/>
              <w:left w:val="nil"/>
              <w:bottom w:val="nil"/>
              <w:right w:val="nil"/>
            </w:tcBorders>
            <w:shd w:val="clear" w:color="auto" w:fill="auto"/>
            <w:noWrap/>
            <w:textDirection w:val="btLr"/>
            <w:vAlign w:val="center"/>
            <w:hideMark/>
          </w:tcPr>
          <w:p w14:paraId="3BDB5AC2"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935A236"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99CD45F"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08C29CA"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C2BE5BA"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B18E503"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5169922"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EFD5656"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7E608CA"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-1.873***</w:t>
            </w:r>
          </w:p>
        </w:tc>
        <w:tc>
          <w:tcPr>
            <w:tcW w:w="420" w:type="dxa"/>
            <w:tcBorders>
              <w:top w:val="nil"/>
              <w:left w:val="nil"/>
              <w:bottom w:val="nil"/>
              <w:right w:val="nil"/>
            </w:tcBorders>
            <w:shd w:val="clear" w:color="auto" w:fill="auto"/>
            <w:noWrap/>
            <w:textDirection w:val="btLr"/>
            <w:vAlign w:val="center"/>
            <w:hideMark/>
          </w:tcPr>
          <w:p w14:paraId="7EEC2EA1"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(0.341)</w:t>
            </w:r>
          </w:p>
        </w:tc>
        <w:tc>
          <w:tcPr>
            <w:tcW w:w="420" w:type="dxa"/>
            <w:tcBorders>
              <w:top w:val="nil"/>
              <w:left w:val="nil"/>
              <w:bottom w:val="nil"/>
              <w:right w:val="nil"/>
            </w:tcBorders>
            <w:shd w:val="clear" w:color="auto" w:fill="auto"/>
            <w:noWrap/>
            <w:textDirection w:val="btLr"/>
            <w:vAlign w:val="center"/>
            <w:hideMark/>
          </w:tcPr>
          <w:p w14:paraId="45C5E35A"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-0.296***</w:t>
            </w:r>
          </w:p>
        </w:tc>
        <w:tc>
          <w:tcPr>
            <w:tcW w:w="420" w:type="dxa"/>
            <w:tcBorders>
              <w:top w:val="nil"/>
              <w:left w:val="nil"/>
              <w:bottom w:val="nil"/>
              <w:right w:val="nil"/>
            </w:tcBorders>
            <w:shd w:val="clear" w:color="auto" w:fill="auto"/>
            <w:noWrap/>
            <w:textDirection w:val="btLr"/>
            <w:vAlign w:val="center"/>
            <w:hideMark/>
          </w:tcPr>
          <w:p w14:paraId="53AFE01E"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(0.111)</w:t>
            </w:r>
          </w:p>
        </w:tc>
        <w:tc>
          <w:tcPr>
            <w:tcW w:w="420" w:type="dxa"/>
            <w:tcBorders>
              <w:top w:val="nil"/>
              <w:left w:val="nil"/>
              <w:bottom w:val="nil"/>
              <w:right w:val="nil"/>
            </w:tcBorders>
            <w:shd w:val="clear" w:color="auto" w:fill="auto"/>
            <w:noWrap/>
            <w:textDirection w:val="btLr"/>
            <w:vAlign w:val="center"/>
            <w:hideMark/>
          </w:tcPr>
          <w:p w14:paraId="1D35B25F"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1.051***</w:t>
            </w:r>
          </w:p>
        </w:tc>
        <w:tc>
          <w:tcPr>
            <w:tcW w:w="420" w:type="dxa"/>
            <w:tcBorders>
              <w:top w:val="nil"/>
              <w:left w:val="nil"/>
              <w:bottom w:val="nil"/>
              <w:right w:val="nil"/>
            </w:tcBorders>
            <w:shd w:val="clear" w:color="auto" w:fill="auto"/>
            <w:noWrap/>
            <w:textDirection w:val="btLr"/>
            <w:vAlign w:val="center"/>
            <w:hideMark/>
          </w:tcPr>
          <w:p w14:paraId="3008A753"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(0.088)</w:t>
            </w:r>
          </w:p>
        </w:tc>
        <w:tc>
          <w:tcPr>
            <w:tcW w:w="420" w:type="dxa"/>
            <w:tcBorders>
              <w:top w:val="nil"/>
              <w:left w:val="nil"/>
              <w:bottom w:val="nil"/>
              <w:right w:val="nil"/>
            </w:tcBorders>
            <w:shd w:val="clear" w:color="auto" w:fill="auto"/>
            <w:noWrap/>
            <w:textDirection w:val="btLr"/>
            <w:vAlign w:val="center"/>
            <w:hideMark/>
          </w:tcPr>
          <w:p w14:paraId="5707F99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7FDDE0E" w14:textId="77777777" w:rsidR="00521562" w:rsidRPr="00521562" w:rsidRDefault="00521562" w:rsidP="00521562">
            <w:pPr>
              <w:spacing w:after="0"/>
              <w:rPr>
                <w:rFonts w:eastAsia="Times New Roman" w:cs="Times New Roman"/>
                <w:lang w:eastAsia="en-US"/>
              </w:rPr>
            </w:pPr>
          </w:p>
        </w:tc>
      </w:tr>
      <w:tr w:rsidR="00521562" w:rsidRPr="00521562" w14:paraId="46479F5A" w14:textId="77777777" w:rsidTr="00521562">
        <w:trPr>
          <w:trHeight w:val="1180"/>
        </w:trPr>
        <w:tc>
          <w:tcPr>
            <w:tcW w:w="420" w:type="dxa"/>
            <w:tcBorders>
              <w:top w:val="nil"/>
              <w:left w:val="nil"/>
              <w:bottom w:val="nil"/>
              <w:right w:val="nil"/>
            </w:tcBorders>
            <w:shd w:val="clear" w:color="auto" w:fill="auto"/>
            <w:noWrap/>
            <w:textDirection w:val="btLr"/>
            <w:vAlign w:val="center"/>
            <w:hideMark/>
          </w:tcPr>
          <w:p w14:paraId="5F4490EE"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1.836***</w:t>
            </w:r>
          </w:p>
        </w:tc>
        <w:tc>
          <w:tcPr>
            <w:tcW w:w="420" w:type="dxa"/>
            <w:tcBorders>
              <w:top w:val="nil"/>
              <w:left w:val="nil"/>
              <w:bottom w:val="nil"/>
              <w:right w:val="nil"/>
            </w:tcBorders>
            <w:shd w:val="clear" w:color="auto" w:fill="auto"/>
            <w:noWrap/>
            <w:textDirection w:val="btLr"/>
            <w:vAlign w:val="center"/>
            <w:hideMark/>
          </w:tcPr>
          <w:p w14:paraId="6478D592"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(0.086)</w:t>
            </w:r>
          </w:p>
        </w:tc>
        <w:tc>
          <w:tcPr>
            <w:tcW w:w="420" w:type="dxa"/>
            <w:tcBorders>
              <w:top w:val="nil"/>
              <w:left w:val="nil"/>
              <w:bottom w:val="nil"/>
              <w:right w:val="nil"/>
            </w:tcBorders>
            <w:shd w:val="clear" w:color="auto" w:fill="auto"/>
            <w:noWrap/>
            <w:textDirection w:val="btLr"/>
            <w:vAlign w:val="center"/>
            <w:hideMark/>
          </w:tcPr>
          <w:p w14:paraId="0AA63D73"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2.179***</w:t>
            </w:r>
          </w:p>
        </w:tc>
        <w:tc>
          <w:tcPr>
            <w:tcW w:w="420" w:type="dxa"/>
            <w:tcBorders>
              <w:top w:val="nil"/>
              <w:left w:val="nil"/>
              <w:bottom w:val="nil"/>
              <w:right w:val="nil"/>
            </w:tcBorders>
            <w:shd w:val="clear" w:color="auto" w:fill="auto"/>
            <w:noWrap/>
            <w:textDirection w:val="btLr"/>
            <w:vAlign w:val="center"/>
            <w:hideMark/>
          </w:tcPr>
          <w:p w14:paraId="26901E79"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(0.263)</w:t>
            </w:r>
          </w:p>
        </w:tc>
        <w:tc>
          <w:tcPr>
            <w:tcW w:w="420" w:type="dxa"/>
            <w:tcBorders>
              <w:top w:val="nil"/>
              <w:left w:val="nil"/>
              <w:bottom w:val="nil"/>
              <w:right w:val="nil"/>
            </w:tcBorders>
            <w:shd w:val="clear" w:color="auto" w:fill="auto"/>
            <w:noWrap/>
            <w:textDirection w:val="btLr"/>
            <w:vAlign w:val="center"/>
            <w:hideMark/>
          </w:tcPr>
          <w:p w14:paraId="01EDDC8E"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3.168***</w:t>
            </w:r>
          </w:p>
        </w:tc>
        <w:tc>
          <w:tcPr>
            <w:tcW w:w="420" w:type="dxa"/>
            <w:tcBorders>
              <w:top w:val="nil"/>
              <w:left w:val="nil"/>
              <w:bottom w:val="nil"/>
              <w:right w:val="nil"/>
            </w:tcBorders>
            <w:shd w:val="clear" w:color="auto" w:fill="auto"/>
            <w:noWrap/>
            <w:textDirection w:val="btLr"/>
            <w:vAlign w:val="center"/>
            <w:hideMark/>
          </w:tcPr>
          <w:p w14:paraId="1D32E9D6"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(0.197)</w:t>
            </w:r>
          </w:p>
        </w:tc>
        <w:tc>
          <w:tcPr>
            <w:tcW w:w="420" w:type="dxa"/>
            <w:tcBorders>
              <w:top w:val="nil"/>
              <w:left w:val="nil"/>
              <w:bottom w:val="nil"/>
              <w:right w:val="nil"/>
            </w:tcBorders>
            <w:shd w:val="clear" w:color="auto" w:fill="auto"/>
            <w:noWrap/>
            <w:textDirection w:val="btLr"/>
            <w:vAlign w:val="center"/>
            <w:hideMark/>
          </w:tcPr>
          <w:p w14:paraId="45417DB4"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2.049***</w:t>
            </w:r>
          </w:p>
        </w:tc>
        <w:tc>
          <w:tcPr>
            <w:tcW w:w="420" w:type="dxa"/>
            <w:tcBorders>
              <w:top w:val="nil"/>
              <w:left w:val="nil"/>
              <w:bottom w:val="nil"/>
              <w:right w:val="nil"/>
            </w:tcBorders>
            <w:shd w:val="clear" w:color="auto" w:fill="auto"/>
            <w:noWrap/>
            <w:textDirection w:val="btLr"/>
            <w:vAlign w:val="center"/>
            <w:hideMark/>
          </w:tcPr>
          <w:p w14:paraId="7C802D64"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(0.191)</w:t>
            </w:r>
          </w:p>
        </w:tc>
        <w:tc>
          <w:tcPr>
            <w:tcW w:w="420" w:type="dxa"/>
            <w:tcBorders>
              <w:top w:val="nil"/>
              <w:left w:val="nil"/>
              <w:bottom w:val="nil"/>
              <w:right w:val="nil"/>
            </w:tcBorders>
            <w:shd w:val="clear" w:color="auto" w:fill="auto"/>
            <w:noWrap/>
            <w:textDirection w:val="btLr"/>
            <w:vAlign w:val="center"/>
            <w:hideMark/>
          </w:tcPr>
          <w:p w14:paraId="5C5A4EB6"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F8A7FDA"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F57789B"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9BAA4CD"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8514C27"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1E33B6D"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56B9479"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B2BB190" w14:textId="77777777" w:rsidR="00521562" w:rsidRPr="00521562" w:rsidRDefault="00521562" w:rsidP="00521562">
            <w:pPr>
              <w:spacing w:after="0"/>
              <w:rPr>
                <w:rFonts w:eastAsia="Times New Roman" w:cs="Times New Roman"/>
                <w:lang w:eastAsia="en-US"/>
              </w:rPr>
            </w:pPr>
          </w:p>
        </w:tc>
      </w:tr>
      <w:tr w:rsidR="00521562" w:rsidRPr="00521562" w14:paraId="729E6222" w14:textId="77777777" w:rsidTr="00521562">
        <w:trPr>
          <w:trHeight w:val="1180"/>
        </w:trPr>
        <w:tc>
          <w:tcPr>
            <w:tcW w:w="420" w:type="dxa"/>
            <w:tcBorders>
              <w:top w:val="nil"/>
              <w:left w:val="nil"/>
              <w:bottom w:val="nil"/>
              <w:right w:val="nil"/>
            </w:tcBorders>
            <w:shd w:val="clear" w:color="auto" w:fill="auto"/>
            <w:noWrap/>
            <w:textDirection w:val="btLr"/>
            <w:vAlign w:val="center"/>
            <w:hideMark/>
          </w:tcPr>
          <w:p w14:paraId="44B928D2"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E5FD41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D572024"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278ACA3"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A83E5D2"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11485C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B5BF622"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1FE58F6"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5A78A58"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773158D"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50EBC49"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159EBF2"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1BDA24B"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307E8FF"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18238A1"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BC368F5" w14:textId="77777777" w:rsidR="00521562" w:rsidRPr="00521562" w:rsidRDefault="00521562" w:rsidP="00521562">
            <w:pPr>
              <w:spacing w:after="0"/>
              <w:rPr>
                <w:rFonts w:eastAsia="Times New Roman" w:cs="Times New Roman"/>
                <w:lang w:eastAsia="en-US"/>
              </w:rPr>
            </w:pPr>
          </w:p>
        </w:tc>
      </w:tr>
      <w:tr w:rsidR="00521562" w:rsidRPr="00521562" w14:paraId="000F95F4" w14:textId="77777777" w:rsidTr="00521562">
        <w:trPr>
          <w:trHeight w:val="1180"/>
        </w:trPr>
        <w:tc>
          <w:tcPr>
            <w:tcW w:w="420" w:type="dxa"/>
            <w:tcBorders>
              <w:top w:val="nil"/>
              <w:left w:val="nil"/>
              <w:bottom w:val="nil"/>
              <w:right w:val="nil"/>
            </w:tcBorders>
            <w:shd w:val="clear" w:color="auto" w:fill="auto"/>
            <w:noWrap/>
            <w:textDirection w:val="btLr"/>
            <w:vAlign w:val="center"/>
            <w:hideMark/>
          </w:tcPr>
          <w:p w14:paraId="4127981B"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703111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BB250B4"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2CEE494"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623DDC8"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8FFF73A"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EBC6768"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CD7B3A8"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A141AAF"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0507FB8"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B408F03"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6BB1F69"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3B0D743"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23EF033"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391734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DFF23DC" w14:textId="77777777" w:rsidR="00521562" w:rsidRPr="00521562" w:rsidRDefault="00521562" w:rsidP="00521562">
            <w:pPr>
              <w:spacing w:after="0"/>
              <w:rPr>
                <w:rFonts w:eastAsia="Times New Roman" w:cs="Times New Roman"/>
                <w:lang w:eastAsia="en-US"/>
              </w:rPr>
            </w:pPr>
          </w:p>
        </w:tc>
      </w:tr>
      <w:tr w:rsidR="00521562" w:rsidRPr="00521562" w14:paraId="70A56458" w14:textId="77777777" w:rsidTr="00521562">
        <w:trPr>
          <w:trHeight w:val="1180"/>
        </w:trPr>
        <w:tc>
          <w:tcPr>
            <w:tcW w:w="420" w:type="dxa"/>
            <w:tcBorders>
              <w:top w:val="nil"/>
              <w:left w:val="nil"/>
              <w:bottom w:val="nil"/>
              <w:right w:val="nil"/>
            </w:tcBorders>
            <w:shd w:val="clear" w:color="auto" w:fill="auto"/>
            <w:noWrap/>
            <w:textDirection w:val="btLr"/>
            <w:vAlign w:val="center"/>
            <w:hideMark/>
          </w:tcPr>
          <w:p w14:paraId="70F85BBF"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2E4B1BE"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A8370CF"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F8B842D"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65A8E0F"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B08BBE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91C65D4"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17B4D9C"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25D1A1C"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8BF861B"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6887CCB"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D28606C"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107DF8F"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618400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B5C0BAE"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538D739" w14:textId="77777777" w:rsidR="00521562" w:rsidRPr="00521562" w:rsidRDefault="00521562" w:rsidP="00521562">
            <w:pPr>
              <w:spacing w:after="0"/>
              <w:rPr>
                <w:rFonts w:eastAsia="Times New Roman" w:cs="Times New Roman"/>
                <w:lang w:eastAsia="en-US"/>
              </w:rPr>
            </w:pPr>
          </w:p>
        </w:tc>
      </w:tr>
      <w:tr w:rsidR="00521562" w:rsidRPr="00521562" w14:paraId="0501E9E2" w14:textId="77777777" w:rsidTr="00521562">
        <w:trPr>
          <w:trHeight w:val="2340"/>
        </w:trPr>
        <w:tc>
          <w:tcPr>
            <w:tcW w:w="420" w:type="dxa"/>
            <w:tcBorders>
              <w:top w:val="nil"/>
              <w:left w:val="nil"/>
              <w:bottom w:val="nil"/>
              <w:right w:val="nil"/>
            </w:tcBorders>
            <w:shd w:val="clear" w:color="auto" w:fill="auto"/>
            <w:textDirection w:val="btLr"/>
            <w:vAlign w:val="bottom"/>
            <w:hideMark/>
          </w:tcPr>
          <w:p w14:paraId="14077E7B"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Colony</w:t>
            </w:r>
          </w:p>
        </w:tc>
        <w:tc>
          <w:tcPr>
            <w:tcW w:w="420" w:type="dxa"/>
            <w:tcBorders>
              <w:top w:val="nil"/>
              <w:left w:val="nil"/>
              <w:bottom w:val="nil"/>
              <w:right w:val="nil"/>
            </w:tcBorders>
            <w:shd w:val="clear" w:color="auto" w:fill="auto"/>
            <w:textDirection w:val="btLr"/>
            <w:vAlign w:val="bottom"/>
            <w:hideMark/>
          </w:tcPr>
          <w:p w14:paraId="7E8BE78E"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bottom"/>
            <w:hideMark/>
          </w:tcPr>
          <w:p w14:paraId="583F3F9A"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Department</w:t>
            </w:r>
          </w:p>
        </w:tc>
        <w:tc>
          <w:tcPr>
            <w:tcW w:w="420" w:type="dxa"/>
            <w:tcBorders>
              <w:top w:val="nil"/>
              <w:left w:val="nil"/>
              <w:bottom w:val="nil"/>
              <w:right w:val="nil"/>
            </w:tcBorders>
            <w:shd w:val="clear" w:color="auto" w:fill="auto"/>
            <w:textDirection w:val="btLr"/>
            <w:vAlign w:val="bottom"/>
            <w:hideMark/>
          </w:tcPr>
          <w:p w14:paraId="0D77CB18"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bottom"/>
            <w:hideMark/>
          </w:tcPr>
          <w:p w14:paraId="47B70A85"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Protectorate</w:t>
            </w:r>
          </w:p>
        </w:tc>
        <w:tc>
          <w:tcPr>
            <w:tcW w:w="420" w:type="dxa"/>
            <w:tcBorders>
              <w:top w:val="nil"/>
              <w:left w:val="nil"/>
              <w:bottom w:val="nil"/>
              <w:right w:val="nil"/>
            </w:tcBorders>
            <w:shd w:val="clear" w:color="auto" w:fill="auto"/>
            <w:textDirection w:val="btLr"/>
            <w:vAlign w:val="bottom"/>
            <w:hideMark/>
          </w:tcPr>
          <w:p w14:paraId="541B700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bottom"/>
            <w:hideMark/>
          </w:tcPr>
          <w:p w14:paraId="3BA4881E"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 xml:space="preserve">Mandate </w:t>
            </w:r>
          </w:p>
        </w:tc>
        <w:tc>
          <w:tcPr>
            <w:tcW w:w="420" w:type="dxa"/>
            <w:tcBorders>
              <w:top w:val="nil"/>
              <w:left w:val="nil"/>
              <w:bottom w:val="nil"/>
              <w:right w:val="nil"/>
            </w:tcBorders>
            <w:shd w:val="clear" w:color="auto" w:fill="auto"/>
            <w:textDirection w:val="btLr"/>
            <w:vAlign w:val="bottom"/>
            <w:hideMark/>
          </w:tcPr>
          <w:p w14:paraId="3206B1C1"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bottom"/>
            <w:hideMark/>
          </w:tcPr>
          <w:p w14:paraId="45DDFE32" w14:textId="77777777" w:rsidR="00521562" w:rsidRPr="00521562" w:rsidRDefault="00521562" w:rsidP="00521562">
            <w:pPr>
              <w:spacing w:after="0"/>
              <w:rPr>
                <w:rFonts w:eastAsia="Times New Roman" w:cs="Times New Roman"/>
                <w:i/>
                <w:iCs/>
                <w:lang w:eastAsia="en-US"/>
              </w:rPr>
            </w:pPr>
            <w:r w:rsidRPr="00521562">
              <w:rPr>
                <w:rFonts w:eastAsia="Times New Roman" w:cs="Times New Roman"/>
                <w:i/>
                <w:iCs/>
                <w:lang w:eastAsia="en-US"/>
              </w:rPr>
              <w:t xml:space="preserve">Originaires </w:t>
            </w:r>
          </w:p>
        </w:tc>
        <w:tc>
          <w:tcPr>
            <w:tcW w:w="420" w:type="dxa"/>
            <w:tcBorders>
              <w:top w:val="nil"/>
              <w:left w:val="nil"/>
              <w:bottom w:val="nil"/>
              <w:right w:val="nil"/>
            </w:tcBorders>
            <w:shd w:val="clear" w:color="auto" w:fill="auto"/>
            <w:textDirection w:val="btLr"/>
            <w:vAlign w:val="bottom"/>
            <w:hideMark/>
          </w:tcPr>
          <w:p w14:paraId="706DB022"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bottom"/>
            <w:hideMark/>
          </w:tcPr>
          <w:p w14:paraId="3B0AFEBD" w14:textId="77777777" w:rsidR="00521562" w:rsidRPr="00521562" w:rsidRDefault="00521562" w:rsidP="00521562">
            <w:pPr>
              <w:spacing w:after="0"/>
              <w:rPr>
                <w:rFonts w:eastAsia="Times New Roman" w:cs="Times New Roman"/>
                <w:i/>
                <w:iCs/>
                <w:lang w:eastAsia="en-US"/>
              </w:rPr>
            </w:pPr>
            <w:r w:rsidRPr="00521562">
              <w:rPr>
                <w:rFonts w:eastAsia="Times New Roman" w:cs="Times New Roman"/>
                <w:i/>
                <w:iCs/>
                <w:lang w:eastAsia="en-US"/>
              </w:rPr>
              <w:t>Métis</w:t>
            </w:r>
          </w:p>
        </w:tc>
        <w:tc>
          <w:tcPr>
            <w:tcW w:w="420" w:type="dxa"/>
            <w:tcBorders>
              <w:top w:val="nil"/>
              <w:left w:val="nil"/>
              <w:bottom w:val="nil"/>
              <w:right w:val="nil"/>
            </w:tcBorders>
            <w:shd w:val="clear" w:color="auto" w:fill="auto"/>
            <w:textDirection w:val="btLr"/>
            <w:vAlign w:val="bottom"/>
            <w:hideMark/>
          </w:tcPr>
          <w:p w14:paraId="2FDB7233"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bottom"/>
            <w:hideMark/>
          </w:tcPr>
          <w:p w14:paraId="10B8EAB1" w14:textId="77777777" w:rsidR="00521562" w:rsidRPr="00521562" w:rsidRDefault="00521562" w:rsidP="00521562">
            <w:pPr>
              <w:spacing w:after="0"/>
              <w:rPr>
                <w:rFonts w:eastAsia="Times New Roman" w:cs="Times New Roman"/>
                <w:i/>
                <w:iCs/>
                <w:lang w:eastAsia="en-US"/>
              </w:rPr>
            </w:pPr>
            <w:r w:rsidRPr="00521562">
              <w:rPr>
                <w:rFonts w:eastAsia="Times New Roman" w:cs="Times New Roman"/>
                <w:i/>
                <w:iCs/>
                <w:lang w:eastAsia="en-US"/>
              </w:rPr>
              <w:t>Tirailleurs</w:t>
            </w:r>
          </w:p>
        </w:tc>
        <w:tc>
          <w:tcPr>
            <w:tcW w:w="420" w:type="dxa"/>
            <w:tcBorders>
              <w:top w:val="nil"/>
              <w:left w:val="nil"/>
              <w:bottom w:val="nil"/>
              <w:right w:val="nil"/>
            </w:tcBorders>
            <w:shd w:val="clear" w:color="auto" w:fill="auto"/>
            <w:textDirection w:val="btLr"/>
            <w:vAlign w:val="bottom"/>
            <w:hideMark/>
          </w:tcPr>
          <w:p w14:paraId="21104BD0"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bottom"/>
            <w:hideMark/>
          </w:tcPr>
          <w:p w14:paraId="0939374B"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Legal Origin: French</w:t>
            </w:r>
          </w:p>
        </w:tc>
        <w:tc>
          <w:tcPr>
            <w:tcW w:w="420" w:type="dxa"/>
            <w:tcBorders>
              <w:top w:val="nil"/>
              <w:left w:val="nil"/>
              <w:bottom w:val="nil"/>
              <w:right w:val="nil"/>
            </w:tcBorders>
            <w:shd w:val="clear" w:color="auto" w:fill="auto"/>
            <w:textDirection w:val="btLr"/>
            <w:vAlign w:val="bottom"/>
            <w:hideMark/>
          </w:tcPr>
          <w:p w14:paraId="730AEBB8" w14:textId="77777777" w:rsidR="00521562" w:rsidRPr="00521562" w:rsidRDefault="00521562" w:rsidP="00521562">
            <w:pPr>
              <w:spacing w:after="0"/>
              <w:rPr>
                <w:rFonts w:eastAsia="Times New Roman" w:cs="Times New Roman"/>
                <w:lang w:eastAsia="en-US"/>
              </w:rPr>
            </w:pPr>
          </w:p>
        </w:tc>
      </w:tr>
    </w:tbl>
    <w:p w14:paraId="4260E5E6" w14:textId="77777777" w:rsidR="00521562" w:rsidRDefault="00521562">
      <w:r>
        <w:br w:type="page"/>
      </w:r>
    </w:p>
    <w:tbl>
      <w:tblPr>
        <w:tblW w:w="2100" w:type="dxa"/>
        <w:tblInd w:w="93" w:type="dxa"/>
        <w:tblLook w:val="04A0" w:firstRow="1" w:lastRow="0" w:firstColumn="1" w:lastColumn="0" w:noHBand="0" w:noVBand="1"/>
      </w:tblPr>
      <w:tblGrid>
        <w:gridCol w:w="498"/>
        <w:gridCol w:w="498"/>
        <w:gridCol w:w="498"/>
        <w:gridCol w:w="498"/>
        <w:gridCol w:w="498"/>
      </w:tblGrid>
      <w:tr w:rsidR="00521562" w:rsidRPr="00521562" w14:paraId="7E4A1771" w14:textId="77777777" w:rsidTr="00521562">
        <w:trPr>
          <w:trHeight w:val="1180"/>
        </w:trPr>
        <w:tc>
          <w:tcPr>
            <w:tcW w:w="420" w:type="dxa"/>
            <w:tcBorders>
              <w:top w:val="nil"/>
              <w:left w:val="nil"/>
              <w:bottom w:val="nil"/>
              <w:right w:val="nil"/>
            </w:tcBorders>
            <w:shd w:val="clear" w:color="auto" w:fill="auto"/>
            <w:noWrap/>
            <w:textDirection w:val="btLr"/>
            <w:vAlign w:val="center"/>
            <w:hideMark/>
          </w:tcPr>
          <w:p w14:paraId="19C4820B"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15.215***</w:t>
            </w:r>
          </w:p>
        </w:tc>
        <w:tc>
          <w:tcPr>
            <w:tcW w:w="420" w:type="dxa"/>
            <w:tcBorders>
              <w:top w:val="nil"/>
              <w:left w:val="nil"/>
              <w:bottom w:val="nil"/>
              <w:right w:val="nil"/>
            </w:tcBorders>
            <w:shd w:val="clear" w:color="auto" w:fill="auto"/>
            <w:noWrap/>
            <w:textDirection w:val="btLr"/>
            <w:vAlign w:val="center"/>
            <w:hideMark/>
          </w:tcPr>
          <w:p w14:paraId="22BDA9CD"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(0.097)</w:t>
            </w:r>
          </w:p>
        </w:tc>
        <w:tc>
          <w:tcPr>
            <w:tcW w:w="420" w:type="dxa"/>
            <w:tcBorders>
              <w:top w:val="nil"/>
              <w:left w:val="nil"/>
              <w:bottom w:val="nil"/>
              <w:right w:val="nil"/>
            </w:tcBorders>
            <w:shd w:val="clear" w:color="auto" w:fill="auto"/>
            <w:noWrap/>
            <w:textDirection w:val="btLr"/>
            <w:vAlign w:val="center"/>
            <w:hideMark/>
          </w:tcPr>
          <w:p w14:paraId="6127F417"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1,018</w:t>
            </w:r>
          </w:p>
        </w:tc>
        <w:tc>
          <w:tcPr>
            <w:tcW w:w="420" w:type="dxa"/>
            <w:tcBorders>
              <w:top w:val="nil"/>
              <w:left w:val="nil"/>
              <w:bottom w:val="nil"/>
              <w:right w:val="nil"/>
            </w:tcBorders>
            <w:shd w:val="clear" w:color="auto" w:fill="auto"/>
            <w:noWrap/>
            <w:textDirection w:val="btLr"/>
            <w:vAlign w:val="center"/>
            <w:hideMark/>
          </w:tcPr>
          <w:p w14:paraId="54CBEF4B"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0.371</w:t>
            </w:r>
          </w:p>
        </w:tc>
        <w:tc>
          <w:tcPr>
            <w:tcW w:w="420" w:type="dxa"/>
            <w:vMerge w:val="restart"/>
            <w:tcBorders>
              <w:top w:val="nil"/>
              <w:left w:val="nil"/>
              <w:bottom w:val="nil"/>
              <w:right w:val="single" w:sz="4" w:space="0" w:color="auto"/>
            </w:tcBorders>
            <w:shd w:val="clear" w:color="auto" w:fill="auto"/>
            <w:noWrap/>
            <w:textDirection w:val="btLr"/>
            <w:vAlign w:val="bottom"/>
            <w:hideMark/>
          </w:tcPr>
          <w:p w14:paraId="2EA80164"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note:  *** p&lt;0.01, ** p&lt;0.05, * p&lt;0.1</w:t>
            </w:r>
          </w:p>
        </w:tc>
      </w:tr>
      <w:tr w:rsidR="00521562" w:rsidRPr="00521562" w14:paraId="434A8E80" w14:textId="77777777" w:rsidTr="00521562">
        <w:trPr>
          <w:trHeight w:val="1180"/>
        </w:trPr>
        <w:tc>
          <w:tcPr>
            <w:tcW w:w="420" w:type="dxa"/>
            <w:tcBorders>
              <w:top w:val="nil"/>
              <w:left w:val="nil"/>
              <w:bottom w:val="nil"/>
              <w:right w:val="nil"/>
            </w:tcBorders>
            <w:shd w:val="clear" w:color="auto" w:fill="auto"/>
            <w:noWrap/>
            <w:textDirection w:val="btLr"/>
            <w:vAlign w:val="center"/>
            <w:hideMark/>
          </w:tcPr>
          <w:p w14:paraId="7B723A24"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15.267***</w:t>
            </w:r>
          </w:p>
        </w:tc>
        <w:tc>
          <w:tcPr>
            <w:tcW w:w="420" w:type="dxa"/>
            <w:tcBorders>
              <w:top w:val="nil"/>
              <w:left w:val="nil"/>
              <w:bottom w:val="nil"/>
              <w:right w:val="nil"/>
            </w:tcBorders>
            <w:shd w:val="clear" w:color="auto" w:fill="auto"/>
            <w:noWrap/>
            <w:textDirection w:val="btLr"/>
            <w:vAlign w:val="center"/>
            <w:hideMark/>
          </w:tcPr>
          <w:p w14:paraId="682D6D17"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(0.098)</w:t>
            </w:r>
          </w:p>
        </w:tc>
        <w:tc>
          <w:tcPr>
            <w:tcW w:w="420" w:type="dxa"/>
            <w:tcBorders>
              <w:top w:val="nil"/>
              <w:left w:val="nil"/>
              <w:bottom w:val="nil"/>
              <w:right w:val="nil"/>
            </w:tcBorders>
            <w:shd w:val="clear" w:color="auto" w:fill="auto"/>
            <w:noWrap/>
            <w:textDirection w:val="btLr"/>
            <w:vAlign w:val="center"/>
            <w:hideMark/>
          </w:tcPr>
          <w:p w14:paraId="31BEE87E"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1,018</w:t>
            </w:r>
          </w:p>
        </w:tc>
        <w:tc>
          <w:tcPr>
            <w:tcW w:w="420" w:type="dxa"/>
            <w:tcBorders>
              <w:top w:val="nil"/>
              <w:left w:val="nil"/>
              <w:bottom w:val="nil"/>
              <w:right w:val="nil"/>
            </w:tcBorders>
            <w:shd w:val="clear" w:color="auto" w:fill="auto"/>
            <w:noWrap/>
            <w:textDirection w:val="btLr"/>
            <w:vAlign w:val="center"/>
            <w:hideMark/>
          </w:tcPr>
          <w:p w14:paraId="03E9FB26"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0.344</w:t>
            </w:r>
          </w:p>
        </w:tc>
        <w:tc>
          <w:tcPr>
            <w:tcW w:w="420" w:type="dxa"/>
            <w:vMerge/>
            <w:tcBorders>
              <w:top w:val="nil"/>
              <w:left w:val="nil"/>
              <w:bottom w:val="nil"/>
              <w:right w:val="single" w:sz="4" w:space="0" w:color="auto"/>
            </w:tcBorders>
            <w:vAlign w:val="center"/>
            <w:hideMark/>
          </w:tcPr>
          <w:p w14:paraId="42549E52" w14:textId="77777777" w:rsidR="00521562" w:rsidRPr="00521562" w:rsidRDefault="00521562" w:rsidP="00521562">
            <w:pPr>
              <w:spacing w:after="0"/>
              <w:rPr>
                <w:rFonts w:eastAsia="Times New Roman" w:cs="Times New Roman"/>
                <w:lang w:eastAsia="en-US"/>
              </w:rPr>
            </w:pPr>
          </w:p>
        </w:tc>
      </w:tr>
      <w:tr w:rsidR="00521562" w:rsidRPr="00521562" w14:paraId="5AD71302" w14:textId="77777777" w:rsidTr="00521562">
        <w:trPr>
          <w:trHeight w:val="1180"/>
        </w:trPr>
        <w:tc>
          <w:tcPr>
            <w:tcW w:w="420" w:type="dxa"/>
            <w:tcBorders>
              <w:top w:val="nil"/>
              <w:left w:val="nil"/>
              <w:bottom w:val="nil"/>
              <w:right w:val="nil"/>
            </w:tcBorders>
            <w:shd w:val="clear" w:color="auto" w:fill="auto"/>
            <w:noWrap/>
            <w:textDirection w:val="btLr"/>
            <w:vAlign w:val="center"/>
            <w:hideMark/>
          </w:tcPr>
          <w:p w14:paraId="1E498EC2"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15.724***</w:t>
            </w:r>
          </w:p>
        </w:tc>
        <w:tc>
          <w:tcPr>
            <w:tcW w:w="420" w:type="dxa"/>
            <w:tcBorders>
              <w:top w:val="nil"/>
              <w:left w:val="nil"/>
              <w:bottom w:val="nil"/>
              <w:right w:val="nil"/>
            </w:tcBorders>
            <w:shd w:val="clear" w:color="auto" w:fill="auto"/>
            <w:noWrap/>
            <w:textDirection w:val="btLr"/>
            <w:vAlign w:val="center"/>
            <w:hideMark/>
          </w:tcPr>
          <w:p w14:paraId="06F65C2E"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(0.063)</w:t>
            </w:r>
          </w:p>
        </w:tc>
        <w:tc>
          <w:tcPr>
            <w:tcW w:w="420" w:type="dxa"/>
            <w:tcBorders>
              <w:top w:val="nil"/>
              <w:left w:val="nil"/>
              <w:bottom w:val="nil"/>
              <w:right w:val="nil"/>
            </w:tcBorders>
            <w:shd w:val="clear" w:color="auto" w:fill="auto"/>
            <w:noWrap/>
            <w:textDirection w:val="btLr"/>
            <w:vAlign w:val="center"/>
            <w:hideMark/>
          </w:tcPr>
          <w:p w14:paraId="343B10ED"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1,605</w:t>
            </w:r>
          </w:p>
        </w:tc>
        <w:tc>
          <w:tcPr>
            <w:tcW w:w="420" w:type="dxa"/>
            <w:tcBorders>
              <w:top w:val="nil"/>
              <w:left w:val="nil"/>
              <w:bottom w:val="nil"/>
              <w:right w:val="nil"/>
            </w:tcBorders>
            <w:shd w:val="clear" w:color="auto" w:fill="auto"/>
            <w:noWrap/>
            <w:textDirection w:val="btLr"/>
            <w:vAlign w:val="center"/>
            <w:hideMark/>
          </w:tcPr>
          <w:p w14:paraId="5905211F"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0.266</w:t>
            </w:r>
          </w:p>
        </w:tc>
        <w:tc>
          <w:tcPr>
            <w:tcW w:w="420" w:type="dxa"/>
            <w:vMerge/>
            <w:tcBorders>
              <w:top w:val="nil"/>
              <w:left w:val="nil"/>
              <w:bottom w:val="nil"/>
              <w:right w:val="single" w:sz="4" w:space="0" w:color="auto"/>
            </w:tcBorders>
            <w:vAlign w:val="center"/>
            <w:hideMark/>
          </w:tcPr>
          <w:p w14:paraId="34D497FA" w14:textId="77777777" w:rsidR="00521562" w:rsidRPr="00521562" w:rsidRDefault="00521562" w:rsidP="00521562">
            <w:pPr>
              <w:spacing w:after="0"/>
              <w:rPr>
                <w:rFonts w:eastAsia="Times New Roman" w:cs="Times New Roman"/>
                <w:lang w:eastAsia="en-US"/>
              </w:rPr>
            </w:pPr>
          </w:p>
        </w:tc>
      </w:tr>
      <w:tr w:rsidR="00521562" w:rsidRPr="00521562" w14:paraId="0B71A903" w14:textId="77777777" w:rsidTr="00521562">
        <w:trPr>
          <w:trHeight w:val="1180"/>
        </w:trPr>
        <w:tc>
          <w:tcPr>
            <w:tcW w:w="420" w:type="dxa"/>
            <w:tcBorders>
              <w:top w:val="nil"/>
              <w:left w:val="nil"/>
              <w:bottom w:val="nil"/>
              <w:right w:val="nil"/>
            </w:tcBorders>
            <w:shd w:val="clear" w:color="auto" w:fill="auto"/>
            <w:noWrap/>
            <w:textDirection w:val="btLr"/>
            <w:vAlign w:val="center"/>
            <w:hideMark/>
          </w:tcPr>
          <w:p w14:paraId="08010E9E"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15.984***</w:t>
            </w:r>
          </w:p>
        </w:tc>
        <w:tc>
          <w:tcPr>
            <w:tcW w:w="420" w:type="dxa"/>
            <w:tcBorders>
              <w:top w:val="nil"/>
              <w:left w:val="nil"/>
              <w:bottom w:val="nil"/>
              <w:right w:val="nil"/>
            </w:tcBorders>
            <w:shd w:val="clear" w:color="auto" w:fill="auto"/>
            <w:noWrap/>
            <w:textDirection w:val="btLr"/>
            <w:vAlign w:val="center"/>
            <w:hideMark/>
          </w:tcPr>
          <w:p w14:paraId="2B9A838A"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(0.053)</w:t>
            </w:r>
          </w:p>
        </w:tc>
        <w:tc>
          <w:tcPr>
            <w:tcW w:w="420" w:type="dxa"/>
            <w:tcBorders>
              <w:top w:val="nil"/>
              <w:left w:val="nil"/>
              <w:bottom w:val="nil"/>
              <w:right w:val="nil"/>
            </w:tcBorders>
            <w:shd w:val="clear" w:color="auto" w:fill="auto"/>
            <w:noWrap/>
            <w:textDirection w:val="btLr"/>
            <w:vAlign w:val="center"/>
            <w:hideMark/>
          </w:tcPr>
          <w:p w14:paraId="61B50B30"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1,605</w:t>
            </w:r>
          </w:p>
        </w:tc>
        <w:tc>
          <w:tcPr>
            <w:tcW w:w="420" w:type="dxa"/>
            <w:tcBorders>
              <w:top w:val="nil"/>
              <w:left w:val="nil"/>
              <w:bottom w:val="nil"/>
              <w:right w:val="nil"/>
            </w:tcBorders>
            <w:shd w:val="clear" w:color="auto" w:fill="auto"/>
            <w:noWrap/>
            <w:textDirection w:val="btLr"/>
            <w:vAlign w:val="center"/>
            <w:hideMark/>
          </w:tcPr>
          <w:p w14:paraId="797B2A45"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0.268</w:t>
            </w:r>
          </w:p>
        </w:tc>
        <w:tc>
          <w:tcPr>
            <w:tcW w:w="420" w:type="dxa"/>
            <w:vMerge/>
            <w:tcBorders>
              <w:top w:val="nil"/>
              <w:left w:val="nil"/>
              <w:bottom w:val="nil"/>
              <w:right w:val="single" w:sz="4" w:space="0" w:color="auto"/>
            </w:tcBorders>
            <w:vAlign w:val="center"/>
            <w:hideMark/>
          </w:tcPr>
          <w:p w14:paraId="0511803F" w14:textId="77777777" w:rsidR="00521562" w:rsidRPr="00521562" w:rsidRDefault="00521562" w:rsidP="00521562">
            <w:pPr>
              <w:spacing w:after="0"/>
              <w:rPr>
                <w:rFonts w:eastAsia="Times New Roman" w:cs="Times New Roman"/>
                <w:lang w:eastAsia="en-US"/>
              </w:rPr>
            </w:pPr>
          </w:p>
        </w:tc>
      </w:tr>
      <w:tr w:rsidR="00521562" w:rsidRPr="00521562" w14:paraId="6ED20EC6" w14:textId="77777777" w:rsidTr="00521562">
        <w:trPr>
          <w:trHeight w:val="1180"/>
        </w:trPr>
        <w:tc>
          <w:tcPr>
            <w:tcW w:w="420" w:type="dxa"/>
            <w:tcBorders>
              <w:top w:val="nil"/>
              <w:left w:val="nil"/>
              <w:bottom w:val="nil"/>
              <w:right w:val="nil"/>
            </w:tcBorders>
            <w:shd w:val="clear" w:color="auto" w:fill="auto"/>
            <w:noWrap/>
            <w:textDirection w:val="btLr"/>
            <w:vAlign w:val="center"/>
            <w:hideMark/>
          </w:tcPr>
          <w:p w14:paraId="226D8D71"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15.876***</w:t>
            </w:r>
          </w:p>
        </w:tc>
        <w:tc>
          <w:tcPr>
            <w:tcW w:w="420" w:type="dxa"/>
            <w:tcBorders>
              <w:top w:val="nil"/>
              <w:left w:val="nil"/>
              <w:bottom w:val="nil"/>
              <w:right w:val="nil"/>
            </w:tcBorders>
            <w:shd w:val="clear" w:color="auto" w:fill="auto"/>
            <w:noWrap/>
            <w:textDirection w:val="btLr"/>
            <w:vAlign w:val="center"/>
            <w:hideMark/>
          </w:tcPr>
          <w:p w14:paraId="5FD7E81D"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(0.054)</w:t>
            </w:r>
          </w:p>
        </w:tc>
        <w:tc>
          <w:tcPr>
            <w:tcW w:w="420" w:type="dxa"/>
            <w:tcBorders>
              <w:top w:val="nil"/>
              <w:left w:val="nil"/>
              <w:bottom w:val="nil"/>
              <w:right w:val="nil"/>
            </w:tcBorders>
            <w:shd w:val="clear" w:color="auto" w:fill="auto"/>
            <w:noWrap/>
            <w:textDirection w:val="btLr"/>
            <w:vAlign w:val="center"/>
            <w:hideMark/>
          </w:tcPr>
          <w:p w14:paraId="78F085FC"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1,605</w:t>
            </w:r>
          </w:p>
        </w:tc>
        <w:tc>
          <w:tcPr>
            <w:tcW w:w="420" w:type="dxa"/>
            <w:tcBorders>
              <w:top w:val="nil"/>
              <w:left w:val="nil"/>
              <w:bottom w:val="nil"/>
              <w:right w:val="nil"/>
            </w:tcBorders>
            <w:shd w:val="clear" w:color="auto" w:fill="auto"/>
            <w:noWrap/>
            <w:textDirection w:val="btLr"/>
            <w:vAlign w:val="center"/>
            <w:hideMark/>
          </w:tcPr>
          <w:p w14:paraId="3E511280"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0.298</w:t>
            </w:r>
          </w:p>
        </w:tc>
        <w:tc>
          <w:tcPr>
            <w:tcW w:w="420" w:type="dxa"/>
            <w:vMerge/>
            <w:tcBorders>
              <w:top w:val="nil"/>
              <w:left w:val="nil"/>
              <w:bottom w:val="nil"/>
              <w:right w:val="single" w:sz="4" w:space="0" w:color="auto"/>
            </w:tcBorders>
            <w:vAlign w:val="center"/>
            <w:hideMark/>
          </w:tcPr>
          <w:p w14:paraId="473F9F60" w14:textId="77777777" w:rsidR="00521562" w:rsidRPr="00521562" w:rsidRDefault="00521562" w:rsidP="00521562">
            <w:pPr>
              <w:spacing w:after="0"/>
              <w:rPr>
                <w:rFonts w:eastAsia="Times New Roman" w:cs="Times New Roman"/>
                <w:lang w:eastAsia="en-US"/>
              </w:rPr>
            </w:pPr>
          </w:p>
        </w:tc>
      </w:tr>
      <w:tr w:rsidR="00521562" w:rsidRPr="00521562" w14:paraId="761B4766" w14:textId="77777777" w:rsidTr="00521562">
        <w:trPr>
          <w:trHeight w:val="1180"/>
        </w:trPr>
        <w:tc>
          <w:tcPr>
            <w:tcW w:w="420" w:type="dxa"/>
            <w:tcBorders>
              <w:top w:val="nil"/>
              <w:left w:val="nil"/>
              <w:bottom w:val="nil"/>
              <w:right w:val="nil"/>
            </w:tcBorders>
            <w:shd w:val="clear" w:color="auto" w:fill="auto"/>
            <w:noWrap/>
            <w:textDirection w:val="btLr"/>
            <w:vAlign w:val="center"/>
            <w:hideMark/>
          </w:tcPr>
          <w:p w14:paraId="0B8DA729"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16.637***</w:t>
            </w:r>
          </w:p>
        </w:tc>
        <w:tc>
          <w:tcPr>
            <w:tcW w:w="420" w:type="dxa"/>
            <w:tcBorders>
              <w:top w:val="nil"/>
              <w:left w:val="nil"/>
              <w:bottom w:val="nil"/>
              <w:right w:val="nil"/>
            </w:tcBorders>
            <w:shd w:val="clear" w:color="auto" w:fill="auto"/>
            <w:noWrap/>
            <w:textDirection w:val="btLr"/>
            <w:vAlign w:val="center"/>
            <w:hideMark/>
          </w:tcPr>
          <w:p w14:paraId="545292A8"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(0.050)</w:t>
            </w:r>
          </w:p>
        </w:tc>
        <w:tc>
          <w:tcPr>
            <w:tcW w:w="420" w:type="dxa"/>
            <w:tcBorders>
              <w:top w:val="nil"/>
              <w:left w:val="nil"/>
              <w:bottom w:val="nil"/>
              <w:right w:val="nil"/>
            </w:tcBorders>
            <w:shd w:val="clear" w:color="auto" w:fill="auto"/>
            <w:noWrap/>
            <w:textDirection w:val="btLr"/>
            <w:vAlign w:val="center"/>
            <w:hideMark/>
          </w:tcPr>
          <w:p w14:paraId="7ED10ACC"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1,605</w:t>
            </w:r>
          </w:p>
        </w:tc>
        <w:tc>
          <w:tcPr>
            <w:tcW w:w="420" w:type="dxa"/>
            <w:tcBorders>
              <w:top w:val="nil"/>
              <w:left w:val="nil"/>
              <w:bottom w:val="nil"/>
              <w:right w:val="nil"/>
            </w:tcBorders>
            <w:shd w:val="clear" w:color="auto" w:fill="auto"/>
            <w:noWrap/>
            <w:textDirection w:val="btLr"/>
            <w:vAlign w:val="center"/>
            <w:hideMark/>
          </w:tcPr>
          <w:p w14:paraId="34983729"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0.049</w:t>
            </w:r>
          </w:p>
        </w:tc>
        <w:tc>
          <w:tcPr>
            <w:tcW w:w="420" w:type="dxa"/>
            <w:vMerge/>
            <w:tcBorders>
              <w:top w:val="nil"/>
              <w:left w:val="nil"/>
              <w:bottom w:val="nil"/>
              <w:right w:val="single" w:sz="4" w:space="0" w:color="auto"/>
            </w:tcBorders>
            <w:vAlign w:val="center"/>
            <w:hideMark/>
          </w:tcPr>
          <w:p w14:paraId="4E88EDE5" w14:textId="77777777" w:rsidR="00521562" w:rsidRPr="00521562" w:rsidRDefault="00521562" w:rsidP="00521562">
            <w:pPr>
              <w:spacing w:after="0"/>
              <w:rPr>
                <w:rFonts w:eastAsia="Times New Roman" w:cs="Times New Roman"/>
                <w:lang w:eastAsia="en-US"/>
              </w:rPr>
            </w:pPr>
          </w:p>
        </w:tc>
      </w:tr>
      <w:tr w:rsidR="00521562" w:rsidRPr="00521562" w14:paraId="19C17F00" w14:textId="77777777" w:rsidTr="00521562">
        <w:trPr>
          <w:trHeight w:val="1180"/>
        </w:trPr>
        <w:tc>
          <w:tcPr>
            <w:tcW w:w="420" w:type="dxa"/>
            <w:tcBorders>
              <w:top w:val="nil"/>
              <w:left w:val="nil"/>
              <w:bottom w:val="nil"/>
              <w:right w:val="nil"/>
            </w:tcBorders>
            <w:shd w:val="clear" w:color="auto" w:fill="auto"/>
            <w:noWrap/>
            <w:textDirection w:val="btLr"/>
            <w:vAlign w:val="center"/>
            <w:hideMark/>
          </w:tcPr>
          <w:p w14:paraId="0F8F12C3"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15.846***</w:t>
            </w:r>
          </w:p>
        </w:tc>
        <w:tc>
          <w:tcPr>
            <w:tcW w:w="420" w:type="dxa"/>
            <w:tcBorders>
              <w:top w:val="nil"/>
              <w:left w:val="nil"/>
              <w:bottom w:val="nil"/>
              <w:right w:val="nil"/>
            </w:tcBorders>
            <w:shd w:val="clear" w:color="auto" w:fill="auto"/>
            <w:noWrap/>
            <w:textDirection w:val="btLr"/>
            <w:vAlign w:val="center"/>
            <w:hideMark/>
          </w:tcPr>
          <w:p w14:paraId="7ECF7C4E"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(0.065)</w:t>
            </w:r>
          </w:p>
        </w:tc>
        <w:tc>
          <w:tcPr>
            <w:tcW w:w="420" w:type="dxa"/>
            <w:tcBorders>
              <w:top w:val="nil"/>
              <w:left w:val="nil"/>
              <w:bottom w:val="nil"/>
              <w:right w:val="nil"/>
            </w:tcBorders>
            <w:shd w:val="clear" w:color="auto" w:fill="auto"/>
            <w:noWrap/>
            <w:textDirection w:val="btLr"/>
            <w:vAlign w:val="center"/>
            <w:hideMark/>
          </w:tcPr>
          <w:p w14:paraId="78E0C8C0"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1,605</w:t>
            </w:r>
          </w:p>
        </w:tc>
        <w:tc>
          <w:tcPr>
            <w:tcW w:w="420" w:type="dxa"/>
            <w:tcBorders>
              <w:top w:val="nil"/>
              <w:left w:val="nil"/>
              <w:bottom w:val="nil"/>
              <w:right w:val="nil"/>
            </w:tcBorders>
            <w:shd w:val="clear" w:color="auto" w:fill="auto"/>
            <w:noWrap/>
            <w:textDirection w:val="btLr"/>
            <w:vAlign w:val="center"/>
            <w:hideMark/>
          </w:tcPr>
          <w:p w14:paraId="628256DF"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0.192</w:t>
            </w:r>
          </w:p>
        </w:tc>
        <w:tc>
          <w:tcPr>
            <w:tcW w:w="420" w:type="dxa"/>
            <w:vMerge/>
            <w:tcBorders>
              <w:top w:val="nil"/>
              <w:left w:val="nil"/>
              <w:bottom w:val="nil"/>
              <w:right w:val="single" w:sz="4" w:space="0" w:color="auto"/>
            </w:tcBorders>
            <w:vAlign w:val="center"/>
            <w:hideMark/>
          </w:tcPr>
          <w:p w14:paraId="3D4BA338" w14:textId="77777777" w:rsidR="00521562" w:rsidRPr="00521562" w:rsidRDefault="00521562" w:rsidP="00521562">
            <w:pPr>
              <w:spacing w:after="0"/>
              <w:rPr>
                <w:rFonts w:eastAsia="Times New Roman" w:cs="Times New Roman"/>
                <w:lang w:eastAsia="en-US"/>
              </w:rPr>
            </w:pPr>
          </w:p>
        </w:tc>
      </w:tr>
      <w:tr w:rsidR="00521562" w:rsidRPr="00521562" w14:paraId="2FFCBDD0" w14:textId="77777777" w:rsidTr="00521562">
        <w:trPr>
          <w:trHeight w:val="1180"/>
        </w:trPr>
        <w:tc>
          <w:tcPr>
            <w:tcW w:w="420" w:type="dxa"/>
            <w:tcBorders>
              <w:top w:val="nil"/>
              <w:left w:val="nil"/>
              <w:bottom w:val="nil"/>
              <w:right w:val="nil"/>
            </w:tcBorders>
            <w:shd w:val="clear" w:color="auto" w:fill="auto"/>
            <w:noWrap/>
            <w:textDirection w:val="btLr"/>
            <w:vAlign w:val="center"/>
            <w:hideMark/>
          </w:tcPr>
          <w:p w14:paraId="2F31ECCE"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16.146***</w:t>
            </w:r>
          </w:p>
        </w:tc>
        <w:tc>
          <w:tcPr>
            <w:tcW w:w="420" w:type="dxa"/>
            <w:tcBorders>
              <w:top w:val="nil"/>
              <w:left w:val="nil"/>
              <w:bottom w:val="nil"/>
              <w:right w:val="nil"/>
            </w:tcBorders>
            <w:shd w:val="clear" w:color="auto" w:fill="auto"/>
            <w:noWrap/>
            <w:textDirection w:val="btLr"/>
            <w:vAlign w:val="center"/>
            <w:hideMark/>
          </w:tcPr>
          <w:p w14:paraId="29567174"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(0.054)</w:t>
            </w:r>
          </w:p>
        </w:tc>
        <w:tc>
          <w:tcPr>
            <w:tcW w:w="420" w:type="dxa"/>
            <w:tcBorders>
              <w:top w:val="nil"/>
              <w:left w:val="nil"/>
              <w:bottom w:val="nil"/>
              <w:right w:val="nil"/>
            </w:tcBorders>
            <w:shd w:val="clear" w:color="auto" w:fill="auto"/>
            <w:noWrap/>
            <w:textDirection w:val="btLr"/>
            <w:vAlign w:val="center"/>
            <w:hideMark/>
          </w:tcPr>
          <w:p w14:paraId="744B4814"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1,605</w:t>
            </w:r>
          </w:p>
        </w:tc>
        <w:tc>
          <w:tcPr>
            <w:tcW w:w="420" w:type="dxa"/>
            <w:tcBorders>
              <w:top w:val="nil"/>
              <w:left w:val="nil"/>
              <w:bottom w:val="nil"/>
              <w:right w:val="nil"/>
            </w:tcBorders>
            <w:shd w:val="clear" w:color="auto" w:fill="auto"/>
            <w:noWrap/>
            <w:textDirection w:val="btLr"/>
            <w:vAlign w:val="center"/>
            <w:hideMark/>
          </w:tcPr>
          <w:p w14:paraId="07191869"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0.201</w:t>
            </w:r>
          </w:p>
        </w:tc>
        <w:tc>
          <w:tcPr>
            <w:tcW w:w="420" w:type="dxa"/>
            <w:vMerge/>
            <w:tcBorders>
              <w:top w:val="nil"/>
              <w:left w:val="nil"/>
              <w:bottom w:val="nil"/>
              <w:right w:val="single" w:sz="4" w:space="0" w:color="auto"/>
            </w:tcBorders>
            <w:vAlign w:val="center"/>
            <w:hideMark/>
          </w:tcPr>
          <w:p w14:paraId="68CA3268" w14:textId="77777777" w:rsidR="00521562" w:rsidRPr="00521562" w:rsidRDefault="00521562" w:rsidP="00521562">
            <w:pPr>
              <w:spacing w:after="0"/>
              <w:rPr>
                <w:rFonts w:eastAsia="Times New Roman" w:cs="Times New Roman"/>
                <w:lang w:eastAsia="en-US"/>
              </w:rPr>
            </w:pPr>
          </w:p>
        </w:tc>
      </w:tr>
      <w:tr w:rsidR="00521562" w:rsidRPr="00521562" w14:paraId="5410C360" w14:textId="77777777" w:rsidTr="00521562">
        <w:trPr>
          <w:trHeight w:val="2340"/>
        </w:trPr>
        <w:tc>
          <w:tcPr>
            <w:tcW w:w="420" w:type="dxa"/>
            <w:tcBorders>
              <w:top w:val="nil"/>
              <w:left w:val="nil"/>
              <w:bottom w:val="nil"/>
              <w:right w:val="nil"/>
            </w:tcBorders>
            <w:shd w:val="clear" w:color="auto" w:fill="auto"/>
            <w:textDirection w:val="btLr"/>
            <w:vAlign w:val="bottom"/>
            <w:hideMark/>
          </w:tcPr>
          <w:p w14:paraId="0E0A9BF9"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Constant</w:t>
            </w:r>
          </w:p>
        </w:tc>
        <w:tc>
          <w:tcPr>
            <w:tcW w:w="420" w:type="dxa"/>
            <w:tcBorders>
              <w:top w:val="nil"/>
              <w:left w:val="nil"/>
              <w:bottom w:val="nil"/>
              <w:right w:val="nil"/>
            </w:tcBorders>
            <w:shd w:val="clear" w:color="auto" w:fill="auto"/>
            <w:textDirection w:val="btLr"/>
            <w:vAlign w:val="bottom"/>
            <w:hideMark/>
          </w:tcPr>
          <w:p w14:paraId="480E56E7" w14:textId="77777777" w:rsidR="00521562" w:rsidRPr="00521562" w:rsidRDefault="00521562" w:rsidP="00521562">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bottom"/>
            <w:hideMark/>
          </w:tcPr>
          <w:p w14:paraId="6928C5A4"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No. of observations</w:t>
            </w:r>
          </w:p>
        </w:tc>
        <w:tc>
          <w:tcPr>
            <w:tcW w:w="420" w:type="dxa"/>
            <w:tcBorders>
              <w:top w:val="nil"/>
              <w:left w:val="nil"/>
              <w:bottom w:val="nil"/>
              <w:right w:val="nil"/>
            </w:tcBorders>
            <w:shd w:val="clear" w:color="auto" w:fill="auto"/>
            <w:textDirection w:val="btLr"/>
            <w:vAlign w:val="bottom"/>
            <w:hideMark/>
          </w:tcPr>
          <w:p w14:paraId="5C3309BB" w14:textId="77777777" w:rsidR="00521562" w:rsidRPr="00521562" w:rsidRDefault="00521562" w:rsidP="00521562">
            <w:pPr>
              <w:spacing w:after="0"/>
              <w:rPr>
                <w:rFonts w:eastAsia="Times New Roman" w:cs="Times New Roman"/>
                <w:lang w:eastAsia="en-US"/>
              </w:rPr>
            </w:pPr>
            <w:r w:rsidRPr="00521562">
              <w:rPr>
                <w:rFonts w:eastAsia="Times New Roman" w:cs="Times New Roman"/>
                <w:lang w:eastAsia="en-US"/>
              </w:rPr>
              <w:t>R2</w:t>
            </w:r>
          </w:p>
        </w:tc>
        <w:tc>
          <w:tcPr>
            <w:tcW w:w="420" w:type="dxa"/>
            <w:vMerge/>
            <w:tcBorders>
              <w:top w:val="nil"/>
              <w:left w:val="nil"/>
              <w:bottom w:val="nil"/>
              <w:right w:val="single" w:sz="4" w:space="0" w:color="auto"/>
            </w:tcBorders>
            <w:vAlign w:val="center"/>
            <w:hideMark/>
          </w:tcPr>
          <w:p w14:paraId="2D092D04" w14:textId="77777777" w:rsidR="00521562" w:rsidRPr="00521562" w:rsidRDefault="00521562" w:rsidP="00521562">
            <w:pPr>
              <w:spacing w:after="0"/>
              <w:rPr>
                <w:rFonts w:eastAsia="Times New Roman" w:cs="Times New Roman"/>
                <w:lang w:eastAsia="en-US"/>
              </w:rPr>
            </w:pPr>
          </w:p>
        </w:tc>
      </w:tr>
    </w:tbl>
    <w:p w14:paraId="1AEAABAF" w14:textId="77777777" w:rsidR="00521562" w:rsidRDefault="00521562">
      <w:r>
        <w:br w:type="page"/>
      </w:r>
    </w:p>
    <w:p w14:paraId="21223753" w14:textId="79430383" w:rsidR="00142D2B" w:rsidRDefault="00142D2B" w:rsidP="00142D2B">
      <w:pPr>
        <w:spacing w:after="0" w:line="480" w:lineRule="auto"/>
        <w:jc w:val="both"/>
      </w:pPr>
      <w:r>
        <w:t xml:space="preserve">percentage of the population that speaks French (according to the lingua franca), membership in </w:t>
      </w:r>
      <w:r>
        <w:rPr>
          <w:i/>
        </w:rPr>
        <w:t xml:space="preserve">la Francophonie </w:t>
      </w:r>
      <w:r>
        <w:t>or the CFA franc zone, and the presence of a military base. Although I would expect French possessions to be significant as a whole, it is somewhat surprising that the regional status changes depending on the controls used. However, the individual statuses—</w:t>
      </w:r>
      <w:r>
        <w:rPr>
          <w:i/>
        </w:rPr>
        <w:t xml:space="preserve">originaires, métis, </w:t>
      </w:r>
      <w:r>
        <w:t xml:space="preserve">and </w:t>
      </w:r>
      <w:r>
        <w:rPr>
          <w:i/>
        </w:rPr>
        <w:t>tirailleurs</w:t>
      </w:r>
      <w:r>
        <w:t>—support the notion that proximity with the French identity is important for aid allocation. I suspect that regional statuses change based on the other variables present, which may dwarf the effects of a specific status. When I pare down the sample to include only former colonies, there are issues of collinearity, and many variables are dropped. Because of this, I report the regression analysis for only former French possessions in the Appendix.</w:t>
      </w:r>
      <w:r>
        <w:rPr>
          <w:rStyle w:val="FootnoteReference"/>
        </w:rPr>
        <w:footnoteReference w:id="206"/>
      </w:r>
      <w:r>
        <w:t xml:space="preserve">  </w:t>
      </w:r>
    </w:p>
    <w:p w14:paraId="38B11C28" w14:textId="77777777" w:rsidR="00142D2B" w:rsidRDefault="00142D2B" w:rsidP="00142D2B">
      <w:pPr>
        <w:spacing w:after="0" w:line="480" w:lineRule="auto"/>
        <w:ind w:firstLine="720"/>
        <w:jc w:val="both"/>
      </w:pPr>
    </w:p>
    <w:p w14:paraId="7D91FC6D" w14:textId="77777777" w:rsidR="00142D2B" w:rsidRDefault="00142D2B" w:rsidP="00142D2B">
      <w:pPr>
        <w:spacing w:after="0" w:line="480" w:lineRule="auto"/>
        <w:jc w:val="center"/>
        <w:rPr>
          <w:b/>
        </w:rPr>
      </w:pPr>
      <w:r>
        <w:rPr>
          <w:b/>
        </w:rPr>
        <w:t>Other Explanations</w:t>
      </w:r>
    </w:p>
    <w:p w14:paraId="648DCFE4" w14:textId="31E4D141" w:rsidR="00142D2B" w:rsidRDefault="00142D2B" w:rsidP="00142D2B">
      <w:pPr>
        <w:spacing w:after="0" w:line="480" w:lineRule="auto"/>
        <w:ind w:firstLine="720"/>
        <w:jc w:val="both"/>
      </w:pPr>
      <w:r>
        <w:t>The literature review briefly alludes to other explanations for aid receipts, and this section will further elaborate on why trade, specifically, does not provide a complete explanation for bilateral aid flows. In addition to being motivated by economic growth, poverty, and democracy, donors also consider economic benefits. Economic incentives between donors and recipients can be observed in the flow of imports and exports, as well as the nature and scope of trade agreements. The direction and type of flow is important for understanding the relationship between donor and recipient, often the former colonizer and colony. Donors benefit from importing raw materials and exporting manufactured goods to recipients. Distinct from other similar donors, France “directs aid preferentially to developing countries in which French private investment is concentrated, whether or not they are former colonies.”</w:t>
      </w:r>
      <w:r>
        <w:rPr>
          <w:rStyle w:val="FootnoteReference"/>
        </w:rPr>
        <w:footnoteReference w:id="207"/>
      </w:r>
      <w:r>
        <w:t xml:space="preserve"> This finding, however, does not consider the level of “Frenchness,” as is presented throughout this paper. By taking another look at the regression tables presented in the previous section, dyadic trade flows between France and aid recipients do not have a significant impact on bilateral aid flows. Additionally, the coefficient is negative and not distinguishable from zero. Although previous scholars have observed that France attempts to facilitate trade with other countries through the façade of aid receipts, these analyses do not consider the explanation</w:t>
      </w:r>
      <w:r w:rsidR="001937B5">
        <w:t xml:space="preserve"> that France is instead rewarding</w:t>
      </w:r>
      <w:r>
        <w:t xml:space="preserve"> countries for similarities in culture and colonial history. </w:t>
      </w:r>
    </w:p>
    <w:p w14:paraId="2F6D460E" w14:textId="77777777" w:rsidR="00142D2B" w:rsidRPr="00EC28E1" w:rsidRDefault="00142D2B" w:rsidP="00142D2B">
      <w:pPr>
        <w:spacing w:after="0" w:line="480" w:lineRule="auto"/>
        <w:jc w:val="both"/>
      </w:pPr>
    </w:p>
    <w:p w14:paraId="0E2553F7" w14:textId="5E6B73F9" w:rsidR="00142D2B" w:rsidRPr="00EC28E1" w:rsidRDefault="007C57B9" w:rsidP="00142D2B">
      <w:pPr>
        <w:spacing w:after="0" w:line="480" w:lineRule="auto"/>
        <w:jc w:val="center"/>
        <w:rPr>
          <w:b/>
        </w:rPr>
      </w:pPr>
      <w:r>
        <w:rPr>
          <w:b/>
        </w:rPr>
        <w:t>Conclusion</w:t>
      </w:r>
    </w:p>
    <w:p w14:paraId="4912EC25" w14:textId="47696A38" w:rsidR="00142D2B" w:rsidRPr="00804A7A" w:rsidRDefault="00142D2B" w:rsidP="00142D2B">
      <w:pPr>
        <w:spacing w:after="0" w:line="480" w:lineRule="auto"/>
        <w:ind w:firstLine="720"/>
        <w:jc w:val="both"/>
      </w:pPr>
      <w:r>
        <w:t xml:space="preserve">I find that “Frenchness” is a significant indicator of bilateral aid allocations from France, which also prioritizes former colonies over non-colonies. Additionally, an increase in “Frenchness” is manifested through colonial identities and the various channels of Françafrique. Overall, this confirms that France prioritizes strategic interests or its sphere of influence when allocating aid to recipient countries. </w:t>
      </w:r>
      <w:r w:rsidR="001937B5">
        <w:t>M</w:t>
      </w:r>
      <w:r>
        <w:t xml:space="preserve">y results are in agreement with much of the literature that donor countries also consider the facilitation of democratic norms and poverty alleviation when disbursing aid. This is not to say that these additional considerations are more important than “Frenchness,” but rather that the similarities in identity, as observed through the French language, military bases, colonial history, etc. are robust even when we consider alternate explanations. As will be further elaborated in the overall conclusion to this thesis, policy makers should give proper attention to strategic interests of donors, in addition to focusing on conditional aid and the discourse around facilitating democratic norms. </w:t>
      </w:r>
    </w:p>
    <w:p w14:paraId="3C164429" w14:textId="77777777" w:rsidR="00142D2B" w:rsidRDefault="00142D2B">
      <w:pPr>
        <w:rPr>
          <w:b/>
          <w:sz w:val="28"/>
          <w:szCs w:val="28"/>
        </w:rPr>
      </w:pPr>
      <w:r>
        <w:rPr>
          <w:b/>
          <w:sz w:val="28"/>
          <w:szCs w:val="28"/>
        </w:rPr>
        <w:br w:type="page"/>
      </w:r>
    </w:p>
    <w:p w14:paraId="2F82E5B8" w14:textId="22413EE3" w:rsidR="00A44567" w:rsidRPr="00FF1C71" w:rsidRDefault="00A44567" w:rsidP="00A44567">
      <w:pPr>
        <w:spacing w:after="0" w:line="480" w:lineRule="auto"/>
        <w:jc w:val="center"/>
        <w:rPr>
          <w:sz w:val="28"/>
          <w:szCs w:val="28"/>
        </w:rPr>
      </w:pPr>
      <w:r w:rsidRPr="00FF1C71">
        <w:rPr>
          <w:b/>
          <w:sz w:val="28"/>
          <w:szCs w:val="28"/>
        </w:rPr>
        <w:t xml:space="preserve">Conclusion </w:t>
      </w:r>
    </w:p>
    <w:p w14:paraId="4BB397D7" w14:textId="77777777" w:rsidR="00A44567" w:rsidRDefault="00A44567" w:rsidP="00A44567">
      <w:pPr>
        <w:spacing w:after="0" w:line="480" w:lineRule="auto"/>
        <w:jc w:val="center"/>
      </w:pPr>
    </w:p>
    <w:p w14:paraId="43D4DE55" w14:textId="77777777" w:rsidR="00A44567" w:rsidRDefault="00A44567" w:rsidP="006D4C98">
      <w:pPr>
        <w:spacing w:after="0" w:line="480" w:lineRule="auto"/>
        <w:jc w:val="both"/>
      </w:pPr>
      <w:r>
        <w:tab/>
        <w:t xml:space="preserve">France has historically and contemporarily attempted to maintain its influence in African nations through a variety of political tools, including the initial colonial policies of </w:t>
      </w:r>
      <w:r>
        <w:rPr>
          <w:i/>
        </w:rPr>
        <w:t xml:space="preserve">assimilation </w:t>
      </w:r>
      <w:r>
        <w:t xml:space="preserve">or </w:t>
      </w:r>
      <w:r>
        <w:rPr>
          <w:i/>
        </w:rPr>
        <w:t xml:space="preserve">association </w:t>
      </w:r>
      <w:r>
        <w:t>and</w:t>
      </w:r>
      <w:r>
        <w:rPr>
          <w:i/>
        </w:rPr>
        <w:t xml:space="preserve"> </w:t>
      </w:r>
      <w:r>
        <w:t>the current expansion of the channels of Françafrique. France provides aid based on the shared identity formed through such political tools as a reward for cooperation and participation in the French sphere of influence.</w:t>
      </w:r>
    </w:p>
    <w:p w14:paraId="58624ACE" w14:textId="77777777" w:rsidR="00A44567" w:rsidRDefault="00A44567" w:rsidP="006D4C98">
      <w:pPr>
        <w:spacing w:after="0" w:line="480" w:lineRule="auto"/>
        <w:ind w:firstLine="720"/>
        <w:jc w:val="both"/>
      </w:pPr>
      <w:r>
        <w:t xml:space="preserve">This shared identity is rooted in centuries of interaction between French and African actors. Variation in statuses, both at the individual person and regional level, contributed to a sense of belonging and “Frenchness.” For example, </w:t>
      </w:r>
      <w:r>
        <w:rPr>
          <w:i/>
        </w:rPr>
        <w:t xml:space="preserve">originaires </w:t>
      </w:r>
      <w:r>
        <w:t xml:space="preserve">and </w:t>
      </w:r>
      <w:r>
        <w:rPr>
          <w:i/>
        </w:rPr>
        <w:t xml:space="preserve">métis </w:t>
      </w:r>
      <w:r>
        <w:t>possessed unique statuses in the French colonial empire and were able to participate in particular aspects of political life, including access to education, voting rights, lower level administrative positions, and the like. This participation in the political sphere contributed to an understanding of their respective role in the greater French Empire. At the regional level, Senegal was the center of administrative life for French West Africa, as well as an economic powerhouse for the region. This unique status as an administrative colony, in addition to being one of the first places colonized, resulted in a close relationship between Senegal and France. The extent of this relationship was evident in Senegal’s role in the creation of the French Union. Although the French Union failed soon after its inception, several African members—primarily Leopold Senghor and Felix Houphouët-Boigny—argued for a privileged relationship with the former colonial power at the time of independence. These variations make up a significant portion of “Frenchness” and contribute to the greater argument that historical identity is a key factor for aid allocation.</w:t>
      </w:r>
    </w:p>
    <w:p w14:paraId="4DDC9834" w14:textId="77777777" w:rsidR="00A44567" w:rsidRDefault="00A44567" w:rsidP="006D4C98">
      <w:pPr>
        <w:spacing w:after="0" w:line="480" w:lineRule="auto"/>
        <w:ind w:firstLine="720"/>
        <w:jc w:val="both"/>
      </w:pPr>
      <w:r>
        <w:t xml:space="preserve">By analyzing the specific channels of Françafrique—the neocolonial, covert French policy for network building in Africa—I present further evidence of continued interaction between French and African actors post independence. Military bases, the CFA franc zone, language, and technical assistance are some of the more important channels of Françafrique that were implemented shortly after independence and have continued to influence Franco-African relationships today. Françafrique explains some of the variation in “Frenchness” because African heads of state often choose to abide by such policy and therefore willingly increase interaction with French administrators and businessmen. Not all African heads of state have desired a closer relationship with France through Françafrique, and these countries possess lower levels of “Frenchness” than their cooperative counterparts. </w:t>
      </w:r>
    </w:p>
    <w:p w14:paraId="22C7D4CA" w14:textId="77777777" w:rsidR="00A44567" w:rsidRPr="00BB7957" w:rsidRDefault="00A44567" w:rsidP="006D4C98">
      <w:pPr>
        <w:spacing w:after="0" w:line="480" w:lineRule="auto"/>
        <w:ind w:firstLine="720"/>
        <w:jc w:val="both"/>
      </w:pPr>
      <w:r>
        <w:t xml:space="preserve">“Frenchness,” constructed using historical statuses and channels of Françafrique, is a significant and positive predictor of French bilateral aid given to recipient countries in Africa. “Frenchness” is robust even after implementing the controls—economic development, trade, regime type, etc.—that explain variation in overall aid receipts in previous economic literature. The difference in findings is attributable to the inclusion of identity as a unique indicator. Although previous studies consider colonial relationships and UN voting affinity, they fail to provide a comprehensive account of historical interactions that, according to my research, have a significant effect on aid allocations. </w:t>
      </w:r>
    </w:p>
    <w:p w14:paraId="673B1150" w14:textId="77777777" w:rsidR="00A44567" w:rsidRDefault="00A44567" w:rsidP="006D4C98">
      <w:pPr>
        <w:spacing w:after="0" w:line="480" w:lineRule="auto"/>
        <w:jc w:val="both"/>
      </w:pPr>
    </w:p>
    <w:p w14:paraId="60141249" w14:textId="6D043C24" w:rsidR="00A44567" w:rsidRPr="001247A6" w:rsidRDefault="00786B13" w:rsidP="00A44567">
      <w:pPr>
        <w:spacing w:after="0" w:line="480" w:lineRule="auto"/>
        <w:jc w:val="center"/>
        <w:rPr>
          <w:b/>
        </w:rPr>
      </w:pPr>
      <w:r>
        <w:rPr>
          <w:b/>
        </w:rPr>
        <w:t>Future</w:t>
      </w:r>
      <w:r w:rsidR="00A44567">
        <w:rPr>
          <w:b/>
        </w:rPr>
        <w:t xml:space="preserve"> Research</w:t>
      </w:r>
    </w:p>
    <w:p w14:paraId="7D0E6DC1" w14:textId="77777777" w:rsidR="00A44567" w:rsidRDefault="00A44567" w:rsidP="006D4C98">
      <w:pPr>
        <w:spacing w:after="0" w:line="480" w:lineRule="auto"/>
        <w:jc w:val="both"/>
      </w:pPr>
      <w:r>
        <w:tab/>
        <w:t xml:space="preserve">Histories of interaction and therefore identity formation are the dominant theme of colonial and world powers. France was not unique in its colonization of other countries, but French policy was exceptional due to </w:t>
      </w:r>
      <w:r>
        <w:rPr>
          <w:i/>
        </w:rPr>
        <w:t>la mission civilisatrice</w:t>
      </w:r>
      <w:r>
        <w:t xml:space="preserve"> and the continued presence of French advisers after the official end of colonization in the 1960s. Other colonial powers, notably Great Britain, Belgium, and Portugal, varied in their approaches to governance in Africa. Great Britain utilized indirect rule, where Africans—often from the minority population—were given power to rule over specific areas in British territories. The British Empire rivaled the French Empire in terms of sheer number of colonies in Africa.  Because the interaction between British and African actors was not as systemic as Franco-African interactions, analyzing the presence of British identity in former colonies presents a challenge. However, membership in the British Commonwealth may provide a starting point in order to generalize that shared identity determines aid allocation. </w:t>
      </w:r>
    </w:p>
    <w:p w14:paraId="2D959341" w14:textId="15A0AA41" w:rsidR="00A44567" w:rsidRDefault="00A44567" w:rsidP="006D4C98">
      <w:pPr>
        <w:spacing w:after="0" w:line="480" w:lineRule="auto"/>
        <w:ind w:firstLine="720"/>
        <w:jc w:val="both"/>
      </w:pPr>
      <w:r>
        <w:t xml:space="preserve">Closer to French rule, the Belgians ruled the native population via Belgian administrators. However, Belgians in the Democratic Republic of the Congo (former Zaire) predominantly </w:t>
      </w:r>
      <w:r w:rsidR="001937B5">
        <w:t>intended</w:t>
      </w:r>
      <w:r>
        <w:t xml:space="preserve"> to extract natural resources, like rubber, and failed to cultivate a relationship with the Congolese. After Françafrique was more fully developed, French administrations expanded their reach into both the Democratic Republic of Congo and Rwanda, as former Belgian colonies share the French language. The “Frenchness” index measures the relationship between former Belgian colonies and France, but it would be interesting to analyze the “Belgianness” in order to better understand the lasting effects of the vastly exploitive history.</w:t>
      </w:r>
    </w:p>
    <w:p w14:paraId="5E3EEE1E" w14:textId="77777777" w:rsidR="00A44567" w:rsidRDefault="00A44567" w:rsidP="006D4C98">
      <w:pPr>
        <w:spacing w:after="0" w:line="480" w:lineRule="auto"/>
        <w:ind w:firstLine="720"/>
        <w:jc w:val="both"/>
      </w:pPr>
      <w:r>
        <w:t xml:space="preserve">Unlike other colonial powers, Portugal’s reign in Africa lasted until the mid-1970s. The Portuguese colonized Angola, Guinea-Bissau, Mozambique, and Equatorial Guinea in addition to the islands of Cabo Verde and Säo Tomé and Principe. Portugal, as an additional case study for shared identity, is the most interesting in terms of other colonial powers, as the concept of empire was contested because Portugal and Portuguese territories were considered to be one state with a shared language and culture. Again, an index that combined this shared language, culture, and history with the modern relationship between Portugal and former Portuguese colonies would further test my hypothesis that aid is determined by a collective identity. </w:t>
      </w:r>
    </w:p>
    <w:p w14:paraId="2F41D602" w14:textId="77777777" w:rsidR="00A44567" w:rsidRDefault="00A44567" w:rsidP="006D4C98">
      <w:pPr>
        <w:spacing w:after="0" w:line="480" w:lineRule="auto"/>
        <w:jc w:val="both"/>
      </w:pPr>
      <w:r>
        <w:tab/>
        <w:t xml:space="preserve">The French style of colonialism and neocolonialism is the ideal case study for analyzing the relationship between identity and aid, yet more extensive research in other colonial histories may uncover a similar story of shared identity based on interaction between Europeans and Africans. This potential theory could likely be applied to the United States and its soft power efforts in the postwar era. Furthermore, the former Soviet Union had a unique relationship with Eastern European and Central Asian states in the Cold War. Although not technically colonial history, the former USSR diffused ideologies and possibly identity to satellite states. By analyzing the effects of identity on aid in a more global sense, I can draw additional policy implications for future development and aid relationships. </w:t>
      </w:r>
    </w:p>
    <w:p w14:paraId="0BBBCDCA" w14:textId="77777777" w:rsidR="00A44567" w:rsidRDefault="00A44567" w:rsidP="006D4C98">
      <w:pPr>
        <w:spacing w:after="0" w:line="480" w:lineRule="auto"/>
        <w:ind w:firstLine="720"/>
        <w:jc w:val="both"/>
      </w:pPr>
      <w:r>
        <w:t xml:space="preserve">In addition to this expansion on identity-aid relationships, I would like to further investigate Françafrique. The Franco-African summit of 2003 included the Zimbabwean dictator, Robert Mugabe, and this invitation was harshly criticized. Additionally, French influence has gained traction in neighboring West African countries, like Guinea-Bissau and Equatorial Guinea, which have joined the CFA franc zone. These are the beginning signs of Françafrique expansion into Anglophone Africa, which lacks the common colonial history and shared language. How has and will the policy of Françafrique adapt to this new environment? And what is the possibility of a stronger “Frenchness” in the future? </w:t>
      </w:r>
    </w:p>
    <w:p w14:paraId="3ED287AA" w14:textId="77777777" w:rsidR="00A44567" w:rsidRDefault="00A44567" w:rsidP="006D4C98">
      <w:pPr>
        <w:spacing w:after="0" w:line="480" w:lineRule="auto"/>
        <w:ind w:firstLine="720"/>
        <w:jc w:val="both"/>
      </w:pPr>
      <w:r>
        <w:t xml:space="preserve">Under the current political climate of rising nationalism and fear of immigration, how will the policy of Françafrique, which is often criticized as an object of the past, remain or change under future French presidents? If elected, Marine Le Pen has declared an end to Françafrique and the CFA franc zone, but prior presidential candidates have made similar claims and failed to end the neocolonial approach to influence in Africa. Other presidential candidates have either failed to state their stance on Françafrique or come from similar political backgrounds as previous presidents, meaning they are unlikely to alter the current policy. If Françafrique comes to an end, what will this mean for future relationships between France and African countries, especially in terms of aid allocation? </w:t>
      </w:r>
    </w:p>
    <w:p w14:paraId="2DAB50F6" w14:textId="77777777" w:rsidR="00A44567" w:rsidRDefault="00A44567" w:rsidP="00A44567">
      <w:pPr>
        <w:spacing w:after="0" w:line="480" w:lineRule="auto"/>
      </w:pPr>
    </w:p>
    <w:p w14:paraId="204DBCCB" w14:textId="77777777" w:rsidR="00A44567" w:rsidRPr="001247A6" w:rsidRDefault="00A44567" w:rsidP="00A44567">
      <w:pPr>
        <w:spacing w:after="0" w:line="480" w:lineRule="auto"/>
        <w:jc w:val="center"/>
        <w:rPr>
          <w:b/>
        </w:rPr>
      </w:pPr>
      <w:r>
        <w:rPr>
          <w:b/>
        </w:rPr>
        <w:t>Policy Implications</w:t>
      </w:r>
    </w:p>
    <w:p w14:paraId="152A976F" w14:textId="77777777" w:rsidR="001C69D5" w:rsidRDefault="00A44567" w:rsidP="001C69D5">
      <w:pPr>
        <w:spacing w:after="0" w:line="480" w:lineRule="auto"/>
        <w:ind w:firstLine="720"/>
        <w:jc w:val="both"/>
      </w:pPr>
      <w:r>
        <w:t xml:space="preserve">If donor countries provide aid based on strategic interests and more specifically a shared identity, how does this alter the current discourse on aid allocation? </w:t>
      </w:r>
      <w:r w:rsidR="001C69D5">
        <w:t xml:space="preserve">State behavior is driven by identity, and this behavior facilitates the emergence of international norms. International norms and identity are mutually constitutive. If this is true, then it is possible for prioritization of strategic interests over all other donor factors to lead to future norms. If the French norm for giving based on identity becomes an international norm, then the discourse around facilitating democratic norms and support of human rights could fade away.  </w:t>
      </w:r>
    </w:p>
    <w:p w14:paraId="61507FE6" w14:textId="77777777" w:rsidR="00A44567" w:rsidRDefault="00A44567" w:rsidP="006D4C98">
      <w:pPr>
        <w:spacing w:after="0" w:line="480" w:lineRule="auto"/>
        <w:ind w:firstLine="720"/>
        <w:jc w:val="both"/>
      </w:pPr>
      <w:r>
        <w:t>Instead of supporting the increase of human rights, democratic norms, and overall well-being, donor countries, notably France, are instead acting in self-interest and preservation of influence. Although other scholars have identified the importance of strategic interests, few have evaluated the potential implications for future policy.</w:t>
      </w:r>
      <w:r>
        <w:rPr>
          <w:rStyle w:val="FootnoteReference"/>
        </w:rPr>
        <w:footnoteReference w:id="208"/>
      </w:r>
      <w:r>
        <w:t xml:space="preserve"> It is important to compile a list of all donor motivations in order to better analyze why aid has been so ineffective in contributing to economic development. If a donor country disregards the importance of economic growth or human rights and only prioritizes strategic influence, then it is no surprise that low-income countries are only slightly better off. If the global consensus is to improve development conditions in low-income countries, then it is crucial to understand why aid is ineffective, especially if this inefficiency resides in donor motivations. </w:t>
      </w:r>
    </w:p>
    <w:p w14:paraId="684797AF" w14:textId="77777777" w:rsidR="00A44567" w:rsidRDefault="00A44567" w:rsidP="006D4C98">
      <w:pPr>
        <w:spacing w:after="0" w:line="480" w:lineRule="auto"/>
        <w:ind w:firstLine="720"/>
        <w:jc w:val="both"/>
      </w:pPr>
    </w:p>
    <w:p w14:paraId="510BBEAC" w14:textId="77777777" w:rsidR="00A44567" w:rsidRDefault="00A44567">
      <w:pPr>
        <w:rPr>
          <w:rFonts w:cs="Times New Roman"/>
          <w:b/>
          <w:sz w:val="28"/>
          <w:szCs w:val="28"/>
        </w:rPr>
      </w:pPr>
      <w:r>
        <w:rPr>
          <w:rFonts w:cs="Times New Roman"/>
          <w:b/>
          <w:sz w:val="28"/>
          <w:szCs w:val="28"/>
        </w:rPr>
        <w:br w:type="page"/>
      </w:r>
    </w:p>
    <w:p w14:paraId="5A578AC4" w14:textId="56C7FB97" w:rsidR="00593D11" w:rsidRPr="006B2D32" w:rsidRDefault="00593D11" w:rsidP="00593D11">
      <w:pPr>
        <w:ind w:left="720" w:hanging="720"/>
        <w:jc w:val="center"/>
        <w:rPr>
          <w:rFonts w:cs="Times New Roman"/>
          <w:b/>
          <w:sz w:val="28"/>
          <w:szCs w:val="28"/>
        </w:rPr>
      </w:pPr>
      <w:r w:rsidRPr="006B2D32">
        <w:rPr>
          <w:rFonts w:cs="Times New Roman"/>
          <w:b/>
          <w:sz w:val="28"/>
          <w:szCs w:val="28"/>
        </w:rPr>
        <w:t>Bibliography</w:t>
      </w:r>
    </w:p>
    <w:p w14:paraId="6B735C8A" w14:textId="77777777" w:rsidR="00593D11" w:rsidRPr="00CC2ACD" w:rsidRDefault="00593D11" w:rsidP="00593D11">
      <w:pPr>
        <w:ind w:left="720" w:hanging="720"/>
        <w:rPr>
          <w:rFonts w:cs="Times New Roman"/>
          <w:b/>
        </w:rPr>
      </w:pPr>
    </w:p>
    <w:p w14:paraId="43B20415" w14:textId="77777777" w:rsidR="00593D11" w:rsidRPr="00CC2ACD" w:rsidRDefault="00593D11" w:rsidP="00593D11">
      <w:pPr>
        <w:ind w:left="720" w:hanging="720"/>
        <w:rPr>
          <w:rFonts w:cs="Times New Roman"/>
        </w:rPr>
      </w:pPr>
      <w:r w:rsidRPr="00CC2ACD">
        <w:rPr>
          <w:rFonts w:cs="Times New Roman"/>
        </w:rPr>
        <w:t>Acemoglu,</w:t>
      </w:r>
      <w:r>
        <w:rPr>
          <w:rFonts w:cs="Times New Roman"/>
        </w:rPr>
        <w:t xml:space="preserve"> Daron,</w:t>
      </w:r>
      <w:r w:rsidRPr="00CC2ACD">
        <w:rPr>
          <w:rFonts w:cs="Times New Roman"/>
        </w:rPr>
        <w:t xml:space="preserve"> Simon</w:t>
      </w:r>
      <w:r>
        <w:rPr>
          <w:rFonts w:cs="Times New Roman"/>
        </w:rPr>
        <w:t xml:space="preserve"> Johnson, and James A. Robinson.</w:t>
      </w:r>
      <w:r w:rsidRPr="00CC2ACD">
        <w:rPr>
          <w:rFonts w:cs="Times New Roman"/>
        </w:rPr>
        <w:t xml:space="preserve"> “The Colonial Origins of Comparative Developm</w:t>
      </w:r>
      <w:r>
        <w:rPr>
          <w:rFonts w:cs="Times New Roman"/>
        </w:rPr>
        <w:t>ent: An Empirical Investigation.</w:t>
      </w:r>
      <w:r w:rsidRPr="00CC2ACD">
        <w:rPr>
          <w:rFonts w:cs="Times New Roman"/>
        </w:rPr>
        <w:t xml:space="preserve">” </w:t>
      </w:r>
      <w:r w:rsidRPr="00CC2ACD">
        <w:rPr>
          <w:rFonts w:cs="Times New Roman"/>
          <w:i/>
        </w:rPr>
        <w:t>American Economic Review</w:t>
      </w:r>
      <w:r w:rsidRPr="00CC2ACD">
        <w:rPr>
          <w:rFonts w:cs="Times New Roman"/>
        </w:rPr>
        <w:t xml:space="preserve"> 91 </w:t>
      </w:r>
      <w:r>
        <w:rPr>
          <w:rFonts w:cs="Times New Roman"/>
        </w:rPr>
        <w:t>(2001): 1369-1401.</w:t>
      </w:r>
    </w:p>
    <w:p w14:paraId="1F536D7A" w14:textId="77777777" w:rsidR="00593D11" w:rsidRPr="00CC2ACD" w:rsidRDefault="00593D11" w:rsidP="00593D11">
      <w:pPr>
        <w:ind w:left="720" w:hanging="720"/>
        <w:rPr>
          <w:rFonts w:cs="Times New Roman"/>
        </w:rPr>
      </w:pPr>
      <w:r>
        <w:t>———</w:t>
      </w:r>
      <w:r w:rsidRPr="00CC2ACD">
        <w:rPr>
          <w:rFonts w:cs="Times New Roman"/>
        </w:rPr>
        <w:t xml:space="preserve"> “The Reversal of Fortune: Geography and Institutions in the Making of M</w:t>
      </w:r>
      <w:r>
        <w:rPr>
          <w:rFonts w:cs="Times New Roman"/>
        </w:rPr>
        <w:t>odern World Income Distribution.</w:t>
      </w:r>
      <w:r w:rsidRPr="00CC2ACD">
        <w:rPr>
          <w:rFonts w:cs="Times New Roman"/>
        </w:rPr>
        <w:t xml:space="preserve">” </w:t>
      </w:r>
      <w:r w:rsidRPr="00CC2ACD">
        <w:rPr>
          <w:rFonts w:cs="Times New Roman"/>
          <w:i/>
        </w:rPr>
        <w:t xml:space="preserve">Quarterly Journal of Economics </w:t>
      </w:r>
      <w:r>
        <w:rPr>
          <w:rFonts w:cs="Times New Roman"/>
        </w:rPr>
        <w:t>117 (2002): 1231-1294.</w:t>
      </w:r>
    </w:p>
    <w:p w14:paraId="5E9B9E9C" w14:textId="77777777" w:rsidR="00593D11" w:rsidRDefault="00593D11" w:rsidP="00593D11">
      <w:pPr>
        <w:ind w:left="720" w:hanging="720"/>
      </w:pPr>
      <w:r>
        <w:t xml:space="preserve">Africa Recovery, United Nations, “The CFA Franc: New Peg for Common Currency,” April 1999, accessed April 20, 2017, </w:t>
      </w:r>
      <w:r w:rsidRPr="001421E0">
        <w:t>http://www.un.org/en/africarenewal/subjindx/124euro3.htm</w:t>
      </w:r>
      <w:r>
        <w:t>.</w:t>
      </w:r>
    </w:p>
    <w:p w14:paraId="1320B6D8" w14:textId="77777777" w:rsidR="00593D11" w:rsidRDefault="00593D11" w:rsidP="00593D11">
      <w:pPr>
        <w:ind w:left="720" w:hanging="720"/>
        <w:rPr>
          <w:rFonts w:cs="Times New Roman"/>
          <w:highlight w:val="yellow"/>
        </w:rPr>
      </w:pPr>
      <w:r w:rsidRPr="00CC2ACD">
        <w:rPr>
          <w:rFonts w:cs="Times New Roman"/>
        </w:rPr>
        <w:t>Akerlof</w:t>
      </w:r>
      <w:r>
        <w:rPr>
          <w:rFonts w:cs="Times New Roman"/>
        </w:rPr>
        <w:t>, George A., and Rachel E. Kranton, “Economics and Identity.</w:t>
      </w:r>
      <w:r w:rsidRPr="00CC2ACD">
        <w:rPr>
          <w:rFonts w:cs="Times New Roman"/>
        </w:rPr>
        <w:t xml:space="preserve">” </w:t>
      </w:r>
      <w:r w:rsidRPr="00CC2ACD">
        <w:rPr>
          <w:rFonts w:cs="Times New Roman"/>
          <w:i/>
        </w:rPr>
        <w:t xml:space="preserve">The Quarterly Journal of Economics </w:t>
      </w:r>
      <w:r w:rsidRPr="00CC2ACD">
        <w:rPr>
          <w:rFonts w:cs="Times New Roman"/>
        </w:rPr>
        <w:t xml:space="preserve">115.3 (2000): </w:t>
      </w:r>
      <w:r w:rsidRPr="00183CF4">
        <w:rPr>
          <w:rFonts w:cs="Times New Roman"/>
        </w:rPr>
        <w:t>715-753.</w:t>
      </w:r>
    </w:p>
    <w:p w14:paraId="69132CB8" w14:textId="77777777" w:rsidR="00593D11" w:rsidRPr="00980F34" w:rsidRDefault="00593D11" w:rsidP="00593D11">
      <w:pPr>
        <w:ind w:left="720" w:hanging="720"/>
        <w:rPr>
          <w:rFonts w:cs="Times New Roman"/>
        </w:rPr>
      </w:pPr>
      <w:r>
        <w:rPr>
          <w:i/>
        </w:rPr>
        <w:t xml:space="preserve">Al Jazeera. </w:t>
      </w:r>
      <w:r w:rsidRPr="00980F34">
        <w:t xml:space="preserve">“The French African Connection.” </w:t>
      </w:r>
      <w:r>
        <w:t xml:space="preserve">April 7, 2014. Accessed April 14, 2017. </w:t>
      </w:r>
      <w:r w:rsidRPr="00980F34">
        <w:t>http://www.aljazeera.com/programmes/specialseries/2013/08/201387113131914906.html</w:t>
      </w:r>
      <w:r>
        <w:t xml:space="preserve">. </w:t>
      </w:r>
    </w:p>
    <w:p w14:paraId="1FA78E26" w14:textId="77777777" w:rsidR="00593D11" w:rsidRPr="00CC2ACD" w:rsidRDefault="00593D11" w:rsidP="00593D11">
      <w:pPr>
        <w:ind w:left="720" w:hanging="720"/>
        <w:rPr>
          <w:rFonts w:cs="Times New Roman"/>
        </w:rPr>
      </w:pPr>
      <w:r>
        <w:rPr>
          <w:rFonts w:cs="Times New Roman"/>
        </w:rPr>
        <w:t>Alesina, Alberto, and David Dollar.</w:t>
      </w:r>
      <w:r w:rsidRPr="00CC2ACD">
        <w:rPr>
          <w:rFonts w:cs="Times New Roman"/>
        </w:rPr>
        <w:t xml:space="preserve"> “Who Gives Foreign Aid to Whom and Why?” </w:t>
      </w:r>
      <w:r w:rsidRPr="00CC2ACD">
        <w:rPr>
          <w:rFonts w:cs="Times New Roman"/>
          <w:i/>
        </w:rPr>
        <w:t xml:space="preserve">Journal of Economic Growth </w:t>
      </w:r>
      <w:r w:rsidRPr="00CC2ACD">
        <w:rPr>
          <w:rFonts w:cs="Times New Roman"/>
        </w:rPr>
        <w:t>5 (2000): 33-63.</w:t>
      </w:r>
    </w:p>
    <w:p w14:paraId="7A051294" w14:textId="77777777" w:rsidR="00593D11" w:rsidRPr="00CC2ACD" w:rsidRDefault="00593D11" w:rsidP="00593D11">
      <w:pPr>
        <w:ind w:left="720" w:hanging="720"/>
        <w:rPr>
          <w:rFonts w:cs="Times New Roman"/>
        </w:rPr>
      </w:pPr>
      <w:r w:rsidRPr="00CC2ACD">
        <w:rPr>
          <w:rFonts w:cs="Times New Roman"/>
        </w:rPr>
        <w:t>Alesina</w:t>
      </w:r>
      <w:r>
        <w:rPr>
          <w:rFonts w:cs="Times New Roman"/>
        </w:rPr>
        <w:t>, Alberto, and Beatrice Weder.</w:t>
      </w:r>
      <w:r w:rsidRPr="00CC2ACD">
        <w:rPr>
          <w:rFonts w:cs="Times New Roman"/>
        </w:rPr>
        <w:t xml:space="preserve"> "Do Corrupt Governments Receive Less Foreign Aid?" </w:t>
      </w:r>
      <w:r w:rsidRPr="00CC2ACD">
        <w:rPr>
          <w:rFonts w:cs="Times New Roman"/>
          <w:i/>
          <w:iCs/>
        </w:rPr>
        <w:t xml:space="preserve">The American Economic Review </w:t>
      </w:r>
      <w:r>
        <w:rPr>
          <w:rFonts w:cs="Times New Roman"/>
        </w:rPr>
        <w:t xml:space="preserve">92.4 (2002): </w:t>
      </w:r>
      <w:r w:rsidRPr="00BD6A17">
        <w:rPr>
          <w:rFonts w:cs="Times New Roman"/>
        </w:rPr>
        <w:t>1126-1137.</w:t>
      </w:r>
    </w:p>
    <w:p w14:paraId="2FA6C29C" w14:textId="77777777" w:rsidR="00593D11" w:rsidRPr="00CC2ACD" w:rsidRDefault="00593D11" w:rsidP="00593D11">
      <w:pPr>
        <w:ind w:left="720" w:hanging="720"/>
        <w:rPr>
          <w:rFonts w:cs="Times New Roman"/>
        </w:rPr>
      </w:pPr>
      <w:r w:rsidRPr="00CC2ACD">
        <w:rPr>
          <w:rFonts w:cs="Times New Roman"/>
        </w:rPr>
        <w:t xml:space="preserve">Ash, </w:t>
      </w:r>
      <w:r>
        <w:rPr>
          <w:rFonts w:cs="Times New Roman"/>
        </w:rPr>
        <w:t xml:space="preserve">Lucy. </w:t>
      </w:r>
      <w:r w:rsidRPr="00CC2ACD">
        <w:rPr>
          <w:rFonts w:cs="Times New Roman"/>
        </w:rPr>
        <w:t xml:space="preserve">“Breaking France’s Africa </w:t>
      </w:r>
      <w:r>
        <w:rPr>
          <w:rFonts w:cs="Times New Roman"/>
        </w:rPr>
        <w:t>H</w:t>
      </w:r>
      <w:r w:rsidRPr="00CC2ACD">
        <w:rPr>
          <w:rFonts w:cs="Times New Roman"/>
        </w:rPr>
        <w:t>a</w:t>
      </w:r>
      <w:r>
        <w:rPr>
          <w:rFonts w:cs="Times New Roman"/>
        </w:rPr>
        <w:t>bit.</w:t>
      </w:r>
      <w:r w:rsidRPr="00CC2ACD">
        <w:rPr>
          <w:rFonts w:cs="Times New Roman"/>
        </w:rPr>
        <w:t xml:space="preserve">” </w:t>
      </w:r>
      <w:r>
        <w:rPr>
          <w:rFonts w:cs="Times New Roman"/>
          <w:i/>
        </w:rPr>
        <w:t>BBC News.</w:t>
      </w:r>
      <w:r w:rsidRPr="00CC2ACD">
        <w:rPr>
          <w:rFonts w:cs="Times New Roman"/>
          <w:i/>
        </w:rPr>
        <w:t xml:space="preserve"> </w:t>
      </w:r>
      <w:r>
        <w:rPr>
          <w:rFonts w:cs="Times New Roman"/>
        </w:rPr>
        <w:t>April 1, 2007. Accessed</w:t>
      </w:r>
      <w:r w:rsidRPr="00CC2ACD">
        <w:rPr>
          <w:rFonts w:cs="Times New Roman"/>
        </w:rPr>
        <w:t xml:space="preserve"> Oct</w:t>
      </w:r>
      <w:r>
        <w:rPr>
          <w:rFonts w:cs="Times New Roman"/>
        </w:rPr>
        <w:t>ober 27,</w:t>
      </w:r>
      <w:r w:rsidRPr="00CC2ACD">
        <w:rPr>
          <w:rFonts w:cs="Times New Roman"/>
        </w:rPr>
        <w:t xml:space="preserve"> 2016.</w:t>
      </w:r>
      <w:r>
        <w:rPr>
          <w:rFonts w:cs="Times New Roman"/>
        </w:rPr>
        <w:t xml:space="preserve"> </w:t>
      </w:r>
      <w:r w:rsidRPr="00667A6F">
        <w:rPr>
          <w:rFonts w:cs="Times New Roman"/>
        </w:rPr>
        <w:t>http://news.bbc.co.uk/2/hi/europe/6511963.stm</w:t>
      </w:r>
      <w:r>
        <w:rPr>
          <w:rFonts w:cs="Times New Roman"/>
        </w:rPr>
        <w:t>.</w:t>
      </w:r>
    </w:p>
    <w:p w14:paraId="2B84A47A" w14:textId="77777777" w:rsidR="00593D11" w:rsidRPr="00CC2ACD" w:rsidRDefault="00593D11" w:rsidP="00593D11">
      <w:pPr>
        <w:ind w:left="720" w:hanging="720"/>
        <w:rPr>
          <w:rFonts w:cs="Times New Roman"/>
        </w:rPr>
      </w:pPr>
      <w:r w:rsidRPr="00CC2ACD">
        <w:rPr>
          <w:rFonts w:cs="Times New Roman"/>
        </w:rPr>
        <w:t xml:space="preserve">Astier, </w:t>
      </w:r>
      <w:r>
        <w:rPr>
          <w:rFonts w:cs="Times New Roman"/>
        </w:rPr>
        <w:t xml:space="preserve">Henri. </w:t>
      </w:r>
      <w:r w:rsidRPr="00CC2ACD">
        <w:rPr>
          <w:rFonts w:cs="Times New Roman"/>
        </w:rPr>
        <w:t>“Elf Wa</w:t>
      </w:r>
      <w:r>
        <w:rPr>
          <w:rFonts w:cs="Times New Roman"/>
        </w:rPr>
        <w:t>s ‘Secret Arms of French Policy.</w:t>
      </w:r>
      <w:r w:rsidRPr="00CC2ACD">
        <w:rPr>
          <w:rFonts w:cs="Times New Roman"/>
        </w:rPr>
        <w:t xml:space="preserve">” </w:t>
      </w:r>
      <w:r>
        <w:rPr>
          <w:rFonts w:cs="Times New Roman"/>
          <w:i/>
        </w:rPr>
        <w:t>BBC News.</w:t>
      </w:r>
      <w:r w:rsidRPr="00CC2ACD">
        <w:rPr>
          <w:rFonts w:cs="Times New Roman"/>
          <w:i/>
        </w:rPr>
        <w:t xml:space="preserve"> </w:t>
      </w:r>
      <w:r>
        <w:rPr>
          <w:rFonts w:cs="Times New Roman"/>
        </w:rPr>
        <w:t>March 19, 2003. Accessed</w:t>
      </w:r>
      <w:r w:rsidRPr="00CC2ACD">
        <w:rPr>
          <w:rFonts w:cs="Times New Roman"/>
        </w:rPr>
        <w:t xml:space="preserve"> Jan</w:t>
      </w:r>
      <w:r>
        <w:rPr>
          <w:rFonts w:cs="Times New Roman"/>
        </w:rPr>
        <w:t>uary 30,</w:t>
      </w:r>
      <w:r w:rsidRPr="00CC2ACD">
        <w:rPr>
          <w:rFonts w:cs="Times New Roman"/>
        </w:rPr>
        <w:t xml:space="preserve"> 2017.</w:t>
      </w:r>
      <w:r w:rsidRPr="00667A6F">
        <w:t xml:space="preserve"> </w:t>
      </w:r>
      <w:r w:rsidRPr="00667A6F">
        <w:rPr>
          <w:rFonts w:cs="Times New Roman"/>
        </w:rPr>
        <w:t>http://news.bbc.co.uk/2/hi/europe/2862257.stm</w:t>
      </w:r>
      <w:r>
        <w:rPr>
          <w:rFonts w:cs="Times New Roman"/>
        </w:rPr>
        <w:t>.</w:t>
      </w:r>
    </w:p>
    <w:p w14:paraId="1AA6B2F1" w14:textId="77777777" w:rsidR="00593D11" w:rsidRPr="00CC2ACD" w:rsidRDefault="00593D11" w:rsidP="00593D11">
      <w:pPr>
        <w:ind w:left="720" w:hanging="720"/>
        <w:rPr>
          <w:rFonts w:cs="Times New Roman"/>
        </w:rPr>
      </w:pPr>
      <w:r>
        <w:t>———</w:t>
      </w:r>
      <w:r>
        <w:rPr>
          <w:rFonts w:cs="Times New Roman"/>
        </w:rPr>
        <w:t xml:space="preserve"> </w:t>
      </w:r>
      <w:r w:rsidRPr="00CC2ACD">
        <w:rPr>
          <w:rFonts w:cs="Times New Roman"/>
        </w:rPr>
        <w:t>“Sarkozy’s Africa Po</w:t>
      </w:r>
      <w:r>
        <w:rPr>
          <w:rFonts w:cs="Times New Roman"/>
        </w:rPr>
        <w:t>licy Shift.</w:t>
      </w:r>
      <w:r w:rsidRPr="00CC2ACD">
        <w:rPr>
          <w:rFonts w:cs="Times New Roman"/>
        </w:rPr>
        <w:t xml:space="preserve">” </w:t>
      </w:r>
      <w:r>
        <w:rPr>
          <w:rFonts w:cs="Times New Roman"/>
          <w:i/>
        </w:rPr>
        <w:t>BBC News.</w:t>
      </w:r>
      <w:r>
        <w:rPr>
          <w:rFonts w:cs="Times New Roman"/>
        </w:rPr>
        <w:t xml:space="preserve"> September 26, 2007. Accessed </w:t>
      </w:r>
      <w:r w:rsidRPr="00CC2ACD">
        <w:rPr>
          <w:rFonts w:cs="Times New Roman"/>
        </w:rPr>
        <w:t>Nov</w:t>
      </w:r>
      <w:r>
        <w:rPr>
          <w:rFonts w:cs="Times New Roman"/>
        </w:rPr>
        <w:t>ember 6,</w:t>
      </w:r>
      <w:r w:rsidRPr="00CC2ACD">
        <w:rPr>
          <w:rFonts w:cs="Times New Roman"/>
        </w:rPr>
        <w:t xml:space="preserve"> 2016.</w:t>
      </w:r>
      <w:r w:rsidRPr="00667A6F">
        <w:t xml:space="preserve"> </w:t>
      </w:r>
      <w:r w:rsidRPr="00667A6F">
        <w:rPr>
          <w:rFonts w:cs="Times New Roman"/>
        </w:rPr>
        <w:t>http://news.bbc.co.uk/2/hi/africa/7014776.stm</w:t>
      </w:r>
      <w:r>
        <w:rPr>
          <w:rFonts w:cs="Times New Roman"/>
        </w:rPr>
        <w:t>.</w:t>
      </w:r>
    </w:p>
    <w:p w14:paraId="082B7A22" w14:textId="77777777" w:rsidR="00593D11" w:rsidRPr="00CC2ACD" w:rsidRDefault="00593D11" w:rsidP="00593D11">
      <w:pPr>
        <w:ind w:left="720" w:hanging="720"/>
        <w:rPr>
          <w:rFonts w:cs="Times New Roman"/>
        </w:rPr>
      </w:pPr>
      <w:r>
        <w:t>———</w:t>
      </w:r>
      <w:r>
        <w:rPr>
          <w:rFonts w:cs="Times New Roman"/>
        </w:rPr>
        <w:t xml:space="preserve"> “Zimbabwe’s French Connection.</w:t>
      </w:r>
      <w:r w:rsidRPr="00CC2ACD">
        <w:rPr>
          <w:rFonts w:cs="Times New Roman"/>
        </w:rPr>
        <w:t xml:space="preserve">” </w:t>
      </w:r>
      <w:r>
        <w:rPr>
          <w:rFonts w:cs="Times New Roman"/>
          <w:i/>
        </w:rPr>
        <w:t>BBC News.</w:t>
      </w:r>
      <w:r w:rsidRPr="00CC2ACD">
        <w:rPr>
          <w:rFonts w:cs="Times New Roman"/>
          <w:i/>
        </w:rPr>
        <w:t xml:space="preserve"> </w:t>
      </w:r>
      <w:r>
        <w:rPr>
          <w:rFonts w:cs="Times New Roman"/>
        </w:rPr>
        <w:t>January 24, 2003. Accessed</w:t>
      </w:r>
      <w:r w:rsidRPr="00CC2ACD">
        <w:rPr>
          <w:rFonts w:cs="Times New Roman"/>
        </w:rPr>
        <w:t xml:space="preserve"> Oct</w:t>
      </w:r>
      <w:r>
        <w:rPr>
          <w:rFonts w:cs="Times New Roman"/>
        </w:rPr>
        <w:t>ober 26,</w:t>
      </w:r>
      <w:r w:rsidRPr="00CC2ACD">
        <w:rPr>
          <w:rFonts w:cs="Times New Roman"/>
        </w:rPr>
        <w:t xml:space="preserve"> 2016.</w:t>
      </w:r>
      <w:r>
        <w:rPr>
          <w:rFonts w:cs="Times New Roman"/>
        </w:rPr>
        <w:t xml:space="preserve"> </w:t>
      </w:r>
      <w:r w:rsidRPr="00667A6F">
        <w:rPr>
          <w:rFonts w:cs="Times New Roman"/>
        </w:rPr>
        <w:t>http://news.bbc.co.uk/2/hi/africa/2692343.stm</w:t>
      </w:r>
      <w:r>
        <w:rPr>
          <w:rFonts w:cs="Times New Roman"/>
        </w:rPr>
        <w:t>.</w:t>
      </w:r>
    </w:p>
    <w:p w14:paraId="06F90EC5" w14:textId="77777777" w:rsidR="00593D11" w:rsidRPr="00CC2ACD" w:rsidRDefault="00593D11" w:rsidP="00593D11">
      <w:pPr>
        <w:ind w:left="720" w:hanging="720"/>
        <w:rPr>
          <w:rFonts w:cs="Times New Roman"/>
        </w:rPr>
      </w:pPr>
      <w:r w:rsidRPr="00CC2ACD">
        <w:rPr>
          <w:rFonts w:cs="Times New Roman"/>
        </w:rPr>
        <w:t xml:space="preserve">Ayittey, </w:t>
      </w:r>
      <w:r>
        <w:rPr>
          <w:rFonts w:cs="Times New Roman"/>
        </w:rPr>
        <w:t xml:space="preserve">George B.N. </w:t>
      </w:r>
      <w:r w:rsidRPr="00CC2ACD">
        <w:rPr>
          <w:rFonts w:cs="Times New Roman"/>
          <w:i/>
        </w:rPr>
        <w:t>Africa Betrayed</w:t>
      </w:r>
      <w:r>
        <w:rPr>
          <w:rFonts w:cs="Times New Roman"/>
          <w:i/>
        </w:rPr>
        <w:t xml:space="preserve">. </w:t>
      </w:r>
      <w:r w:rsidRPr="00CC2ACD">
        <w:rPr>
          <w:rFonts w:cs="Times New Roman"/>
        </w:rPr>
        <w:t>New York</w:t>
      </w:r>
      <w:r>
        <w:rPr>
          <w:rFonts w:cs="Times New Roman"/>
        </w:rPr>
        <w:t>: St. Martin’s Press, 1992.</w:t>
      </w:r>
    </w:p>
    <w:p w14:paraId="1BB859AF" w14:textId="77777777" w:rsidR="00593D11" w:rsidRPr="00CC2ACD" w:rsidRDefault="00593D11" w:rsidP="00593D11">
      <w:pPr>
        <w:ind w:left="720" w:hanging="720"/>
        <w:rPr>
          <w:rFonts w:cs="Times New Roman"/>
        </w:rPr>
      </w:pPr>
      <w:r w:rsidRPr="00CC2ACD">
        <w:rPr>
          <w:rFonts w:cs="Times New Roman"/>
        </w:rPr>
        <w:t xml:space="preserve">Ba, </w:t>
      </w:r>
      <w:r>
        <w:rPr>
          <w:rFonts w:cs="Times New Roman"/>
        </w:rPr>
        <w:t xml:space="preserve">Oumar. </w:t>
      </w:r>
      <w:r w:rsidRPr="00CC2ACD">
        <w:rPr>
          <w:rFonts w:cs="Times New Roman"/>
        </w:rPr>
        <w:t xml:space="preserve">“Who is Laurent Gbagbo, and </w:t>
      </w:r>
      <w:r>
        <w:rPr>
          <w:rFonts w:cs="Times New Roman"/>
        </w:rPr>
        <w:t>Why Is He o</w:t>
      </w:r>
      <w:r w:rsidRPr="00CC2ACD">
        <w:rPr>
          <w:rFonts w:cs="Times New Roman"/>
        </w:rPr>
        <w:t xml:space="preserve">n Trial at the ICC?” </w:t>
      </w:r>
      <w:r>
        <w:rPr>
          <w:rFonts w:cs="Times New Roman"/>
          <w:i/>
        </w:rPr>
        <w:t xml:space="preserve">The Washington Post. </w:t>
      </w:r>
      <w:r w:rsidRPr="00CC2ACD">
        <w:rPr>
          <w:rFonts w:cs="Times New Roman"/>
        </w:rPr>
        <w:t>Feb</w:t>
      </w:r>
      <w:r>
        <w:rPr>
          <w:rFonts w:cs="Times New Roman"/>
        </w:rPr>
        <w:t>ruary 3,</w:t>
      </w:r>
      <w:r w:rsidRPr="00CC2ACD">
        <w:rPr>
          <w:rFonts w:cs="Times New Roman"/>
        </w:rPr>
        <w:t xml:space="preserve"> 2016.</w:t>
      </w:r>
      <w:r>
        <w:rPr>
          <w:rFonts w:cs="Times New Roman"/>
        </w:rPr>
        <w:t xml:space="preserve"> Accessed January 10, 2017.</w:t>
      </w:r>
      <w:r w:rsidRPr="00667A6F">
        <w:t xml:space="preserve"> </w:t>
      </w:r>
      <w:r w:rsidRPr="00667A6F">
        <w:rPr>
          <w:rFonts w:cs="Times New Roman"/>
        </w:rPr>
        <w:t>https://www.washingtonpost.com/news/monkey-cage/wp/2016/02/03/who-is-laurent-gbagbo-and-why-is-he-on-trial-at-the-icc/?utm_term=.b913192ac06c</w:t>
      </w:r>
      <w:r>
        <w:rPr>
          <w:rFonts w:cs="Times New Roman"/>
        </w:rPr>
        <w:t xml:space="preserve">. </w:t>
      </w:r>
    </w:p>
    <w:p w14:paraId="0A55584F" w14:textId="77777777" w:rsidR="00593D11" w:rsidRPr="00CC2ACD" w:rsidRDefault="00593D11" w:rsidP="00593D11">
      <w:pPr>
        <w:ind w:left="720" w:hanging="720"/>
        <w:rPr>
          <w:rFonts w:eastAsia="Times New Roman" w:cs="Times New Roman"/>
          <w:color w:val="000000"/>
          <w:lang w:eastAsia="en-US"/>
        </w:rPr>
      </w:pPr>
      <w:r w:rsidRPr="00CC2ACD">
        <w:rPr>
          <w:rFonts w:eastAsia="Times New Roman" w:cs="Times New Roman"/>
          <w:color w:val="000000"/>
          <w:lang w:eastAsia="en-US"/>
        </w:rPr>
        <w:t xml:space="preserve">Bailey, Michael, Anton Strezhnev, and Erik Voeten. “Estimating Dynamic State Preferences from UN Voting Data.” Forthcoming </w:t>
      </w:r>
      <w:r w:rsidRPr="00CC2ACD">
        <w:rPr>
          <w:rFonts w:eastAsia="Times New Roman" w:cs="Times New Roman"/>
          <w:i/>
          <w:color w:val="000000"/>
          <w:lang w:eastAsia="en-US"/>
        </w:rPr>
        <w:t>Journal of Conflict Resolution.</w:t>
      </w:r>
    </w:p>
    <w:p w14:paraId="072977FD" w14:textId="77777777" w:rsidR="00593D11" w:rsidRPr="00CC2ACD" w:rsidRDefault="00593D11" w:rsidP="00593D11">
      <w:pPr>
        <w:ind w:left="720" w:hanging="720"/>
        <w:rPr>
          <w:rFonts w:cs="Times New Roman"/>
        </w:rPr>
      </w:pPr>
      <w:r>
        <w:rPr>
          <w:rFonts w:cs="Times New Roman"/>
        </w:rPr>
        <w:t>B</w:t>
      </w:r>
      <w:r w:rsidRPr="00CC2ACD">
        <w:rPr>
          <w:rFonts w:cs="Times New Roman"/>
        </w:rPr>
        <w:t>alla</w:t>
      </w:r>
      <w:r>
        <w:rPr>
          <w:rFonts w:cs="Times New Roman"/>
        </w:rPr>
        <w:t xml:space="preserve">, Eliana and Gina Yannitell Reinhardt. </w:t>
      </w:r>
      <w:r w:rsidRPr="00CC2ACD">
        <w:rPr>
          <w:rFonts w:cs="Times New Roman"/>
        </w:rPr>
        <w:t>"Giving and Receiving Foreign Aid: Does Conflict Count?</w:t>
      </w:r>
      <w:r>
        <w:rPr>
          <w:rFonts w:cs="Times New Roman"/>
        </w:rPr>
        <w:t>”</w:t>
      </w:r>
      <w:r w:rsidRPr="00CC2ACD">
        <w:rPr>
          <w:rFonts w:cs="Times New Roman"/>
        </w:rPr>
        <w:t xml:space="preserve"> </w:t>
      </w:r>
      <w:r w:rsidRPr="00CC2ACD">
        <w:rPr>
          <w:rFonts w:cs="Times New Roman"/>
          <w:i/>
          <w:iCs/>
        </w:rPr>
        <w:t xml:space="preserve">World Development </w:t>
      </w:r>
      <w:r w:rsidRPr="00CC2ACD">
        <w:rPr>
          <w:rFonts w:cs="Times New Roman"/>
        </w:rPr>
        <w:t xml:space="preserve">36.12 (2008) </w:t>
      </w:r>
      <w:r w:rsidRPr="00BD6A17">
        <w:rPr>
          <w:rFonts w:cs="Times New Roman"/>
        </w:rPr>
        <w:t>2566-2585.</w:t>
      </w:r>
    </w:p>
    <w:p w14:paraId="5CECDB9B" w14:textId="77777777" w:rsidR="00593D11" w:rsidRPr="00CC2ACD" w:rsidRDefault="00593D11" w:rsidP="00593D11">
      <w:pPr>
        <w:ind w:left="720" w:hanging="720"/>
        <w:rPr>
          <w:rFonts w:cs="Times New Roman"/>
        </w:rPr>
      </w:pPr>
      <w:r w:rsidRPr="00CC2ACD">
        <w:rPr>
          <w:rFonts w:cs="Times New Roman"/>
        </w:rPr>
        <w:t>Barbière,</w:t>
      </w:r>
      <w:r>
        <w:rPr>
          <w:rFonts w:cs="Times New Roman"/>
        </w:rPr>
        <w:t xml:space="preserve"> Cécile. “French Development Aid and F</w:t>
      </w:r>
      <w:r w:rsidRPr="00CC2ACD">
        <w:rPr>
          <w:rFonts w:cs="Times New Roman"/>
        </w:rPr>
        <w:t>ranco</w:t>
      </w:r>
      <w:r>
        <w:rPr>
          <w:rFonts w:cs="Times New Roman"/>
        </w:rPr>
        <w:t>phonie Make Unlikely Bedfellows.</w:t>
      </w:r>
      <w:r w:rsidRPr="00CC2ACD">
        <w:rPr>
          <w:rFonts w:cs="Times New Roman"/>
        </w:rPr>
        <w:t xml:space="preserve">” </w:t>
      </w:r>
      <w:r>
        <w:rPr>
          <w:rFonts w:cs="Times New Roman"/>
          <w:i/>
        </w:rPr>
        <w:t xml:space="preserve">EurActiv. </w:t>
      </w:r>
      <w:r>
        <w:rPr>
          <w:rFonts w:cs="Times New Roman"/>
        </w:rPr>
        <w:t xml:space="preserve">January 8, 2015. Accessed </w:t>
      </w:r>
      <w:r w:rsidRPr="00CC2ACD">
        <w:rPr>
          <w:rFonts w:cs="Times New Roman"/>
        </w:rPr>
        <w:t>Jan</w:t>
      </w:r>
      <w:r>
        <w:rPr>
          <w:rFonts w:cs="Times New Roman"/>
        </w:rPr>
        <w:t>uary 30,</w:t>
      </w:r>
      <w:r w:rsidRPr="00CC2ACD">
        <w:rPr>
          <w:rFonts w:cs="Times New Roman"/>
        </w:rPr>
        <w:t xml:space="preserve"> 2017.</w:t>
      </w:r>
      <w:r w:rsidRPr="00667A6F">
        <w:t xml:space="preserve"> </w:t>
      </w:r>
      <w:r w:rsidRPr="00667A6F">
        <w:rPr>
          <w:rFonts w:cs="Times New Roman"/>
        </w:rPr>
        <w:t>http://www.euractiv.com/section/development-policy/news/french-development-aid-and-francophonie-make-unlikely-bedfellows/</w:t>
      </w:r>
      <w:r>
        <w:rPr>
          <w:rFonts w:cs="Times New Roman"/>
        </w:rPr>
        <w:t xml:space="preserve">. </w:t>
      </w:r>
    </w:p>
    <w:p w14:paraId="05B1BA14" w14:textId="77777777" w:rsidR="00593D11" w:rsidRPr="00CC2ACD" w:rsidRDefault="00593D11" w:rsidP="00593D11">
      <w:pPr>
        <w:ind w:left="720" w:hanging="720"/>
        <w:rPr>
          <w:rFonts w:eastAsia="Times New Roman" w:cs="Times New Roman"/>
          <w:color w:val="000000"/>
          <w:lang w:eastAsia="en-US"/>
        </w:rPr>
      </w:pPr>
      <w:r w:rsidRPr="0060581A">
        <w:rPr>
          <w:rFonts w:eastAsia="Times New Roman" w:cs="Times New Roman"/>
          <w:color w:val="000000"/>
          <w:lang w:eastAsia="en-US"/>
        </w:rPr>
        <w:t xml:space="preserve">Barbieri, Katherine and Omar Keshk.  </w:t>
      </w:r>
      <w:r w:rsidRPr="0060581A">
        <w:rPr>
          <w:rFonts w:eastAsia="Times New Roman" w:cs="Times New Roman"/>
          <w:i/>
          <w:iCs/>
          <w:color w:val="000000"/>
          <w:lang w:eastAsia="en-US"/>
        </w:rPr>
        <w:t xml:space="preserve">Correlates of War Project Trade Data Set Codebook, Version 3.0. </w:t>
      </w:r>
      <w:r w:rsidRPr="0060581A">
        <w:rPr>
          <w:rFonts w:eastAsia="Times New Roman" w:cs="Times New Roman"/>
          <w:iCs/>
          <w:color w:val="000000"/>
          <w:lang w:eastAsia="en-US"/>
        </w:rPr>
        <w:t>2012.</w:t>
      </w:r>
      <w:r w:rsidRPr="0060581A">
        <w:rPr>
          <w:rFonts w:eastAsia="Times New Roman" w:cs="Times New Roman"/>
          <w:i/>
          <w:iCs/>
          <w:color w:val="000000"/>
          <w:lang w:eastAsia="en-US"/>
        </w:rPr>
        <w:t xml:space="preserve"> </w:t>
      </w:r>
      <w:r w:rsidRPr="0060581A">
        <w:rPr>
          <w:rFonts w:eastAsia="Times New Roman" w:cs="Times New Roman"/>
          <w:color w:val="000000"/>
          <w:lang w:eastAsia="en-US"/>
        </w:rPr>
        <w:t>August 18, 2014. http://correlatesofwar.org.</w:t>
      </w:r>
    </w:p>
    <w:p w14:paraId="0E3C52E8" w14:textId="77777777" w:rsidR="00593D11" w:rsidRPr="00CC2ACD" w:rsidRDefault="00593D11" w:rsidP="00593D11">
      <w:pPr>
        <w:ind w:left="720" w:hanging="720"/>
        <w:rPr>
          <w:rFonts w:cs="Times New Roman"/>
        </w:rPr>
      </w:pPr>
      <w:r w:rsidRPr="00702F5C">
        <w:rPr>
          <w:rFonts w:cs="Times New Roman"/>
          <w:i/>
        </w:rPr>
        <w:t xml:space="preserve">BBC News. </w:t>
      </w:r>
      <w:r w:rsidRPr="00702F5C">
        <w:rPr>
          <w:rFonts w:cs="Times New Roman"/>
        </w:rPr>
        <w:t>“Franco-African Summit Contrasts.” 21 Feb 2003. Accessed 25 Oct 2016. http://news.bbc.co.uk/2/hi/europe/2787155.stm.</w:t>
      </w:r>
    </w:p>
    <w:p w14:paraId="3B454641" w14:textId="77777777" w:rsidR="00593D11" w:rsidRDefault="00593D11" w:rsidP="00593D11">
      <w:pPr>
        <w:ind w:left="720" w:hanging="720"/>
        <w:rPr>
          <w:rFonts w:cs="Times New Roman"/>
        </w:rPr>
      </w:pPr>
      <w:r>
        <w:t>———</w:t>
      </w:r>
      <w:r w:rsidRPr="00CC2ACD">
        <w:rPr>
          <w:rFonts w:cs="Times New Roman"/>
        </w:rPr>
        <w:t xml:space="preserve"> “Frenc</w:t>
      </w:r>
      <w:r>
        <w:rPr>
          <w:rFonts w:cs="Times New Roman"/>
        </w:rPr>
        <w:t>h Peace Drive in Central Africa.</w:t>
      </w:r>
      <w:r w:rsidRPr="00CC2ACD">
        <w:rPr>
          <w:rFonts w:cs="Times New Roman"/>
        </w:rPr>
        <w:t xml:space="preserve">” </w:t>
      </w:r>
      <w:r>
        <w:rPr>
          <w:rFonts w:cs="Times New Roman"/>
        </w:rPr>
        <w:t>August 14, 2001. A</w:t>
      </w:r>
      <w:r w:rsidRPr="00CC2ACD">
        <w:rPr>
          <w:rFonts w:cs="Times New Roman"/>
        </w:rPr>
        <w:t>ccessed  Oct</w:t>
      </w:r>
      <w:r>
        <w:rPr>
          <w:rFonts w:cs="Times New Roman"/>
        </w:rPr>
        <w:t>ober 26,</w:t>
      </w:r>
      <w:r w:rsidRPr="00CC2ACD">
        <w:rPr>
          <w:rFonts w:cs="Times New Roman"/>
        </w:rPr>
        <w:t xml:space="preserve"> 2016. </w:t>
      </w:r>
      <w:r w:rsidRPr="00D272AA">
        <w:rPr>
          <w:rFonts w:cs="Times New Roman"/>
        </w:rPr>
        <w:t>http://www.bbclinksmachine.appspot.com/2/hi/africa/1488112.stm</w:t>
      </w:r>
      <w:r>
        <w:rPr>
          <w:rFonts w:cs="Times New Roman"/>
        </w:rPr>
        <w:t>.</w:t>
      </w:r>
    </w:p>
    <w:p w14:paraId="6BA4F963" w14:textId="77777777" w:rsidR="00593D11" w:rsidRPr="00CC2ACD" w:rsidRDefault="00593D11" w:rsidP="00593D11">
      <w:pPr>
        <w:ind w:left="720" w:hanging="720"/>
        <w:rPr>
          <w:rFonts w:cs="Times New Roman"/>
        </w:rPr>
      </w:pPr>
      <w:r>
        <w:t>———</w:t>
      </w:r>
      <w:r w:rsidRPr="00CC2ACD">
        <w:rPr>
          <w:rFonts w:cs="Times New Roman"/>
        </w:rPr>
        <w:t xml:space="preserve"> “What </w:t>
      </w:r>
      <w:r>
        <w:rPr>
          <w:rFonts w:cs="Times New Roman"/>
        </w:rPr>
        <w:t>W</w:t>
      </w:r>
      <w:r w:rsidRPr="00CC2ACD">
        <w:rPr>
          <w:rFonts w:cs="Times New Roman"/>
        </w:rPr>
        <w:t xml:space="preserve">ill François Hollande </w:t>
      </w:r>
      <w:r>
        <w:rPr>
          <w:rFonts w:cs="Times New Roman"/>
        </w:rPr>
        <w:t>M</w:t>
      </w:r>
      <w:r w:rsidRPr="00CC2ACD">
        <w:rPr>
          <w:rFonts w:cs="Times New Roman"/>
        </w:rPr>
        <w:t xml:space="preserve">ean for Africa?” </w:t>
      </w:r>
      <w:r>
        <w:rPr>
          <w:rFonts w:cs="Times New Roman"/>
        </w:rPr>
        <w:t xml:space="preserve">May 9, 2012. Accessed </w:t>
      </w:r>
      <w:r w:rsidRPr="00CC2ACD">
        <w:rPr>
          <w:rFonts w:cs="Times New Roman"/>
        </w:rPr>
        <w:t>Oct</w:t>
      </w:r>
      <w:r>
        <w:rPr>
          <w:rFonts w:cs="Times New Roman"/>
        </w:rPr>
        <w:t>ober 27,</w:t>
      </w:r>
      <w:r w:rsidRPr="00CC2ACD">
        <w:rPr>
          <w:rFonts w:cs="Times New Roman"/>
        </w:rPr>
        <w:t xml:space="preserve"> 2016.</w:t>
      </w:r>
      <w:r w:rsidRPr="00B85B39">
        <w:t xml:space="preserve"> </w:t>
      </w:r>
      <w:r w:rsidRPr="00B85B39">
        <w:rPr>
          <w:rFonts w:cs="Times New Roman"/>
        </w:rPr>
        <w:t>http://www.bbc.com/news/world-africa-17994290</w:t>
      </w:r>
      <w:r>
        <w:rPr>
          <w:rFonts w:cs="Times New Roman"/>
        </w:rPr>
        <w:t>.</w:t>
      </w:r>
    </w:p>
    <w:p w14:paraId="330039A3" w14:textId="77777777" w:rsidR="00593D11" w:rsidRPr="00CC2ACD" w:rsidRDefault="00593D11" w:rsidP="00593D11">
      <w:pPr>
        <w:ind w:left="720" w:hanging="720"/>
        <w:rPr>
          <w:rFonts w:cs="Times New Roman"/>
        </w:rPr>
      </w:pPr>
      <w:r w:rsidRPr="00CC2ACD">
        <w:rPr>
          <w:rFonts w:cs="Times New Roman"/>
        </w:rPr>
        <w:t xml:space="preserve">Bender, </w:t>
      </w:r>
      <w:r>
        <w:rPr>
          <w:rFonts w:cs="Times New Roman"/>
        </w:rPr>
        <w:t xml:space="preserve">Jeremy. </w:t>
      </w:r>
      <w:r w:rsidRPr="00CC2ACD">
        <w:rPr>
          <w:rFonts w:cs="Times New Roman"/>
        </w:rPr>
        <w:t xml:space="preserve">“France’s Military Is </w:t>
      </w:r>
      <w:r>
        <w:rPr>
          <w:rFonts w:cs="Times New Roman"/>
        </w:rPr>
        <w:t>All Over Africa.” January 22, 2015. Accessed October 26, 2016.</w:t>
      </w:r>
      <w:r w:rsidRPr="00CC2ACD">
        <w:rPr>
          <w:rFonts w:cs="Times New Roman"/>
        </w:rPr>
        <w:t xml:space="preserve"> Business Insider. </w:t>
      </w:r>
      <w:r w:rsidRPr="00B738EE">
        <w:rPr>
          <w:rFonts w:eastAsia="Times New Roman" w:cs="Times New Roman"/>
          <w:color w:val="000000"/>
          <w:lang w:eastAsia="en-US"/>
        </w:rPr>
        <w:t>http://www.businessinsider.com/frances-military-is-all-over-africa-2015-1</w:t>
      </w:r>
      <w:r>
        <w:rPr>
          <w:rFonts w:eastAsia="Times New Roman" w:cs="Times New Roman"/>
          <w:color w:val="000000"/>
          <w:lang w:eastAsia="en-US"/>
        </w:rPr>
        <w:t>.</w:t>
      </w:r>
    </w:p>
    <w:p w14:paraId="2AAFE0A2" w14:textId="77777777" w:rsidR="00593D11" w:rsidRPr="00CC2ACD" w:rsidRDefault="00593D11" w:rsidP="00593D11">
      <w:pPr>
        <w:ind w:left="720" w:hanging="720"/>
        <w:rPr>
          <w:rFonts w:cs="Times New Roman"/>
        </w:rPr>
      </w:pPr>
      <w:r w:rsidRPr="00CC2ACD">
        <w:rPr>
          <w:rFonts w:cs="Times New Roman"/>
        </w:rPr>
        <w:t xml:space="preserve">Benoit, </w:t>
      </w:r>
      <w:r>
        <w:rPr>
          <w:rFonts w:cs="Times New Roman"/>
        </w:rPr>
        <w:t xml:space="preserve">Piet. </w:t>
      </w:r>
      <w:r w:rsidRPr="00CC2ACD">
        <w:rPr>
          <w:rFonts w:cs="Times New Roman"/>
        </w:rPr>
        <w:t xml:space="preserve">“Françafrique: The </w:t>
      </w:r>
      <w:r>
        <w:rPr>
          <w:rFonts w:cs="Times New Roman"/>
        </w:rPr>
        <w:t>Evolution o</w:t>
      </w:r>
      <w:r w:rsidRPr="00CC2ACD">
        <w:rPr>
          <w:rFonts w:cs="Times New Roman"/>
        </w:rPr>
        <w:t xml:space="preserve">f France’s </w:t>
      </w:r>
      <w:r>
        <w:rPr>
          <w:rFonts w:cs="Times New Roman"/>
        </w:rPr>
        <w:t>Interference i</w:t>
      </w:r>
      <w:r w:rsidRPr="00CC2ACD">
        <w:rPr>
          <w:rFonts w:cs="Times New Roman"/>
        </w:rPr>
        <w:t>n Afri</w:t>
      </w:r>
      <w:r>
        <w:rPr>
          <w:rFonts w:cs="Times New Roman"/>
        </w:rPr>
        <w:t>ca.</w:t>
      </w:r>
      <w:r w:rsidRPr="00CC2ACD">
        <w:rPr>
          <w:rFonts w:cs="Times New Roman"/>
        </w:rPr>
        <w:t xml:space="preserve">” </w:t>
      </w:r>
      <w:r>
        <w:rPr>
          <w:rFonts w:cs="Times New Roman"/>
          <w:i/>
        </w:rPr>
        <w:t xml:space="preserve">Al Arabiya English. </w:t>
      </w:r>
      <w:r>
        <w:rPr>
          <w:rFonts w:cs="Times New Roman"/>
        </w:rPr>
        <w:t>August 26, 2015. A</w:t>
      </w:r>
      <w:r w:rsidRPr="00CC2ACD">
        <w:rPr>
          <w:rFonts w:cs="Times New Roman"/>
        </w:rPr>
        <w:t>ccessed Oct</w:t>
      </w:r>
      <w:r>
        <w:rPr>
          <w:rFonts w:cs="Times New Roman"/>
        </w:rPr>
        <w:t>ober 27,</w:t>
      </w:r>
      <w:r w:rsidRPr="00CC2ACD">
        <w:rPr>
          <w:rFonts w:cs="Times New Roman"/>
        </w:rPr>
        <w:t xml:space="preserve"> 2016.</w:t>
      </w:r>
      <w:r w:rsidRPr="00667A6F">
        <w:t xml:space="preserve"> </w:t>
      </w:r>
      <w:r w:rsidRPr="00667A6F">
        <w:rPr>
          <w:rFonts w:cs="Times New Roman"/>
        </w:rPr>
        <w:t>http://english.alarabiya.net/en/perspective/analysis/2015/08/26/Fran-afrique-The-evolution-of-France-s-interference-in-Africa.html</w:t>
      </w:r>
      <w:r>
        <w:rPr>
          <w:rFonts w:cs="Times New Roman"/>
        </w:rPr>
        <w:t xml:space="preserve">. </w:t>
      </w:r>
    </w:p>
    <w:p w14:paraId="38496618" w14:textId="77777777" w:rsidR="00593D11" w:rsidRPr="00CC2ACD" w:rsidRDefault="00593D11" w:rsidP="00593D11">
      <w:pPr>
        <w:ind w:left="720" w:hanging="720"/>
        <w:rPr>
          <w:rFonts w:cs="Times New Roman"/>
        </w:rPr>
      </w:pPr>
      <w:r w:rsidRPr="00CC2ACD">
        <w:rPr>
          <w:rFonts w:cs="Times New Roman"/>
        </w:rPr>
        <w:t>Bernstein,</w:t>
      </w:r>
      <w:r>
        <w:rPr>
          <w:rFonts w:cs="Times New Roman"/>
        </w:rPr>
        <w:t xml:space="preserve"> Richard.</w:t>
      </w:r>
      <w:r w:rsidRPr="00CC2ACD">
        <w:rPr>
          <w:rFonts w:cs="Times New Roman"/>
        </w:rPr>
        <w:t xml:space="preserve"> “In Africa, F</w:t>
      </w:r>
      <w:r>
        <w:rPr>
          <w:rFonts w:cs="Times New Roman"/>
        </w:rPr>
        <w:t>rance is Still a Military Power.</w:t>
      </w:r>
      <w:r w:rsidRPr="00CC2ACD">
        <w:rPr>
          <w:rFonts w:cs="Times New Roman"/>
        </w:rPr>
        <w:t xml:space="preserve">” </w:t>
      </w:r>
      <w:r>
        <w:rPr>
          <w:rFonts w:cs="Times New Roman"/>
          <w:i/>
        </w:rPr>
        <w:t>The New York Times.</w:t>
      </w:r>
      <w:r w:rsidRPr="00CC2ACD">
        <w:rPr>
          <w:rFonts w:cs="Times New Roman"/>
          <w:i/>
        </w:rPr>
        <w:t xml:space="preserve"> </w:t>
      </w:r>
      <w:r>
        <w:rPr>
          <w:rFonts w:cs="Times New Roman"/>
        </w:rPr>
        <w:t>April 19, 1987. A</w:t>
      </w:r>
      <w:r w:rsidRPr="00CC2ACD">
        <w:rPr>
          <w:rFonts w:cs="Times New Roman"/>
        </w:rPr>
        <w:t>ccessed Oct</w:t>
      </w:r>
      <w:r>
        <w:rPr>
          <w:rFonts w:cs="Times New Roman"/>
        </w:rPr>
        <w:t>ober 26,</w:t>
      </w:r>
      <w:r w:rsidRPr="00CC2ACD">
        <w:rPr>
          <w:rFonts w:cs="Times New Roman"/>
        </w:rPr>
        <w:t xml:space="preserve"> 2016. </w:t>
      </w:r>
      <w:r w:rsidRPr="00667A6F">
        <w:rPr>
          <w:rFonts w:cs="Times New Roman"/>
        </w:rPr>
        <w:t>http://www.nytimes.com/1987/04/19/weekinreview/in-africa-france-is-still-a-military-power.html</w:t>
      </w:r>
      <w:r>
        <w:rPr>
          <w:rFonts w:cs="Times New Roman"/>
        </w:rPr>
        <w:t>.</w:t>
      </w:r>
    </w:p>
    <w:p w14:paraId="72DE65E1" w14:textId="77777777" w:rsidR="00593D11" w:rsidRPr="00CC2ACD" w:rsidRDefault="00593D11" w:rsidP="00593D11">
      <w:pPr>
        <w:pStyle w:val="FootnoteText"/>
        <w:ind w:left="720" w:hanging="720"/>
        <w:rPr>
          <w:rFonts w:cs="Times New Roman"/>
        </w:rPr>
      </w:pPr>
      <w:r w:rsidRPr="00CC2ACD">
        <w:rPr>
          <w:rFonts w:cs="Times New Roman"/>
        </w:rPr>
        <w:t xml:space="preserve">Berthelemy, </w:t>
      </w:r>
      <w:r>
        <w:rPr>
          <w:rFonts w:cs="Times New Roman"/>
        </w:rPr>
        <w:t xml:space="preserve">Jean Claude. </w:t>
      </w:r>
      <w:r w:rsidRPr="00CC2ACD">
        <w:rPr>
          <w:rFonts w:cs="Times New Roman"/>
        </w:rPr>
        <w:t xml:space="preserve">“Bilateral </w:t>
      </w:r>
      <w:r>
        <w:rPr>
          <w:rFonts w:cs="Times New Roman"/>
        </w:rPr>
        <w:t>Donors’ Interest v</w:t>
      </w:r>
      <w:r w:rsidRPr="00CC2ACD">
        <w:rPr>
          <w:rFonts w:cs="Times New Roman"/>
        </w:rPr>
        <w:t>s. R</w:t>
      </w:r>
      <w:r>
        <w:rPr>
          <w:rFonts w:cs="Times New Roman"/>
        </w:rPr>
        <w:t>ecipients’ Development Motives i</w:t>
      </w:r>
      <w:r w:rsidRPr="00CC2ACD">
        <w:rPr>
          <w:rFonts w:cs="Times New Roman"/>
        </w:rPr>
        <w:t>n Aid Al</w:t>
      </w:r>
      <w:r>
        <w:rPr>
          <w:rFonts w:cs="Times New Roman"/>
        </w:rPr>
        <w:t>location: Do All Donors Behave t</w:t>
      </w:r>
      <w:r w:rsidRPr="00CC2ACD">
        <w:rPr>
          <w:rFonts w:cs="Times New Roman"/>
        </w:rPr>
        <w:t xml:space="preserve">he Same?” </w:t>
      </w:r>
      <w:r w:rsidRPr="00CC2ACD">
        <w:rPr>
          <w:rFonts w:cs="Times New Roman"/>
          <w:i/>
        </w:rPr>
        <w:t xml:space="preserve">Cahiers de Maison des Sciences Economiques </w:t>
      </w:r>
      <w:r>
        <w:rPr>
          <w:rFonts w:cs="Times New Roman"/>
        </w:rPr>
        <w:t>(2005): 1-36.</w:t>
      </w:r>
    </w:p>
    <w:p w14:paraId="58F76DA9" w14:textId="77777777" w:rsidR="00593D11" w:rsidRPr="00CC2ACD" w:rsidRDefault="00593D11" w:rsidP="00593D11">
      <w:pPr>
        <w:pStyle w:val="FootnoteText"/>
        <w:ind w:left="720" w:hanging="720"/>
        <w:rPr>
          <w:rFonts w:cs="Times New Roman"/>
        </w:rPr>
      </w:pPr>
    </w:p>
    <w:p w14:paraId="2736CF3A" w14:textId="77777777" w:rsidR="00593D11" w:rsidRPr="00CC2ACD" w:rsidRDefault="00593D11" w:rsidP="00593D11">
      <w:pPr>
        <w:ind w:left="720" w:hanging="720"/>
        <w:rPr>
          <w:rFonts w:cs="Times New Roman"/>
        </w:rPr>
      </w:pPr>
      <w:r w:rsidRPr="00CC2ACD">
        <w:rPr>
          <w:rFonts w:cs="Times New Roman"/>
        </w:rPr>
        <w:t>Bertocchi</w:t>
      </w:r>
      <w:r>
        <w:rPr>
          <w:rFonts w:cs="Times New Roman"/>
        </w:rPr>
        <w:t>, Grazeilla and Fabio Canova.</w:t>
      </w:r>
      <w:r w:rsidRPr="00CC2ACD">
        <w:rPr>
          <w:rFonts w:cs="Times New Roman"/>
        </w:rPr>
        <w:t xml:space="preserve"> “Did Colonization Matter For Growth? An Empirical Exploration </w:t>
      </w:r>
      <w:r>
        <w:rPr>
          <w:rFonts w:cs="Times New Roman"/>
        </w:rPr>
        <w:t>I</w:t>
      </w:r>
      <w:r w:rsidRPr="00CC2ACD">
        <w:rPr>
          <w:rFonts w:cs="Times New Roman"/>
        </w:rPr>
        <w:t xml:space="preserve">nto </w:t>
      </w:r>
      <w:r>
        <w:rPr>
          <w:rFonts w:cs="Times New Roman"/>
        </w:rPr>
        <w:t>t</w:t>
      </w:r>
      <w:r w:rsidRPr="00CC2ACD">
        <w:rPr>
          <w:rFonts w:cs="Times New Roman"/>
        </w:rPr>
        <w:t xml:space="preserve">he Historical Causes </w:t>
      </w:r>
      <w:r>
        <w:rPr>
          <w:rFonts w:cs="Times New Roman"/>
        </w:rPr>
        <w:t>o</w:t>
      </w:r>
      <w:r w:rsidRPr="00CC2ACD">
        <w:rPr>
          <w:rFonts w:cs="Times New Roman"/>
        </w:rPr>
        <w:t>f Af</w:t>
      </w:r>
      <w:r>
        <w:rPr>
          <w:rFonts w:cs="Times New Roman"/>
        </w:rPr>
        <w:t>rica’s Underdevelopment.</w:t>
      </w:r>
      <w:r w:rsidRPr="00CC2ACD">
        <w:rPr>
          <w:rFonts w:cs="Times New Roman"/>
        </w:rPr>
        <w:t xml:space="preserve">” </w:t>
      </w:r>
      <w:r w:rsidRPr="00CC2ACD">
        <w:rPr>
          <w:rFonts w:cs="Times New Roman"/>
          <w:i/>
        </w:rPr>
        <w:t xml:space="preserve">European Economic Review </w:t>
      </w:r>
      <w:r>
        <w:rPr>
          <w:rFonts w:cs="Times New Roman"/>
        </w:rPr>
        <w:t xml:space="preserve">46 (2002): 1851-1871. </w:t>
      </w:r>
    </w:p>
    <w:p w14:paraId="7CB8ADF2" w14:textId="77777777" w:rsidR="00593D11" w:rsidRPr="00CC2ACD" w:rsidRDefault="00593D11" w:rsidP="00593D11">
      <w:pPr>
        <w:ind w:left="720" w:hanging="720"/>
        <w:rPr>
          <w:rFonts w:cs="Times New Roman"/>
        </w:rPr>
      </w:pPr>
      <w:r w:rsidRPr="00CC2ACD">
        <w:rPr>
          <w:rFonts w:cs="Times New Roman"/>
        </w:rPr>
        <w:t xml:space="preserve">Boisbouvier, </w:t>
      </w:r>
      <w:r>
        <w:rPr>
          <w:rFonts w:cs="Times New Roman"/>
        </w:rPr>
        <w:t xml:space="preserve">Christophe. </w:t>
      </w:r>
      <w:r w:rsidRPr="00CC2ACD">
        <w:rPr>
          <w:rFonts w:cs="Times New Roman"/>
        </w:rPr>
        <w:t>“50 Years Later</w:t>
      </w:r>
      <w:r>
        <w:rPr>
          <w:rFonts w:cs="Times New Roman"/>
        </w:rPr>
        <w:t>, Françafrique Is Alive and Well.</w:t>
      </w:r>
      <w:r w:rsidRPr="00CC2ACD">
        <w:rPr>
          <w:rFonts w:cs="Times New Roman"/>
        </w:rPr>
        <w:t xml:space="preserve">” </w:t>
      </w:r>
      <w:r>
        <w:rPr>
          <w:rFonts w:cs="Times New Roman"/>
          <w:i/>
        </w:rPr>
        <w:t>RFI.</w:t>
      </w:r>
      <w:r>
        <w:rPr>
          <w:rFonts w:cs="Times New Roman"/>
        </w:rPr>
        <w:t xml:space="preserve"> February 20, 2010. A</w:t>
      </w:r>
      <w:r w:rsidRPr="00CC2ACD">
        <w:rPr>
          <w:rFonts w:cs="Times New Roman"/>
        </w:rPr>
        <w:t>ccessed Oct</w:t>
      </w:r>
      <w:r>
        <w:rPr>
          <w:rFonts w:cs="Times New Roman"/>
        </w:rPr>
        <w:t>ober</w:t>
      </w:r>
      <w:r w:rsidRPr="00CC2ACD">
        <w:rPr>
          <w:rFonts w:cs="Times New Roman"/>
        </w:rPr>
        <w:t xml:space="preserve"> 25, 2016.</w:t>
      </w:r>
      <w:r w:rsidRPr="00667A6F">
        <w:t xml:space="preserve"> </w:t>
      </w:r>
      <w:r w:rsidRPr="00667A6F">
        <w:rPr>
          <w:rFonts w:cs="Times New Roman"/>
        </w:rPr>
        <w:t>http://en.rfi.fr/africa/20100216-50-years-later-francafrique-alive-and-well</w:t>
      </w:r>
      <w:r>
        <w:rPr>
          <w:rFonts w:cs="Times New Roman"/>
        </w:rPr>
        <w:t xml:space="preserve">. </w:t>
      </w:r>
    </w:p>
    <w:p w14:paraId="53F620DD" w14:textId="77777777" w:rsidR="00593D11" w:rsidRPr="00CC2ACD" w:rsidRDefault="00593D11" w:rsidP="00593D11">
      <w:pPr>
        <w:ind w:left="720" w:hanging="720"/>
        <w:rPr>
          <w:rFonts w:cs="Times New Roman"/>
        </w:rPr>
      </w:pPr>
      <w:r w:rsidRPr="00CC2ACD">
        <w:rPr>
          <w:rFonts w:cs="Times New Roman"/>
        </w:rPr>
        <w:t xml:space="preserve">Bovcon, </w:t>
      </w:r>
      <w:r>
        <w:rPr>
          <w:rFonts w:cs="Times New Roman"/>
        </w:rPr>
        <w:t xml:space="preserve">Maja. </w:t>
      </w:r>
      <w:r w:rsidRPr="00CC2ACD">
        <w:rPr>
          <w:rFonts w:cs="Times New Roman"/>
        </w:rPr>
        <w:t>“</w:t>
      </w:r>
      <w:r w:rsidRPr="00CC2ACD">
        <w:rPr>
          <w:rFonts w:cs="Times New Roman"/>
          <w:i/>
        </w:rPr>
        <w:t xml:space="preserve">Françafrique </w:t>
      </w:r>
      <w:r>
        <w:rPr>
          <w:rFonts w:cs="Times New Roman"/>
        </w:rPr>
        <w:t>and Regime Theory.</w:t>
      </w:r>
      <w:r w:rsidRPr="00CC2ACD">
        <w:rPr>
          <w:rFonts w:cs="Times New Roman"/>
        </w:rPr>
        <w:t xml:space="preserve">” </w:t>
      </w:r>
      <w:r w:rsidRPr="00CC2ACD">
        <w:rPr>
          <w:rFonts w:cs="Times New Roman"/>
          <w:i/>
        </w:rPr>
        <w:t xml:space="preserve">European Journal of International Relations </w:t>
      </w:r>
      <w:r>
        <w:rPr>
          <w:rFonts w:cs="Times New Roman"/>
        </w:rPr>
        <w:t>19.1 (2011):</w:t>
      </w:r>
      <w:r w:rsidRPr="00CC2ACD">
        <w:rPr>
          <w:rFonts w:cs="Times New Roman"/>
        </w:rPr>
        <w:t xml:space="preserve"> </w:t>
      </w:r>
      <w:r w:rsidRPr="00183CF4">
        <w:rPr>
          <w:rFonts w:cs="Times New Roman"/>
        </w:rPr>
        <w:t>5-26.</w:t>
      </w:r>
    </w:p>
    <w:p w14:paraId="2457932E" w14:textId="77777777" w:rsidR="00593D11" w:rsidRPr="0060581A" w:rsidRDefault="00593D11" w:rsidP="00593D11">
      <w:pPr>
        <w:ind w:left="720" w:hanging="720"/>
        <w:rPr>
          <w:rFonts w:cs="Times New Roman"/>
        </w:rPr>
      </w:pPr>
      <w:r>
        <w:rPr>
          <w:rFonts w:cs="Times New Roman"/>
        </w:rPr>
        <w:t xml:space="preserve">Britannica. </w:t>
      </w:r>
      <w:r>
        <w:rPr>
          <w:rFonts w:cs="Times New Roman"/>
          <w:i/>
        </w:rPr>
        <w:t xml:space="preserve">Britannica Book of the Year 2010. </w:t>
      </w:r>
      <w:r>
        <w:rPr>
          <w:rFonts w:cs="Times New Roman"/>
        </w:rPr>
        <w:t xml:space="preserve">Chicago: Encyclopedia Britannica, Inc. 2010. </w:t>
      </w:r>
    </w:p>
    <w:p w14:paraId="4EB61DD5" w14:textId="77777777" w:rsidR="00593D11" w:rsidRPr="00CC2ACD" w:rsidRDefault="00593D11" w:rsidP="00593D11">
      <w:pPr>
        <w:ind w:left="720" w:hanging="720"/>
        <w:rPr>
          <w:rFonts w:cs="Times New Roman"/>
        </w:rPr>
      </w:pPr>
      <w:r w:rsidRPr="00CC2ACD">
        <w:rPr>
          <w:rFonts w:cs="Times New Roman"/>
        </w:rPr>
        <w:t xml:space="preserve">Brooke, </w:t>
      </w:r>
      <w:r>
        <w:rPr>
          <w:rFonts w:cs="Times New Roman"/>
        </w:rPr>
        <w:t xml:space="preserve">James. </w:t>
      </w:r>
      <w:r w:rsidRPr="00CC2ACD">
        <w:rPr>
          <w:rFonts w:cs="Times New Roman"/>
        </w:rPr>
        <w:t>“Afri</w:t>
      </w:r>
      <w:r>
        <w:rPr>
          <w:rFonts w:cs="Times New Roman"/>
        </w:rPr>
        <w:t>ca Nation Opens Doors to French.</w:t>
      </w:r>
      <w:r w:rsidRPr="00CC2ACD">
        <w:rPr>
          <w:rFonts w:cs="Times New Roman"/>
        </w:rPr>
        <w:t xml:space="preserve">” </w:t>
      </w:r>
      <w:r>
        <w:rPr>
          <w:rFonts w:cs="Times New Roman"/>
          <w:i/>
        </w:rPr>
        <w:t>The New York Times.</w:t>
      </w:r>
      <w:r w:rsidRPr="00CC2ACD">
        <w:rPr>
          <w:rFonts w:cs="Times New Roman"/>
          <w:i/>
        </w:rPr>
        <w:t xml:space="preserve"> </w:t>
      </w:r>
      <w:r>
        <w:rPr>
          <w:rFonts w:cs="Times New Roman"/>
        </w:rPr>
        <w:t>November 1, 1987. Accessed</w:t>
      </w:r>
      <w:r w:rsidRPr="00CC2ACD">
        <w:rPr>
          <w:rFonts w:cs="Times New Roman"/>
        </w:rPr>
        <w:t xml:space="preserve"> Oct</w:t>
      </w:r>
      <w:r>
        <w:rPr>
          <w:rFonts w:cs="Times New Roman"/>
        </w:rPr>
        <w:t>ober 26,</w:t>
      </w:r>
      <w:r w:rsidRPr="00CC2ACD">
        <w:rPr>
          <w:rFonts w:cs="Times New Roman"/>
        </w:rPr>
        <w:t xml:space="preserve"> 2016.</w:t>
      </w:r>
      <w:r w:rsidRPr="00667A6F">
        <w:t xml:space="preserve"> </w:t>
      </w:r>
      <w:r w:rsidRPr="00667A6F">
        <w:rPr>
          <w:rFonts w:cs="Times New Roman"/>
        </w:rPr>
        <w:t>http://www.nytimes.com/1987/11/01/world/africa-nation-opens-doors-to-the-french.html</w:t>
      </w:r>
      <w:r>
        <w:rPr>
          <w:rFonts w:cs="Times New Roman"/>
        </w:rPr>
        <w:t xml:space="preserve">. </w:t>
      </w:r>
    </w:p>
    <w:p w14:paraId="3BA35137" w14:textId="77777777" w:rsidR="00593D11" w:rsidRPr="00CC2ACD" w:rsidRDefault="00593D11" w:rsidP="00593D11">
      <w:pPr>
        <w:ind w:left="720" w:hanging="720"/>
        <w:rPr>
          <w:rFonts w:cs="Times New Roman"/>
        </w:rPr>
      </w:pPr>
      <w:r w:rsidRPr="00CC2ACD">
        <w:rPr>
          <w:rFonts w:cs="Times New Roman"/>
        </w:rPr>
        <w:t xml:space="preserve">Brysk, </w:t>
      </w:r>
      <w:r>
        <w:rPr>
          <w:rFonts w:cs="Times New Roman"/>
        </w:rPr>
        <w:t xml:space="preserve">Allison, </w:t>
      </w:r>
      <w:r w:rsidRPr="00CC2ACD">
        <w:rPr>
          <w:rFonts w:cs="Times New Roman"/>
        </w:rPr>
        <w:t>Cra</w:t>
      </w:r>
      <w:r>
        <w:rPr>
          <w:rFonts w:cs="Times New Roman"/>
        </w:rPr>
        <w:t>ig Parsons, and Wayne Sandholtz.</w:t>
      </w:r>
      <w:r w:rsidRPr="00CC2ACD">
        <w:rPr>
          <w:rFonts w:cs="Times New Roman"/>
        </w:rPr>
        <w:t xml:space="preserve"> “After Empire: National Identity and Post-Colonial Families</w:t>
      </w:r>
      <w:r>
        <w:rPr>
          <w:rFonts w:cs="Times New Roman"/>
        </w:rPr>
        <w:t xml:space="preserve"> of Nations.</w:t>
      </w:r>
      <w:r w:rsidRPr="00CC2ACD">
        <w:rPr>
          <w:rFonts w:cs="Times New Roman"/>
        </w:rPr>
        <w:t xml:space="preserve">” </w:t>
      </w:r>
      <w:r w:rsidRPr="00CC2ACD">
        <w:rPr>
          <w:rFonts w:cs="Times New Roman"/>
          <w:i/>
        </w:rPr>
        <w:t xml:space="preserve">European Journal of International Relations </w:t>
      </w:r>
      <w:r w:rsidRPr="00CC2ACD">
        <w:rPr>
          <w:rFonts w:cs="Times New Roman"/>
        </w:rPr>
        <w:t xml:space="preserve">8.2 (2002): </w:t>
      </w:r>
      <w:r w:rsidRPr="00183CF4">
        <w:rPr>
          <w:rFonts w:cs="Times New Roman"/>
        </w:rPr>
        <w:t>267-305.</w:t>
      </w:r>
    </w:p>
    <w:p w14:paraId="036F86D9" w14:textId="77777777" w:rsidR="00593D11" w:rsidRPr="00CC2ACD" w:rsidRDefault="00593D11" w:rsidP="00593D11">
      <w:pPr>
        <w:ind w:left="720" w:hanging="720"/>
        <w:rPr>
          <w:rFonts w:cs="Times New Roman"/>
        </w:rPr>
      </w:pPr>
      <w:r w:rsidRPr="00CC2ACD">
        <w:rPr>
          <w:rFonts w:cs="Times New Roman"/>
        </w:rPr>
        <w:t>Burnside</w:t>
      </w:r>
      <w:r>
        <w:rPr>
          <w:rFonts w:cs="Times New Roman"/>
        </w:rPr>
        <w:t>, Craig</w:t>
      </w:r>
      <w:r w:rsidRPr="00CC2ACD">
        <w:rPr>
          <w:rFonts w:cs="Times New Roman"/>
        </w:rPr>
        <w:t xml:space="preserve"> and David Do</w:t>
      </w:r>
      <w:r>
        <w:rPr>
          <w:rFonts w:cs="Times New Roman"/>
        </w:rPr>
        <w:t>llar, “Aid Policies, and Growth.</w:t>
      </w:r>
      <w:r w:rsidRPr="00CC2ACD">
        <w:rPr>
          <w:rFonts w:cs="Times New Roman"/>
        </w:rPr>
        <w:t xml:space="preserve">” </w:t>
      </w:r>
      <w:r w:rsidRPr="00CC2ACD">
        <w:rPr>
          <w:rFonts w:cs="Times New Roman"/>
          <w:i/>
        </w:rPr>
        <w:t xml:space="preserve">The American Economic Review </w:t>
      </w:r>
      <w:r w:rsidRPr="00CC2ACD">
        <w:rPr>
          <w:rFonts w:cs="Times New Roman"/>
        </w:rPr>
        <w:t xml:space="preserve">90.4 (2000): </w:t>
      </w:r>
      <w:r w:rsidRPr="00BD6A17">
        <w:rPr>
          <w:rFonts w:cs="Times New Roman"/>
        </w:rPr>
        <w:t>847-868.</w:t>
      </w:r>
    </w:p>
    <w:p w14:paraId="6894DA78" w14:textId="77777777" w:rsidR="00593D11" w:rsidRPr="00CC2ACD" w:rsidRDefault="00593D11" w:rsidP="00593D11">
      <w:pPr>
        <w:ind w:left="720" w:hanging="720"/>
        <w:rPr>
          <w:rFonts w:cs="Times New Roman"/>
        </w:rPr>
      </w:pPr>
      <w:r w:rsidRPr="00CC2ACD">
        <w:rPr>
          <w:rFonts w:cs="Times New Roman"/>
        </w:rPr>
        <w:t xml:space="preserve">Chafer, </w:t>
      </w:r>
      <w:r>
        <w:rPr>
          <w:rFonts w:cs="Times New Roman"/>
        </w:rPr>
        <w:t xml:space="preserve">Tony. </w:t>
      </w:r>
      <w:r w:rsidRPr="00CC2ACD">
        <w:rPr>
          <w:rFonts w:cs="Times New Roman"/>
        </w:rPr>
        <w:t xml:space="preserve">“Teaching Africans </w:t>
      </w:r>
      <w:r>
        <w:rPr>
          <w:rFonts w:cs="Times New Roman"/>
        </w:rPr>
        <w:t>t</w:t>
      </w:r>
      <w:r w:rsidRPr="00CC2ACD">
        <w:rPr>
          <w:rFonts w:cs="Times New Roman"/>
        </w:rPr>
        <w:t>o Be French?: France’s ‘Civilising Mis</w:t>
      </w:r>
      <w:r>
        <w:rPr>
          <w:rFonts w:cs="Times New Roman"/>
        </w:rPr>
        <w:t>sion’ and the Establishment of a</w:t>
      </w:r>
      <w:r w:rsidRPr="00CC2ACD">
        <w:rPr>
          <w:rFonts w:cs="Times New Roman"/>
        </w:rPr>
        <w:t xml:space="preserve"> Public Education System</w:t>
      </w:r>
      <w:r>
        <w:rPr>
          <w:rFonts w:cs="Times New Roman"/>
        </w:rPr>
        <w:t xml:space="preserve"> in French West Africa, 1903-30.</w:t>
      </w:r>
      <w:r w:rsidRPr="00CC2ACD">
        <w:rPr>
          <w:rFonts w:cs="Times New Roman"/>
        </w:rPr>
        <w:t xml:space="preserve">” </w:t>
      </w:r>
      <w:r w:rsidRPr="00CC2ACD">
        <w:rPr>
          <w:rFonts w:cs="Times New Roman"/>
          <w:i/>
        </w:rPr>
        <w:t xml:space="preserve">Africa: Rivista trimestale di studi e documentazione dll’IStituto italiano per l’Africa e l’Oriente </w:t>
      </w:r>
      <w:r w:rsidRPr="00CC2ACD">
        <w:rPr>
          <w:rFonts w:cs="Times New Roman"/>
        </w:rPr>
        <w:t xml:space="preserve">56.2 (2001): </w:t>
      </w:r>
      <w:r w:rsidRPr="00183CF4">
        <w:rPr>
          <w:rFonts w:cs="Times New Roman"/>
        </w:rPr>
        <w:t>190-209.</w:t>
      </w:r>
    </w:p>
    <w:p w14:paraId="318E0ACE" w14:textId="77777777" w:rsidR="00593D11" w:rsidRPr="00CC2ACD" w:rsidRDefault="00593D11" w:rsidP="00593D11">
      <w:pPr>
        <w:ind w:left="720" w:hanging="720"/>
        <w:rPr>
          <w:rFonts w:cs="Times New Roman"/>
        </w:rPr>
      </w:pPr>
      <w:r>
        <w:t>———</w:t>
      </w:r>
      <w:r>
        <w:rPr>
          <w:rFonts w:cs="Times New Roman"/>
        </w:rPr>
        <w:t xml:space="preserve"> </w:t>
      </w:r>
      <w:r w:rsidRPr="00CC2ACD">
        <w:rPr>
          <w:rFonts w:cs="Times New Roman"/>
          <w:i/>
        </w:rPr>
        <w:t>The End of Empire in French West Africa: France’s Successful Decolonization?</w:t>
      </w:r>
      <w:r>
        <w:rPr>
          <w:rFonts w:cs="Times New Roman"/>
          <w:i/>
        </w:rPr>
        <w:t xml:space="preserve"> </w:t>
      </w:r>
      <w:r>
        <w:rPr>
          <w:rFonts w:cs="Times New Roman"/>
        </w:rPr>
        <w:t>Berg: New York, 2002.</w:t>
      </w:r>
    </w:p>
    <w:p w14:paraId="3141592D" w14:textId="77777777" w:rsidR="00593D11" w:rsidRDefault="00593D11" w:rsidP="00593D11">
      <w:pPr>
        <w:ind w:left="720" w:hanging="720"/>
        <w:rPr>
          <w:rFonts w:eastAsia="Times New Roman" w:cs="Times New Roman"/>
          <w:color w:val="000000"/>
          <w:lang w:eastAsia="en-US"/>
        </w:rPr>
      </w:pPr>
      <w:r>
        <w:rPr>
          <w:rFonts w:eastAsia="Times New Roman" w:cs="Times New Roman"/>
          <w:color w:val="000000"/>
          <w:lang w:eastAsia="en-US"/>
        </w:rPr>
        <w:t xml:space="preserve">Cheibub, José Antionio, Jennifer Gandhi, and James Raymond Vreeland. “Democracy-Dictatorship (DD) Data.” </w:t>
      </w:r>
      <w:r>
        <w:rPr>
          <w:rFonts w:eastAsia="Times New Roman" w:cs="Times New Roman"/>
          <w:i/>
          <w:color w:val="000000"/>
          <w:lang w:eastAsia="en-US"/>
        </w:rPr>
        <w:t xml:space="preserve">Public Choice </w:t>
      </w:r>
      <w:r>
        <w:rPr>
          <w:rFonts w:eastAsia="Times New Roman" w:cs="Times New Roman"/>
          <w:color w:val="000000"/>
          <w:lang w:eastAsia="en-US"/>
        </w:rPr>
        <w:t xml:space="preserve">142.2 (2010): 67-101. </w:t>
      </w:r>
    </w:p>
    <w:p w14:paraId="3306F31B" w14:textId="77777777" w:rsidR="00593D11" w:rsidRPr="00CC2ACD" w:rsidRDefault="00593D11" w:rsidP="00593D11">
      <w:pPr>
        <w:ind w:left="720" w:hanging="720"/>
        <w:rPr>
          <w:rFonts w:cs="Times New Roman"/>
        </w:rPr>
      </w:pPr>
      <w:r w:rsidRPr="00CC2ACD">
        <w:rPr>
          <w:rFonts w:cs="Times New Roman"/>
        </w:rPr>
        <w:t>Chong</w:t>
      </w:r>
      <w:r>
        <w:rPr>
          <w:rFonts w:cs="Times New Roman"/>
        </w:rPr>
        <w:t>, Alberto and Mark Gradstein.</w:t>
      </w:r>
      <w:r w:rsidRPr="00CC2ACD">
        <w:rPr>
          <w:rFonts w:cs="Times New Roman"/>
        </w:rPr>
        <w:t xml:space="preserve"> “What Determines Forei</w:t>
      </w:r>
      <w:r>
        <w:rPr>
          <w:rFonts w:cs="Times New Roman"/>
        </w:rPr>
        <w:t>gn Aid? The Donors’ Perspective.</w:t>
      </w:r>
      <w:r w:rsidRPr="00CC2ACD">
        <w:rPr>
          <w:rFonts w:cs="Times New Roman"/>
        </w:rPr>
        <w:t xml:space="preserve">” </w:t>
      </w:r>
      <w:r w:rsidRPr="00CC2ACD">
        <w:rPr>
          <w:rFonts w:cs="Times New Roman"/>
          <w:i/>
        </w:rPr>
        <w:t xml:space="preserve">Journal of Development Economics </w:t>
      </w:r>
      <w:r>
        <w:rPr>
          <w:rFonts w:cs="Times New Roman"/>
        </w:rPr>
        <w:t>87 (2008): 1-13.</w:t>
      </w:r>
    </w:p>
    <w:p w14:paraId="2CA931E5" w14:textId="77777777" w:rsidR="00593D11" w:rsidRPr="00CC2ACD" w:rsidRDefault="00593D11" w:rsidP="00593D11">
      <w:pPr>
        <w:ind w:left="720" w:hanging="720"/>
        <w:rPr>
          <w:rFonts w:cs="Times New Roman"/>
        </w:rPr>
      </w:pPr>
      <w:r w:rsidRPr="00CC2ACD">
        <w:rPr>
          <w:rFonts w:cs="Times New Roman"/>
        </w:rPr>
        <w:t>Chrisafis, Angelique</w:t>
      </w:r>
      <w:r>
        <w:rPr>
          <w:rFonts w:cs="Times New Roman"/>
        </w:rPr>
        <w:t xml:space="preserve">. </w:t>
      </w:r>
      <w:r w:rsidRPr="00CC2ACD">
        <w:rPr>
          <w:rFonts w:cs="Times New Roman"/>
        </w:rPr>
        <w:t>“Guinea: War, Poverty, D</w:t>
      </w:r>
      <w:r>
        <w:rPr>
          <w:rFonts w:cs="Times New Roman"/>
        </w:rPr>
        <w:t>ictatorship and Bauxite.</w:t>
      </w:r>
      <w:r w:rsidRPr="00CC2ACD">
        <w:rPr>
          <w:rFonts w:cs="Times New Roman"/>
        </w:rPr>
        <w:t xml:space="preserve">” </w:t>
      </w:r>
      <w:r>
        <w:rPr>
          <w:rFonts w:cs="Times New Roman"/>
          <w:i/>
        </w:rPr>
        <w:t>The Guardian.</w:t>
      </w:r>
      <w:r w:rsidRPr="00CC2ACD">
        <w:rPr>
          <w:rFonts w:cs="Times New Roman"/>
          <w:i/>
        </w:rPr>
        <w:t xml:space="preserve"> </w:t>
      </w:r>
      <w:r>
        <w:rPr>
          <w:rFonts w:cs="Times New Roman"/>
        </w:rPr>
        <w:t xml:space="preserve">September 29, 2009. Accessed </w:t>
      </w:r>
      <w:r w:rsidRPr="00CC2ACD">
        <w:rPr>
          <w:rFonts w:cs="Times New Roman"/>
        </w:rPr>
        <w:t>Jan</w:t>
      </w:r>
      <w:r>
        <w:rPr>
          <w:rFonts w:cs="Times New Roman"/>
        </w:rPr>
        <w:t>uary 30,</w:t>
      </w:r>
      <w:r w:rsidRPr="00CC2ACD">
        <w:rPr>
          <w:rFonts w:cs="Times New Roman"/>
        </w:rPr>
        <w:t xml:space="preserve"> 2017. </w:t>
      </w:r>
      <w:r w:rsidRPr="00FB4370">
        <w:rPr>
          <w:rFonts w:cs="Times New Roman"/>
        </w:rPr>
        <w:t>https://www.theguardian.com/world/2009/sep/29/france-guinea-colonial-relationship</w:t>
      </w:r>
      <w:r>
        <w:rPr>
          <w:rFonts w:cs="Times New Roman"/>
        </w:rPr>
        <w:t xml:space="preserve">. </w:t>
      </w:r>
    </w:p>
    <w:p w14:paraId="71EBE4EC" w14:textId="77777777" w:rsidR="00593D11" w:rsidRPr="00CC2ACD" w:rsidRDefault="00593D11" w:rsidP="00593D11">
      <w:pPr>
        <w:ind w:left="720" w:hanging="720"/>
        <w:rPr>
          <w:rFonts w:cs="Times New Roman"/>
        </w:rPr>
      </w:pPr>
      <w:r w:rsidRPr="00CC2ACD">
        <w:rPr>
          <w:rFonts w:cs="Times New Roman"/>
        </w:rPr>
        <w:t>Collier</w:t>
      </w:r>
      <w:r>
        <w:rPr>
          <w:rFonts w:cs="Times New Roman"/>
        </w:rPr>
        <w:t>, Paul and David Dollar.</w:t>
      </w:r>
      <w:r w:rsidRPr="00CC2ACD">
        <w:rPr>
          <w:rFonts w:cs="Times New Roman"/>
        </w:rPr>
        <w:t xml:space="preserve"> “Aid A</w:t>
      </w:r>
      <w:r>
        <w:rPr>
          <w:rFonts w:cs="Times New Roman"/>
        </w:rPr>
        <w:t>llocation and Poverty Reduction.</w:t>
      </w:r>
      <w:r w:rsidRPr="00CC2ACD">
        <w:rPr>
          <w:rFonts w:cs="Times New Roman"/>
        </w:rPr>
        <w:t xml:space="preserve">” </w:t>
      </w:r>
      <w:r w:rsidRPr="00CC2ACD">
        <w:rPr>
          <w:rFonts w:cs="Times New Roman"/>
          <w:i/>
        </w:rPr>
        <w:t xml:space="preserve">European Economic Review </w:t>
      </w:r>
      <w:r>
        <w:rPr>
          <w:rFonts w:cs="Times New Roman"/>
        </w:rPr>
        <w:t xml:space="preserve">46 (2002): 1475-1500. </w:t>
      </w:r>
    </w:p>
    <w:p w14:paraId="01BA1D8F" w14:textId="77777777" w:rsidR="00593D11" w:rsidRPr="00CC2ACD" w:rsidRDefault="00593D11" w:rsidP="00593D11">
      <w:pPr>
        <w:ind w:left="720" w:hanging="720"/>
        <w:rPr>
          <w:rFonts w:cs="Times New Roman"/>
        </w:rPr>
      </w:pPr>
      <w:r w:rsidRPr="00CC2ACD">
        <w:rPr>
          <w:rFonts w:cs="Times New Roman"/>
        </w:rPr>
        <w:t xml:space="preserve">Conklin, </w:t>
      </w:r>
      <w:r>
        <w:rPr>
          <w:rFonts w:cs="Times New Roman"/>
        </w:rPr>
        <w:t xml:space="preserve">Alice. </w:t>
      </w:r>
      <w:r w:rsidRPr="00CC2ACD">
        <w:rPr>
          <w:rFonts w:cs="Times New Roman"/>
          <w:i/>
        </w:rPr>
        <w:t>A Mission to Civilize: The Republican Idea of Empire in France and West Africa, 1895-1930</w:t>
      </w:r>
      <w:r>
        <w:rPr>
          <w:rFonts w:cs="Times New Roman"/>
          <w:i/>
        </w:rPr>
        <w:t>.</w:t>
      </w:r>
      <w:r w:rsidRPr="00CC2ACD">
        <w:rPr>
          <w:rFonts w:cs="Times New Roman"/>
          <w:i/>
        </w:rPr>
        <w:t xml:space="preserve"> </w:t>
      </w:r>
      <w:r w:rsidRPr="00CC2ACD">
        <w:rPr>
          <w:rFonts w:cs="Times New Roman"/>
        </w:rPr>
        <w:t>Stanford: Stanford University Press, 1997</w:t>
      </w:r>
      <w:r>
        <w:rPr>
          <w:rFonts w:cs="Times New Roman"/>
        </w:rPr>
        <w:t>.</w:t>
      </w:r>
    </w:p>
    <w:p w14:paraId="5C0CB91C" w14:textId="77777777" w:rsidR="00593D11" w:rsidRDefault="00593D11" w:rsidP="00593D11">
      <w:pPr>
        <w:ind w:left="720" w:hanging="720"/>
      </w:pPr>
      <w:r w:rsidRPr="00CC2ACD">
        <w:rPr>
          <w:rFonts w:cs="Times New Roman"/>
        </w:rPr>
        <w:t xml:space="preserve">Cooper, </w:t>
      </w:r>
      <w:r>
        <w:rPr>
          <w:rFonts w:cs="Times New Roman"/>
        </w:rPr>
        <w:t xml:space="preserve">Frederick. </w:t>
      </w:r>
      <w:r>
        <w:rPr>
          <w:i/>
        </w:rPr>
        <w:t xml:space="preserve">Africa Since 1940: The Past of the Present. </w:t>
      </w:r>
      <w:r>
        <w:t>Cambridge: Cambridge University Press, 2002.</w:t>
      </w:r>
    </w:p>
    <w:p w14:paraId="6F264FEC" w14:textId="77777777" w:rsidR="00593D11" w:rsidRPr="00CC2ACD" w:rsidRDefault="00593D11" w:rsidP="00593D11">
      <w:pPr>
        <w:ind w:left="720" w:hanging="720"/>
        <w:rPr>
          <w:rFonts w:cs="Times New Roman"/>
        </w:rPr>
      </w:pPr>
      <w:r>
        <w:t xml:space="preserve">——— </w:t>
      </w:r>
      <w:r w:rsidRPr="00CC2ACD">
        <w:rPr>
          <w:rFonts w:cs="Times New Roman"/>
          <w:i/>
        </w:rPr>
        <w:t xml:space="preserve">Citizenship between Empire and Nation: Remaking France and </w:t>
      </w:r>
      <w:r>
        <w:rPr>
          <w:rFonts w:cs="Times New Roman"/>
          <w:i/>
        </w:rPr>
        <w:t>French Africa</w:t>
      </w:r>
      <w:r w:rsidRPr="00CC2ACD">
        <w:rPr>
          <w:rFonts w:cs="Times New Roman"/>
          <w:i/>
        </w:rPr>
        <w:t>, 1945-196</w:t>
      </w:r>
      <w:r>
        <w:rPr>
          <w:rFonts w:cs="Times New Roman"/>
        </w:rPr>
        <w:t xml:space="preserve">0. </w:t>
      </w:r>
      <w:r w:rsidRPr="00CC2ACD">
        <w:rPr>
          <w:rFonts w:cs="Times New Roman"/>
        </w:rPr>
        <w:t>Princeton: Princ</w:t>
      </w:r>
      <w:r>
        <w:rPr>
          <w:rFonts w:cs="Times New Roman"/>
        </w:rPr>
        <w:t>eton University Press, 2014</w:t>
      </w:r>
      <w:r w:rsidRPr="00CC2ACD">
        <w:rPr>
          <w:rFonts w:cs="Times New Roman"/>
        </w:rPr>
        <w:t>.</w:t>
      </w:r>
    </w:p>
    <w:p w14:paraId="2BD4FF08" w14:textId="77777777" w:rsidR="00593D11" w:rsidRPr="00CC2ACD" w:rsidRDefault="00593D11" w:rsidP="00593D11">
      <w:pPr>
        <w:ind w:left="720" w:hanging="720"/>
        <w:rPr>
          <w:rFonts w:cs="Times New Roman"/>
        </w:rPr>
      </w:pPr>
      <w:r w:rsidRPr="00CC2ACD">
        <w:rPr>
          <w:rFonts w:cs="Times New Roman"/>
        </w:rPr>
        <w:t>Crowder,</w:t>
      </w:r>
      <w:r>
        <w:rPr>
          <w:rFonts w:cs="Times New Roman"/>
        </w:rPr>
        <w:t xml:space="preserve"> Michael.</w:t>
      </w:r>
      <w:r w:rsidRPr="00CC2ACD">
        <w:rPr>
          <w:rFonts w:cs="Times New Roman"/>
        </w:rPr>
        <w:t xml:space="preserve"> </w:t>
      </w:r>
      <w:r w:rsidRPr="00CC2ACD">
        <w:rPr>
          <w:rFonts w:cs="Times New Roman"/>
          <w:i/>
        </w:rPr>
        <w:t>Senegal: A Study in French Assimilation Policy</w:t>
      </w:r>
      <w:r>
        <w:rPr>
          <w:rFonts w:cs="Times New Roman"/>
          <w:i/>
        </w:rPr>
        <w:t xml:space="preserve">. </w:t>
      </w:r>
      <w:r w:rsidRPr="00CC2ACD">
        <w:rPr>
          <w:rFonts w:cs="Times New Roman"/>
        </w:rPr>
        <w:t>New York: Oxf</w:t>
      </w:r>
      <w:r>
        <w:rPr>
          <w:rFonts w:cs="Times New Roman"/>
        </w:rPr>
        <w:t>ord University Press, 1962.</w:t>
      </w:r>
    </w:p>
    <w:p w14:paraId="254897C5" w14:textId="77777777" w:rsidR="00593D11" w:rsidRPr="00CC2ACD" w:rsidRDefault="00593D11" w:rsidP="00593D11">
      <w:pPr>
        <w:ind w:left="720" w:hanging="720"/>
        <w:rPr>
          <w:rFonts w:cs="Times New Roman"/>
        </w:rPr>
      </w:pPr>
      <w:r w:rsidRPr="00CC2ACD">
        <w:rPr>
          <w:rFonts w:cs="Times New Roman"/>
        </w:rPr>
        <w:t>Cumming, Gordon</w:t>
      </w:r>
      <w:r>
        <w:rPr>
          <w:rFonts w:cs="Times New Roman"/>
          <w:i/>
        </w:rPr>
        <w:t xml:space="preserve">. </w:t>
      </w:r>
      <w:r w:rsidRPr="00CC2ACD">
        <w:rPr>
          <w:rFonts w:cs="Times New Roman"/>
          <w:i/>
        </w:rPr>
        <w:t>Aid to Africa: French and British Policies from the</w:t>
      </w:r>
      <w:r>
        <w:rPr>
          <w:rFonts w:cs="Times New Roman"/>
          <w:i/>
        </w:rPr>
        <w:t xml:space="preserve"> Cold War to the New Millennium.</w:t>
      </w:r>
      <w:r w:rsidRPr="00CC2ACD">
        <w:rPr>
          <w:rFonts w:cs="Times New Roman"/>
          <w:i/>
        </w:rPr>
        <w:t xml:space="preserve"> </w:t>
      </w:r>
      <w:r w:rsidRPr="00CC2ACD">
        <w:rPr>
          <w:rFonts w:cs="Times New Roman"/>
        </w:rPr>
        <w:t>Alder</w:t>
      </w:r>
      <w:r>
        <w:rPr>
          <w:rFonts w:cs="Times New Roman"/>
        </w:rPr>
        <w:t xml:space="preserve">shot, England: Ashgate, 2011. </w:t>
      </w:r>
    </w:p>
    <w:p w14:paraId="6CF32D71" w14:textId="77777777" w:rsidR="00593D11" w:rsidRPr="00CC2ACD" w:rsidRDefault="00593D11" w:rsidP="00593D11">
      <w:pPr>
        <w:ind w:left="720" w:hanging="720"/>
        <w:rPr>
          <w:rFonts w:cs="Times New Roman"/>
        </w:rPr>
      </w:pPr>
      <w:r w:rsidRPr="00CC2ACD">
        <w:rPr>
          <w:rFonts w:cs="Times New Roman"/>
        </w:rPr>
        <w:t xml:space="preserve">Dell, </w:t>
      </w:r>
      <w:r>
        <w:rPr>
          <w:rFonts w:cs="Times New Roman"/>
        </w:rPr>
        <w:t xml:space="preserve">Melissa. </w:t>
      </w:r>
      <w:r w:rsidRPr="00CC2ACD">
        <w:rPr>
          <w:rFonts w:cs="Times New Roman"/>
        </w:rPr>
        <w:t xml:space="preserve">“The Persistent Effects of Peru’s Mining </w:t>
      </w:r>
      <w:r w:rsidRPr="00CC2ACD">
        <w:rPr>
          <w:rFonts w:cs="Times New Roman"/>
          <w:i/>
        </w:rPr>
        <w:t>Mita</w:t>
      </w:r>
      <w:r>
        <w:rPr>
          <w:rFonts w:cs="Times New Roman"/>
        </w:rPr>
        <w:t>.</w:t>
      </w:r>
      <w:r w:rsidRPr="00CC2ACD">
        <w:rPr>
          <w:rFonts w:cs="Times New Roman"/>
        </w:rPr>
        <w:t xml:space="preserve">” </w:t>
      </w:r>
      <w:r w:rsidRPr="00CC2ACD">
        <w:rPr>
          <w:rFonts w:cs="Times New Roman"/>
          <w:i/>
        </w:rPr>
        <w:t xml:space="preserve">Econometrica </w:t>
      </w:r>
      <w:r w:rsidRPr="00CC2ACD">
        <w:rPr>
          <w:rFonts w:cs="Times New Roman"/>
        </w:rPr>
        <w:t>78.6 (2010): 1863-1903.</w:t>
      </w:r>
    </w:p>
    <w:p w14:paraId="48232FD4" w14:textId="77777777" w:rsidR="00593D11" w:rsidRPr="00FB4370" w:rsidRDefault="00593D11" w:rsidP="00593D11">
      <w:pPr>
        <w:ind w:left="720" w:hanging="720"/>
      </w:pPr>
      <w:r w:rsidRPr="00CC19B5">
        <w:t xml:space="preserve">Diouf, </w:t>
      </w:r>
      <w:r>
        <w:t>Mamadou.</w:t>
      </w:r>
      <w:r w:rsidRPr="00CC19B5">
        <w:t>“The French Colonial Policy of Assimilation and the Civility of the Originaires of the Four Communes (Senegal): A Nineteent</w:t>
      </w:r>
      <w:r>
        <w:t>h Century Globalization Project.</w:t>
      </w:r>
      <w:r w:rsidRPr="00CC19B5">
        <w:t xml:space="preserve">” </w:t>
      </w:r>
      <w:r w:rsidRPr="00CC19B5">
        <w:rPr>
          <w:i/>
        </w:rPr>
        <w:t>Developm</w:t>
      </w:r>
      <w:r>
        <w:rPr>
          <w:i/>
        </w:rPr>
        <w:t>ent and Change</w:t>
      </w:r>
      <w:r w:rsidRPr="00CC19B5">
        <w:rPr>
          <w:i/>
        </w:rPr>
        <w:t xml:space="preserve"> </w:t>
      </w:r>
      <w:r>
        <w:t xml:space="preserve">29 (1998): 671-696. </w:t>
      </w:r>
    </w:p>
    <w:p w14:paraId="08EEA186" w14:textId="77777777" w:rsidR="00593D11" w:rsidRPr="00CC2ACD" w:rsidRDefault="00593D11" w:rsidP="00593D11">
      <w:pPr>
        <w:ind w:left="720" w:hanging="720"/>
        <w:rPr>
          <w:rFonts w:cs="Times New Roman"/>
        </w:rPr>
      </w:pPr>
      <w:r>
        <w:t>———</w:t>
      </w:r>
      <w:r>
        <w:rPr>
          <w:rFonts w:cs="Times New Roman"/>
        </w:rPr>
        <w:t xml:space="preserve"> </w:t>
      </w:r>
      <w:r w:rsidRPr="00CC2ACD">
        <w:rPr>
          <w:rFonts w:cs="Times New Roman"/>
        </w:rPr>
        <w:t>“Islam, the ‘</w:t>
      </w:r>
      <w:r w:rsidRPr="00CC2ACD">
        <w:rPr>
          <w:rFonts w:cs="Times New Roman"/>
          <w:i/>
        </w:rPr>
        <w:t>Originaires,</w:t>
      </w:r>
      <w:r w:rsidRPr="00CC2ACD">
        <w:rPr>
          <w:rFonts w:cs="Times New Roman"/>
        </w:rPr>
        <w:t>’ and the Making of Public Space in a Coloni</w:t>
      </w:r>
      <w:r>
        <w:rPr>
          <w:rFonts w:cs="Times New Roman"/>
        </w:rPr>
        <w:t>al City: Saint-Louis of Senegal.</w:t>
      </w:r>
      <w:r w:rsidRPr="00CC2ACD">
        <w:rPr>
          <w:rFonts w:cs="Times New Roman"/>
        </w:rPr>
        <w:t xml:space="preserve">” in </w:t>
      </w:r>
      <w:r w:rsidRPr="00CC2ACD">
        <w:rPr>
          <w:rFonts w:cs="Times New Roman"/>
          <w:i/>
        </w:rPr>
        <w:t xml:space="preserve">Tolerance, </w:t>
      </w:r>
      <w:r>
        <w:rPr>
          <w:rFonts w:cs="Times New Roman"/>
          <w:i/>
        </w:rPr>
        <w:t>D</w:t>
      </w:r>
      <w:r w:rsidRPr="00CC2ACD">
        <w:rPr>
          <w:rFonts w:cs="Times New Roman"/>
          <w:i/>
        </w:rPr>
        <w:t>emocracy, and Sufis in Senegal</w:t>
      </w:r>
      <w:r>
        <w:rPr>
          <w:rFonts w:cs="Times New Roman"/>
        </w:rPr>
        <w:t xml:space="preserve">. ed. Mamadou Diouf. </w:t>
      </w:r>
      <w:r w:rsidRPr="00CC2ACD">
        <w:rPr>
          <w:rFonts w:cs="Times New Roman"/>
        </w:rPr>
        <w:t>New York: Colu</w:t>
      </w:r>
      <w:r>
        <w:rPr>
          <w:rFonts w:cs="Times New Roman"/>
        </w:rPr>
        <w:t>mbia University Press, 2013.</w:t>
      </w:r>
    </w:p>
    <w:p w14:paraId="45B74C6C" w14:textId="77777777" w:rsidR="00593D11" w:rsidRPr="00144E26" w:rsidRDefault="00593D11" w:rsidP="00593D11">
      <w:pPr>
        <w:ind w:left="720" w:hanging="720"/>
        <w:rPr>
          <w:rFonts w:cs="Times New Roman"/>
        </w:rPr>
      </w:pPr>
      <w:r w:rsidRPr="00CC2ACD">
        <w:rPr>
          <w:rFonts w:cs="Times New Roman"/>
        </w:rPr>
        <w:t>Dollar</w:t>
      </w:r>
      <w:r>
        <w:rPr>
          <w:rFonts w:cs="Times New Roman"/>
        </w:rPr>
        <w:t>,</w:t>
      </w:r>
      <w:r w:rsidRPr="00FB4370">
        <w:rPr>
          <w:rFonts w:cs="Times New Roman"/>
        </w:rPr>
        <w:t xml:space="preserve"> </w:t>
      </w:r>
      <w:r w:rsidRPr="00CC2ACD">
        <w:rPr>
          <w:rFonts w:cs="Times New Roman"/>
        </w:rPr>
        <w:t>David</w:t>
      </w:r>
      <w:r>
        <w:rPr>
          <w:rFonts w:cs="Times New Roman"/>
        </w:rPr>
        <w:t xml:space="preserve"> and Victoria Levin.</w:t>
      </w:r>
      <w:r w:rsidRPr="00CC2ACD">
        <w:rPr>
          <w:rFonts w:cs="Times New Roman"/>
        </w:rPr>
        <w:t xml:space="preserve"> "The Increasing Select</w:t>
      </w:r>
      <w:r>
        <w:rPr>
          <w:rFonts w:cs="Times New Roman"/>
        </w:rPr>
        <w:t>ivity of Foreign Aid, 1984-</w:t>
      </w:r>
      <w:r w:rsidRPr="00144E26">
        <w:rPr>
          <w:rFonts w:cs="Times New Roman"/>
        </w:rPr>
        <w:t xml:space="preserve">2003." </w:t>
      </w:r>
      <w:r w:rsidRPr="00144E26">
        <w:rPr>
          <w:rFonts w:cs="Times New Roman"/>
          <w:i/>
          <w:iCs/>
        </w:rPr>
        <w:t xml:space="preserve">World Development </w:t>
      </w:r>
      <w:r w:rsidRPr="00144E26">
        <w:rPr>
          <w:rFonts w:cs="Times New Roman"/>
        </w:rPr>
        <w:t xml:space="preserve">32.12 (2006): 2034-2046. </w:t>
      </w:r>
    </w:p>
    <w:p w14:paraId="23FBB4A9" w14:textId="77777777" w:rsidR="00593D11" w:rsidRPr="00144E26" w:rsidRDefault="00593D11" w:rsidP="00593D11">
      <w:pPr>
        <w:ind w:left="720" w:hanging="720"/>
      </w:pPr>
      <w:r>
        <w:t>Dowden, Richard.</w:t>
      </w:r>
      <w:r w:rsidRPr="00144E26">
        <w:t xml:space="preserve"> “Ivo</w:t>
      </w:r>
      <w:r>
        <w:t>ry Coast’s Descent into Madness.</w:t>
      </w:r>
      <w:r w:rsidRPr="00144E26">
        <w:t xml:space="preserve">” </w:t>
      </w:r>
      <w:r>
        <w:rPr>
          <w:i/>
        </w:rPr>
        <w:t>The Guardian,</w:t>
      </w:r>
      <w:r w:rsidRPr="00144E26">
        <w:rPr>
          <w:i/>
        </w:rPr>
        <w:t xml:space="preserve"> </w:t>
      </w:r>
      <w:r>
        <w:t xml:space="preserve">January 1, 2011. Accessed April 17, 2017. </w:t>
      </w:r>
      <w:r w:rsidRPr="00144E26">
        <w:t>https://www.theguardian.com/world/2011/jan/02/ivory-coast-richard-dowden-comment.</w:t>
      </w:r>
    </w:p>
    <w:p w14:paraId="0A4E80AE" w14:textId="77777777" w:rsidR="00593D11" w:rsidRDefault="00593D11" w:rsidP="00593D11">
      <w:pPr>
        <w:ind w:left="720" w:hanging="720"/>
      </w:pPr>
      <w:r w:rsidRPr="006B0CCF">
        <w:t>Dowling</w:t>
      </w:r>
      <w:r>
        <w:t xml:space="preserve">, </w:t>
      </w:r>
      <w:r w:rsidRPr="003B1D56">
        <w:t>J.M.</w:t>
      </w:r>
      <w:r w:rsidRPr="006B0CCF">
        <w:t xml:space="preserve"> and Ulrich Hiemenz</w:t>
      </w:r>
      <w:r>
        <w:t xml:space="preserve">. “Biases in the Allocation of Foreign Aid: Some New Evidence.” </w:t>
      </w:r>
      <w:r>
        <w:rPr>
          <w:i/>
        </w:rPr>
        <w:t xml:space="preserve">World Development </w:t>
      </w:r>
      <w:r>
        <w:t>13.4</w:t>
      </w:r>
      <w:r w:rsidRPr="006B0CCF">
        <w:t xml:space="preserve"> (1985)</w:t>
      </w:r>
      <w:r>
        <w:t>: 535-541</w:t>
      </w:r>
    </w:p>
    <w:p w14:paraId="00AB390E" w14:textId="77777777" w:rsidR="00593D11" w:rsidRPr="00CC2ACD" w:rsidRDefault="00593D11" w:rsidP="00593D11">
      <w:pPr>
        <w:ind w:left="720" w:hanging="720"/>
        <w:rPr>
          <w:rFonts w:cs="Times New Roman"/>
        </w:rPr>
      </w:pPr>
      <w:r>
        <w:rPr>
          <w:rFonts w:cs="Times New Roman"/>
        </w:rPr>
        <w:t>Duke Bryant, Kelly.</w:t>
      </w:r>
      <w:r w:rsidRPr="00CC2ACD">
        <w:rPr>
          <w:rFonts w:cs="Times New Roman"/>
        </w:rPr>
        <w:t xml:space="preserve"> “ ‘The Color of the Pupils’: Schooling and Ra</w:t>
      </w:r>
      <w:r>
        <w:rPr>
          <w:rFonts w:cs="Times New Roman"/>
        </w:rPr>
        <w:t>ce in Senegal’s Cities, 1900-10.</w:t>
      </w:r>
      <w:r w:rsidRPr="00CC2ACD">
        <w:rPr>
          <w:rFonts w:cs="Times New Roman"/>
        </w:rPr>
        <w:t xml:space="preserve">” </w:t>
      </w:r>
      <w:r w:rsidRPr="00CC2ACD">
        <w:rPr>
          <w:rFonts w:cs="Times New Roman"/>
          <w:i/>
        </w:rPr>
        <w:t xml:space="preserve">Journal of African History </w:t>
      </w:r>
      <w:r>
        <w:rPr>
          <w:rFonts w:cs="Times New Roman"/>
        </w:rPr>
        <w:t>52 (2011): 299-319.</w:t>
      </w:r>
    </w:p>
    <w:p w14:paraId="43B87726" w14:textId="77777777" w:rsidR="00593D11" w:rsidRPr="00CF3CFC" w:rsidRDefault="00593D11" w:rsidP="00593D11">
      <w:pPr>
        <w:ind w:left="720" w:hanging="720"/>
      </w:pPr>
      <w:r>
        <w:t xml:space="preserve">——— </w:t>
      </w:r>
      <w:r w:rsidRPr="00CC19B5">
        <w:rPr>
          <w:i/>
        </w:rPr>
        <w:t>Education as Politics: Colonial Schooling and Politica</w:t>
      </w:r>
      <w:r>
        <w:rPr>
          <w:i/>
        </w:rPr>
        <w:t xml:space="preserve">l Debate in Senegal, 1850s-1914. </w:t>
      </w:r>
      <w:r w:rsidRPr="00CC19B5">
        <w:t>Madison: Universi</w:t>
      </w:r>
      <w:r>
        <w:t>ty of Wisconsin Press, 2015.</w:t>
      </w:r>
    </w:p>
    <w:p w14:paraId="16BFB4F7" w14:textId="77777777" w:rsidR="00593D11" w:rsidRPr="00CC2ACD" w:rsidRDefault="00593D11" w:rsidP="00593D11">
      <w:pPr>
        <w:ind w:left="720" w:hanging="720"/>
        <w:rPr>
          <w:rFonts w:cs="Times New Roman"/>
        </w:rPr>
      </w:pPr>
      <w:r w:rsidRPr="00CC2ACD">
        <w:rPr>
          <w:rFonts w:cs="Times New Roman"/>
        </w:rPr>
        <w:t xml:space="preserve">Dupraz, </w:t>
      </w:r>
      <w:r>
        <w:rPr>
          <w:rFonts w:cs="Times New Roman"/>
        </w:rPr>
        <w:t xml:space="preserve">Yannick. </w:t>
      </w:r>
      <w:r w:rsidRPr="00CC2ACD">
        <w:rPr>
          <w:rFonts w:cs="Times New Roman"/>
        </w:rPr>
        <w:t>“French and British Colonial Legacies in Education: A</w:t>
      </w:r>
      <w:r>
        <w:rPr>
          <w:rFonts w:cs="Times New Roman"/>
        </w:rPr>
        <w:t xml:space="preserve"> Natural Experiment in Cameroon.</w:t>
      </w:r>
      <w:r w:rsidRPr="00CC2ACD">
        <w:rPr>
          <w:rFonts w:cs="Times New Roman"/>
        </w:rPr>
        <w:t xml:space="preserve">” </w:t>
      </w:r>
      <w:r w:rsidRPr="00CC2ACD">
        <w:rPr>
          <w:rFonts w:cs="Times New Roman"/>
          <w:i/>
        </w:rPr>
        <w:t xml:space="preserve">Paris School of Economics </w:t>
      </w:r>
      <w:r w:rsidRPr="00CC2ACD">
        <w:rPr>
          <w:rFonts w:cs="Times New Roman"/>
        </w:rPr>
        <w:t xml:space="preserve">Working Paper (2015): </w:t>
      </w:r>
      <w:r w:rsidRPr="00183CF4">
        <w:rPr>
          <w:rFonts w:cs="Times New Roman"/>
        </w:rPr>
        <w:t>1-79.</w:t>
      </w:r>
    </w:p>
    <w:p w14:paraId="538E2399" w14:textId="77777777" w:rsidR="00593D11" w:rsidRDefault="00593D11" w:rsidP="00593D11">
      <w:pPr>
        <w:ind w:left="720" w:hanging="720"/>
      </w:pPr>
      <w:r>
        <w:t xml:space="preserve">Eads, Brian. “France Is Slowly Reclaiming Its Old African Empire.” </w:t>
      </w:r>
      <w:r>
        <w:rPr>
          <w:i/>
        </w:rPr>
        <w:t xml:space="preserve">Newsweek. </w:t>
      </w:r>
      <w:r>
        <w:t xml:space="preserve">October 30, 2014. Accessed April 20, 2017. </w:t>
      </w:r>
      <w:r w:rsidRPr="0015685E">
        <w:t>http://www.newsweek.com/2014/11/07/france-slowly-reclaiming-its-old-african-empire-280635.html</w:t>
      </w:r>
      <w:r>
        <w:t>.</w:t>
      </w:r>
    </w:p>
    <w:p w14:paraId="0EF88372" w14:textId="77777777" w:rsidR="00593D11" w:rsidRPr="00CC2ACD" w:rsidRDefault="00593D11" w:rsidP="00593D11">
      <w:pPr>
        <w:ind w:left="720" w:hanging="720"/>
        <w:rPr>
          <w:rFonts w:eastAsia="Times New Roman" w:cs="Times New Roman"/>
          <w:color w:val="000000"/>
          <w:lang w:eastAsia="en-US"/>
        </w:rPr>
      </w:pPr>
      <w:r w:rsidRPr="00CC2ACD">
        <w:rPr>
          <w:rFonts w:eastAsia="Times New Roman" w:cs="Times New Roman"/>
          <w:color w:val="000000"/>
          <w:lang w:eastAsia="en-US"/>
        </w:rPr>
        <w:t xml:space="preserve">Echenberg, Myron J. </w:t>
      </w:r>
      <w:r>
        <w:rPr>
          <w:rFonts w:eastAsia="Times New Roman" w:cs="Times New Roman"/>
          <w:i/>
          <w:color w:val="000000"/>
          <w:lang w:eastAsia="en-US"/>
        </w:rPr>
        <w:t>Colonial Conscripts: T</w:t>
      </w:r>
      <w:r w:rsidRPr="00CC2ACD">
        <w:rPr>
          <w:rFonts w:eastAsia="Times New Roman" w:cs="Times New Roman"/>
          <w:i/>
          <w:color w:val="000000"/>
          <w:lang w:eastAsia="en-US"/>
        </w:rPr>
        <w:t xml:space="preserve">he Tirailleurs Sénégalais in French West Africa, 1857-1960. </w:t>
      </w:r>
      <w:r w:rsidRPr="00CC2ACD">
        <w:rPr>
          <w:rFonts w:eastAsia="Times New Roman" w:cs="Times New Roman"/>
          <w:color w:val="000000"/>
          <w:lang w:eastAsia="en-US"/>
        </w:rPr>
        <w:t>Portsmouth, NH: Heinneman, 1991</w:t>
      </w:r>
      <w:r>
        <w:rPr>
          <w:rFonts w:eastAsia="Times New Roman" w:cs="Times New Roman"/>
          <w:color w:val="000000"/>
          <w:lang w:eastAsia="en-US"/>
        </w:rPr>
        <w:t xml:space="preserve">. </w:t>
      </w:r>
    </w:p>
    <w:p w14:paraId="6ED75E3D" w14:textId="77777777" w:rsidR="00593D11" w:rsidRDefault="00593D11" w:rsidP="00593D11">
      <w:pPr>
        <w:ind w:left="720" w:hanging="720"/>
        <w:rPr>
          <w:rFonts w:cs="Times New Roman"/>
        </w:rPr>
      </w:pPr>
      <w:r w:rsidRPr="00CC2ACD">
        <w:rPr>
          <w:rFonts w:cs="Times New Roman"/>
          <w:i/>
        </w:rPr>
        <w:t>The Economist</w:t>
      </w:r>
      <w:r>
        <w:rPr>
          <w:rFonts w:cs="Times New Roman"/>
        </w:rPr>
        <w:t xml:space="preserve">. </w:t>
      </w:r>
      <w:r w:rsidRPr="00CC2ACD">
        <w:rPr>
          <w:rFonts w:cs="Times New Roman"/>
        </w:rPr>
        <w:t xml:space="preserve">“A French-African </w:t>
      </w:r>
      <w:r>
        <w:rPr>
          <w:rFonts w:cs="Times New Roman"/>
        </w:rPr>
        <w:t>Q</w:t>
      </w:r>
      <w:r w:rsidRPr="00CC2ACD">
        <w:rPr>
          <w:rFonts w:cs="Times New Roman"/>
        </w:rPr>
        <w:t>u</w:t>
      </w:r>
      <w:r>
        <w:rPr>
          <w:rFonts w:cs="Times New Roman"/>
        </w:rPr>
        <w:t>arrel with the Former Coloniser.</w:t>
      </w:r>
      <w:r w:rsidRPr="00CC2ACD">
        <w:rPr>
          <w:rFonts w:cs="Times New Roman"/>
        </w:rPr>
        <w:t>”</w:t>
      </w:r>
      <w:r w:rsidRPr="00CC2ACD">
        <w:rPr>
          <w:rFonts w:cs="Times New Roman"/>
          <w:i/>
        </w:rPr>
        <w:t xml:space="preserve"> </w:t>
      </w:r>
      <w:r w:rsidRPr="00CC2ACD">
        <w:rPr>
          <w:rFonts w:cs="Times New Roman"/>
        </w:rPr>
        <w:t>Jan</w:t>
      </w:r>
      <w:r>
        <w:rPr>
          <w:rFonts w:cs="Times New Roman"/>
        </w:rPr>
        <w:t>uary 26,</w:t>
      </w:r>
      <w:r w:rsidRPr="00CC2ACD">
        <w:rPr>
          <w:rFonts w:cs="Times New Roman"/>
        </w:rPr>
        <w:t xml:space="preserve"> 2016.</w:t>
      </w:r>
      <w:r>
        <w:rPr>
          <w:rFonts w:cs="Times New Roman"/>
        </w:rPr>
        <w:t xml:space="preserve"> Accessed January 20, 2017. </w:t>
      </w:r>
      <w:r w:rsidRPr="003B1D56">
        <w:rPr>
          <w:rFonts w:cs="Times New Roman"/>
        </w:rPr>
        <w:t>http://www.economist.com/news/middle-east-and-africa/21689216-former-colony-and-coloniser-grouse-cling-tight</w:t>
      </w:r>
      <w:r>
        <w:rPr>
          <w:rFonts w:cs="Times New Roman"/>
        </w:rPr>
        <w:t xml:space="preserve"> </w:t>
      </w:r>
    </w:p>
    <w:p w14:paraId="57474258" w14:textId="77777777" w:rsidR="00593D11" w:rsidRDefault="00593D11" w:rsidP="00593D11">
      <w:pPr>
        <w:ind w:left="720" w:hanging="720"/>
        <w:rPr>
          <w:rFonts w:cs="Times New Roman"/>
        </w:rPr>
      </w:pPr>
      <w:r>
        <w:t>———</w:t>
      </w:r>
      <w:r>
        <w:rPr>
          <w:rFonts w:cs="Times New Roman"/>
        </w:rPr>
        <w:t xml:space="preserve"> “The Glory Days Are Passing.</w:t>
      </w:r>
      <w:r w:rsidRPr="00CC2ACD">
        <w:rPr>
          <w:rFonts w:cs="Times New Roman"/>
        </w:rPr>
        <w:t xml:space="preserve">” </w:t>
      </w:r>
      <w:r>
        <w:rPr>
          <w:rFonts w:cs="Times New Roman"/>
        </w:rPr>
        <w:t xml:space="preserve">December 13, 2006, Accessed </w:t>
      </w:r>
      <w:r w:rsidRPr="00CC2ACD">
        <w:rPr>
          <w:rFonts w:cs="Times New Roman"/>
        </w:rPr>
        <w:t>Oct</w:t>
      </w:r>
      <w:r>
        <w:rPr>
          <w:rFonts w:cs="Times New Roman"/>
        </w:rPr>
        <w:t>ober 23,</w:t>
      </w:r>
      <w:r w:rsidRPr="00CC2ACD">
        <w:rPr>
          <w:rFonts w:cs="Times New Roman"/>
        </w:rPr>
        <w:t xml:space="preserve"> 2016.</w:t>
      </w:r>
      <w:r w:rsidRPr="002C4269">
        <w:t xml:space="preserve"> </w:t>
      </w:r>
      <w:r w:rsidRPr="002C4269">
        <w:rPr>
          <w:rFonts w:cs="Times New Roman"/>
        </w:rPr>
        <w:t>http://www.economist.com/node/8417979</w:t>
      </w:r>
      <w:r>
        <w:rPr>
          <w:rFonts w:cs="Times New Roman"/>
        </w:rPr>
        <w:t xml:space="preserve">. </w:t>
      </w:r>
    </w:p>
    <w:p w14:paraId="63C9114B" w14:textId="77777777" w:rsidR="00593D11" w:rsidRPr="00CC2ACD" w:rsidRDefault="00593D11" w:rsidP="00593D11">
      <w:pPr>
        <w:ind w:left="720" w:hanging="720"/>
        <w:rPr>
          <w:rFonts w:cs="Times New Roman"/>
        </w:rPr>
      </w:pPr>
      <w:r>
        <w:t>———</w:t>
      </w:r>
      <w:r>
        <w:rPr>
          <w:rFonts w:cs="Times New Roman"/>
        </w:rPr>
        <w:t xml:space="preserve"> “No Winds of Change.</w:t>
      </w:r>
      <w:r w:rsidRPr="00CC2ACD">
        <w:rPr>
          <w:rFonts w:cs="Times New Roman"/>
        </w:rPr>
        <w:t xml:space="preserve">” </w:t>
      </w:r>
      <w:r>
        <w:rPr>
          <w:rFonts w:cs="Times New Roman"/>
        </w:rPr>
        <w:t xml:space="preserve">June 1, 2010. Accessed </w:t>
      </w:r>
      <w:r w:rsidRPr="00CC2ACD">
        <w:rPr>
          <w:rFonts w:cs="Times New Roman"/>
        </w:rPr>
        <w:t>Oct</w:t>
      </w:r>
      <w:r>
        <w:rPr>
          <w:rFonts w:cs="Times New Roman"/>
        </w:rPr>
        <w:t>ober 23,</w:t>
      </w:r>
      <w:r w:rsidRPr="00CC2ACD">
        <w:rPr>
          <w:rFonts w:cs="Times New Roman"/>
        </w:rPr>
        <w:t xml:space="preserve"> 2016.</w:t>
      </w:r>
      <w:r w:rsidRPr="002C4269">
        <w:t xml:space="preserve"> </w:t>
      </w:r>
      <w:r w:rsidRPr="002C4269">
        <w:rPr>
          <w:rFonts w:cs="Times New Roman"/>
        </w:rPr>
        <w:t>http://www.economist.com/node/16266978</w:t>
      </w:r>
      <w:r>
        <w:rPr>
          <w:rFonts w:cs="Times New Roman"/>
        </w:rPr>
        <w:t xml:space="preserve">. </w:t>
      </w:r>
    </w:p>
    <w:p w14:paraId="33A95698" w14:textId="77777777" w:rsidR="00593D11" w:rsidRPr="00CC2ACD" w:rsidRDefault="00593D11" w:rsidP="00593D11">
      <w:pPr>
        <w:ind w:left="720" w:hanging="720"/>
        <w:rPr>
          <w:rFonts w:cs="Times New Roman"/>
        </w:rPr>
      </w:pPr>
      <w:r>
        <w:t>———</w:t>
      </w:r>
      <w:r w:rsidRPr="00CC2ACD">
        <w:rPr>
          <w:rFonts w:cs="Times New Roman"/>
        </w:rPr>
        <w:t xml:space="preserve"> “They Came</w:t>
      </w:r>
      <w:r>
        <w:rPr>
          <w:rFonts w:cs="Times New Roman"/>
        </w:rPr>
        <w:t xml:space="preserve"> to Bury Him, Not to Praise Him.</w:t>
      </w:r>
      <w:r w:rsidRPr="00CC2ACD">
        <w:rPr>
          <w:rFonts w:cs="Times New Roman"/>
        </w:rPr>
        <w:t>”</w:t>
      </w:r>
      <w:r w:rsidRPr="00CC2ACD">
        <w:rPr>
          <w:rFonts w:cs="Times New Roman"/>
          <w:i/>
        </w:rPr>
        <w:t xml:space="preserve"> </w:t>
      </w:r>
      <w:r w:rsidRPr="00CC2ACD">
        <w:rPr>
          <w:rFonts w:cs="Times New Roman"/>
        </w:rPr>
        <w:t>Jun</w:t>
      </w:r>
      <w:r>
        <w:rPr>
          <w:rFonts w:cs="Times New Roman"/>
        </w:rPr>
        <w:t>e 18,</w:t>
      </w:r>
      <w:r w:rsidRPr="00CC2ACD">
        <w:rPr>
          <w:rFonts w:cs="Times New Roman"/>
        </w:rPr>
        <w:t xml:space="preserve"> 2009.</w:t>
      </w:r>
      <w:r>
        <w:rPr>
          <w:rFonts w:cs="Times New Roman"/>
        </w:rPr>
        <w:t xml:space="preserve"> Accessed December 15, 2016.</w:t>
      </w:r>
      <w:r w:rsidRPr="00B85B39">
        <w:t xml:space="preserve"> </w:t>
      </w:r>
      <w:r w:rsidRPr="00B85B39">
        <w:rPr>
          <w:rFonts w:cs="Times New Roman"/>
        </w:rPr>
        <w:t>http://www.economist.com/node/13875618</w:t>
      </w:r>
      <w:r>
        <w:rPr>
          <w:rFonts w:cs="Times New Roman"/>
        </w:rPr>
        <w:t xml:space="preserve">. </w:t>
      </w:r>
    </w:p>
    <w:p w14:paraId="026BD1BA" w14:textId="77777777" w:rsidR="00593D11" w:rsidRDefault="00593D11" w:rsidP="00593D11">
      <w:pPr>
        <w:ind w:left="720" w:hanging="720"/>
        <w:rPr>
          <w:rFonts w:eastAsia="Times New Roman" w:cs="Times New Roman"/>
          <w:color w:val="000000"/>
          <w:lang w:eastAsia="en-US"/>
        </w:rPr>
      </w:pPr>
      <w:r>
        <w:rPr>
          <w:rFonts w:eastAsia="Times New Roman" w:cs="Times New Roman"/>
          <w:color w:val="000000"/>
          <w:lang w:eastAsia="en-US"/>
        </w:rPr>
        <w:t>Feenstra, R.C., Inklaar, R., and Timmer, M.P. “The Next Generation of the Penn World Table.” 2013. Accessed July 2013. http://www.ggdc.net/pwt.</w:t>
      </w:r>
    </w:p>
    <w:p w14:paraId="7D596B23" w14:textId="77777777" w:rsidR="00593D11" w:rsidRPr="00240B4A" w:rsidRDefault="00593D11" w:rsidP="00593D11">
      <w:pPr>
        <w:ind w:left="720" w:hanging="720"/>
      </w:pPr>
      <w:r w:rsidRPr="00240B4A">
        <w:t>Finnemore</w:t>
      </w:r>
      <w:r>
        <w:t>, Martha and Kathryn Sikkink.</w:t>
      </w:r>
      <w:r w:rsidRPr="00240B4A">
        <w:t xml:space="preserve"> “Taking Stock: The Constructivist Research Program in International Rel</w:t>
      </w:r>
      <w:r>
        <w:t>ations and Comparative Politics.</w:t>
      </w:r>
      <w:r w:rsidRPr="00240B4A">
        <w:t xml:space="preserve">” </w:t>
      </w:r>
      <w:r w:rsidRPr="00240B4A">
        <w:rPr>
          <w:i/>
        </w:rPr>
        <w:t xml:space="preserve">Annual Review of Political Science </w:t>
      </w:r>
      <w:r w:rsidRPr="00240B4A">
        <w:t>4 (2001): 391-416.</w:t>
      </w:r>
    </w:p>
    <w:p w14:paraId="6A70221D" w14:textId="77777777" w:rsidR="00593D11" w:rsidRPr="00CC2ACD" w:rsidRDefault="00593D11" w:rsidP="00593D11">
      <w:pPr>
        <w:ind w:left="720" w:hanging="720"/>
        <w:rPr>
          <w:rFonts w:cs="Times New Roman"/>
        </w:rPr>
      </w:pPr>
      <w:r w:rsidRPr="00CC2ACD">
        <w:rPr>
          <w:rFonts w:cs="Times New Roman"/>
        </w:rPr>
        <w:t>Flynn</w:t>
      </w:r>
      <w:r>
        <w:rPr>
          <w:rFonts w:cs="Times New Roman"/>
        </w:rPr>
        <w:t>,</w:t>
      </w:r>
      <w:r w:rsidRPr="00CC2ACD">
        <w:rPr>
          <w:rFonts w:cs="Times New Roman"/>
        </w:rPr>
        <w:t xml:space="preserve"> Daniel </w:t>
      </w:r>
      <w:r>
        <w:rPr>
          <w:rFonts w:cs="Times New Roman"/>
        </w:rPr>
        <w:t>and Geert de Clercq.</w:t>
      </w:r>
      <w:r w:rsidRPr="00CC2ACD">
        <w:rPr>
          <w:rFonts w:cs="Times New Roman"/>
        </w:rPr>
        <w:t xml:space="preserve"> “Special Report: </w:t>
      </w:r>
      <w:r>
        <w:rPr>
          <w:rFonts w:cs="Times New Roman"/>
        </w:rPr>
        <w:t>Areva and Niger’s uranium fight.</w:t>
      </w:r>
      <w:r w:rsidRPr="00CC2ACD">
        <w:rPr>
          <w:rFonts w:cs="Times New Roman"/>
        </w:rPr>
        <w:t xml:space="preserve">” </w:t>
      </w:r>
      <w:r>
        <w:rPr>
          <w:rFonts w:cs="Times New Roman"/>
          <w:i/>
        </w:rPr>
        <w:t xml:space="preserve">Reuters. </w:t>
      </w:r>
      <w:r>
        <w:rPr>
          <w:rFonts w:cs="Times New Roman"/>
        </w:rPr>
        <w:t xml:space="preserve">February 5, 2014. Accessed </w:t>
      </w:r>
      <w:r w:rsidRPr="00CC2ACD">
        <w:rPr>
          <w:rFonts w:cs="Times New Roman"/>
        </w:rPr>
        <w:t>Jan</w:t>
      </w:r>
      <w:r>
        <w:rPr>
          <w:rFonts w:cs="Times New Roman"/>
        </w:rPr>
        <w:t>uary 30,</w:t>
      </w:r>
      <w:r w:rsidRPr="00CC2ACD">
        <w:rPr>
          <w:rFonts w:cs="Times New Roman"/>
        </w:rPr>
        <w:t xml:space="preserve"> 2017.</w:t>
      </w:r>
      <w:r>
        <w:rPr>
          <w:rFonts w:cs="Times New Roman"/>
        </w:rPr>
        <w:t xml:space="preserve"> </w:t>
      </w:r>
      <w:r w:rsidRPr="00FE14A1">
        <w:rPr>
          <w:rFonts w:cs="Times New Roman"/>
        </w:rPr>
        <w:t>http://www.reuters.com/article/us-niger-areva-specialreport-idUSBREA140AA20140205</w:t>
      </w:r>
      <w:r>
        <w:rPr>
          <w:rFonts w:cs="Times New Roman"/>
        </w:rPr>
        <w:t>.</w:t>
      </w:r>
    </w:p>
    <w:p w14:paraId="6AD9A1CD" w14:textId="77777777" w:rsidR="00593D11" w:rsidRPr="00CC2ACD" w:rsidRDefault="00593D11" w:rsidP="00593D11">
      <w:pPr>
        <w:ind w:left="720" w:hanging="720"/>
        <w:rPr>
          <w:rFonts w:cs="Times New Roman"/>
        </w:rPr>
      </w:pPr>
      <w:r w:rsidRPr="00D03F03">
        <w:rPr>
          <w:rFonts w:cs="Times New Roman"/>
        </w:rPr>
        <w:t xml:space="preserve">“France.” </w:t>
      </w:r>
      <w:r w:rsidRPr="00D03F03">
        <w:rPr>
          <w:rFonts w:cs="Times New Roman"/>
          <w:i/>
        </w:rPr>
        <w:t>O</w:t>
      </w:r>
      <w:r>
        <w:rPr>
          <w:rFonts w:cs="Times New Roman"/>
          <w:i/>
        </w:rPr>
        <w:t xml:space="preserve">bservatory of </w:t>
      </w:r>
      <w:r w:rsidRPr="00D03F03">
        <w:rPr>
          <w:rFonts w:cs="Times New Roman"/>
          <w:i/>
        </w:rPr>
        <w:t>E</w:t>
      </w:r>
      <w:r>
        <w:rPr>
          <w:rFonts w:cs="Times New Roman"/>
          <w:i/>
        </w:rPr>
        <w:t xml:space="preserve">conomic </w:t>
      </w:r>
      <w:r w:rsidRPr="00D03F03">
        <w:rPr>
          <w:rFonts w:cs="Times New Roman"/>
          <w:i/>
        </w:rPr>
        <w:t>C</w:t>
      </w:r>
      <w:r>
        <w:rPr>
          <w:rFonts w:cs="Times New Roman"/>
          <w:i/>
        </w:rPr>
        <w:t>omplexity</w:t>
      </w:r>
      <w:r w:rsidRPr="00D03F03">
        <w:rPr>
          <w:rFonts w:cs="Times New Roman"/>
          <w:i/>
        </w:rPr>
        <w:t xml:space="preserve">. </w:t>
      </w:r>
      <w:r w:rsidRPr="00D03F03">
        <w:rPr>
          <w:rFonts w:cs="Times New Roman"/>
        </w:rPr>
        <w:t>Accessed April 14, 2017. http://atlas.media.mit.edu/en/profile/country/fra/.</w:t>
      </w:r>
    </w:p>
    <w:p w14:paraId="3A212B8F" w14:textId="77777777" w:rsidR="00593D11" w:rsidRPr="00CC2ACD" w:rsidRDefault="00593D11" w:rsidP="00593D11">
      <w:pPr>
        <w:ind w:left="720" w:hanging="720"/>
        <w:rPr>
          <w:rFonts w:cs="Times New Roman"/>
        </w:rPr>
      </w:pPr>
      <w:r>
        <w:rPr>
          <w:rFonts w:cs="Times New Roman"/>
        </w:rPr>
        <w:t xml:space="preserve">“France and Côte d’Ivoire.” </w:t>
      </w:r>
      <w:r>
        <w:rPr>
          <w:rFonts w:cs="Times New Roman"/>
          <w:i/>
        </w:rPr>
        <w:t xml:space="preserve">France Diplomatie. </w:t>
      </w:r>
      <w:r>
        <w:rPr>
          <w:rFonts w:cs="Times New Roman"/>
        </w:rPr>
        <w:t xml:space="preserve">January 13, 2017. Accessed April 14, 2017. </w:t>
      </w:r>
      <w:r w:rsidRPr="001C560D">
        <w:rPr>
          <w:rFonts w:cs="Times New Roman"/>
        </w:rPr>
        <w:t>http://www.diplomatie.gouv.fr/en/country-files/cote-d-ivoire/france-and-cote-d-ivoire/presentation/</w:t>
      </w:r>
      <w:r>
        <w:rPr>
          <w:rFonts w:cs="Times New Roman"/>
        </w:rPr>
        <w:t>.</w:t>
      </w:r>
    </w:p>
    <w:p w14:paraId="2590F0FB" w14:textId="77777777" w:rsidR="00593D11" w:rsidRDefault="00593D11" w:rsidP="00593D11">
      <w:pPr>
        <w:ind w:left="720" w:hanging="720"/>
        <w:rPr>
          <w:rFonts w:cs="Times New Roman"/>
        </w:rPr>
      </w:pPr>
      <w:r>
        <w:rPr>
          <w:rFonts w:cs="Times New Roman"/>
        </w:rPr>
        <w:t xml:space="preserve"> “France and Senegal.” </w:t>
      </w:r>
      <w:r>
        <w:rPr>
          <w:rFonts w:cs="Times New Roman"/>
          <w:i/>
        </w:rPr>
        <w:t xml:space="preserve">France Diplomatie. </w:t>
      </w:r>
      <w:r>
        <w:rPr>
          <w:rFonts w:cs="Times New Roman"/>
        </w:rPr>
        <w:t xml:space="preserve">April 7, 2016. Accessed January 10, 2017. </w:t>
      </w:r>
      <w:r w:rsidRPr="001C560D">
        <w:rPr>
          <w:rFonts w:cs="Times New Roman"/>
        </w:rPr>
        <w:t>http://www.diplomatie.gouv.fr/en/country-files/senegal/france-and-senegal/</w:t>
      </w:r>
      <w:r>
        <w:rPr>
          <w:rFonts w:cs="Times New Roman"/>
        </w:rPr>
        <w:t>.</w:t>
      </w:r>
    </w:p>
    <w:p w14:paraId="44799377" w14:textId="77777777" w:rsidR="00593D11" w:rsidRDefault="00593D11" w:rsidP="00593D11">
      <w:pPr>
        <w:ind w:left="720" w:hanging="720"/>
        <w:rPr>
          <w:rFonts w:cs="Times New Roman"/>
        </w:rPr>
      </w:pPr>
      <w:r w:rsidRPr="00830F76">
        <w:t xml:space="preserve"> “</w:t>
      </w:r>
      <w:r>
        <w:t>French bilateral aid.</w:t>
      </w:r>
      <w:r w:rsidRPr="00830F76">
        <w:t xml:space="preserve">” </w:t>
      </w:r>
      <w:r>
        <w:rPr>
          <w:i/>
        </w:rPr>
        <w:t>France Diplomatie.</w:t>
      </w:r>
      <w:r w:rsidRPr="00830F76">
        <w:rPr>
          <w:i/>
        </w:rPr>
        <w:t xml:space="preserve"> </w:t>
      </w:r>
      <w:r>
        <w:t>December 23, 2013. Accessed April 14, 2013.</w:t>
      </w:r>
      <w:r w:rsidRPr="00830F76">
        <w:t xml:space="preserve"> http://www.diplomatie.gouv.fr/en/french-foreign-policy/development-assistance/french-assistance-institutional/french-assistance-delivery/article/french-bilateral-aid</w:t>
      </w:r>
      <w:r>
        <w:rPr>
          <w:rFonts w:cs="Times New Roman"/>
        </w:rPr>
        <w:t>.</w:t>
      </w:r>
    </w:p>
    <w:p w14:paraId="071B249C" w14:textId="77777777" w:rsidR="00593D11" w:rsidRPr="00CC2ACD" w:rsidRDefault="00593D11" w:rsidP="00593D11">
      <w:pPr>
        <w:ind w:left="720" w:hanging="720"/>
        <w:rPr>
          <w:rFonts w:cs="Times New Roman"/>
        </w:rPr>
      </w:pPr>
      <w:r w:rsidRPr="00CC2ACD">
        <w:rPr>
          <w:rFonts w:cs="Times New Roman"/>
        </w:rPr>
        <w:t xml:space="preserve">French, Howard W. </w:t>
      </w:r>
      <w:r>
        <w:rPr>
          <w:rFonts w:cs="Times New Roman"/>
        </w:rPr>
        <w:t>“How France Shaped New Africa.</w:t>
      </w:r>
      <w:r w:rsidRPr="00CC2ACD">
        <w:rPr>
          <w:rFonts w:cs="Times New Roman"/>
        </w:rPr>
        <w:t xml:space="preserve">” </w:t>
      </w:r>
      <w:r>
        <w:rPr>
          <w:rFonts w:cs="Times New Roman"/>
          <w:i/>
        </w:rPr>
        <w:t>The New York Times.</w:t>
      </w:r>
      <w:r w:rsidRPr="00CC2ACD">
        <w:rPr>
          <w:rFonts w:cs="Times New Roman"/>
          <w:i/>
        </w:rPr>
        <w:t xml:space="preserve"> </w:t>
      </w:r>
      <w:r>
        <w:rPr>
          <w:rFonts w:cs="Times New Roman"/>
        </w:rPr>
        <w:t xml:space="preserve">February 28, </w:t>
      </w:r>
      <w:r w:rsidRPr="00CC2ACD">
        <w:rPr>
          <w:rFonts w:cs="Times New Roman"/>
        </w:rPr>
        <w:t>199</w:t>
      </w:r>
      <w:r>
        <w:rPr>
          <w:rFonts w:cs="Times New Roman"/>
        </w:rPr>
        <w:t xml:space="preserve">5. Accessed </w:t>
      </w:r>
      <w:r w:rsidRPr="00CC2ACD">
        <w:rPr>
          <w:rFonts w:cs="Times New Roman"/>
        </w:rPr>
        <w:t>Oct</w:t>
      </w:r>
      <w:r>
        <w:rPr>
          <w:rFonts w:cs="Times New Roman"/>
        </w:rPr>
        <w:t>ober 27,</w:t>
      </w:r>
      <w:r w:rsidRPr="00CC2ACD">
        <w:rPr>
          <w:rFonts w:cs="Times New Roman"/>
        </w:rPr>
        <w:t xml:space="preserve"> 2016.</w:t>
      </w:r>
      <w:r>
        <w:rPr>
          <w:rFonts w:cs="Times New Roman"/>
        </w:rPr>
        <w:t xml:space="preserve"> </w:t>
      </w:r>
      <w:r w:rsidRPr="00D272AA">
        <w:rPr>
          <w:rFonts w:cs="Times New Roman"/>
        </w:rPr>
        <w:t>http://www.nytimes.com/1995/02/28/world/how-france-shaped-new-africa.html</w:t>
      </w:r>
      <w:r>
        <w:rPr>
          <w:rFonts w:cs="Times New Roman"/>
        </w:rPr>
        <w:t xml:space="preserve">. </w:t>
      </w:r>
    </w:p>
    <w:p w14:paraId="3758291F" w14:textId="77777777" w:rsidR="00593D11" w:rsidRPr="00CC2ACD" w:rsidRDefault="00593D11" w:rsidP="00593D11">
      <w:pPr>
        <w:ind w:left="720" w:hanging="720"/>
        <w:rPr>
          <w:rFonts w:cs="Times New Roman"/>
        </w:rPr>
      </w:pPr>
      <w:r w:rsidRPr="00CC2ACD">
        <w:rPr>
          <w:rFonts w:cs="Times New Roman"/>
        </w:rPr>
        <w:t xml:space="preserve">Frindéhié, Martial K. </w:t>
      </w:r>
      <w:r w:rsidRPr="00CC2ACD">
        <w:rPr>
          <w:rFonts w:cs="Times New Roman"/>
          <w:i/>
        </w:rPr>
        <w:t xml:space="preserve">From Lumumba to Gbagbo: Africa in the </w:t>
      </w:r>
      <w:r>
        <w:rPr>
          <w:rFonts w:cs="Times New Roman"/>
          <w:i/>
        </w:rPr>
        <w:t>E</w:t>
      </w:r>
      <w:r w:rsidRPr="00CC2ACD">
        <w:rPr>
          <w:rFonts w:cs="Times New Roman"/>
          <w:i/>
        </w:rPr>
        <w:t>ddy of the Euro-Am</w:t>
      </w:r>
      <w:r>
        <w:rPr>
          <w:rFonts w:cs="Times New Roman"/>
          <w:i/>
        </w:rPr>
        <w:t>erican Quest for Exceptionalism.</w:t>
      </w:r>
      <w:r w:rsidRPr="00CC2ACD">
        <w:rPr>
          <w:rFonts w:cs="Times New Roman"/>
          <w:i/>
        </w:rPr>
        <w:t xml:space="preserve"> </w:t>
      </w:r>
      <w:r w:rsidRPr="00CC2ACD">
        <w:rPr>
          <w:rFonts w:cs="Times New Roman"/>
        </w:rPr>
        <w:t xml:space="preserve">Jefferson, North Carolina: McFarland </w:t>
      </w:r>
      <w:r>
        <w:rPr>
          <w:rFonts w:cs="Times New Roman"/>
        </w:rPr>
        <w:t xml:space="preserve">&amp; Company, 2016. </w:t>
      </w:r>
    </w:p>
    <w:p w14:paraId="4C2E69CB" w14:textId="77777777" w:rsidR="00593D11" w:rsidRPr="00CC2ACD" w:rsidRDefault="00593D11" w:rsidP="00593D11">
      <w:pPr>
        <w:ind w:left="720" w:hanging="720"/>
        <w:rPr>
          <w:rFonts w:cs="Times New Roman"/>
        </w:rPr>
      </w:pPr>
      <w:r w:rsidRPr="00CC2ACD">
        <w:rPr>
          <w:rFonts w:cs="Times New Roman"/>
        </w:rPr>
        <w:t>Golan, Tamar</w:t>
      </w:r>
      <w:r>
        <w:rPr>
          <w:rFonts w:cs="Times New Roman"/>
        </w:rPr>
        <w:t>.</w:t>
      </w:r>
      <w:r w:rsidRPr="00CC2ACD">
        <w:rPr>
          <w:rFonts w:cs="Times New Roman"/>
        </w:rPr>
        <w:t xml:space="preserve"> “A Certain Mystery: How Can France Do Everything that It Does in Africa—And Get Away with It?” </w:t>
      </w:r>
      <w:r w:rsidRPr="00CC2ACD">
        <w:rPr>
          <w:rFonts w:cs="Times New Roman"/>
          <w:i/>
        </w:rPr>
        <w:t xml:space="preserve">African Affairs </w:t>
      </w:r>
      <w:r>
        <w:rPr>
          <w:rFonts w:cs="Times New Roman"/>
        </w:rPr>
        <w:t xml:space="preserve">80.318 (1981), </w:t>
      </w:r>
      <w:r w:rsidRPr="00183CF4">
        <w:rPr>
          <w:rFonts w:cs="Times New Roman"/>
        </w:rPr>
        <w:t>3-11.</w:t>
      </w:r>
    </w:p>
    <w:p w14:paraId="2B9D814A" w14:textId="77777777" w:rsidR="00593D11" w:rsidRPr="00CC2ACD" w:rsidRDefault="00593D11" w:rsidP="00593D11">
      <w:pPr>
        <w:ind w:left="720" w:hanging="720"/>
        <w:rPr>
          <w:rFonts w:cs="Times New Roman"/>
        </w:rPr>
      </w:pPr>
      <w:r w:rsidRPr="00CC2ACD">
        <w:rPr>
          <w:rFonts w:cs="Times New Roman"/>
        </w:rPr>
        <w:t xml:space="preserve">Grey, </w:t>
      </w:r>
      <w:r>
        <w:rPr>
          <w:rFonts w:cs="Times New Roman"/>
        </w:rPr>
        <w:t xml:space="preserve">Robert. </w:t>
      </w:r>
      <w:r w:rsidRPr="00CC2ACD">
        <w:rPr>
          <w:rFonts w:cs="Times New Roman"/>
        </w:rPr>
        <w:t>“A Balance Sheet on Extern</w:t>
      </w:r>
      <w:r>
        <w:rPr>
          <w:rFonts w:cs="Times New Roman"/>
        </w:rPr>
        <w:t>al Assistance: France in Africa.</w:t>
      </w:r>
      <w:r w:rsidRPr="00CC2ACD">
        <w:rPr>
          <w:rFonts w:cs="Times New Roman"/>
        </w:rPr>
        <w:t xml:space="preserve">” </w:t>
      </w:r>
      <w:r w:rsidRPr="00CC2ACD">
        <w:rPr>
          <w:rFonts w:cs="Times New Roman"/>
          <w:i/>
        </w:rPr>
        <w:t xml:space="preserve">The Journal of Modern African Studies </w:t>
      </w:r>
      <w:r w:rsidRPr="00CC2ACD">
        <w:rPr>
          <w:rFonts w:cs="Times New Roman"/>
        </w:rPr>
        <w:t xml:space="preserve">28.1 (1990), </w:t>
      </w:r>
      <w:r w:rsidRPr="00183CF4">
        <w:rPr>
          <w:rFonts w:cs="Times New Roman"/>
        </w:rPr>
        <w:t>101-114.</w:t>
      </w:r>
    </w:p>
    <w:p w14:paraId="5475C6FA" w14:textId="77777777" w:rsidR="00593D11" w:rsidRPr="00CC2ACD" w:rsidRDefault="00593D11" w:rsidP="00593D11">
      <w:pPr>
        <w:ind w:left="720" w:hanging="720"/>
        <w:rPr>
          <w:rFonts w:eastAsia="Times New Roman" w:cs="Times New Roman"/>
          <w:color w:val="000000"/>
          <w:lang w:eastAsia="en-US"/>
        </w:rPr>
      </w:pPr>
      <w:r w:rsidRPr="0060581A">
        <w:rPr>
          <w:rFonts w:eastAsia="Times New Roman" w:cs="Times New Roman"/>
          <w:color w:val="000000"/>
          <w:lang w:eastAsia="en-US"/>
        </w:rPr>
        <w:t>Guha-Sapir, D. R. Below, Ph. Hoyois. EM-DAT. “The OFDA/CRED International Disaster Database</w:t>
      </w:r>
      <w:r>
        <w:rPr>
          <w:rFonts w:eastAsia="Times New Roman" w:cs="Times New Roman"/>
          <w:color w:val="000000"/>
          <w:lang w:eastAsia="en-US"/>
        </w:rPr>
        <w:t>.” Université C</w:t>
      </w:r>
      <w:r w:rsidRPr="0060581A">
        <w:rPr>
          <w:rFonts w:eastAsia="Times New Roman" w:cs="Times New Roman"/>
          <w:color w:val="000000"/>
          <w:lang w:eastAsia="en-US"/>
        </w:rPr>
        <w:t xml:space="preserve">atholique de Louvain, Brussels, Belgium. 2012. Accessed June 2013. http://www.emdat.be. </w:t>
      </w:r>
    </w:p>
    <w:p w14:paraId="455F4F85" w14:textId="77777777" w:rsidR="00593D11" w:rsidRPr="00CC2ACD" w:rsidRDefault="00593D11" w:rsidP="00593D11">
      <w:pPr>
        <w:ind w:left="720" w:hanging="720"/>
        <w:rPr>
          <w:rFonts w:eastAsia="Times New Roman" w:cs="Times New Roman"/>
          <w:color w:val="000000"/>
          <w:lang w:eastAsia="en-US"/>
        </w:rPr>
      </w:pPr>
      <w:r w:rsidRPr="00CC2ACD">
        <w:rPr>
          <w:rFonts w:eastAsia="Times New Roman" w:cs="Times New Roman"/>
          <w:color w:val="000000"/>
          <w:lang w:eastAsia="en-US"/>
        </w:rPr>
        <w:t xml:space="preserve">Hadjimichael, Michael T. and Michel Galy. “The CFA Franc Zone and the EMU.” </w:t>
      </w:r>
      <w:r w:rsidRPr="00CC2ACD">
        <w:rPr>
          <w:rFonts w:eastAsia="Times New Roman" w:cs="Times New Roman"/>
          <w:i/>
          <w:color w:val="000000"/>
          <w:lang w:eastAsia="en-US"/>
        </w:rPr>
        <w:t xml:space="preserve">IMF Working Paper WP/97/156 </w:t>
      </w:r>
      <w:r w:rsidRPr="00CC2ACD">
        <w:rPr>
          <w:rFonts w:eastAsia="Times New Roman" w:cs="Times New Roman"/>
          <w:color w:val="000000"/>
          <w:lang w:eastAsia="en-US"/>
        </w:rPr>
        <w:t>(1997). https://www.img.org/external/pubs/ft/wp/wp97156.pdf.</w:t>
      </w:r>
    </w:p>
    <w:p w14:paraId="747A6DF7" w14:textId="77777777" w:rsidR="00593D11" w:rsidRPr="00CC19B5" w:rsidRDefault="00593D11" w:rsidP="00593D11">
      <w:pPr>
        <w:ind w:left="720" w:hanging="720"/>
      </w:pPr>
      <w:r w:rsidRPr="00CC19B5">
        <w:t>Hall</w:t>
      </w:r>
      <w:r>
        <w:t>, Robert E. and Charles I. Jones.</w:t>
      </w:r>
      <w:r w:rsidRPr="00CC19B5">
        <w:t xml:space="preserve"> “Why do Some Countries Produce So Much More Output Per Worker than Others?” </w:t>
      </w:r>
      <w:r w:rsidRPr="00CC19B5">
        <w:rPr>
          <w:i/>
        </w:rPr>
        <w:t xml:space="preserve">Quarterly Journal </w:t>
      </w:r>
      <w:r>
        <w:rPr>
          <w:i/>
        </w:rPr>
        <w:t>of Economics</w:t>
      </w:r>
      <w:r w:rsidRPr="00CC19B5">
        <w:rPr>
          <w:i/>
        </w:rPr>
        <w:t xml:space="preserve"> </w:t>
      </w:r>
      <w:r>
        <w:t>114.1 (1999): 83-116.</w:t>
      </w:r>
      <w:r w:rsidRPr="00CC19B5">
        <w:t xml:space="preserve"> </w:t>
      </w:r>
    </w:p>
    <w:p w14:paraId="17D995F8" w14:textId="77777777" w:rsidR="00593D11" w:rsidRPr="00CC2ACD" w:rsidRDefault="00593D11" w:rsidP="00593D11">
      <w:pPr>
        <w:ind w:left="720" w:hanging="720"/>
        <w:rPr>
          <w:rFonts w:cs="Times New Roman"/>
        </w:rPr>
      </w:pPr>
      <w:r w:rsidRPr="00CC2ACD">
        <w:rPr>
          <w:rFonts w:cs="Times New Roman"/>
        </w:rPr>
        <w:t>Hansen,</w:t>
      </w:r>
      <w:r w:rsidRPr="00D272AA">
        <w:rPr>
          <w:rFonts w:cs="Times New Roman"/>
        </w:rPr>
        <w:t xml:space="preserve"> </w:t>
      </w:r>
      <w:r w:rsidRPr="00CC2ACD">
        <w:rPr>
          <w:rFonts w:cs="Times New Roman"/>
        </w:rPr>
        <w:t>Andrew</w:t>
      </w:r>
      <w:r>
        <w:rPr>
          <w:rFonts w:cs="Times New Roman"/>
        </w:rPr>
        <w:t>. “The French Military in Africa.</w:t>
      </w:r>
      <w:r w:rsidRPr="00CC2ACD">
        <w:rPr>
          <w:rFonts w:cs="Times New Roman"/>
        </w:rPr>
        <w:t xml:space="preserve">” </w:t>
      </w:r>
      <w:r>
        <w:rPr>
          <w:rFonts w:cs="Times New Roman"/>
          <w:i/>
        </w:rPr>
        <w:t>Council on Foreign Relations.</w:t>
      </w:r>
      <w:r w:rsidRPr="00CC2ACD">
        <w:rPr>
          <w:rFonts w:cs="Times New Roman"/>
          <w:i/>
        </w:rPr>
        <w:t xml:space="preserve"> </w:t>
      </w:r>
      <w:r>
        <w:rPr>
          <w:rFonts w:cs="Times New Roman"/>
        </w:rPr>
        <w:t xml:space="preserve">February 8, 2008. Accessed October 26, 2016. </w:t>
      </w:r>
      <w:r w:rsidRPr="00D272AA">
        <w:rPr>
          <w:rFonts w:cs="Times New Roman"/>
        </w:rPr>
        <w:t>http://www.cfr.org/france/french-military-africa/p12578</w:t>
      </w:r>
      <w:r>
        <w:rPr>
          <w:rFonts w:cs="Times New Roman"/>
        </w:rPr>
        <w:t xml:space="preserve">. </w:t>
      </w:r>
    </w:p>
    <w:p w14:paraId="115AFAAD" w14:textId="77777777" w:rsidR="00593D11" w:rsidRPr="00CC19B5" w:rsidRDefault="00593D11" w:rsidP="00593D11">
      <w:pPr>
        <w:pStyle w:val="FootnoteText"/>
        <w:spacing w:after="200"/>
        <w:ind w:left="720" w:hanging="720"/>
        <w:contextualSpacing/>
      </w:pPr>
      <w:r w:rsidRPr="00CC19B5">
        <w:t xml:space="preserve">Hargreaves, </w:t>
      </w:r>
      <w:r>
        <w:t xml:space="preserve">John D. </w:t>
      </w:r>
      <w:r w:rsidRPr="00CC19B5">
        <w:t>“Assimilatio</w:t>
      </w:r>
      <w:r>
        <w:t>n in Eighteenth-Century Senegal.</w:t>
      </w:r>
      <w:r w:rsidRPr="00CC19B5">
        <w:t xml:space="preserve">” </w:t>
      </w:r>
      <w:r w:rsidRPr="00CC19B5">
        <w:rPr>
          <w:i/>
        </w:rPr>
        <w:t xml:space="preserve">The Journal of African History </w:t>
      </w:r>
      <w:r>
        <w:t>6.2 (1965): 177-184</w:t>
      </w:r>
      <w:r w:rsidRPr="00CC19B5">
        <w:t>.</w:t>
      </w:r>
    </w:p>
    <w:p w14:paraId="6A4F7F6F" w14:textId="77777777" w:rsidR="00593D11" w:rsidRPr="00CC2ACD" w:rsidRDefault="00593D11" w:rsidP="00593D11">
      <w:pPr>
        <w:ind w:left="720" w:hanging="720"/>
        <w:rPr>
          <w:rFonts w:cs="Times New Roman"/>
        </w:rPr>
      </w:pPr>
      <w:r w:rsidRPr="00CC2ACD">
        <w:rPr>
          <w:rFonts w:cs="Times New Roman"/>
        </w:rPr>
        <w:t xml:space="preserve">Hitchens, Christopher </w:t>
      </w:r>
      <w:r>
        <w:rPr>
          <w:rFonts w:cs="Times New Roman"/>
        </w:rPr>
        <w:t xml:space="preserve">. </w:t>
      </w:r>
      <w:r w:rsidRPr="00CC2ACD">
        <w:rPr>
          <w:rFonts w:cs="Times New Roman"/>
        </w:rPr>
        <w:t xml:space="preserve">“A Chronology </w:t>
      </w:r>
      <w:r>
        <w:rPr>
          <w:rFonts w:cs="Times New Roman"/>
        </w:rPr>
        <w:t>of Algerian War of Independence.</w:t>
      </w:r>
      <w:r w:rsidRPr="00CC2ACD">
        <w:rPr>
          <w:rFonts w:cs="Times New Roman"/>
        </w:rPr>
        <w:t xml:space="preserve">” </w:t>
      </w:r>
      <w:r>
        <w:rPr>
          <w:rFonts w:cs="Times New Roman"/>
          <w:i/>
        </w:rPr>
        <w:t>The Atlantic.</w:t>
      </w:r>
      <w:r w:rsidRPr="00CC2ACD">
        <w:rPr>
          <w:rFonts w:cs="Times New Roman"/>
          <w:i/>
        </w:rPr>
        <w:t xml:space="preserve"> </w:t>
      </w:r>
      <w:r>
        <w:rPr>
          <w:rFonts w:cs="Times New Roman"/>
        </w:rPr>
        <w:t xml:space="preserve">November 2006. Accessed January 10, 2017. </w:t>
      </w:r>
      <w:r w:rsidRPr="00CC2ACD">
        <w:rPr>
          <w:rFonts w:cs="Times New Roman"/>
        </w:rPr>
        <w:t xml:space="preserve"> https://www.theatlantic.com/magazine/archive/2006/11/a-chronology-of-the-algerian-war-of-independence/305277/.</w:t>
      </w:r>
    </w:p>
    <w:p w14:paraId="06D8B532" w14:textId="77777777" w:rsidR="00593D11" w:rsidRPr="00CC2ACD" w:rsidRDefault="00593D11" w:rsidP="00593D11">
      <w:pPr>
        <w:ind w:left="720" w:hanging="720"/>
        <w:rPr>
          <w:rFonts w:cs="Times New Roman"/>
        </w:rPr>
      </w:pPr>
      <w:r w:rsidRPr="00CC2ACD">
        <w:rPr>
          <w:rFonts w:cs="Times New Roman"/>
        </w:rPr>
        <w:t>Huillery, El</w:t>
      </w:r>
      <w:r>
        <w:rPr>
          <w:rFonts w:cs="Times New Roman"/>
        </w:rPr>
        <w:t xml:space="preserve">ise. </w:t>
      </w:r>
      <w:r w:rsidRPr="00CC2ACD">
        <w:rPr>
          <w:rFonts w:cs="Times New Roman"/>
        </w:rPr>
        <w:t>“History Matters: The Long-Term Impact of Colonial Public In</w:t>
      </w:r>
      <w:r>
        <w:rPr>
          <w:rFonts w:cs="Times New Roman"/>
        </w:rPr>
        <w:t>vestments in French West Africa.</w:t>
      </w:r>
      <w:r w:rsidRPr="00CC2ACD">
        <w:rPr>
          <w:rFonts w:cs="Times New Roman"/>
        </w:rPr>
        <w:t xml:space="preserve">” </w:t>
      </w:r>
      <w:r w:rsidRPr="00CC2ACD">
        <w:rPr>
          <w:rFonts w:cs="Times New Roman"/>
          <w:i/>
        </w:rPr>
        <w:t xml:space="preserve">American Economic Journal: Applied Economics </w:t>
      </w:r>
      <w:r w:rsidRPr="00CC2ACD">
        <w:rPr>
          <w:rFonts w:cs="Times New Roman"/>
        </w:rPr>
        <w:t>1.2 (2009): 176-215.</w:t>
      </w:r>
    </w:p>
    <w:p w14:paraId="42ABF9E8" w14:textId="77777777" w:rsidR="00593D11" w:rsidRPr="00CC2ACD" w:rsidRDefault="00593D11" w:rsidP="00593D11">
      <w:pPr>
        <w:ind w:left="720" w:hanging="720"/>
        <w:rPr>
          <w:rFonts w:cs="Times New Roman"/>
        </w:rPr>
      </w:pPr>
      <w:r w:rsidRPr="00CC2ACD">
        <w:rPr>
          <w:rFonts w:cs="Times New Roman"/>
        </w:rPr>
        <w:t xml:space="preserve">Hollinger, </w:t>
      </w:r>
      <w:r>
        <w:rPr>
          <w:rFonts w:cs="Times New Roman"/>
        </w:rPr>
        <w:t xml:space="preserve">Peggy. </w:t>
      </w:r>
      <w:r w:rsidRPr="00CC2ACD">
        <w:rPr>
          <w:rFonts w:cs="Times New Roman"/>
        </w:rPr>
        <w:t xml:space="preserve">“Foreign Relations: Life Become </w:t>
      </w:r>
      <w:r>
        <w:rPr>
          <w:rFonts w:cs="Times New Roman"/>
        </w:rPr>
        <w:t>More Competitive for the French.</w:t>
      </w:r>
      <w:r w:rsidRPr="00CC2ACD">
        <w:rPr>
          <w:rFonts w:cs="Times New Roman"/>
        </w:rPr>
        <w:t xml:space="preserve">” </w:t>
      </w:r>
      <w:r>
        <w:rPr>
          <w:rFonts w:cs="Times New Roman"/>
          <w:i/>
        </w:rPr>
        <w:t>The Financial Times.</w:t>
      </w:r>
      <w:r w:rsidRPr="00CC2ACD">
        <w:rPr>
          <w:rFonts w:cs="Times New Roman"/>
          <w:i/>
        </w:rPr>
        <w:t xml:space="preserve"> </w:t>
      </w:r>
      <w:r>
        <w:rPr>
          <w:rFonts w:cs="Times New Roman"/>
        </w:rPr>
        <w:t xml:space="preserve">June 4, 2012. Accessed </w:t>
      </w:r>
      <w:r w:rsidRPr="00CC2ACD">
        <w:rPr>
          <w:rFonts w:cs="Times New Roman"/>
        </w:rPr>
        <w:t>Jan</w:t>
      </w:r>
      <w:r>
        <w:rPr>
          <w:rFonts w:cs="Times New Roman"/>
        </w:rPr>
        <w:t>uary 30,</w:t>
      </w:r>
      <w:r w:rsidRPr="00CC2ACD">
        <w:rPr>
          <w:rFonts w:cs="Times New Roman"/>
        </w:rPr>
        <w:t xml:space="preserve"> 2017.</w:t>
      </w:r>
      <w:r w:rsidRPr="00D272AA">
        <w:t xml:space="preserve"> </w:t>
      </w:r>
      <w:r w:rsidRPr="00D272AA">
        <w:rPr>
          <w:rFonts w:cs="Times New Roman"/>
        </w:rPr>
        <w:t>https://www.ft.com/content/2b665aae-ae5b-11e1-b842-00144feabdc0</w:t>
      </w:r>
      <w:r>
        <w:rPr>
          <w:rFonts w:cs="Times New Roman"/>
        </w:rPr>
        <w:t xml:space="preserve">. </w:t>
      </w:r>
    </w:p>
    <w:p w14:paraId="5A9F22B4" w14:textId="77777777" w:rsidR="00593D11" w:rsidRPr="00CC2ACD" w:rsidRDefault="00593D11" w:rsidP="00593D11">
      <w:pPr>
        <w:ind w:left="720" w:hanging="720"/>
        <w:rPr>
          <w:rFonts w:cs="Times New Roman"/>
        </w:rPr>
      </w:pPr>
      <w:r w:rsidRPr="00CC2ACD">
        <w:rPr>
          <w:rFonts w:cs="Times New Roman"/>
        </w:rPr>
        <w:t>Isenman,</w:t>
      </w:r>
      <w:r w:rsidRPr="00D272AA">
        <w:rPr>
          <w:rFonts w:cs="Times New Roman"/>
        </w:rPr>
        <w:t xml:space="preserve"> </w:t>
      </w:r>
      <w:r w:rsidRPr="00CC2ACD">
        <w:rPr>
          <w:rFonts w:cs="Times New Roman"/>
        </w:rPr>
        <w:t>Paul</w:t>
      </w:r>
      <w:r>
        <w:rPr>
          <w:rFonts w:cs="Times New Roman"/>
        </w:rPr>
        <w:t>.</w:t>
      </w:r>
      <w:r w:rsidRPr="00CC2ACD">
        <w:rPr>
          <w:rFonts w:cs="Times New Roman"/>
        </w:rPr>
        <w:t xml:space="preserve"> "Biases in Aid Allocations Against Poorer and Larger Countries," </w:t>
      </w:r>
      <w:r w:rsidRPr="00CC2ACD">
        <w:rPr>
          <w:rFonts w:cs="Times New Roman"/>
          <w:i/>
          <w:iCs/>
        </w:rPr>
        <w:t xml:space="preserve">World Development </w:t>
      </w:r>
      <w:r w:rsidRPr="00CC2ACD">
        <w:rPr>
          <w:rFonts w:cs="Times New Roman"/>
        </w:rPr>
        <w:t>4.8 (1976): 631-641.</w:t>
      </w:r>
    </w:p>
    <w:p w14:paraId="26034309" w14:textId="77777777" w:rsidR="00593D11" w:rsidRPr="00CC19B5" w:rsidRDefault="00593D11" w:rsidP="00593D11">
      <w:pPr>
        <w:pStyle w:val="FootnoteText"/>
        <w:spacing w:after="200"/>
        <w:ind w:left="720" w:hanging="720"/>
        <w:contextualSpacing/>
      </w:pPr>
      <w:r>
        <w:t>Johnson, Wesley G Jr.</w:t>
      </w:r>
      <w:r w:rsidRPr="00CC19B5">
        <w:t xml:space="preserve"> </w:t>
      </w:r>
      <w:r w:rsidRPr="00CC19B5">
        <w:rPr>
          <w:i/>
        </w:rPr>
        <w:t xml:space="preserve">The Emergence of Black Politics in Senegal: The Struggle for Power </w:t>
      </w:r>
      <w:r>
        <w:rPr>
          <w:i/>
        </w:rPr>
        <w:t>in the Four Communes, 1900-1920.</w:t>
      </w:r>
      <w:r w:rsidRPr="00CC19B5">
        <w:rPr>
          <w:i/>
        </w:rPr>
        <w:t xml:space="preserve"> </w:t>
      </w:r>
      <w:r w:rsidRPr="00CC19B5">
        <w:t>Stanford: Stanford University Press, 1971</w:t>
      </w:r>
      <w:r>
        <w:t>.</w:t>
      </w:r>
    </w:p>
    <w:p w14:paraId="662F7C78" w14:textId="77777777" w:rsidR="00593D11" w:rsidRDefault="00593D11" w:rsidP="00593D11">
      <w:pPr>
        <w:ind w:left="720" w:hanging="720"/>
        <w:rPr>
          <w:rFonts w:cs="Times New Roman"/>
        </w:rPr>
      </w:pPr>
      <w:r w:rsidRPr="00CC19B5">
        <w:t>Jones,</w:t>
      </w:r>
      <w:r>
        <w:t xml:space="preserve"> Hillary.</w:t>
      </w:r>
      <w:r w:rsidRPr="00CC19B5">
        <w:t xml:space="preserve"> “Rethinking Politics in the Colony: The </w:t>
      </w:r>
      <w:r w:rsidRPr="00CC19B5">
        <w:rPr>
          <w:i/>
        </w:rPr>
        <w:t xml:space="preserve">Métis </w:t>
      </w:r>
      <w:r w:rsidRPr="00CC19B5">
        <w:t>of Senegal and Urban Politics in the Late Ninetee</w:t>
      </w:r>
      <w:r>
        <w:t>nth and Early Twentieth Century.</w:t>
      </w:r>
      <w:r w:rsidRPr="00CC19B5">
        <w:t xml:space="preserve">” </w:t>
      </w:r>
      <w:r w:rsidRPr="00CC19B5">
        <w:rPr>
          <w:i/>
        </w:rPr>
        <w:t xml:space="preserve">Journal of African History </w:t>
      </w:r>
      <w:r>
        <w:t>53 (2012): 325-344</w:t>
      </w:r>
      <w:r>
        <w:rPr>
          <w:rFonts w:cs="Times New Roman"/>
        </w:rPr>
        <w:t>.</w:t>
      </w:r>
    </w:p>
    <w:p w14:paraId="3BEB70D5" w14:textId="590EEEF5" w:rsidR="00381A4C" w:rsidRDefault="00381A4C" w:rsidP="00593D11">
      <w:pPr>
        <w:ind w:left="720" w:hanging="720"/>
      </w:pPr>
      <w:r>
        <w:t xml:space="preserve">Katzenstein, Peter, ed. </w:t>
      </w:r>
      <w:r>
        <w:rPr>
          <w:i/>
        </w:rPr>
        <w:t xml:space="preserve">The Culture of National Security: Norms and Identity in World Politics. </w:t>
      </w:r>
      <w:r>
        <w:t>New York: Columbia University Press, 1996.</w:t>
      </w:r>
    </w:p>
    <w:p w14:paraId="46C6FD62" w14:textId="52547777" w:rsidR="00593D11" w:rsidRPr="00CC2ACD" w:rsidRDefault="00593D11" w:rsidP="00593D11">
      <w:pPr>
        <w:ind w:left="720" w:hanging="720"/>
        <w:rPr>
          <w:rFonts w:cs="Times New Roman"/>
        </w:rPr>
      </w:pPr>
      <w:r w:rsidRPr="00CC2ACD">
        <w:rPr>
          <w:rFonts w:cs="Times New Roman"/>
        </w:rPr>
        <w:t xml:space="preserve">Knack, </w:t>
      </w:r>
      <w:r>
        <w:rPr>
          <w:rFonts w:cs="Times New Roman"/>
        </w:rPr>
        <w:t xml:space="preserve">Stephen. </w:t>
      </w:r>
      <w:r w:rsidRPr="00CC2ACD">
        <w:rPr>
          <w:rFonts w:cs="Times New Roman"/>
        </w:rPr>
        <w:t xml:space="preserve">"Does Foreign Aid Promote Democracy?"  </w:t>
      </w:r>
      <w:r w:rsidRPr="00CC2ACD">
        <w:rPr>
          <w:rFonts w:cs="Times New Roman"/>
          <w:i/>
          <w:iCs/>
        </w:rPr>
        <w:t xml:space="preserve">International Studies Quarterly </w:t>
      </w:r>
      <w:r>
        <w:rPr>
          <w:rFonts w:cs="Times New Roman"/>
        </w:rPr>
        <w:t xml:space="preserve">48.1 (2004): 251-266. </w:t>
      </w:r>
    </w:p>
    <w:p w14:paraId="5AF360C2" w14:textId="77777777" w:rsidR="00593D11" w:rsidRPr="00CC2ACD" w:rsidRDefault="00593D11" w:rsidP="00593D11">
      <w:pPr>
        <w:ind w:left="720" w:hanging="720"/>
        <w:rPr>
          <w:rFonts w:cs="Times New Roman"/>
        </w:rPr>
      </w:pPr>
      <w:r w:rsidRPr="00CC2ACD">
        <w:rPr>
          <w:rFonts w:cs="Times New Roman"/>
        </w:rPr>
        <w:t>Krasner, Stephen D. “Structural Causes and Regime Consequences: R</w:t>
      </w:r>
      <w:r>
        <w:rPr>
          <w:rFonts w:cs="Times New Roman"/>
        </w:rPr>
        <w:t>egimes as Intervening Variables.</w:t>
      </w:r>
      <w:r w:rsidRPr="00CC2ACD">
        <w:rPr>
          <w:rFonts w:cs="Times New Roman"/>
        </w:rPr>
        <w:t xml:space="preserve">” </w:t>
      </w:r>
      <w:r w:rsidRPr="00CC2ACD">
        <w:rPr>
          <w:rFonts w:cs="Times New Roman"/>
          <w:i/>
        </w:rPr>
        <w:t xml:space="preserve">International Organization </w:t>
      </w:r>
      <w:r w:rsidRPr="00CC2ACD">
        <w:rPr>
          <w:rFonts w:cs="Times New Roman"/>
        </w:rPr>
        <w:t xml:space="preserve">36.2 (1982): </w:t>
      </w:r>
      <w:r w:rsidRPr="00183CF4">
        <w:rPr>
          <w:rFonts w:cs="Times New Roman"/>
        </w:rPr>
        <w:t>185-205.</w:t>
      </w:r>
    </w:p>
    <w:p w14:paraId="45D3C93E" w14:textId="77777777" w:rsidR="00593D11" w:rsidRPr="00B85B39" w:rsidRDefault="00593D11" w:rsidP="00593D11">
      <w:pPr>
        <w:ind w:left="720" w:hanging="720"/>
        <w:rPr>
          <w:rFonts w:cs="Times New Roman"/>
        </w:rPr>
      </w:pPr>
      <w:r w:rsidRPr="00B85B39">
        <w:rPr>
          <w:rFonts w:cs="Times New Roman"/>
        </w:rPr>
        <w:t>Kuziemko, Ilyana and Eric Werker. “</w:t>
      </w:r>
      <w:r>
        <w:rPr>
          <w:rFonts w:cs="Times New Roman"/>
        </w:rPr>
        <w:t xml:space="preserve">How Much Is a Seat on the Security Council Worth? Foreign Aid and Bribery at the United Nations.” </w:t>
      </w:r>
      <w:r>
        <w:rPr>
          <w:rFonts w:cs="Times New Roman"/>
          <w:i/>
        </w:rPr>
        <w:t xml:space="preserve">Journal of Political Economy </w:t>
      </w:r>
      <w:r>
        <w:rPr>
          <w:rFonts w:cs="Times New Roman"/>
        </w:rPr>
        <w:t>114.5 (2006): 905-930.</w:t>
      </w:r>
    </w:p>
    <w:p w14:paraId="68DC3666" w14:textId="77777777" w:rsidR="00593D11" w:rsidRPr="00CC2ACD" w:rsidRDefault="00593D11" w:rsidP="00593D11">
      <w:pPr>
        <w:ind w:left="720" w:hanging="720"/>
        <w:rPr>
          <w:rFonts w:cs="Times New Roman"/>
        </w:rPr>
      </w:pPr>
      <w:r w:rsidRPr="00CC2ACD">
        <w:rPr>
          <w:rFonts w:cs="Times New Roman"/>
        </w:rPr>
        <w:t xml:space="preserve">Lambert, Michael C. “From Citizenship to </w:t>
      </w:r>
      <w:r w:rsidRPr="00CC2ACD">
        <w:rPr>
          <w:rFonts w:cs="Times New Roman"/>
          <w:i/>
        </w:rPr>
        <w:t>Négritude</w:t>
      </w:r>
      <w:r w:rsidRPr="00CC2ACD">
        <w:rPr>
          <w:rFonts w:cs="Times New Roman"/>
        </w:rPr>
        <w:t>: ‘Making a Difference’ in Elite Ideologies of Co</w:t>
      </w:r>
      <w:r>
        <w:rPr>
          <w:rFonts w:cs="Times New Roman"/>
        </w:rPr>
        <w:t>lonized Francophone West Africa.</w:t>
      </w:r>
      <w:r w:rsidRPr="00CC2ACD">
        <w:rPr>
          <w:rFonts w:cs="Times New Roman"/>
        </w:rPr>
        <w:t xml:space="preserve">” </w:t>
      </w:r>
      <w:r w:rsidRPr="00CC2ACD">
        <w:rPr>
          <w:rFonts w:cs="Times New Roman"/>
          <w:i/>
        </w:rPr>
        <w:t xml:space="preserve">Comparative Studies in Society and History </w:t>
      </w:r>
      <w:r w:rsidRPr="00CC2ACD">
        <w:rPr>
          <w:rFonts w:cs="Times New Roman"/>
        </w:rPr>
        <w:t xml:space="preserve">35.2 (1993): </w:t>
      </w:r>
      <w:r w:rsidRPr="00183CF4">
        <w:rPr>
          <w:rFonts w:cs="Times New Roman"/>
        </w:rPr>
        <w:t>239-262.</w:t>
      </w:r>
    </w:p>
    <w:p w14:paraId="631FCFF4" w14:textId="77777777" w:rsidR="00593D11" w:rsidRDefault="00593D11" w:rsidP="00593D11">
      <w:pPr>
        <w:ind w:left="720" w:hanging="720"/>
        <w:rPr>
          <w:rFonts w:cs="Times New Roman"/>
        </w:rPr>
      </w:pPr>
      <w:r>
        <w:rPr>
          <w:rFonts w:eastAsia="Times New Roman" w:cs="Times New Roman"/>
          <w:color w:val="000000"/>
          <w:lang w:eastAsia="en-US"/>
        </w:rPr>
        <w:t xml:space="preserve">LaPorta, Rafael, Florencio Lopez-de-Silanes, and Andrei Shleifer. “The Economic Consequences of Legal Origines.” </w:t>
      </w:r>
      <w:r>
        <w:rPr>
          <w:rFonts w:eastAsia="Times New Roman" w:cs="Times New Roman"/>
          <w:i/>
          <w:color w:val="000000"/>
          <w:lang w:eastAsia="en-US"/>
        </w:rPr>
        <w:t xml:space="preserve">Journal of Economic Literature </w:t>
      </w:r>
      <w:r>
        <w:rPr>
          <w:rFonts w:eastAsia="Times New Roman" w:cs="Times New Roman"/>
          <w:color w:val="000000"/>
          <w:lang w:eastAsia="en-US"/>
        </w:rPr>
        <w:t>46.2 (2008): 285-332.</w:t>
      </w:r>
      <w:r w:rsidRPr="00D03F03">
        <w:rPr>
          <w:rFonts w:cs="Times New Roman"/>
        </w:rPr>
        <w:t xml:space="preserve"> </w:t>
      </w:r>
    </w:p>
    <w:p w14:paraId="5679A8DE" w14:textId="77777777" w:rsidR="00593D11" w:rsidRPr="00D03F03" w:rsidRDefault="00593D11" w:rsidP="00593D11">
      <w:pPr>
        <w:ind w:left="720" w:hanging="720"/>
        <w:rPr>
          <w:rFonts w:cs="Times New Roman"/>
        </w:rPr>
      </w:pPr>
      <w:r w:rsidRPr="00D03F03">
        <w:rPr>
          <w:rFonts w:cs="Times New Roman"/>
        </w:rPr>
        <w:t xml:space="preserve">“Les Forces Françaises Prépositionnées, Mai 2016.” </w:t>
      </w:r>
      <w:r w:rsidRPr="00D03F03">
        <w:rPr>
          <w:rFonts w:cs="Times New Roman"/>
          <w:i/>
        </w:rPr>
        <w:t xml:space="preserve">Ministère de la Défense. </w:t>
      </w:r>
      <w:r w:rsidRPr="00D03F03">
        <w:rPr>
          <w:rFonts w:cs="Times New Roman"/>
        </w:rPr>
        <w:t>January 31, 2017. Accessed April 14, 2017. http://www.defense.gouv.fr/ema/forces-prepositionnees/mission-des-forces-prepositionnees/missions-des-forces-prepositionnees.</w:t>
      </w:r>
    </w:p>
    <w:p w14:paraId="145035B3" w14:textId="77777777" w:rsidR="00593D11" w:rsidRPr="00CC2ACD" w:rsidRDefault="00593D11" w:rsidP="00593D11">
      <w:pPr>
        <w:ind w:left="720" w:hanging="720"/>
        <w:rPr>
          <w:rFonts w:cs="Times New Roman"/>
        </w:rPr>
      </w:pPr>
      <w:r w:rsidRPr="00CC2ACD">
        <w:rPr>
          <w:rFonts w:cs="Times New Roman"/>
        </w:rPr>
        <w:t>Lewis, Flora</w:t>
      </w:r>
      <w:r>
        <w:rPr>
          <w:rFonts w:cs="Times New Roman"/>
        </w:rPr>
        <w:t>.</w:t>
      </w:r>
      <w:r w:rsidRPr="00CC2ACD">
        <w:rPr>
          <w:rFonts w:cs="Times New Roman"/>
        </w:rPr>
        <w:t xml:space="preserve"> “France Seeking Wider Influence Amo</w:t>
      </w:r>
      <w:r>
        <w:rPr>
          <w:rFonts w:cs="Times New Roman"/>
        </w:rPr>
        <w:t>ng Africans.</w:t>
      </w:r>
      <w:r w:rsidRPr="00CC2ACD">
        <w:rPr>
          <w:rFonts w:cs="Times New Roman"/>
        </w:rPr>
        <w:t xml:space="preserve">” </w:t>
      </w:r>
      <w:r>
        <w:rPr>
          <w:rFonts w:cs="Times New Roman"/>
          <w:i/>
        </w:rPr>
        <w:t>The New York Times.</w:t>
      </w:r>
      <w:r w:rsidRPr="00CC2ACD">
        <w:rPr>
          <w:rFonts w:cs="Times New Roman"/>
          <w:i/>
        </w:rPr>
        <w:t xml:space="preserve"> </w:t>
      </w:r>
      <w:r>
        <w:rPr>
          <w:rFonts w:cs="Times New Roman"/>
        </w:rPr>
        <w:t xml:space="preserve">August 1, </w:t>
      </w:r>
      <w:r w:rsidRPr="00702F5C">
        <w:rPr>
          <w:rFonts w:cs="Times New Roman"/>
        </w:rPr>
        <w:t>1977.</w:t>
      </w:r>
      <w:r>
        <w:rPr>
          <w:rFonts w:cs="Times New Roman"/>
        </w:rPr>
        <w:t xml:space="preserve"> Accessed</w:t>
      </w:r>
      <w:r w:rsidRPr="00CC2ACD">
        <w:rPr>
          <w:rFonts w:cs="Times New Roman"/>
        </w:rPr>
        <w:t xml:space="preserve"> Oct</w:t>
      </w:r>
      <w:r>
        <w:rPr>
          <w:rFonts w:cs="Times New Roman"/>
        </w:rPr>
        <w:t>ober 26,</w:t>
      </w:r>
      <w:r w:rsidRPr="00CC2ACD">
        <w:rPr>
          <w:rFonts w:cs="Times New Roman"/>
        </w:rPr>
        <w:t xml:space="preserve"> 2016.</w:t>
      </w:r>
      <w:r w:rsidRPr="00D272AA">
        <w:t xml:space="preserve"> </w:t>
      </w:r>
      <w:r w:rsidRPr="00D272AA">
        <w:rPr>
          <w:rFonts w:cs="Times New Roman"/>
        </w:rPr>
        <w:t>http://www.nytimes.com/1977/08/01/archives/france-seeking-wider-influence-among-africans-6-france-focuses.html?_r=0</w:t>
      </w:r>
      <w:r>
        <w:rPr>
          <w:rFonts w:cs="Times New Roman"/>
        </w:rPr>
        <w:t>.</w:t>
      </w:r>
    </w:p>
    <w:p w14:paraId="6428E0D4" w14:textId="77777777" w:rsidR="00593D11" w:rsidRPr="00CC2ACD" w:rsidRDefault="00593D11" w:rsidP="00593D11">
      <w:pPr>
        <w:ind w:left="720" w:hanging="720"/>
        <w:rPr>
          <w:rFonts w:cs="Times New Roman"/>
        </w:rPr>
      </w:pPr>
      <w:r w:rsidRPr="00D03F03">
        <w:rPr>
          <w:rFonts w:cs="Times New Roman"/>
        </w:rPr>
        <w:t xml:space="preserve">Logan, Ryan. “The Coming of Age in the Ivory Coast.” </w:t>
      </w:r>
      <w:r w:rsidRPr="00D03F03">
        <w:rPr>
          <w:rFonts w:cs="Times New Roman"/>
          <w:i/>
        </w:rPr>
        <w:t xml:space="preserve">EDGE: Ethics of Development in a Global Environment. </w:t>
      </w:r>
      <w:r w:rsidRPr="00D03F03">
        <w:rPr>
          <w:rFonts w:cs="Times New Roman"/>
        </w:rPr>
        <w:t>July 26, 1999. Accessed April 14, 2017. http://web.stanford.edu/class/e297c/war_peace/africa/hage.html</w:t>
      </w:r>
      <w:r>
        <w:rPr>
          <w:rFonts w:cs="Times New Roman"/>
        </w:rPr>
        <w:t>.</w:t>
      </w:r>
    </w:p>
    <w:p w14:paraId="0F4605D4" w14:textId="77777777" w:rsidR="00593D11" w:rsidRPr="00CC2ACD" w:rsidRDefault="00593D11" w:rsidP="00593D11">
      <w:pPr>
        <w:ind w:left="720" w:hanging="720"/>
        <w:rPr>
          <w:rFonts w:cs="Times New Roman"/>
        </w:rPr>
      </w:pPr>
      <w:r w:rsidRPr="00CC2ACD">
        <w:rPr>
          <w:rFonts w:cs="Times New Roman"/>
        </w:rPr>
        <w:t>Lundborg,</w:t>
      </w:r>
      <w:r>
        <w:rPr>
          <w:rFonts w:cs="Times New Roman"/>
        </w:rPr>
        <w:t xml:space="preserve"> Per.</w:t>
      </w:r>
      <w:r w:rsidRPr="00CC2ACD">
        <w:rPr>
          <w:rFonts w:cs="Times New Roman"/>
        </w:rPr>
        <w:t xml:space="preserve"> "Foreign Aid and Interna</w:t>
      </w:r>
      <w:r>
        <w:rPr>
          <w:rFonts w:cs="Times New Roman"/>
        </w:rPr>
        <w:t>tional Support as Gift Exchange.</w:t>
      </w:r>
      <w:r w:rsidRPr="00CC2ACD">
        <w:rPr>
          <w:rFonts w:cs="Times New Roman"/>
        </w:rPr>
        <w:t xml:space="preserve">" </w:t>
      </w:r>
      <w:r w:rsidRPr="00CC2ACD">
        <w:rPr>
          <w:rFonts w:cs="Times New Roman"/>
          <w:i/>
          <w:iCs/>
        </w:rPr>
        <w:t xml:space="preserve">Economics and Politics </w:t>
      </w:r>
      <w:r>
        <w:rPr>
          <w:rFonts w:cs="Times New Roman"/>
        </w:rPr>
        <w:t xml:space="preserve">10.2 (1998): </w:t>
      </w:r>
      <w:r w:rsidRPr="00183CF4">
        <w:rPr>
          <w:rFonts w:cs="Times New Roman"/>
        </w:rPr>
        <w:t>127-141.</w:t>
      </w:r>
    </w:p>
    <w:p w14:paraId="0C5A3D35" w14:textId="77777777" w:rsidR="00593D11" w:rsidRPr="00CC2ACD" w:rsidRDefault="00593D11" w:rsidP="00593D11">
      <w:pPr>
        <w:ind w:left="720" w:hanging="720"/>
        <w:rPr>
          <w:rFonts w:cs="Times New Roman"/>
        </w:rPr>
      </w:pPr>
      <w:r w:rsidRPr="00CC2ACD">
        <w:rPr>
          <w:rFonts w:cs="Times New Roman"/>
        </w:rPr>
        <w:t>Maizels</w:t>
      </w:r>
      <w:r>
        <w:rPr>
          <w:rFonts w:cs="Times New Roman"/>
        </w:rPr>
        <w:t>,</w:t>
      </w:r>
      <w:r w:rsidRPr="002C4269">
        <w:rPr>
          <w:rFonts w:cs="Times New Roman"/>
        </w:rPr>
        <w:t xml:space="preserve"> </w:t>
      </w:r>
      <w:r w:rsidRPr="00CC2ACD">
        <w:rPr>
          <w:rFonts w:cs="Times New Roman"/>
        </w:rPr>
        <w:t>Alfred</w:t>
      </w:r>
      <w:r>
        <w:rPr>
          <w:rFonts w:cs="Times New Roman"/>
        </w:rPr>
        <w:t xml:space="preserve"> and Machiko K. Nissanke. </w:t>
      </w:r>
      <w:r w:rsidRPr="00CC2ACD">
        <w:rPr>
          <w:rFonts w:cs="Times New Roman"/>
        </w:rPr>
        <w:t xml:space="preserve">“Motivations </w:t>
      </w:r>
      <w:r>
        <w:rPr>
          <w:rFonts w:cs="Times New Roman"/>
        </w:rPr>
        <w:t>for Aid to Developing Countries.</w:t>
      </w:r>
      <w:r w:rsidRPr="00CC2ACD">
        <w:rPr>
          <w:rFonts w:cs="Times New Roman"/>
        </w:rPr>
        <w:t xml:space="preserve">” </w:t>
      </w:r>
      <w:r w:rsidRPr="00CC2ACD">
        <w:rPr>
          <w:rFonts w:cs="Times New Roman"/>
          <w:i/>
        </w:rPr>
        <w:t xml:space="preserve">World Development </w:t>
      </w:r>
      <w:r>
        <w:rPr>
          <w:rFonts w:cs="Times New Roman"/>
        </w:rPr>
        <w:t>12.9 (1984): 879-900.</w:t>
      </w:r>
    </w:p>
    <w:p w14:paraId="7CEACDA7" w14:textId="77777777" w:rsidR="00593D11" w:rsidRPr="00CC19B5" w:rsidRDefault="00593D11" w:rsidP="00593D11">
      <w:pPr>
        <w:ind w:left="720" w:hanging="720"/>
      </w:pPr>
      <w:r w:rsidRPr="00CC19B5">
        <w:t xml:space="preserve">Mann, </w:t>
      </w:r>
      <w:r>
        <w:t xml:space="preserve">Gregory. </w:t>
      </w:r>
      <w:r w:rsidRPr="00CC19B5">
        <w:rPr>
          <w:i/>
        </w:rPr>
        <w:t>Native Sons: West African Veterans and France in the Twentieth Century</w:t>
      </w:r>
      <w:r>
        <w:rPr>
          <w:i/>
        </w:rPr>
        <w:t xml:space="preserve">. </w:t>
      </w:r>
      <w:r w:rsidRPr="00CC19B5">
        <w:t>Durham: Duke University Press, 2006</w:t>
      </w:r>
      <w:r>
        <w:t>.</w:t>
      </w:r>
    </w:p>
    <w:p w14:paraId="56E070BC" w14:textId="62BEA82E" w:rsidR="00593D11" w:rsidRPr="00CC19B5" w:rsidRDefault="00593D11" w:rsidP="00593D11">
      <w:pPr>
        <w:ind w:left="720" w:hanging="720"/>
      </w:pPr>
      <w:r>
        <w:t xml:space="preserve">——— </w:t>
      </w:r>
      <w:r w:rsidRPr="00CC19B5">
        <w:t xml:space="preserve">“What </w:t>
      </w:r>
      <w:r w:rsidR="00D94C6B">
        <w:t>W</w:t>
      </w:r>
      <w:r w:rsidRPr="00CC19B5">
        <w:t xml:space="preserve">as the </w:t>
      </w:r>
      <w:r w:rsidRPr="00CC19B5">
        <w:rPr>
          <w:i/>
        </w:rPr>
        <w:t xml:space="preserve">Indigénat? </w:t>
      </w:r>
      <w:r w:rsidRPr="00CC19B5">
        <w:t>The ‘Empir</w:t>
      </w:r>
      <w:r>
        <w:t>e of Law’ in French West Africa.</w:t>
      </w:r>
      <w:r w:rsidRPr="00CC19B5">
        <w:t xml:space="preserve">” </w:t>
      </w:r>
      <w:r w:rsidRPr="00CC19B5">
        <w:rPr>
          <w:i/>
        </w:rPr>
        <w:t>Journal of Afri</w:t>
      </w:r>
      <w:r>
        <w:rPr>
          <w:i/>
        </w:rPr>
        <w:t>can History</w:t>
      </w:r>
      <w:r w:rsidRPr="00CC19B5">
        <w:rPr>
          <w:i/>
        </w:rPr>
        <w:t xml:space="preserve"> </w:t>
      </w:r>
      <w:r w:rsidRPr="00CC19B5">
        <w:t>50 (2009): 331</w:t>
      </w:r>
      <w:r>
        <w:t>-353</w:t>
      </w:r>
      <w:r w:rsidRPr="00CC19B5">
        <w:t>.</w:t>
      </w:r>
    </w:p>
    <w:p w14:paraId="7B51B9E1" w14:textId="77777777" w:rsidR="00593D11" w:rsidRPr="00CC2ACD" w:rsidRDefault="00593D11" w:rsidP="00593D11">
      <w:pPr>
        <w:ind w:left="720" w:hanging="720"/>
        <w:rPr>
          <w:rFonts w:cs="Times New Roman"/>
        </w:rPr>
      </w:pPr>
      <w:r w:rsidRPr="00CC2ACD">
        <w:rPr>
          <w:rFonts w:cs="Times New Roman"/>
        </w:rPr>
        <w:t>March</w:t>
      </w:r>
      <w:r>
        <w:rPr>
          <w:rFonts w:cs="Times New Roman"/>
        </w:rPr>
        <w:t>, James and Johan Olsen.</w:t>
      </w:r>
      <w:r w:rsidRPr="00CC2ACD">
        <w:rPr>
          <w:rFonts w:cs="Times New Roman"/>
        </w:rPr>
        <w:t xml:space="preserve"> “The Institutional Dynamics of the</w:t>
      </w:r>
      <w:r>
        <w:rPr>
          <w:rFonts w:cs="Times New Roman"/>
        </w:rPr>
        <w:t xml:space="preserve"> International Political Orders.</w:t>
      </w:r>
      <w:r w:rsidRPr="00CC2ACD">
        <w:rPr>
          <w:rFonts w:cs="Times New Roman"/>
        </w:rPr>
        <w:t xml:space="preserve">” </w:t>
      </w:r>
      <w:r w:rsidRPr="00CC2ACD">
        <w:rPr>
          <w:rFonts w:cs="Times New Roman"/>
          <w:i/>
        </w:rPr>
        <w:t xml:space="preserve">International Organization </w:t>
      </w:r>
      <w:r w:rsidRPr="00CC2ACD">
        <w:rPr>
          <w:rFonts w:cs="Times New Roman"/>
        </w:rPr>
        <w:t xml:space="preserve">52.4 (1998): </w:t>
      </w:r>
      <w:r w:rsidRPr="00183CF4">
        <w:rPr>
          <w:rFonts w:cs="Times New Roman"/>
        </w:rPr>
        <w:t>943-969.</w:t>
      </w:r>
    </w:p>
    <w:p w14:paraId="0954E7ED" w14:textId="77777777" w:rsidR="00593D11" w:rsidRPr="00CC2ACD" w:rsidRDefault="00593D11" w:rsidP="00593D11">
      <w:pPr>
        <w:ind w:left="720" w:hanging="720"/>
        <w:rPr>
          <w:rFonts w:eastAsia="Times New Roman" w:cs="Times New Roman"/>
          <w:color w:val="000000"/>
          <w:lang w:eastAsia="en-US"/>
        </w:rPr>
      </w:pPr>
      <w:r w:rsidRPr="00CC2ACD">
        <w:rPr>
          <w:rFonts w:eastAsia="Times New Roman" w:cs="Times New Roman"/>
          <w:color w:val="000000"/>
          <w:lang w:eastAsia="en-US"/>
        </w:rPr>
        <w:t xml:space="preserve">Marshall, Monty G., Ted Robert Gurr. and Keith Jaggers. </w:t>
      </w:r>
      <w:r w:rsidRPr="00CC2ACD">
        <w:rPr>
          <w:rFonts w:eastAsia="Times New Roman" w:cs="Times New Roman"/>
          <w:i/>
          <w:iCs/>
          <w:color w:val="000000"/>
          <w:lang w:eastAsia="en-US"/>
        </w:rPr>
        <w:t xml:space="preserve">Polity IV Project: Data Users' Manual, </w:t>
      </w:r>
      <w:r w:rsidRPr="00CC2ACD">
        <w:rPr>
          <w:rFonts w:eastAsia="Times New Roman" w:cs="Times New Roman"/>
          <w:iCs/>
          <w:color w:val="000000"/>
          <w:lang w:eastAsia="en-US"/>
        </w:rPr>
        <w:t xml:space="preserve">Vienna, VA: </w:t>
      </w:r>
      <w:r w:rsidRPr="00CC2ACD">
        <w:rPr>
          <w:rFonts w:eastAsia="Times New Roman" w:cs="Times New Roman"/>
          <w:color w:val="000000"/>
          <w:lang w:eastAsia="en-US"/>
        </w:rPr>
        <w:t xml:space="preserve">Center for Systemic Peace, 2012. </w:t>
      </w:r>
    </w:p>
    <w:p w14:paraId="195213E4" w14:textId="77777777" w:rsidR="00593D11" w:rsidRPr="00CC2ACD" w:rsidRDefault="00593D11" w:rsidP="00593D11">
      <w:pPr>
        <w:ind w:left="720" w:hanging="720"/>
        <w:rPr>
          <w:rFonts w:eastAsia="Times New Roman" w:cs="Times New Roman"/>
          <w:color w:val="000000"/>
          <w:lang w:eastAsia="en-US"/>
        </w:rPr>
      </w:pPr>
      <w:r w:rsidRPr="0060581A">
        <w:rPr>
          <w:rFonts w:eastAsia="Times New Roman" w:cs="Times New Roman"/>
          <w:color w:val="000000"/>
          <w:lang w:eastAsia="en-US"/>
        </w:rPr>
        <w:t xml:space="preserve">Mayer, Theirry and Soledad Zignago. </w:t>
      </w:r>
      <w:r>
        <w:rPr>
          <w:rFonts w:eastAsia="Times New Roman" w:cs="Times New Roman"/>
          <w:color w:val="000000"/>
          <w:lang w:eastAsia="en-US"/>
        </w:rPr>
        <w:t>“</w:t>
      </w:r>
      <w:r w:rsidRPr="0060581A">
        <w:rPr>
          <w:rFonts w:eastAsia="Times New Roman" w:cs="Times New Roman"/>
          <w:color w:val="000000"/>
          <w:lang w:eastAsia="en-US"/>
        </w:rPr>
        <w:t>Notes on CEPII's Distances Measures: The Geodist Database</w:t>
      </w:r>
      <w:r>
        <w:rPr>
          <w:rFonts w:eastAsia="Times New Roman" w:cs="Times New Roman"/>
          <w:color w:val="000000"/>
          <w:lang w:eastAsia="en-US"/>
        </w:rPr>
        <w:t>.”</w:t>
      </w:r>
      <w:r w:rsidRPr="0060581A">
        <w:rPr>
          <w:rFonts w:eastAsia="Times New Roman" w:cs="Times New Roman"/>
          <w:color w:val="000000"/>
          <w:lang w:eastAsia="en-US"/>
        </w:rPr>
        <w:t xml:space="preserve"> </w:t>
      </w:r>
      <w:r>
        <w:rPr>
          <w:rFonts w:eastAsia="Times New Roman" w:cs="Times New Roman"/>
          <w:color w:val="000000"/>
          <w:lang w:eastAsia="en-US"/>
        </w:rPr>
        <w:t xml:space="preserve">CEPII Working </w:t>
      </w:r>
      <w:r w:rsidRPr="00064C46">
        <w:rPr>
          <w:rFonts w:eastAsia="Times New Roman" w:cs="Times New Roman"/>
          <w:i/>
          <w:color w:val="000000"/>
          <w:lang w:eastAsia="en-US"/>
        </w:rPr>
        <w:t>Paper</w:t>
      </w:r>
      <w:r>
        <w:rPr>
          <w:rFonts w:eastAsia="Times New Roman" w:cs="Times New Roman"/>
          <w:i/>
          <w:color w:val="000000"/>
          <w:lang w:eastAsia="en-US"/>
        </w:rPr>
        <w:t xml:space="preserve"> </w:t>
      </w:r>
      <w:r>
        <w:rPr>
          <w:rFonts w:eastAsia="Times New Roman" w:cs="Times New Roman"/>
          <w:color w:val="000000"/>
          <w:lang w:eastAsia="en-US"/>
        </w:rPr>
        <w:t>25 (2011).</w:t>
      </w:r>
      <w:r w:rsidRPr="0060581A">
        <w:rPr>
          <w:rFonts w:eastAsia="Times New Roman" w:cs="Times New Roman"/>
          <w:color w:val="000000"/>
          <w:lang w:eastAsia="en-US"/>
        </w:rPr>
        <w:t xml:space="preserve"> Centre d'Etudes Prospectives e</w:t>
      </w:r>
      <w:r>
        <w:rPr>
          <w:rFonts w:eastAsia="Times New Roman" w:cs="Times New Roman"/>
          <w:color w:val="000000"/>
          <w:lang w:eastAsia="en-US"/>
        </w:rPr>
        <w:t>t d'Informations Internationals.</w:t>
      </w:r>
      <w:r w:rsidRPr="0060581A">
        <w:rPr>
          <w:rFonts w:eastAsia="Times New Roman" w:cs="Times New Roman"/>
          <w:color w:val="000000"/>
          <w:lang w:eastAsia="en-US"/>
        </w:rPr>
        <w:t xml:space="preserve"> Paris.</w:t>
      </w:r>
      <w:r w:rsidRPr="00CC2ACD">
        <w:rPr>
          <w:rFonts w:eastAsia="Times New Roman" w:cs="Times New Roman"/>
          <w:color w:val="000000"/>
          <w:lang w:eastAsia="en-US"/>
        </w:rPr>
        <w:t xml:space="preserve"> </w:t>
      </w:r>
    </w:p>
    <w:p w14:paraId="7CD1CC6B" w14:textId="77777777" w:rsidR="00593D11" w:rsidRPr="00CC2ACD" w:rsidRDefault="00593D11" w:rsidP="00593D11">
      <w:pPr>
        <w:ind w:left="720" w:hanging="720"/>
        <w:rPr>
          <w:rFonts w:cs="Times New Roman"/>
        </w:rPr>
      </w:pPr>
      <w:r w:rsidRPr="00CC2ACD">
        <w:rPr>
          <w:rFonts w:cs="Times New Roman"/>
        </w:rPr>
        <w:t>McGreal, Chris</w:t>
      </w:r>
      <w:r>
        <w:rPr>
          <w:rFonts w:cs="Times New Roman"/>
        </w:rPr>
        <w:t>.</w:t>
      </w:r>
      <w:r w:rsidRPr="00CC2ACD">
        <w:rPr>
          <w:rFonts w:cs="Times New Roman"/>
        </w:rPr>
        <w:t xml:space="preserve"> “France’s </w:t>
      </w:r>
      <w:r>
        <w:rPr>
          <w:rFonts w:cs="Times New Roman"/>
        </w:rPr>
        <w:t>S</w:t>
      </w:r>
      <w:r w:rsidRPr="00CC2ACD">
        <w:rPr>
          <w:rFonts w:cs="Times New Roman"/>
        </w:rPr>
        <w:t xml:space="preserve">hame?” </w:t>
      </w:r>
      <w:r>
        <w:rPr>
          <w:rFonts w:cs="Times New Roman"/>
          <w:i/>
        </w:rPr>
        <w:t>The Guardian.</w:t>
      </w:r>
      <w:r w:rsidRPr="00CC2ACD">
        <w:rPr>
          <w:rFonts w:cs="Times New Roman"/>
          <w:i/>
        </w:rPr>
        <w:t xml:space="preserve"> </w:t>
      </w:r>
      <w:r>
        <w:rPr>
          <w:rFonts w:cs="Times New Roman"/>
        </w:rPr>
        <w:t xml:space="preserve">January 11, 2007. Accessed </w:t>
      </w:r>
      <w:r w:rsidRPr="00CC2ACD">
        <w:rPr>
          <w:rFonts w:cs="Times New Roman"/>
        </w:rPr>
        <w:t>J</w:t>
      </w:r>
      <w:r>
        <w:rPr>
          <w:rFonts w:cs="Times New Roman"/>
        </w:rPr>
        <w:t>anuary 29, 2017.</w:t>
      </w:r>
      <w:r w:rsidRPr="00CC2ACD">
        <w:rPr>
          <w:rFonts w:cs="Times New Roman"/>
        </w:rPr>
        <w:t xml:space="preserve"> </w:t>
      </w:r>
      <w:r w:rsidRPr="002C4269">
        <w:rPr>
          <w:rFonts w:cs="Times New Roman"/>
        </w:rPr>
        <w:t>https://www.theguardian.com/world/2007/jan/11/rwanda.insideafrica</w:t>
      </w:r>
      <w:r>
        <w:rPr>
          <w:rFonts w:cs="Times New Roman"/>
        </w:rPr>
        <w:t xml:space="preserve">. </w:t>
      </w:r>
    </w:p>
    <w:p w14:paraId="179C26BA" w14:textId="77777777" w:rsidR="00593D11" w:rsidRPr="00CC2ACD" w:rsidRDefault="00593D11" w:rsidP="00593D11">
      <w:pPr>
        <w:ind w:left="720" w:hanging="720"/>
        <w:rPr>
          <w:rFonts w:cs="Times New Roman"/>
        </w:rPr>
      </w:pPr>
      <w:r>
        <w:t>———</w:t>
      </w:r>
      <w:r w:rsidRPr="00CC2ACD">
        <w:rPr>
          <w:rFonts w:cs="Times New Roman"/>
        </w:rPr>
        <w:t xml:space="preserve"> “Why Rwanda </w:t>
      </w:r>
      <w:r>
        <w:rPr>
          <w:rFonts w:cs="Times New Roman"/>
        </w:rPr>
        <w:t>S</w:t>
      </w:r>
      <w:r w:rsidRPr="00CC2ACD">
        <w:rPr>
          <w:rFonts w:cs="Times New Roman"/>
        </w:rPr>
        <w:t xml:space="preserve">aid </w:t>
      </w:r>
      <w:r>
        <w:rPr>
          <w:rFonts w:cs="Times New Roman"/>
        </w:rPr>
        <w:t>A</w:t>
      </w:r>
      <w:r w:rsidRPr="00CC2ACD">
        <w:rPr>
          <w:rFonts w:cs="Times New Roman"/>
        </w:rPr>
        <w:t xml:space="preserve">dieu to French.” </w:t>
      </w:r>
      <w:r>
        <w:rPr>
          <w:rFonts w:cs="Times New Roman"/>
          <w:i/>
        </w:rPr>
        <w:t>The Guardian.</w:t>
      </w:r>
      <w:r w:rsidRPr="00CC2ACD">
        <w:rPr>
          <w:rFonts w:cs="Times New Roman"/>
          <w:i/>
        </w:rPr>
        <w:t xml:space="preserve"> </w:t>
      </w:r>
      <w:r w:rsidRPr="00CC2ACD">
        <w:rPr>
          <w:rFonts w:cs="Times New Roman"/>
        </w:rPr>
        <w:t>Jan</w:t>
      </w:r>
      <w:r>
        <w:rPr>
          <w:rFonts w:cs="Times New Roman"/>
        </w:rPr>
        <w:t>uary 16,</w:t>
      </w:r>
      <w:r w:rsidRPr="00CC2ACD">
        <w:rPr>
          <w:rFonts w:cs="Times New Roman"/>
        </w:rPr>
        <w:t xml:space="preserve"> 2009. </w:t>
      </w:r>
      <w:r>
        <w:rPr>
          <w:rFonts w:cs="Times New Roman"/>
        </w:rPr>
        <w:t xml:space="preserve">Accessed </w:t>
      </w:r>
      <w:r w:rsidRPr="003B1D56">
        <w:rPr>
          <w:rFonts w:cs="Times New Roman"/>
        </w:rPr>
        <w:t>Jan</w:t>
      </w:r>
      <w:r>
        <w:rPr>
          <w:rFonts w:cs="Times New Roman"/>
        </w:rPr>
        <w:t>uary 29,</w:t>
      </w:r>
      <w:r w:rsidRPr="003B1D56">
        <w:rPr>
          <w:rFonts w:cs="Times New Roman"/>
        </w:rPr>
        <w:t xml:space="preserve"> 2017.</w:t>
      </w:r>
      <w:r w:rsidRPr="002C4269">
        <w:t xml:space="preserve"> </w:t>
      </w:r>
      <w:r w:rsidRPr="002C4269">
        <w:rPr>
          <w:rFonts w:cs="Times New Roman"/>
        </w:rPr>
        <w:t>https://www.theguardian.com/education/2009/jan/16/rwanda-english-genocide</w:t>
      </w:r>
      <w:r>
        <w:rPr>
          <w:rFonts w:cs="Times New Roman"/>
        </w:rPr>
        <w:t xml:space="preserve">. </w:t>
      </w:r>
    </w:p>
    <w:p w14:paraId="5C8658CD" w14:textId="77777777" w:rsidR="00593D11" w:rsidRPr="00CC2ACD" w:rsidRDefault="00593D11" w:rsidP="00593D11">
      <w:pPr>
        <w:pStyle w:val="FootnoteText"/>
        <w:ind w:left="720" w:hanging="720"/>
        <w:rPr>
          <w:rFonts w:cs="Times New Roman"/>
        </w:rPr>
      </w:pPr>
      <w:r w:rsidRPr="00CC2ACD">
        <w:rPr>
          <w:rFonts w:cs="Times New Roman"/>
        </w:rPr>
        <w:t>McKinlay</w:t>
      </w:r>
      <w:r>
        <w:rPr>
          <w:rFonts w:cs="Times New Roman"/>
        </w:rPr>
        <w:t>, R.D.</w:t>
      </w:r>
      <w:r w:rsidRPr="00CC2ACD">
        <w:rPr>
          <w:rFonts w:cs="Times New Roman"/>
        </w:rPr>
        <w:t xml:space="preserve"> and R. Little, “The French Aid Relationship: A Foreign Policy Model of the Distribution o</w:t>
      </w:r>
      <w:r>
        <w:rPr>
          <w:rFonts w:cs="Times New Roman"/>
        </w:rPr>
        <w:t>f French Bilateral Aid, 1964-70.</w:t>
      </w:r>
      <w:r w:rsidRPr="00CC2ACD">
        <w:rPr>
          <w:rFonts w:cs="Times New Roman"/>
        </w:rPr>
        <w:t xml:space="preserve">” </w:t>
      </w:r>
      <w:r w:rsidRPr="00CC2ACD">
        <w:rPr>
          <w:rFonts w:cs="Times New Roman"/>
          <w:i/>
        </w:rPr>
        <w:t xml:space="preserve">Development and Change </w:t>
      </w:r>
      <w:r w:rsidRPr="00CC2ACD">
        <w:rPr>
          <w:rFonts w:cs="Times New Roman"/>
        </w:rPr>
        <w:t>3(1978):</w:t>
      </w:r>
      <w:r>
        <w:rPr>
          <w:rFonts w:cs="Times New Roman"/>
        </w:rPr>
        <w:t xml:space="preserve"> 459-478. </w:t>
      </w:r>
    </w:p>
    <w:p w14:paraId="2909A942" w14:textId="77777777" w:rsidR="00593D11" w:rsidRPr="00CC2ACD" w:rsidRDefault="00593D11" w:rsidP="00593D11">
      <w:pPr>
        <w:pStyle w:val="FootnoteText"/>
        <w:ind w:left="720" w:hanging="720"/>
        <w:rPr>
          <w:rFonts w:cs="Times New Roman"/>
        </w:rPr>
      </w:pPr>
    </w:p>
    <w:p w14:paraId="72AF1B52" w14:textId="77777777" w:rsidR="00593D11" w:rsidRPr="00CC2ACD" w:rsidRDefault="00593D11" w:rsidP="00593D11">
      <w:pPr>
        <w:ind w:left="720" w:hanging="720"/>
        <w:rPr>
          <w:rFonts w:cs="Times New Roman"/>
        </w:rPr>
      </w:pPr>
      <w:r w:rsidRPr="00CC2ACD">
        <w:rPr>
          <w:rFonts w:cs="Times New Roman"/>
        </w:rPr>
        <w:t>Melly,</w:t>
      </w:r>
      <w:r w:rsidRPr="002C4269">
        <w:rPr>
          <w:rFonts w:cs="Times New Roman"/>
        </w:rPr>
        <w:t xml:space="preserve"> </w:t>
      </w:r>
      <w:r w:rsidRPr="00CC2ACD">
        <w:rPr>
          <w:rFonts w:cs="Times New Roman"/>
        </w:rPr>
        <w:t>Paul</w:t>
      </w:r>
      <w:r>
        <w:rPr>
          <w:rFonts w:cs="Times New Roman"/>
        </w:rPr>
        <w:t>.</w:t>
      </w:r>
      <w:r w:rsidRPr="00CC2ACD">
        <w:rPr>
          <w:rFonts w:cs="Times New Roman"/>
        </w:rPr>
        <w:t xml:space="preserve"> “The </w:t>
      </w:r>
      <w:r>
        <w:rPr>
          <w:rFonts w:cs="Times New Roman"/>
        </w:rPr>
        <w:t>C</w:t>
      </w:r>
      <w:r w:rsidRPr="00CC2ACD">
        <w:rPr>
          <w:rFonts w:cs="Times New Roman"/>
        </w:rPr>
        <w:t xml:space="preserve">osy </w:t>
      </w:r>
      <w:r>
        <w:rPr>
          <w:rFonts w:cs="Times New Roman"/>
        </w:rPr>
        <w:t>R</w:t>
      </w:r>
      <w:r w:rsidRPr="00CC2ACD">
        <w:rPr>
          <w:rFonts w:cs="Times New Roman"/>
        </w:rPr>
        <w:t>ela</w:t>
      </w:r>
      <w:r>
        <w:rPr>
          <w:rFonts w:cs="Times New Roman"/>
        </w:rPr>
        <w:t>tions Between France and Africa.</w:t>
      </w:r>
      <w:r w:rsidRPr="00CC2ACD">
        <w:rPr>
          <w:rFonts w:cs="Times New Roman"/>
        </w:rPr>
        <w:t xml:space="preserve">” </w:t>
      </w:r>
      <w:r>
        <w:rPr>
          <w:rFonts w:cs="Times New Roman"/>
          <w:i/>
        </w:rPr>
        <w:t>BBC News.</w:t>
      </w:r>
      <w:r w:rsidRPr="00CC2ACD">
        <w:rPr>
          <w:rFonts w:cs="Times New Roman"/>
          <w:i/>
        </w:rPr>
        <w:t xml:space="preserve"> </w:t>
      </w:r>
      <w:r>
        <w:rPr>
          <w:rFonts w:cs="Times New Roman"/>
        </w:rPr>
        <w:t xml:space="preserve">September 13, 2011. Accessed </w:t>
      </w:r>
      <w:r w:rsidRPr="00CC2ACD">
        <w:rPr>
          <w:rFonts w:cs="Times New Roman"/>
        </w:rPr>
        <w:t>Nov</w:t>
      </w:r>
      <w:r>
        <w:rPr>
          <w:rFonts w:cs="Times New Roman"/>
        </w:rPr>
        <w:t>ember 6,</w:t>
      </w:r>
      <w:r w:rsidRPr="00CC2ACD">
        <w:rPr>
          <w:rFonts w:cs="Times New Roman"/>
        </w:rPr>
        <w:t xml:space="preserve"> 2016.</w:t>
      </w:r>
      <w:r w:rsidRPr="002C4269">
        <w:t xml:space="preserve"> </w:t>
      </w:r>
      <w:r w:rsidRPr="002C4269">
        <w:rPr>
          <w:rFonts w:cs="Times New Roman"/>
        </w:rPr>
        <w:t>http://www.bbc.com/news/world-africa-14898197</w:t>
      </w:r>
      <w:r>
        <w:rPr>
          <w:rFonts w:cs="Times New Roman"/>
        </w:rPr>
        <w:t>.</w:t>
      </w:r>
    </w:p>
    <w:p w14:paraId="42B80A88" w14:textId="77777777" w:rsidR="00593D11" w:rsidRPr="00CC2ACD" w:rsidRDefault="00593D11" w:rsidP="00593D11">
      <w:pPr>
        <w:ind w:left="720" w:hanging="720"/>
        <w:rPr>
          <w:rFonts w:cs="Times New Roman"/>
        </w:rPr>
      </w:pPr>
      <w:r w:rsidRPr="00CC2ACD">
        <w:rPr>
          <w:rFonts w:cs="Times New Roman"/>
        </w:rPr>
        <w:t>Mitzen, Jennifer</w:t>
      </w:r>
      <w:r>
        <w:rPr>
          <w:rFonts w:cs="Times New Roman"/>
        </w:rPr>
        <w:t xml:space="preserve">. </w:t>
      </w:r>
      <w:r w:rsidRPr="00CC2ACD">
        <w:rPr>
          <w:rFonts w:cs="Times New Roman"/>
        </w:rPr>
        <w:t xml:space="preserve">“Ontological Security in World Politics: </w:t>
      </w:r>
      <w:r>
        <w:rPr>
          <w:rFonts w:cs="Times New Roman"/>
        </w:rPr>
        <w:t>State Identity and the Security.</w:t>
      </w:r>
      <w:r w:rsidRPr="00CC2ACD">
        <w:rPr>
          <w:rFonts w:cs="Times New Roman"/>
        </w:rPr>
        <w:t xml:space="preserve">” </w:t>
      </w:r>
      <w:r w:rsidRPr="00CC2ACD">
        <w:rPr>
          <w:rFonts w:cs="Times New Roman"/>
          <w:i/>
        </w:rPr>
        <w:t xml:space="preserve">European Journal of International Relations </w:t>
      </w:r>
      <w:r w:rsidRPr="00CC2ACD">
        <w:rPr>
          <w:rFonts w:cs="Times New Roman"/>
        </w:rPr>
        <w:t xml:space="preserve">12.3 (2006): </w:t>
      </w:r>
      <w:r w:rsidRPr="00183CF4">
        <w:rPr>
          <w:rFonts w:cs="Times New Roman"/>
        </w:rPr>
        <w:t>341-370.</w:t>
      </w:r>
    </w:p>
    <w:p w14:paraId="2978D30F" w14:textId="77777777" w:rsidR="00593D11" w:rsidRPr="00CC2ACD" w:rsidRDefault="00593D11" w:rsidP="00593D11">
      <w:pPr>
        <w:ind w:left="720" w:hanging="720"/>
        <w:rPr>
          <w:rFonts w:cs="Times New Roman"/>
        </w:rPr>
      </w:pPr>
      <w:r w:rsidRPr="00CC2ACD">
        <w:rPr>
          <w:rFonts w:cs="Times New Roman"/>
        </w:rPr>
        <w:t>Neumayer, Eric</w:t>
      </w:r>
      <w:r>
        <w:rPr>
          <w:rFonts w:cs="Times New Roman"/>
        </w:rPr>
        <w:t>.</w:t>
      </w:r>
      <w:r w:rsidRPr="00CC2ACD">
        <w:rPr>
          <w:rFonts w:cs="Times New Roman"/>
        </w:rPr>
        <w:t xml:space="preserve"> "Is Respect for Human Rights Rewarded? An Analysis of Total Bilateral and Multilateral Aid Flows</w:t>
      </w:r>
      <w:r>
        <w:rPr>
          <w:rFonts w:cs="Times New Roman"/>
        </w:rPr>
        <w:t>.</w:t>
      </w:r>
      <w:r w:rsidRPr="00CC2ACD">
        <w:rPr>
          <w:rFonts w:cs="Times New Roman"/>
        </w:rPr>
        <w:t xml:space="preserve">" </w:t>
      </w:r>
      <w:r w:rsidRPr="00CC2ACD">
        <w:rPr>
          <w:rFonts w:cs="Times New Roman"/>
          <w:i/>
          <w:iCs/>
        </w:rPr>
        <w:t xml:space="preserve">Human Rights Quarterly </w:t>
      </w:r>
      <w:r>
        <w:rPr>
          <w:rFonts w:cs="Times New Roman"/>
        </w:rPr>
        <w:t>25.2 (2003): 510-527.</w:t>
      </w:r>
    </w:p>
    <w:p w14:paraId="1B459D26" w14:textId="77777777" w:rsidR="00593D11" w:rsidRPr="00CC2ACD" w:rsidRDefault="00593D11" w:rsidP="00593D11">
      <w:pPr>
        <w:ind w:left="720" w:hanging="720"/>
        <w:rPr>
          <w:rFonts w:cs="Times New Roman"/>
        </w:rPr>
      </w:pPr>
      <w:r w:rsidRPr="00CC2ACD">
        <w:rPr>
          <w:rFonts w:cs="Times New Roman"/>
        </w:rPr>
        <w:t>Neuwirth, Robert</w:t>
      </w:r>
      <w:r>
        <w:rPr>
          <w:rFonts w:cs="Times New Roman"/>
        </w:rPr>
        <w:t>.</w:t>
      </w:r>
      <w:r w:rsidRPr="00CC2ACD">
        <w:rPr>
          <w:rFonts w:cs="Times New Roman"/>
        </w:rPr>
        <w:t xml:space="preserve"> “African Monetary </w:t>
      </w:r>
      <w:r>
        <w:rPr>
          <w:rFonts w:cs="Times New Roman"/>
        </w:rPr>
        <w:t>Union Stirs Criticism of France.</w:t>
      </w:r>
      <w:r w:rsidRPr="00CC2ACD">
        <w:rPr>
          <w:rFonts w:cs="Times New Roman"/>
        </w:rPr>
        <w:t xml:space="preserve">” </w:t>
      </w:r>
      <w:r>
        <w:rPr>
          <w:rFonts w:cs="Times New Roman"/>
          <w:i/>
        </w:rPr>
        <w:t>Bloomberg.</w:t>
      </w:r>
      <w:r w:rsidRPr="00CC2ACD">
        <w:rPr>
          <w:rFonts w:cs="Times New Roman"/>
          <w:i/>
        </w:rPr>
        <w:t xml:space="preserve"> </w:t>
      </w:r>
      <w:r>
        <w:rPr>
          <w:rFonts w:cs="Times New Roman"/>
        </w:rPr>
        <w:t xml:space="preserve">April 17, 2014. Accessed </w:t>
      </w:r>
      <w:r w:rsidRPr="00CC2ACD">
        <w:rPr>
          <w:rFonts w:cs="Times New Roman"/>
        </w:rPr>
        <w:t>Oct</w:t>
      </w:r>
      <w:r>
        <w:rPr>
          <w:rFonts w:cs="Times New Roman"/>
        </w:rPr>
        <w:t>ober 28,</w:t>
      </w:r>
      <w:r w:rsidRPr="00CC2ACD">
        <w:rPr>
          <w:rFonts w:cs="Times New Roman"/>
        </w:rPr>
        <w:t xml:space="preserve"> 2016.</w:t>
      </w:r>
      <w:r w:rsidRPr="002C4269">
        <w:t xml:space="preserve"> </w:t>
      </w:r>
      <w:r w:rsidRPr="002C4269">
        <w:rPr>
          <w:rFonts w:cs="Times New Roman"/>
        </w:rPr>
        <w:t>https://www.bloomberg.com/news/articles/2014-04-17/african-monetary-union-stirs-criticism-of-france</w:t>
      </w:r>
      <w:r>
        <w:rPr>
          <w:rFonts w:cs="Times New Roman"/>
        </w:rPr>
        <w:t xml:space="preserve">. </w:t>
      </w:r>
    </w:p>
    <w:p w14:paraId="58AA8535" w14:textId="77777777" w:rsidR="00593D11" w:rsidRPr="00CC2ACD" w:rsidRDefault="00593D11" w:rsidP="00593D11">
      <w:pPr>
        <w:ind w:left="720" w:hanging="720"/>
        <w:rPr>
          <w:rFonts w:cs="Times New Roman"/>
        </w:rPr>
      </w:pPr>
      <w:r w:rsidRPr="00CC2ACD">
        <w:rPr>
          <w:rFonts w:cs="Times New Roman"/>
        </w:rPr>
        <w:t>Noble, Kenneth B. “French Devaluation of Afr</w:t>
      </w:r>
      <w:r>
        <w:rPr>
          <w:rFonts w:cs="Times New Roman"/>
        </w:rPr>
        <w:t>ican Currency Brings Wide Unrest.</w:t>
      </w:r>
      <w:r w:rsidRPr="00CC2ACD">
        <w:rPr>
          <w:rFonts w:cs="Times New Roman"/>
        </w:rPr>
        <w:t xml:space="preserve">” </w:t>
      </w:r>
      <w:r>
        <w:rPr>
          <w:rFonts w:cs="Times New Roman"/>
          <w:i/>
        </w:rPr>
        <w:t>The New York Times.</w:t>
      </w:r>
      <w:r w:rsidRPr="00CC2ACD">
        <w:rPr>
          <w:rFonts w:cs="Times New Roman"/>
          <w:i/>
        </w:rPr>
        <w:t xml:space="preserve"> </w:t>
      </w:r>
      <w:r>
        <w:rPr>
          <w:rFonts w:cs="Times New Roman"/>
        </w:rPr>
        <w:t>February 23, 1994. Accessed</w:t>
      </w:r>
      <w:r w:rsidRPr="00CC2ACD">
        <w:rPr>
          <w:rFonts w:cs="Times New Roman"/>
        </w:rPr>
        <w:t xml:space="preserve"> Jan</w:t>
      </w:r>
      <w:r>
        <w:rPr>
          <w:rFonts w:cs="Times New Roman"/>
        </w:rPr>
        <w:t>uary 29,</w:t>
      </w:r>
      <w:r w:rsidRPr="00CC2ACD">
        <w:rPr>
          <w:rFonts w:cs="Times New Roman"/>
        </w:rPr>
        <w:t xml:space="preserve"> 2017.</w:t>
      </w:r>
      <w:r w:rsidRPr="002C4269">
        <w:t xml:space="preserve"> </w:t>
      </w:r>
      <w:r w:rsidRPr="002C4269">
        <w:rPr>
          <w:rFonts w:cs="Times New Roman"/>
        </w:rPr>
        <w:t>http://www.nytimes.com/1994/02/23/world/french-devaluation-of-african-currency-brings-wide-unrest.html?pagewanted=all</w:t>
      </w:r>
      <w:r>
        <w:rPr>
          <w:rFonts w:cs="Times New Roman"/>
        </w:rPr>
        <w:t xml:space="preserve">. </w:t>
      </w:r>
    </w:p>
    <w:p w14:paraId="20C52A42" w14:textId="77777777" w:rsidR="00593D11" w:rsidRPr="00CC19B5" w:rsidRDefault="00593D11" w:rsidP="00593D11">
      <w:pPr>
        <w:ind w:left="720" w:hanging="720"/>
      </w:pPr>
      <w:r w:rsidRPr="00CC19B5">
        <w:t xml:space="preserve">Nunn, </w:t>
      </w:r>
      <w:r>
        <w:t xml:space="preserve">Nathan. </w:t>
      </w:r>
      <w:r w:rsidRPr="00CC19B5">
        <w:t xml:space="preserve">“Historical Legacies: A Model Linking Africa’s Past </w:t>
      </w:r>
      <w:r>
        <w:t>to its Current Underdevelopment.</w:t>
      </w:r>
      <w:r w:rsidRPr="00CC19B5">
        <w:t xml:space="preserve">” </w:t>
      </w:r>
      <w:r w:rsidRPr="00CC19B5">
        <w:rPr>
          <w:i/>
        </w:rPr>
        <w:t>J</w:t>
      </w:r>
      <w:r>
        <w:rPr>
          <w:i/>
        </w:rPr>
        <w:t>ournal of Development Economics</w:t>
      </w:r>
      <w:r w:rsidRPr="00CC19B5">
        <w:rPr>
          <w:i/>
        </w:rPr>
        <w:t xml:space="preserve"> </w:t>
      </w:r>
      <w:r w:rsidRPr="00CC19B5">
        <w:t>83.1 (2007): 157-175</w:t>
      </w:r>
      <w:r>
        <w:t>.</w:t>
      </w:r>
    </w:p>
    <w:p w14:paraId="46F2DDF3" w14:textId="77777777" w:rsidR="00593D11" w:rsidRPr="00CC19B5" w:rsidRDefault="00593D11" w:rsidP="00593D11">
      <w:pPr>
        <w:ind w:left="720" w:hanging="720"/>
      </w:pPr>
      <w:r>
        <w:t xml:space="preserve">——— </w:t>
      </w:r>
      <w:r w:rsidRPr="00CC19B5">
        <w:t>“The Long-Term E</w:t>
      </w:r>
      <w:r>
        <w:t>ffects of Africa’s Slave Trades.</w:t>
      </w:r>
      <w:r w:rsidRPr="00CC19B5">
        <w:t xml:space="preserve">” </w:t>
      </w:r>
      <w:r w:rsidRPr="00CC19B5">
        <w:rPr>
          <w:i/>
        </w:rPr>
        <w:t xml:space="preserve">The Quarterly Journal of Economics </w:t>
      </w:r>
      <w:r w:rsidRPr="00CC19B5">
        <w:t>123.1 (2008): 139-176.</w:t>
      </w:r>
    </w:p>
    <w:p w14:paraId="6E39810D" w14:textId="77777777" w:rsidR="00593D11" w:rsidRPr="00D1067F" w:rsidRDefault="00593D11" w:rsidP="00593D11">
      <w:pPr>
        <w:ind w:left="720" w:hanging="720"/>
      </w:pPr>
      <w:r>
        <w:t>OECD.</w:t>
      </w:r>
      <w:r w:rsidRPr="00D1067F">
        <w:t xml:space="preserve"> “Is It</w:t>
      </w:r>
      <w:r>
        <w:t xml:space="preserve"> ODA: Factsheet – November 2008.” Accessed April 12, 2017.</w:t>
      </w:r>
      <w:r w:rsidRPr="00D1067F">
        <w:t xml:space="preserve"> http://www.oec</w:t>
      </w:r>
      <w:r>
        <w:t xml:space="preserve">d.org/dac/stats/34086975.pdf. </w:t>
      </w:r>
    </w:p>
    <w:p w14:paraId="2F18BE65" w14:textId="77777777" w:rsidR="00593D11" w:rsidRPr="00CC2ACD" w:rsidRDefault="00593D11" w:rsidP="00593D11">
      <w:pPr>
        <w:ind w:left="720" w:hanging="720"/>
        <w:rPr>
          <w:rFonts w:eastAsia="Times New Roman" w:cs="Times New Roman"/>
          <w:color w:val="000000"/>
          <w:lang w:eastAsia="en-US"/>
        </w:rPr>
      </w:pPr>
      <w:r>
        <w:t>——— “</w:t>
      </w:r>
      <w:r w:rsidRPr="0060581A">
        <w:rPr>
          <w:rFonts w:eastAsia="Times New Roman" w:cs="Times New Roman"/>
          <w:color w:val="000000"/>
          <w:lang w:eastAsia="en-US"/>
        </w:rPr>
        <w:t>Technical Guide to DAC Statistics Database.</w:t>
      </w:r>
      <w:r>
        <w:rPr>
          <w:rFonts w:eastAsia="Times New Roman" w:cs="Times New Roman"/>
          <w:color w:val="000000"/>
          <w:lang w:eastAsia="en-US"/>
        </w:rPr>
        <w:t>”</w:t>
      </w:r>
      <w:r w:rsidRPr="0060581A">
        <w:rPr>
          <w:rFonts w:eastAsia="Times New Roman" w:cs="Times New Roman"/>
          <w:color w:val="000000"/>
          <w:lang w:eastAsia="en-US"/>
        </w:rPr>
        <w:t xml:space="preserve"> OECD aid statistics 2014. Accessed July 2014. http://www.oecd.org/dac/stats/dacguide.htm. </w:t>
      </w:r>
    </w:p>
    <w:p w14:paraId="5DFC1949" w14:textId="1BB12A56" w:rsidR="00695075" w:rsidRDefault="00695075" w:rsidP="00593D11">
      <w:pPr>
        <w:ind w:left="720" w:hanging="720"/>
        <w:rPr>
          <w:rFonts w:cs="Times New Roman"/>
        </w:rPr>
      </w:pPr>
      <w:r>
        <w:t xml:space="preserve">Pedersen, Susan. </w:t>
      </w:r>
      <w:r>
        <w:rPr>
          <w:i/>
        </w:rPr>
        <w:t xml:space="preserve">The Guardians: The League of Nation and the Crisis of Empire. </w:t>
      </w:r>
      <w:r>
        <w:t>Oxford: Oxford University Press, 2015.</w:t>
      </w:r>
      <w:r>
        <w:rPr>
          <w:rFonts w:cs="Times New Roman"/>
        </w:rPr>
        <w:t xml:space="preserve"> </w:t>
      </w:r>
    </w:p>
    <w:p w14:paraId="184ADC6A" w14:textId="77777777" w:rsidR="00593D11" w:rsidRPr="00CC2ACD" w:rsidRDefault="00593D11" w:rsidP="00593D11">
      <w:pPr>
        <w:ind w:left="720" w:hanging="720"/>
        <w:rPr>
          <w:rFonts w:cs="Times New Roman"/>
        </w:rPr>
      </w:pPr>
      <w:r w:rsidRPr="00CC2ACD">
        <w:rPr>
          <w:rFonts w:cs="Times New Roman"/>
        </w:rPr>
        <w:t>Poirier, Agnès</w:t>
      </w:r>
      <w:r>
        <w:rPr>
          <w:rFonts w:cs="Times New Roman"/>
        </w:rPr>
        <w:t>.</w:t>
      </w:r>
      <w:r w:rsidRPr="00CC2ACD">
        <w:rPr>
          <w:rFonts w:cs="Times New Roman"/>
        </w:rPr>
        <w:t xml:space="preserve"> “Gabon’s French R</w:t>
      </w:r>
      <w:r>
        <w:rPr>
          <w:rFonts w:cs="Times New Roman"/>
        </w:rPr>
        <w:t>ejection Hits Us Where It Hurts.</w:t>
      </w:r>
      <w:r w:rsidRPr="00CC2ACD">
        <w:rPr>
          <w:rFonts w:cs="Times New Roman"/>
        </w:rPr>
        <w:t xml:space="preserve">” </w:t>
      </w:r>
      <w:r>
        <w:rPr>
          <w:rFonts w:cs="Times New Roman"/>
          <w:i/>
        </w:rPr>
        <w:t>The Guardian.</w:t>
      </w:r>
      <w:r w:rsidRPr="00CC2ACD">
        <w:rPr>
          <w:rFonts w:cs="Times New Roman"/>
          <w:i/>
        </w:rPr>
        <w:t xml:space="preserve"> </w:t>
      </w:r>
      <w:r w:rsidRPr="00CC2ACD">
        <w:rPr>
          <w:rFonts w:cs="Times New Roman"/>
        </w:rPr>
        <w:t xml:space="preserve"> October</w:t>
      </w:r>
      <w:r>
        <w:rPr>
          <w:rFonts w:cs="Times New Roman"/>
        </w:rPr>
        <w:t xml:space="preserve"> 12,</w:t>
      </w:r>
      <w:r w:rsidRPr="00CC2ACD">
        <w:rPr>
          <w:rFonts w:cs="Times New Roman"/>
        </w:rPr>
        <w:t xml:space="preserve"> 2012.</w:t>
      </w:r>
      <w:r>
        <w:rPr>
          <w:rFonts w:cs="Times New Roman"/>
        </w:rPr>
        <w:t xml:space="preserve"> Accessed</w:t>
      </w:r>
      <w:r w:rsidRPr="003B1D56">
        <w:rPr>
          <w:rFonts w:cs="Times New Roman"/>
        </w:rPr>
        <w:t xml:space="preserve"> Jan</w:t>
      </w:r>
      <w:r>
        <w:rPr>
          <w:rFonts w:cs="Times New Roman"/>
        </w:rPr>
        <w:t>uary 27,</w:t>
      </w:r>
      <w:r w:rsidRPr="003B1D56">
        <w:rPr>
          <w:rFonts w:cs="Times New Roman"/>
        </w:rPr>
        <w:t xml:space="preserve"> 2017.</w:t>
      </w:r>
      <w:r w:rsidRPr="002C4269">
        <w:t xml:space="preserve"> </w:t>
      </w:r>
      <w:r w:rsidRPr="002C4269">
        <w:rPr>
          <w:rFonts w:cs="Times New Roman"/>
        </w:rPr>
        <w:t>https://www.theguardian.com/commentisfree/2012/oct/12/gabon-french-rejection-hurts</w:t>
      </w:r>
      <w:r>
        <w:rPr>
          <w:rFonts w:cs="Times New Roman"/>
        </w:rPr>
        <w:t xml:space="preserve">. </w:t>
      </w:r>
    </w:p>
    <w:p w14:paraId="75D3B948" w14:textId="420E5056" w:rsidR="00695075" w:rsidRDefault="00E60067" w:rsidP="00695075">
      <w:pPr>
        <w:ind w:left="720" w:hanging="720"/>
        <w:rPr>
          <w:rFonts w:cs="Times New Roman"/>
        </w:rPr>
      </w:pPr>
      <w:r>
        <w:rPr>
          <w:rFonts w:cs="Times New Roman"/>
        </w:rPr>
        <w:t xml:space="preserve"> </w:t>
      </w:r>
      <w:r w:rsidR="00695075">
        <w:rPr>
          <w:rFonts w:cs="Times New Roman"/>
        </w:rPr>
        <w:t xml:space="preserve">“Press Release: Orange Launches Orange Money in France to Allow Money Transfers to Three Countries in Africa and Within Mainland France.” </w:t>
      </w:r>
      <w:r w:rsidR="00695075">
        <w:rPr>
          <w:rFonts w:cs="Times New Roman"/>
          <w:i/>
        </w:rPr>
        <w:t xml:space="preserve">Orange. </w:t>
      </w:r>
      <w:r w:rsidR="00695075">
        <w:rPr>
          <w:rFonts w:cs="Times New Roman"/>
        </w:rPr>
        <w:t xml:space="preserve">June 15, 2016. Accessed April 14, 2017. </w:t>
      </w:r>
      <w:r w:rsidR="00695075" w:rsidRPr="00D03F03">
        <w:rPr>
          <w:rFonts w:cs="Times New Roman"/>
        </w:rPr>
        <w:t>https://www.orange.com/en/Press-Room/press-releases-2017/press-releases-2016/Orange-launches-Orange-Money-in-France-to-allow-money-transfers-to-three-countries-in-Africa-and-within-mainland-France</w:t>
      </w:r>
      <w:r w:rsidR="00695075">
        <w:rPr>
          <w:rFonts w:cs="Times New Roman"/>
        </w:rPr>
        <w:t xml:space="preserve">. </w:t>
      </w:r>
    </w:p>
    <w:p w14:paraId="3A2CD540" w14:textId="77777777" w:rsidR="00E60067" w:rsidRPr="00CC2ACD" w:rsidRDefault="00E60067" w:rsidP="00E60067">
      <w:pPr>
        <w:ind w:left="720" w:hanging="720"/>
        <w:rPr>
          <w:rFonts w:cs="Times New Roman"/>
        </w:rPr>
      </w:pPr>
      <w:r w:rsidRPr="00CC2ACD">
        <w:rPr>
          <w:rFonts w:cs="Times New Roman"/>
        </w:rPr>
        <w:t xml:space="preserve">Prial, Frank J. </w:t>
      </w:r>
      <w:r>
        <w:rPr>
          <w:rFonts w:cs="Times New Roman"/>
        </w:rPr>
        <w:t xml:space="preserve">“France Seeking Closer </w:t>
      </w:r>
      <w:r w:rsidRPr="00702F5C">
        <w:rPr>
          <w:rFonts w:cs="Times New Roman"/>
        </w:rPr>
        <w:t>African</w:t>
      </w:r>
      <w:r>
        <w:rPr>
          <w:rFonts w:cs="Times New Roman"/>
        </w:rPr>
        <w:t xml:space="preserve"> Ties.</w:t>
      </w:r>
      <w:r w:rsidRPr="00CC2ACD">
        <w:rPr>
          <w:rFonts w:cs="Times New Roman"/>
        </w:rPr>
        <w:t xml:space="preserve">” </w:t>
      </w:r>
      <w:r>
        <w:rPr>
          <w:rFonts w:cs="Times New Roman"/>
          <w:i/>
        </w:rPr>
        <w:t>The New York Times.</w:t>
      </w:r>
      <w:r w:rsidRPr="00CC2ACD">
        <w:rPr>
          <w:rFonts w:cs="Times New Roman"/>
          <w:i/>
        </w:rPr>
        <w:t xml:space="preserve"> </w:t>
      </w:r>
      <w:r>
        <w:rPr>
          <w:rFonts w:cs="Times New Roman"/>
        </w:rPr>
        <w:t>September 23, 1981. Accessed</w:t>
      </w:r>
      <w:r w:rsidRPr="00CC2ACD">
        <w:rPr>
          <w:rFonts w:cs="Times New Roman"/>
        </w:rPr>
        <w:t xml:space="preserve"> Oct</w:t>
      </w:r>
      <w:r>
        <w:rPr>
          <w:rFonts w:cs="Times New Roman"/>
        </w:rPr>
        <w:t>ober 26,</w:t>
      </w:r>
      <w:r w:rsidRPr="00CC2ACD">
        <w:rPr>
          <w:rFonts w:cs="Times New Roman"/>
        </w:rPr>
        <w:t xml:space="preserve"> 2016.</w:t>
      </w:r>
      <w:r w:rsidRPr="002C4269">
        <w:t xml:space="preserve"> </w:t>
      </w:r>
      <w:r w:rsidRPr="002C4269">
        <w:rPr>
          <w:rFonts w:cs="Times New Roman"/>
        </w:rPr>
        <w:t>http://www.nytimes.com/1981/09/23/world/france-seeking-closer-african-ties.html</w:t>
      </w:r>
      <w:r>
        <w:rPr>
          <w:rFonts w:cs="Times New Roman"/>
        </w:rPr>
        <w:t xml:space="preserve">. </w:t>
      </w:r>
    </w:p>
    <w:p w14:paraId="2FA5DE0C" w14:textId="096642A9" w:rsidR="00593D11" w:rsidRPr="00CC2ACD" w:rsidRDefault="00E60067" w:rsidP="00E60067">
      <w:pPr>
        <w:ind w:left="720" w:hanging="720"/>
        <w:rPr>
          <w:rFonts w:cs="Times New Roman"/>
        </w:rPr>
      </w:pPr>
      <w:r w:rsidRPr="00DA560C">
        <w:t xml:space="preserve"> “Profiles and polic</w:t>
      </w:r>
      <w:r>
        <w:t>ies of bilateral donors: France.</w:t>
      </w:r>
      <w:r w:rsidRPr="00DA560C">
        <w:t xml:space="preserve">” </w:t>
      </w:r>
      <w:r>
        <w:rPr>
          <w:i/>
        </w:rPr>
        <w:t>OECD.</w:t>
      </w:r>
      <w:r w:rsidRPr="00DA560C">
        <w:rPr>
          <w:i/>
        </w:rPr>
        <w:t xml:space="preserve"> </w:t>
      </w:r>
      <w:r>
        <w:t>2012. A</w:t>
      </w:r>
      <w:r w:rsidRPr="00DA560C">
        <w:t xml:space="preserve">ccessed </w:t>
      </w:r>
      <w:r>
        <w:t>April 21, 2017.</w:t>
      </w:r>
      <w:r w:rsidRPr="00DA560C">
        <w:t xml:space="preserve"> http://www.oecd.org/dac/France_DCR2012_21jan13_Part8.pdf.</w:t>
      </w:r>
      <w:r w:rsidR="00593D11">
        <w:rPr>
          <w:rFonts w:cs="Times New Roman"/>
          <w:i/>
        </w:rPr>
        <w:t>RF</w:t>
      </w:r>
      <w:r w:rsidR="00593D11" w:rsidRPr="00CC2ACD">
        <w:rPr>
          <w:rFonts w:cs="Times New Roman"/>
          <w:i/>
        </w:rPr>
        <w:t>I</w:t>
      </w:r>
      <w:r w:rsidR="00593D11">
        <w:rPr>
          <w:rFonts w:cs="Times New Roman"/>
        </w:rPr>
        <w:t xml:space="preserve">. </w:t>
      </w:r>
      <w:r w:rsidR="00593D11" w:rsidRPr="00CC2ACD">
        <w:rPr>
          <w:rFonts w:cs="Times New Roman"/>
        </w:rPr>
        <w:t>“France to Targ</w:t>
      </w:r>
      <w:r w:rsidR="00593D11">
        <w:rPr>
          <w:rFonts w:cs="Times New Roman"/>
        </w:rPr>
        <w:t>et 16 African Countries for Aid.</w:t>
      </w:r>
      <w:r w:rsidR="00593D11" w:rsidRPr="00CC2ACD">
        <w:rPr>
          <w:rFonts w:cs="Times New Roman"/>
        </w:rPr>
        <w:t xml:space="preserve">” </w:t>
      </w:r>
      <w:r w:rsidR="00593D11">
        <w:rPr>
          <w:rFonts w:cs="Times New Roman"/>
        </w:rPr>
        <w:t xml:space="preserve">July 31, 2013. Accessed October 25, </w:t>
      </w:r>
      <w:r w:rsidR="00593D11" w:rsidRPr="00CC2ACD">
        <w:rPr>
          <w:rFonts w:cs="Times New Roman"/>
        </w:rPr>
        <w:t xml:space="preserve">2016. </w:t>
      </w:r>
      <w:r w:rsidR="00593D11" w:rsidRPr="00FE14A1">
        <w:rPr>
          <w:rFonts w:cs="Times New Roman"/>
        </w:rPr>
        <w:t>http://en.rfi.fr/economy/20130731-france-target-16-african-countries-aid</w:t>
      </w:r>
      <w:r w:rsidR="00593D11">
        <w:rPr>
          <w:rFonts w:cs="Times New Roman"/>
        </w:rPr>
        <w:t>.</w:t>
      </w:r>
    </w:p>
    <w:p w14:paraId="09442EAE" w14:textId="77777777" w:rsidR="00593D11" w:rsidRPr="00CC2ACD" w:rsidRDefault="00593D11" w:rsidP="00593D11">
      <w:pPr>
        <w:ind w:left="720" w:hanging="720"/>
        <w:rPr>
          <w:rFonts w:cs="Times New Roman"/>
        </w:rPr>
      </w:pPr>
      <w:r>
        <w:t xml:space="preserve">——— </w:t>
      </w:r>
      <w:r w:rsidRPr="00CC2ACD">
        <w:rPr>
          <w:rFonts w:cs="Times New Roman"/>
        </w:rPr>
        <w:t>“France to Train 100,000 African Teacher</w:t>
      </w:r>
      <w:r>
        <w:rPr>
          <w:rFonts w:cs="Times New Roman"/>
        </w:rPr>
        <w:t>s to Mark World Francophone Day.</w:t>
      </w:r>
      <w:r w:rsidRPr="00CC2ACD">
        <w:rPr>
          <w:rFonts w:cs="Times New Roman"/>
        </w:rPr>
        <w:t xml:space="preserve">” </w:t>
      </w:r>
      <w:r>
        <w:rPr>
          <w:rFonts w:cs="Times New Roman"/>
        </w:rPr>
        <w:t xml:space="preserve">March 20, 2014. Accessed </w:t>
      </w:r>
      <w:r w:rsidRPr="00CC2ACD">
        <w:rPr>
          <w:rFonts w:cs="Times New Roman"/>
        </w:rPr>
        <w:t>Jan</w:t>
      </w:r>
      <w:r>
        <w:rPr>
          <w:rFonts w:cs="Times New Roman"/>
        </w:rPr>
        <w:t>uary 30,</w:t>
      </w:r>
      <w:r w:rsidRPr="00CC2ACD">
        <w:rPr>
          <w:rFonts w:cs="Times New Roman"/>
        </w:rPr>
        <w:t xml:space="preserve"> 2017.</w:t>
      </w:r>
      <w:r w:rsidRPr="00FE14A1">
        <w:t xml:space="preserve"> </w:t>
      </w:r>
      <w:r w:rsidRPr="00FE14A1">
        <w:rPr>
          <w:rFonts w:cs="Times New Roman"/>
        </w:rPr>
        <w:t>http://en.rfi.fr/africa/20140320-france-train-100000-teachers-africa-international-francophone-day-abdou-diouf-laurent-fabius</w:t>
      </w:r>
      <w:r>
        <w:rPr>
          <w:rFonts w:cs="Times New Roman"/>
        </w:rPr>
        <w:t>.</w:t>
      </w:r>
    </w:p>
    <w:p w14:paraId="17BF8528" w14:textId="77777777" w:rsidR="00593D11" w:rsidRPr="00CC2ACD" w:rsidRDefault="00593D11" w:rsidP="00593D11">
      <w:pPr>
        <w:ind w:left="720" w:hanging="720"/>
        <w:rPr>
          <w:rFonts w:cs="Times New Roman"/>
        </w:rPr>
      </w:pPr>
      <w:r w:rsidRPr="00CC2ACD">
        <w:rPr>
          <w:rFonts w:cs="Times New Roman"/>
        </w:rPr>
        <w:t xml:space="preserve">Rubin Alissa J. </w:t>
      </w:r>
      <w:r>
        <w:rPr>
          <w:rFonts w:cs="Times New Roman"/>
        </w:rPr>
        <w:t>and Maïa de la Baume.</w:t>
      </w:r>
      <w:r w:rsidRPr="00CC2ACD">
        <w:rPr>
          <w:rFonts w:cs="Times New Roman"/>
        </w:rPr>
        <w:t xml:space="preserve"> “Claims of French Complicity in Rwanda’s Geno</w:t>
      </w:r>
      <w:r>
        <w:rPr>
          <w:rFonts w:cs="Times New Roman"/>
        </w:rPr>
        <w:t>cide Rekindle Mutual Resentment.</w:t>
      </w:r>
      <w:r w:rsidRPr="00CC2ACD">
        <w:rPr>
          <w:rFonts w:cs="Times New Roman"/>
        </w:rPr>
        <w:t xml:space="preserve">” </w:t>
      </w:r>
      <w:r>
        <w:rPr>
          <w:rFonts w:cs="Times New Roman"/>
          <w:i/>
        </w:rPr>
        <w:t>The New York Times.</w:t>
      </w:r>
      <w:r w:rsidRPr="00CC2ACD">
        <w:rPr>
          <w:rFonts w:cs="Times New Roman"/>
          <w:i/>
        </w:rPr>
        <w:t xml:space="preserve"> </w:t>
      </w:r>
      <w:r>
        <w:rPr>
          <w:rFonts w:cs="Times New Roman"/>
        </w:rPr>
        <w:t xml:space="preserve">April 8, 2014. Accessed </w:t>
      </w:r>
      <w:r w:rsidRPr="00CC2ACD">
        <w:rPr>
          <w:rFonts w:cs="Times New Roman"/>
        </w:rPr>
        <w:t>Jan</w:t>
      </w:r>
      <w:r>
        <w:rPr>
          <w:rFonts w:cs="Times New Roman"/>
        </w:rPr>
        <w:t>uary 30,</w:t>
      </w:r>
      <w:r w:rsidRPr="00CC2ACD">
        <w:rPr>
          <w:rFonts w:cs="Times New Roman"/>
        </w:rPr>
        <w:t xml:space="preserve"> 2017.</w:t>
      </w:r>
      <w:r w:rsidRPr="002C4269">
        <w:t xml:space="preserve"> </w:t>
      </w:r>
      <w:r w:rsidRPr="002C4269">
        <w:rPr>
          <w:rFonts w:cs="Times New Roman"/>
        </w:rPr>
        <w:t>https://www.nytimes.com/2014/04/09/world/africa/claims-of-french-complicity-in-rwandas-genocide-rekindle-mutual-resentment.html</w:t>
      </w:r>
      <w:r>
        <w:rPr>
          <w:rFonts w:cs="Times New Roman"/>
        </w:rPr>
        <w:t>.</w:t>
      </w:r>
    </w:p>
    <w:p w14:paraId="29640EFF" w14:textId="77777777" w:rsidR="00593D11" w:rsidRPr="00CC19B5" w:rsidRDefault="00593D11" w:rsidP="00593D11">
      <w:pPr>
        <w:ind w:left="720" w:hanging="720"/>
      </w:pPr>
      <w:r w:rsidRPr="00CC19B5">
        <w:t xml:space="preserve">Saada, </w:t>
      </w:r>
      <w:r>
        <w:t xml:space="preserve">Emmanuelle. </w:t>
      </w:r>
      <w:r w:rsidRPr="00CC19B5">
        <w:rPr>
          <w:i/>
        </w:rPr>
        <w:t>Empire’s Children: Race, Filiation, and Citizenship in the French Colonies</w:t>
      </w:r>
      <w:r>
        <w:t xml:space="preserve">. </w:t>
      </w:r>
      <w:r w:rsidRPr="00CC19B5">
        <w:t>Chicago: Uni</w:t>
      </w:r>
      <w:r>
        <w:t>versity of Chicago Press, 2012.</w:t>
      </w:r>
    </w:p>
    <w:p w14:paraId="7EA020B4" w14:textId="21BF6667" w:rsidR="00593D11" w:rsidRDefault="00593D11" w:rsidP="00593D11">
      <w:pPr>
        <w:ind w:left="720" w:hanging="720"/>
      </w:pPr>
      <w:r w:rsidRPr="0036402C">
        <w:t>Shillingt</w:t>
      </w:r>
      <w:r>
        <w:t xml:space="preserve">on, </w:t>
      </w:r>
      <w:r w:rsidR="00695075">
        <w:t xml:space="preserve">Kevin, </w:t>
      </w:r>
      <w:r>
        <w:t>ed.</w:t>
      </w:r>
      <w:r w:rsidRPr="0036402C">
        <w:t xml:space="preserve"> </w:t>
      </w:r>
      <w:r w:rsidRPr="0036402C">
        <w:rPr>
          <w:i/>
        </w:rPr>
        <w:t>The Encyclopedia of African History: Volume 1, A-G</w:t>
      </w:r>
      <w:r>
        <w:rPr>
          <w:i/>
        </w:rPr>
        <w:t xml:space="preserve">. </w:t>
      </w:r>
      <w:r w:rsidRPr="0036402C">
        <w:t>New York: Fitzroy Dearborn,</w:t>
      </w:r>
      <w:r>
        <w:t xml:space="preserve"> 2005.</w:t>
      </w:r>
    </w:p>
    <w:p w14:paraId="601391F3" w14:textId="77777777" w:rsidR="00593D11" w:rsidRPr="00CC2ACD" w:rsidRDefault="00593D11" w:rsidP="00593D11">
      <w:pPr>
        <w:ind w:left="720" w:hanging="720"/>
        <w:rPr>
          <w:rFonts w:cs="Times New Roman"/>
        </w:rPr>
      </w:pPr>
      <w:r w:rsidRPr="00CC2ACD">
        <w:rPr>
          <w:rFonts w:cs="Times New Roman"/>
        </w:rPr>
        <w:t>Smith, Stephen</w:t>
      </w:r>
      <w:r>
        <w:rPr>
          <w:rFonts w:cs="Times New Roman"/>
        </w:rPr>
        <w:t>.</w:t>
      </w:r>
      <w:r w:rsidRPr="00CC2ACD">
        <w:rPr>
          <w:rFonts w:cs="Times New Roman"/>
        </w:rPr>
        <w:t xml:space="preserve"> “How Fran</w:t>
      </w:r>
      <w:r>
        <w:rPr>
          <w:rFonts w:cs="Times New Roman"/>
        </w:rPr>
        <w:t>ce Maintains Its Grip on Africa</w:t>
      </w:r>
      <w:r w:rsidRPr="00702F5C">
        <w:rPr>
          <w:rFonts w:cs="Times New Roman"/>
        </w:rPr>
        <w:t xml:space="preserve">.” </w:t>
      </w:r>
      <w:r w:rsidRPr="00702F5C">
        <w:rPr>
          <w:rFonts w:cs="Times New Roman"/>
          <w:i/>
        </w:rPr>
        <w:t>BBC Focus on</w:t>
      </w:r>
      <w:r>
        <w:rPr>
          <w:rFonts w:cs="Times New Roman"/>
          <w:i/>
        </w:rPr>
        <w:t xml:space="preserve"> Africa Magazine.</w:t>
      </w:r>
      <w:r>
        <w:rPr>
          <w:rFonts w:cs="Times New Roman"/>
        </w:rPr>
        <w:t xml:space="preserve"> April 29, 2010. Accessed </w:t>
      </w:r>
      <w:r w:rsidRPr="00CC2ACD">
        <w:rPr>
          <w:rFonts w:cs="Times New Roman"/>
        </w:rPr>
        <w:t>Oct</w:t>
      </w:r>
      <w:r>
        <w:rPr>
          <w:rFonts w:cs="Times New Roman"/>
        </w:rPr>
        <w:t>ober 24,</w:t>
      </w:r>
      <w:r w:rsidRPr="00CC2ACD">
        <w:rPr>
          <w:rFonts w:cs="Times New Roman"/>
        </w:rPr>
        <w:t xml:space="preserve"> 2016. </w:t>
      </w:r>
      <w:r w:rsidRPr="002C4269">
        <w:rPr>
          <w:rFonts w:cs="Times New Roman"/>
        </w:rPr>
        <w:t>http://news.bbc.co.uk/2/hi/africa/8639874.stm</w:t>
      </w:r>
      <w:r>
        <w:rPr>
          <w:rFonts w:cs="Times New Roman"/>
        </w:rPr>
        <w:t xml:space="preserve">. </w:t>
      </w:r>
    </w:p>
    <w:p w14:paraId="69D2FB28" w14:textId="77777777" w:rsidR="00593D11" w:rsidRPr="00CC2ACD" w:rsidRDefault="00593D11" w:rsidP="00593D11">
      <w:pPr>
        <w:ind w:left="720" w:hanging="720"/>
        <w:rPr>
          <w:rFonts w:cs="Times New Roman"/>
        </w:rPr>
      </w:pPr>
      <w:r>
        <w:t>———</w:t>
      </w:r>
      <w:r w:rsidRPr="00CC2ACD">
        <w:rPr>
          <w:rFonts w:cs="Times New Roman"/>
        </w:rPr>
        <w:t xml:space="preserve"> </w:t>
      </w:r>
      <w:r>
        <w:rPr>
          <w:rFonts w:cs="Times New Roman"/>
        </w:rPr>
        <w:t>“The Story of Laurent Gbagbo.</w:t>
      </w:r>
      <w:r w:rsidRPr="00CC2ACD">
        <w:rPr>
          <w:rFonts w:cs="Times New Roman"/>
        </w:rPr>
        <w:t xml:space="preserve">” </w:t>
      </w:r>
      <w:r w:rsidRPr="00CC2ACD">
        <w:rPr>
          <w:rFonts w:cs="Times New Roman"/>
          <w:i/>
        </w:rPr>
        <w:t xml:space="preserve">London Review of Books </w:t>
      </w:r>
      <w:r w:rsidRPr="00CC2ACD">
        <w:rPr>
          <w:rFonts w:cs="Times New Roman"/>
        </w:rPr>
        <w:t xml:space="preserve">33.10 (2011), http://www.lrb.co.uk/v33/n10/stephen-w-smith/the-story-of-laurent-gbagbo. </w:t>
      </w:r>
    </w:p>
    <w:p w14:paraId="5DFA0C3D" w14:textId="77777777" w:rsidR="00593D11" w:rsidRPr="00CC2ACD" w:rsidRDefault="00593D11" w:rsidP="00593D11">
      <w:pPr>
        <w:pStyle w:val="FootnoteText"/>
        <w:ind w:left="720" w:hanging="720"/>
        <w:rPr>
          <w:rFonts w:cs="Times New Roman"/>
        </w:rPr>
      </w:pPr>
      <w:r w:rsidRPr="00CC2ACD">
        <w:rPr>
          <w:rFonts w:cs="Times New Roman"/>
        </w:rPr>
        <w:t>Svensson, Jakob</w:t>
      </w:r>
      <w:r>
        <w:rPr>
          <w:rFonts w:cs="Times New Roman"/>
        </w:rPr>
        <w:t>.</w:t>
      </w:r>
      <w:r w:rsidRPr="00CC2ACD">
        <w:rPr>
          <w:rFonts w:cs="Times New Roman"/>
        </w:rPr>
        <w:t xml:space="preserve"> </w:t>
      </w:r>
      <w:r>
        <w:rPr>
          <w:rFonts w:cs="Times New Roman"/>
        </w:rPr>
        <w:t>“Aid, Growth and Democracy.</w:t>
      </w:r>
      <w:r w:rsidRPr="00CC2ACD">
        <w:rPr>
          <w:rFonts w:cs="Times New Roman"/>
        </w:rPr>
        <w:t xml:space="preserve">” </w:t>
      </w:r>
      <w:r w:rsidRPr="00CC2ACD">
        <w:rPr>
          <w:rFonts w:cs="Times New Roman"/>
          <w:i/>
        </w:rPr>
        <w:t xml:space="preserve">Economics and Politics </w:t>
      </w:r>
      <w:r>
        <w:rPr>
          <w:rFonts w:cs="Times New Roman"/>
        </w:rPr>
        <w:t xml:space="preserve">(1985): 275-297. </w:t>
      </w:r>
    </w:p>
    <w:p w14:paraId="5CB470C7" w14:textId="77777777" w:rsidR="00593D11" w:rsidRPr="00CC2ACD" w:rsidRDefault="00593D11" w:rsidP="00593D11">
      <w:pPr>
        <w:pStyle w:val="FootnoteText"/>
        <w:ind w:left="720" w:hanging="720"/>
        <w:rPr>
          <w:rFonts w:cs="Times New Roman"/>
        </w:rPr>
      </w:pPr>
    </w:p>
    <w:p w14:paraId="11575C5C" w14:textId="77777777" w:rsidR="00593D11" w:rsidRPr="00CC2ACD" w:rsidRDefault="00593D11" w:rsidP="00593D11">
      <w:pPr>
        <w:ind w:left="720" w:hanging="720"/>
        <w:rPr>
          <w:rFonts w:cs="Times New Roman"/>
        </w:rPr>
      </w:pPr>
      <w:r w:rsidRPr="00CC2ACD">
        <w:rPr>
          <w:rFonts w:cs="Times New Roman"/>
        </w:rPr>
        <w:t>Terra</w:t>
      </w:r>
      <w:r>
        <w:rPr>
          <w:rFonts w:cs="Times New Roman"/>
        </w:rPr>
        <w:t>,</w:t>
      </w:r>
      <w:r w:rsidRPr="00CC2ACD">
        <w:rPr>
          <w:rFonts w:cs="Times New Roman"/>
        </w:rPr>
        <w:t xml:space="preserve"> Cristina </w:t>
      </w:r>
      <w:r>
        <w:rPr>
          <w:rFonts w:cs="Times New Roman"/>
        </w:rPr>
        <w:t>and Tania El Kallab.</w:t>
      </w:r>
      <w:r w:rsidRPr="00CC2ACD">
        <w:rPr>
          <w:rFonts w:cs="Times New Roman"/>
        </w:rPr>
        <w:t xml:space="preserve"> "French Colonial Trade Patterns: European Settlement</w:t>
      </w:r>
      <w:r>
        <w:rPr>
          <w:rFonts w:cs="Times New Roman"/>
        </w:rPr>
        <w:t>.</w:t>
      </w:r>
      <w:r w:rsidRPr="00CC2ACD">
        <w:rPr>
          <w:rFonts w:cs="Times New Roman"/>
        </w:rPr>
        <w:t xml:space="preserve">" </w:t>
      </w:r>
      <w:r w:rsidRPr="00CC2ACD">
        <w:rPr>
          <w:rFonts w:cs="Times New Roman"/>
          <w:i/>
          <w:iCs/>
        </w:rPr>
        <w:t xml:space="preserve">Thema </w:t>
      </w:r>
      <w:r w:rsidRPr="00CC2ACD">
        <w:rPr>
          <w:rFonts w:cs="Times New Roman"/>
        </w:rPr>
        <w:t xml:space="preserve">Working Paper n 2014-27: 1-40. </w:t>
      </w:r>
    </w:p>
    <w:p w14:paraId="5F7EF5A2" w14:textId="77777777" w:rsidR="00593D11" w:rsidRPr="00CC2ACD" w:rsidRDefault="00593D11" w:rsidP="00593D11">
      <w:pPr>
        <w:ind w:left="720" w:hanging="720"/>
        <w:rPr>
          <w:rFonts w:eastAsia="Times New Roman" w:cs="Times New Roman"/>
          <w:color w:val="000000"/>
          <w:lang w:eastAsia="en-US"/>
        </w:rPr>
      </w:pPr>
      <w:r w:rsidRPr="00CC2ACD">
        <w:rPr>
          <w:rFonts w:eastAsia="Times New Roman" w:cs="Times New Roman"/>
          <w:color w:val="000000"/>
          <w:lang w:eastAsia="en-US"/>
        </w:rPr>
        <w:t xml:space="preserve">Tierney, Michael J., Daniel L. Nielson, and Darren G. Hawkins.  </w:t>
      </w:r>
      <w:r>
        <w:rPr>
          <w:rFonts w:eastAsia="Times New Roman" w:cs="Times New Roman"/>
          <w:color w:val="000000"/>
          <w:lang w:eastAsia="en-US"/>
        </w:rPr>
        <w:t>“</w:t>
      </w:r>
      <w:r w:rsidRPr="00CC2ACD">
        <w:rPr>
          <w:rFonts w:eastAsia="Times New Roman" w:cs="Times New Roman"/>
          <w:color w:val="000000"/>
          <w:lang w:eastAsia="en-US"/>
        </w:rPr>
        <w:t>More dollars than sense: refining our knowledge of development finance using AidData,</w:t>
      </w:r>
      <w:r>
        <w:rPr>
          <w:rFonts w:eastAsia="Times New Roman" w:cs="Times New Roman"/>
          <w:color w:val="000000"/>
          <w:lang w:eastAsia="en-US"/>
        </w:rPr>
        <w:t>.”</w:t>
      </w:r>
      <w:r w:rsidRPr="00CC2ACD">
        <w:rPr>
          <w:rFonts w:eastAsia="Times New Roman" w:cs="Times New Roman"/>
          <w:i/>
          <w:iCs/>
          <w:color w:val="000000"/>
          <w:lang w:eastAsia="en-US"/>
        </w:rPr>
        <w:t xml:space="preserve">World Development </w:t>
      </w:r>
      <w:r w:rsidRPr="00CC2ACD">
        <w:rPr>
          <w:rFonts w:eastAsia="Times New Roman" w:cs="Times New Roman"/>
          <w:color w:val="000000"/>
          <w:lang w:eastAsia="en-US"/>
        </w:rPr>
        <w:t xml:space="preserve">39 (2011): 1891-906. </w:t>
      </w:r>
    </w:p>
    <w:p w14:paraId="24A23B3E" w14:textId="77777777" w:rsidR="00593D11" w:rsidRPr="00CC2ACD" w:rsidRDefault="00593D11" w:rsidP="00593D11">
      <w:pPr>
        <w:ind w:left="720" w:hanging="720"/>
        <w:rPr>
          <w:rFonts w:cs="Times New Roman"/>
        </w:rPr>
      </w:pPr>
      <w:r w:rsidRPr="00CC2ACD">
        <w:rPr>
          <w:rFonts w:cs="Times New Roman"/>
        </w:rPr>
        <w:t>Tra</w:t>
      </w:r>
      <w:r>
        <w:rPr>
          <w:rFonts w:cs="Times New Roman"/>
        </w:rPr>
        <w:t xml:space="preserve">nsparency International France. </w:t>
      </w:r>
      <w:r w:rsidRPr="00CC2ACD">
        <w:rPr>
          <w:rFonts w:cs="Times New Roman"/>
        </w:rPr>
        <w:t>“TI-France Re-Files Complaint Targeting Assets He</w:t>
      </w:r>
      <w:r>
        <w:rPr>
          <w:rFonts w:cs="Times New Roman"/>
        </w:rPr>
        <w:t>ld in France by Five African Heads of State.</w:t>
      </w:r>
      <w:r w:rsidRPr="00CC2ACD">
        <w:rPr>
          <w:rFonts w:cs="Times New Roman"/>
        </w:rPr>
        <w:t xml:space="preserve">” </w:t>
      </w:r>
      <w:r w:rsidRPr="00CC2ACD">
        <w:rPr>
          <w:rFonts w:cs="Times New Roman"/>
          <w:i/>
        </w:rPr>
        <w:t>Tr</w:t>
      </w:r>
      <w:r>
        <w:rPr>
          <w:rFonts w:cs="Times New Roman"/>
          <w:i/>
        </w:rPr>
        <w:t>ansparency International France.</w:t>
      </w:r>
      <w:r>
        <w:rPr>
          <w:rFonts w:cs="Times New Roman"/>
        </w:rPr>
        <w:t xml:space="preserve"> July 9, 2008. Accessed</w:t>
      </w:r>
      <w:r w:rsidRPr="00CC2ACD">
        <w:rPr>
          <w:rFonts w:cs="Times New Roman"/>
        </w:rPr>
        <w:t xml:space="preserve"> Jan</w:t>
      </w:r>
      <w:r>
        <w:rPr>
          <w:rFonts w:cs="Times New Roman"/>
        </w:rPr>
        <w:t>uary 15,</w:t>
      </w:r>
      <w:r w:rsidRPr="00CC2ACD">
        <w:rPr>
          <w:rFonts w:cs="Times New Roman"/>
        </w:rPr>
        <w:t xml:space="preserve"> 2017.</w:t>
      </w:r>
      <w:r>
        <w:rPr>
          <w:rFonts w:cs="Times New Roman"/>
        </w:rPr>
        <w:t xml:space="preserve"> </w:t>
      </w:r>
      <w:r w:rsidRPr="00B85B39">
        <w:rPr>
          <w:rFonts w:cs="Times New Roman"/>
        </w:rPr>
        <w:t>http://www.transparency.org/news/pressrelease/20080709_ti_france_re_files_complaint_targeting_assets_held_in_france</w:t>
      </w:r>
    </w:p>
    <w:p w14:paraId="7EC788DE" w14:textId="77777777" w:rsidR="00593D11" w:rsidRPr="005E21E2" w:rsidRDefault="00593D11" w:rsidP="00593D11">
      <w:pPr>
        <w:ind w:left="720" w:hanging="720"/>
        <w:rPr>
          <w:rFonts w:cs="Times New Roman"/>
        </w:rPr>
      </w:pPr>
      <w:r>
        <w:t>UN Global Migration Database.</w:t>
      </w:r>
      <w:r w:rsidRPr="005E21E2">
        <w:t xml:space="preserve"> “International </w:t>
      </w:r>
      <w:r>
        <w:t>Migration Flows to And f</w:t>
      </w:r>
      <w:r w:rsidRPr="005E21E2">
        <w:t>rom Select</w:t>
      </w:r>
      <w:r>
        <w:t xml:space="preserve">ed Countries: The 2015 Revision.” Accessed April 16, 2017. </w:t>
      </w:r>
      <w:r w:rsidRPr="005E21E2">
        <w:t>http://www.un.org/en/development/desa/population/migration/data/empirical2/migrationflows.shtml.</w:t>
      </w:r>
    </w:p>
    <w:p w14:paraId="47DABA90" w14:textId="77777777" w:rsidR="00593D11" w:rsidRDefault="00593D11" w:rsidP="00593D11">
      <w:pPr>
        <w:ind w:left="720" w:hanging="720"/>
        <w:rPr>
          <w:rFonts w:cs="Times New Roman"/>
        </w:rPr>
      </w:pPr>
      <w:r w:rsidRPr="00D03F03">
        <w:rPr>
          <w:rFonts w:cs="Times New Roman"/>
        </w:rPr>
        <w:t xml:space="preserve">“Welcome to the International Organisation of La Francophonie’s Official Website.” </w:t>
      </w:r>
      <w:r w:rsidRPr="00D03F03">
        <w:rPr>
          <w:rFonts w:cs="Times New Roman"/>
          <w:i/>
        </w:rPr>
        <w:t xml:space="preserve">Organisation Internaitonale de la Francophonie. </w:t>
      </w:r>
      <w:r w:rsidRPr="00D03F03">
        <w:rPr>
          <w:rFonts w:cs="Times New Roman"/>
        </w:rPr>
        <w:t>Accessed April 14, 2017. http://www.francophonie.org/Welcome-to-the-International.html.</w:t>
      </w:r>
    </w:p>
    <w:p w14:paraId="2D34015A" w14:textId="77777777" w:rsidR="00593D11" w:rsidRPr="00CE1B48" w:rsidRDefault="00593D11" w:rsidP="00593D11">
      <w:pPr>
        <w:ind w:left="720" w:hanging="720"/>
        <w:rPr>
          <w:rFonts w:cs="Times New Roman"/>
        </w:rPr>
      </w:pPr>
      <w:r w:rsidRPr="00CE1B48">
        <w:t>Wells,</w:t>
      </w:r>
      <w:r>
        <w:t xml:space="preserve"> Matt.</w:t>
      </w:r>
      <w:r w:rsidRPr="00CE1B48">
        <w:t xml:space="preserve"> “François Hollande’s ‘Change’ Is Mo</w:t>
      </w:r>
      <w:r>
        <w:t>re of the Same on Côte d’Ivoire.</w:t>
      </w:r>
      <w:r w:rsidRPr="00CE1B48">
        <w:t xml:space="preserve">” </w:t>
      </w:r>
      <w:r>
        <w:rPr>
          <w:i/>
        </w:rPr>
        <w:t>Human Rights Watch.</w:t>
      </w:r>
      <w:r w:rsidRPr="00CE1B48">
        <w:rPr>
          <w:i/>
        </w:rPr>
        <w:t xml:space="preserve"> </w:t>
      </w:r>
      <w:r>
        <w:t xml:space="preserve">February 6, 2013. Accessed April 17, 2017. </w:t>
      </w:r>
      <w:r w:rsidRPr="00CE1B48">
        <w:t>https://www.hrw.org/news/2013/02/06/francois-hollandes-change-more-same-cote-divoire</w:t>
      </w:r>
      <w:r>
        <w:t>.</w:t>
      </w:r>
    </w:p>
    <w:p w14:paraId="3F24A7C5" w14:textId="77777777" w:rsidR="00593D11" w:rsidRPr="00CC2ACD" w:rsidRDefault="00593D11" w:rsidP="00593D11">
      <w:pPr>
        <w:ind w:left="720" w:hanging="720"/>
        <w:rPr>
          <w:rFonts w:cs="Times New Roman"/>
        </w:rPr>
      </w:pPr>
      <w:r w:rsidRPr="00CC2ACD">
        <w:rPr>
          <w:rFonts w:cs="Times New Roman"/>
        </w:rPr>
        <w:t>Wendt, Alexander</w:t>
      </w:r>
      <w:r>
        <w:rPr>
          <w:rFonts w:cs="Times New Roman"/>
        </w:rPr>
        <w:t>.</w:t>
      </w:r>
      <w:r w:rsidRPr="00CC2ACD">
        <w:rPr>
          <w:rFonts w:cs="Times New Roman"/>
        </w:rPr>
        <w:t xml:space="preserve"> “Collective Identity Format</w:t>
      </w:r>
      <w:r>
        <w:rPr>
          <w:rFonts w:cs="Times New Roman"/>
        </w:rPr>
        <w:t>ion and the International State.</w:t>
      </w:r>
      <w:r w:rsidRPr="00CC2ACD">
        <w:rPr>
          <w:rFonts w:cs="Times New Roman"/>
        </w:rPr>
        <w:t xml:space="preserve">” </w:t>
      </w:r>
      <w:r w:rsidRPr="00CC2ACD">
        <w:rPr>
          <w:rFonts w:cs="Times New Roman"/>
          <w:i/>
        </w:rPr>
        <w:t xml:space="preserve">The American Political Science Review </w:t>
      </w:r>
      <w:r w:rsidRPr="00CC2ACD">
        <w:rPr>
          <w:rFonts w:cs="Times New Roman"/>
        </w:rPr>
        <w:t xml:space="preserve">88.2 (1994): </w:t>
      </w:r>
      <w:r w:rsidRPr="00183CF4">
        <w:rPr>
          <w:rFonts w:cs="Times New Roman"/>
        </w:rPr>
        <w:t>384-396.</w:t>
      </w:r>
    </w:p>
    <w:p w14:paraId="7C4514BE" w14:textId="77777777" w:rsidR="00593D11" w:rsidRPr="00CC2ACD" w:rsidRDefault="00593D11" w:rsidP="00593D11">
      <w:pPr>
        <w:ind w:left="720" w:hanging="720"/>
        <w:rPr>
          <w:rFonts w:cs="Times New Roman"/>
        </w:rPr>
      </w:pPr>
      <w:r w:rsidRPr="00CC2ACD">
        <w:rPr>
          <w:rFonts w:cs="Times New Roman"/>
        </w:rPr>
        <w:t xml:space="preserve">Whitney, Craig R. “France Snips at the </w:t>
      </w:r>
      <w:r>
        <w:rPr>
          <w:rFonts w:cs="Times New Roman"/>
        </w:rPr>
        <w:t>Old Ties that Bind It to Africa.</w:t>
      </w:r>
      <w:r w:rsidRPr="00CC2ACD">
        <w:rPr>
          <w:rFonts w:cs="Times New Roman"/>
        </w:rPr>
        <w:t xml:space="preserve">” </w:t>
      </w:r>
      <w:r>
        <w:rPr>
          <w:rFonts w:cs="Times New Roman"/>
          <w:i/>
        </w:rPr>
        <w:t>The New York Times.</w:t>
      </w:r>
      <w:r w:rsidRPr="00CC2ACD">
        <w:rPr>
          <w:rFonts w:cs="Times New Roman"/>
          <w:i/>
        </w:rPr>
        <w:t xml:space="preserve"> </w:t>
      </w:r>
      <w:r w:rsidRPr="00CC2ACD">
        <w:rPr>
          <w:rFonts w:cs="Times New Roman"/>
        </w:rPr>
        <w:t>Jul</w:t>
      </w:r>
      <w:r>
        <w:rPr>
          <w:rFonts w:cs="Times New Roman"/>
        </w:rPr>
        <w:t>y 25,</w:t>
      </w:r>
      <w:r w:rsidRPr="00CC2ACD">
        <w:rPr>
          <w:rFonts w:cs="Times New Roman"/>
        </w:rPr>
        <w:t xml:space="preserve"> 1997.</w:t>
      </w:r>
      <w:r>
        <w:rPr>
          <w:rFonts w:cs="Times New Roman"/>
        </w:rPr>
        <w:t xml:space="preserve"> Accessed November 13, 2016. </w:t>
      </w:r>
      <w:r w:rsidRPr="00B85B39">
        <w:rPr>
          <w:rFonts w:cs="Times New Roman"/>
        </w:rPr>
        <w:t>http://www.nytimes.com/1997/07/25/world/france-snips-at-the-old-ties-that-bind-it-to-africa.html</w:t>
      </w:r>
      <w:r>
        <w:rPr>
          <w:rFonts w:cs="Times New Roman"/>
        </w:rPr>
        <w:t>.</w:t>
      </w:r>
    </w:p>
    <w:p w14:paraId="0139B79C" w14:textId="77777777" w:rsidR="00593D11" w:rsidRDefault="00593D11" w:rsidP="00593D11">
      <w:pPr>
        <w:pStyle w:val="FootnoteText"/>
        <w:ind w:left="720" w:hanging="720"/>
        <w:rPr>
          <w:rFonts w:cs="Times New Roman"/>
        </w:rPr>
      </w:pPr>
      <w:r w:rsidRPr="00CC2ACD">
        <w:rPr>
          <w:rFonts w:cs="Times New Roman"/>
        </w:rPr>
        <w:t>Younas,</w:t>
      </w:r>
      <w:r w:rsidRPr="00B85B39">
        <w:rPr>
          <w:rFonts w:cs="Times New Roman"/>
        </w:rPr>
        <w:t xml:space="preserve"> </w:t>
      </w:r>
      <w:r w:rsidRPr="00CC2ACD">
        <w:rPr>
          <w:rFonts w:cs="Times New Roman"/>
        </w:rPr>
        <w:t>Javed</w:t>
      </w:r>
      <w:r>
        <w:rPr>
          <w:rFonts w:cs="Times New Roman"/>
        </w:rPr>
        <w:t>.</w:t>
      </w:r>
      <w:r w:rsidRPr="00CC2ACD">
        <w:rPr>
          <w:rFonts w:cs="Times New Roman"/>
        </w:rPr>
        <w:t xml:space="preserve"> “Motivation for Bilateral Aid Allocat</w:t>
      </w:r>
      <w:r>
        <w:rPr>
          <w:rFonts w:cs="Times New Roman"/>
        </w:rPr>
        <w:t>ion: Altruism or Trade Benefits.</w:t>
      </w:r>
      <w:r w:rsidRPr="00CC2ACD">
        <w:rPr>
          <w:rFonts w:cs="Times New Roman"/>
        </w:rPr>
        <w:t xml:space="preserve">” </w:t>
      </w:r>
      <w:r w:rsidRPr="00CC2ACD">
        <w:rPr>
          <w:rFonts w:cs="Times New Roman"/>
          <w:i/>
        </w:rPr>
        <w:t xml:space="preserve">European Journal of Political Economy </w:t>
      </w:r>
      <w:r w:rsidRPr="00CC2ACD">
        <w:rPr>
          <w:rFonts w:cs="Times New Roman"/>
        </w:rPr>
        <w:t>24 (2008): 661-674.</w:t>
      </w:r>
    </w:p>
    <w:p w14:paraId="1E459572" w14:textId="77777777" w:rsidR="00593D11" w:rsidRDefault="00593D11" w:rsidP="00593D11">
      <w:pPr>
        <w:pStyle w:val="FootnoteText"/>
        <w:ind w:left="720" w:hanging="720"/>
        <w:rPr>
          <w:rFonts w:cs="Times New Roman"/>
        </w:rPr>
      </w:pPr>
    </w:p>
    <w:p w14:paraId="6E82EB9D" w14:textId="77777777" w:rsidR="00593D11" w:rsidRDefault="00593D11" w:rsidP="00593D11">
      <w:pPr>
        <w:ind w:left="720" w:hanging="720"/>
      </w:pPr>
      <w:r w:rsidRPr="00595262">
        <w:t xml:space="preserve">Zaretsky, </w:t>
      </w:r>
      <w:r>
        <w:t xml:space="preserve">Robert. </w:t>
      </w:r>
      <w:r w:rsidRPr="00595262">
        <w:rPr>
          <w:rFonts w:cs="Times New Roman"/>
        </w:rPr>
        <w:t>"</w:t>
      </w:r>
      <w:r>
        <w:rPr>
          <w:rFonts w:cs="Times New Roman"/>
        </w:rPr>
        <w:t>France's Bongo-Bongo Party.</w:t>
      </w:r>
      <w:r w:rsidRPr="00595262">
        <w:rPr>
          <w:rFonts w:cs="Times New Roman"/>
        </w:rPr>
        <w:t xml:space="preserve">" </w:t>
      </w:r>
      <w:r>
        <w:rPr>
          <w:rFonts w:cs="Times New Roman"/>
          <w:i/>
          <w:iCs/>
        </w:rPr>
        <w:t>Foreign Policy.</w:t>
      </w:r>
      <w:r w:rsidRPr="00595262">
        <w:rPr>
          <w:rFonts w:cs="Times New Roman"/>
          <w:i/>
          <w:iCs/>
        </w:rPr>
        <w:t xml:space="preserve"> </w:t>
      </w:r>
      <w:r>
        <w:rPr>
          <w:rFonts w:cs="Times New Roman"/>
        </w:rPr>
        <w:t xml:space="preserve">September 7, 2016. </w:t>
      </w:r>
      <w:r w:rsidRPr="00595262">
        <w:rPr>
          <w:rFonts w:cs="Times New Roman"/>
        </w:rPr>
        <w:t xml:space="preserve"> </w:t>
      </w:r>
      <w:r>
        <w:t xml:space="preserve">Accessed </w:t>
      </w:r>
      <w:r w:rsidRPr="00595262">
        <w:t>Oct</w:t>
      </w:r>
      <w:r>
        <w:t>ober 27, 2016.</w:t>
      </w:r>
      <w:r w:rsidRPr="00595262">
        <w:t xml:space="preserve"> http://foreignpolicy.com/2016/09/07/france-bongo-bongo-party-gabon-scandal-sarkozy-hollande-colonialism/.</w:t>
      </w:r>
    </w:p>
    <w:p w14:paraId="6156CDC5" w14:textId="77777777" w:rsidR="00593D11" w:rsidRDefault="00593D11">
      <w:pPr>
        <w:rPr>
          <w:b/>
          <w:sz w:val="28"/>
          <w:szCs w:val="28"/>
        </w:rPr>
      </w:pPr>
      <w:r>
        <w:rPr>
          <w:b/>
          <w:sz w:val="28"/>
          <w:szCs w:val="28"/>
        </w:rPr>
        <w:br w:type="page"/>
      </w:r>
    </w:p>
    <w:p w14:paraId="1B7BBCBC" w14:textId="77777777" w:rsidR="00A83691" w:rsidRDefault="00A83691" w:rsidP="00A83691">
      <w:pPr>
        <w:spacing w:after="0"/>
        <w:jc w:val="center"/>
        <w:rPr>
          <w:sz w:val="28"/>
          <w:szCs w:val="28"/>
        </w:rPr>
      </w:pPr>
      <w:r>
        <w:rPr>
          <w:b/>
          <w:sz w:val="28"/>
          <w:szCs w:val="28"/>
        </w:rPr>
        <w:t>Appendix A</w:t>
      </w:r>
    </w:p>
    <w:p w14:paraId="10AC3845" w14:textId="77777777" w:rsidR="00A83691" w:rsidRDefault="00A83691" w:rsidP="00A83691">
      <w:pPr>
        <w:spacing w:after="0"/>
        <w:jc w:val="center"/>
        <w:rPr>
          <w:b/>
        </w:rPr>
      </w:pPr>
      <w:r>
        <w:rPr>
          <w:b/>
        </w:rPr>
        <w:t>Glossary</w:t>
      </w:r>
    </w:p>
    <w:p w14:paraId="65DF19E3" w14:textId="77777777" w:rsidR="00A83691" w:rsidRDefault="00A83691" w:rsidP="00A83691">
      <w:pPr>
        <w:spacing w:after="0"/>
        <w:rPr>
          <w:b/>
        </w:rPr>
      </w:pPr>
    </w:p>
    <w:p w14:paraId="288B90AB" w14:textId="77777777" w:rsidR="00806BC8" w:rsidRDefault="00806BC8" w:rsidP="00A83691">
      <w:pPr>
        <w:spacing w:after="0"/>
        <w:rPr>
          <w:b/>
        </w:rPr>
      </w:pPr>
    </w:p>
    <w:p w14:paraId="567E7427" w14:textId="3B8715CC" w:rsidR="00806BC8" w:rsidRPr="00DD0369" w:rsidRDefault="00806BC8" w:rsidP="00A83691">
      <w:pPr>
        <w:spacing w:after="0"/>
      </w:pPr>
      <w:r>
        <w:rPr>
          <w:i/>
        </w:rPr>
        <w:t>ancien combattants</w:t>
      </w:r>
      <w:r w:rsidR="0097402C">
        <w:t>:</w:t>
      </w:r>
      <w:r w:rsidR="00CB12A0">
        <w:t xml:space="preserve"> combat veterans</w:t>
      </w:r>
      <w:r w:rsidR="00DD0369">
        <w:t xml:space="preserve"> in the </w:t>
      </w:r>
      <w:r w:rsidR="00DD0369">
        <w:rPr>
          <w:i/>
        </w:rPr>
        <w:t xml:space="preserve">tirailleurs </w:t>
      </w:r>
    </w:p>
    <w:p w14:paraId="2B1DF28B" w14:textId="77777777" w:rsidR="0097402C" w:rsidRPr="0097402C" w:rsidRDefault="0097402C" w:rsidP="00A83691">
      <w:pPr>
        <w:spacing w:after="0"/>
      </w:pPr>
    </w:p>
    <w:p w14:paraId="561AF989" w14:textId="338E51E9" w:rsidR="00806BC8" w:rsidRDefault="00806BC8" w:rsidP="00A83691">
      <w:pPr>
        <w:spacing w:after="0"/>
      </w:pPr>
      <w:r>
        <w:rPr>
          <w:i/>
        </w:rPr>
        <w:t>ancien militaires</w:t>
      </w:r>
      <w:r w:rsidR="0097402C">
        <w:t>:</w:t>
      </w:r>
      <w:r w:rsidR="00CB12A0">
        <w:t xml:space="preserve"> career soldiers</w:t>
      </w:r>
      <w:r w:rsidR="00DD0369">
        <w:t xml:space="preserve"> in the </w:t>
      </w:r>
      <w:r w:rsidR="00DD0369">
        <w:rPr>
          <w:i/>
        </w:rPr>
        <w:t>tirailleurs</w:t>
      </w:r>
    </w:p>
    <w:p w14:paraId="7529C888" w14:textId="77777777" w:rsidR="0097402C" w:rsidRPr="0097402C" w:rsidRDefault="0097402C" w:rsidP="00A83691">
      <w:pPr>
        <w:spacing w:after="0"/>
      </w:pPr>
    </w:p>
    <w:p w14:paraId="58C6F4A3" w14:textId="4B620D74" w:rsidR="00806BC8" w:rsidRDefault="00232784" w:rsidP="00A83691">
      <w:pPr>
        <w:spacing w:after="0"/>
      </w:pPr>
      <w:r>
        <w:rPr>
          <w:i/>
        </w:rPr>
        <w:t>Assemblée National</w:t>
      </w:r>
      <w:r w:rsidR="0097402C">
        <w:t>:</w:t>
      </w:r>
      <w:r>
        <w:t xml:space="preserve"> National Assembly</w:t>
      </w:r>
    </w:p>
    <w:p w14:paraId="706BA8E6" w14:textId="77777777" w:rsidR="0097402C" w:rsidRPr="0097402C" w:rsidRDefault="0097402C" w:rsidP="00A83691">
      <w:pPr>
        <w:spacing w:after="0"/>
      </w:pPr>
    </w:p>
    <w:p w14:paraId="516A9A91" w14:textId="66FDD30B" w:rsidR="00806BC8" w:rsidRDefault="00806BC8" w:rsidP="00A83691">
      <w:pPr>
        <w:spacing w:after="0"/>
      </w:pPr>
      <w:r>
        <w:rPr>
          <w:i/>
        </w:rPr>
        <w:t>assimilés</w:t>
      </w:r>
      <w:r w:rsidR="0097402C">
        <w:t>:</w:t>
      </w:r>
      <w:r w:rsidR="00A86185">
        <w:t xml:space="preserve"> assimilated; Africans who had denounced their native culture and adopted the French language, culture, and institutions</w:t>
      </w:r>
    </w:p>
    <w:p w14:paraId="1ED7A4D8" w14:textId="77777777" w:rsidR="0097402C" w:rsidRPr="0097402C" w:rsidRDefault="0097402C" w:rsidP="00A83691">
      <w:pPr>
        <w:spacing w:after="0"/>
      </w:pPr>
    </w:p>
    <w:p w14:paraId="660A88C5" w14:textId="0BAAF9B4" w:rsidR="00806BC8" w:rsidRDefault="00806BC8" w:rsidP="00A83691">
      <w:pPr>
        <w:spacing w:after="0"/>
      </w:pPr>
      <w:r>
        <w:rPr>
          <w:i/>
        </w:rPr>
        <w:t>assimilation</w:t>
      </w:r>
      <w:r w:rsidR="0097402C">
        <w:t>:</w:t>
      </w:r>
      <w:r w:rsidR="00232784">
        <w:t xml:space="preserve"> assimilation; the French colonial policy that forced Africans to speak the French language and abide by French laws and institutions</w:t>
      </w:r>
    </w:p>
    <w:p w14:paraId="7445F1E4" w14:textId="77777777" w:rsidR="0097402C" w:rsidRPr="0097402C" w:rsidRDefault="0097402C" w:rsidP="00A83691">
      <w:pPr>
        <w:spacing w:after="0"/>
      </w:pPr>
    </w:p>
    <w:p w14:paraId="232D5117" w14:textId="1E90D947" w:rsidR="00806BC8" w:rsidRPr="00232784" w:rsidRDefault="00806BC8" w:rsidP="00A83691">
      <w:pPr>
        <w:spacing w:after="0"/>
      </w:pPr>
      <w:r>
        <w:rPr>
          <w:i/>
        </w:rPr>
        <w:t>association</w:t>
      </w:r>
      <w:r w:rsidR="0097402C">
        <w:t>:</w:t>
      </w:r>
      <w:r w:rsidR="00CB12A0">
        <w:t xml:space="preserve"> </w:t>
      </w:r>
      <w:r w:rsidR="00232784">
        <w:t xml:space="preserve">association; the French colonial policy following </w:t>
      </w:r>
      <w:r w:rsidR="00232784">
        <w:rPr>
          <w:i/>
        </w:rPr>
        <w:t xml:space="preserve">assimilation </w:t>
      </w:r>
      <w:r w:rsidR="00232784">
        <w:t xml:space="preserve">that argued for development within African culture </w:t>
      </w:r>
    </w:p>
    <w:p w14:paraId="3744A9D8" w14:textId="77777777" w:rsidR="0097402C" w:rsidRPr="0097402C" w:rsidRDefault="0097402C" w:rsidP="00A83691">
      <w:pPr>
        <w:spacing w:after="0"/>
      </w:pPr>
    </w:p>
    <w:p w14:paraId="184B39BD" w14:textId="648479CB" w:rsidR="00806BC8" w:rsidRDefault="00806BC8" w:rsidP="00A83691">
      <w:pPr>
        <w:spacing w:after="0"/>
      </w:pPr>
      <w:r>
        <w:rPr>
          <w:i/>
        </w:rPr>
        <w:t>cellule africaine</w:t>
      </w:r>
      <w:r w:rsidR="0097402C">
        <w:t>:</w:t>
      </w:r>
      <w:r w:rsidR="00CB12A0">
        <w:t xml:space="preserve"> African cell; office in the French government that enacted the policy of Françafrique</w:t>
      </w:r>
    </w:p>
    <w:p w14:paraId="2757828A" w14:textId="77777777" w:rsidR="00A86185" w:rsidRDefault="00A86185" w:rsidP="00A83691">
      <w:pPr>
        <w:spacing w:after="0"/>
      </w:pPr>
    </w:p>
    <w:p w14:paraId="6337AEA3" w14:textId="0CE7B952" w:rsidR="00A86185" w:rsidRPr="00A86185" w:rsidRDefault="00A86185" w:rsidP="00A83691">
      <w:pPr>
        <w:spacing w:after="0"/>
      </w:pPr>
      <w:r>
        <w:rPr>
          <w:i/>
        </w:rPr>
        <w:t>chefs de canton</w:t>
      </w:r>
      <w:r w:rsidR="00232784">
        <w:t>: African district chiefs who reported to French colonial officials</w:t>
      </w:r>
    </w:p>
    <w:p w14:paraId="5E3E88F7" w14:textId="77777777" w:rsidR="0097402C" w:rsidRPr="0097402C" w:rsidRDefault="0097402C" w:rsidP="00A83691">
      <w:pPr>
        <w:spacing w:after="0"/>
      </w:pPr>
    </w:p>
    <w:p w14:paraId="54B35963" w14:textId="631BEF9D" w:rsidR="00806BC8" w:rsidRDefault="00806BC8" w:rsidP="00A83691">
      <w:pPr>
        <w:spacing w:after="0"/>
      </w:pPr>
      <w:r>
        <w:rPr>
          <w:i/>
        </w:rPr>
        <w:t>citoyenneté dans le statut</w:t>
      </w:r>
      <w:r w:rsidR="0097402C">
        <w:t>:</w:t>
      </w:r>
      <w:r w:rsidR="00EB454D">
        <w:t xml:space="preserve"> citizenship status </w:t>
      </w:r>
    </w:p>
    <w:p w14:paraId="04976354" w14:textId="77777777" w:rsidR="0097402C" w:rsidRPr="0097402C" w:rsidRDefault="0097402C" w:rsidP="00A83691">
      <w:pPr>
        <w:spacing w:after="0"/>
      </w:pPr>
    </w:p>
    <w:p w14:paraId="16E4C5AF" w14:textId="41D2D7E1" w:rsidR="00806BC8" w:rsidRPr="00A86185" w:rsidRDefault="00806BC8" w:rsidP="00A83691">
      <w:pPr>
        <w:spacing w:after="0"/>
      </w:pPr>
      <w:r>
        <w:rPr>
          <w:i/>
        </w:rPr>
        <w:t>colons</w:t>
      </w:r>
      <w:r w:rsidR="0097402C">
        <w:t>:</w:t>
      </w:r>
      <w:r w:rsidR="00CB12A0">
        <w:t xml:space="preserve"> </w:t>
      </w:r>
      <w:r w:rsidR="00A86185">
        <w:t xml:space="preserve">French settlers, see </w:t>
      </w:r>
      <w:r w:rsidR="00A86185">
        <w:rPr>
          <w:i/>
        </w:rPr>
        <w:t>pieds-noirs</w:t>
      </w:r>
    </w:p>
    <w:p w14:paraId="6E40980F" w14:textId="77777777" w:rsidR="0097402C" w:rsidRPr="0097402C" w:rsidRDefault="0097402C" w:rsidP="00A83691">
      <w:pPr>
        <w:spacing w:after="0"/>
      </w:pPr>
    </w:p>
    <w:p w14:paraId="44F9CCF0" w14:textId="6722C3EA" w:rsidR="00806BC8" w:rsidRDefault="00806BC8" w:rsidP="00A83691">
      <w:pPr>
        <w:spacing w:after="0"/>
        <w:rPr>
          <w:rFonts w:cs="Times New Roman"/>
          <w:lang w:eastAsia="en-US"/>
        </w:rPr>
      </w:pPr>
      <w:r w:rsidRPr="009370D6">
        <w:rPr>
          <w:rFonts w:cs="Times New Roman"/>
          <w:i/>
          <w:lang w:eastAsia="en-US"/>
        </w:rPr>
        <w:t>Conseil de l’Entente</w:t>
      </w:r>
      <w:r w:rsidR="0097402C">
        <w:rPr>
          <w:rFonts w:cs="Times New Roman"/>
          <w:lang w:eastAsia="en-US"/>
        </w:rPr>
        <w:t>:</w:t>
      </w:r>
      <w:r w:rsidR="00A86185">
        <w:rPr>
          <w:rFonts w:cs="Times New Roman"/>
          <w:lang w:eastAsia="en-US"/>
        </w:rPr>
        <w:t xml:space="preserve"> Council of Entente; a French West African regional cooperation formed near the end of colonialism in 1959</w:t>
      </w:r>
    </w:p>
    <w:p w14:paraId="58475E09" w14:textId="77777777" w:rsidR="0097402C" w:rsidRPr="0097402C" w:rsidRDefault="0097402C" w:rsidP="00A83691">
      <w:pPr>
        <w:spacing w:after="0"/>
        <w:rPr>
          <w:rFonts w:cs="Times New Roman"/>
          <w:lang w:eastAsia="en-US"/>
        </w:rPr>
      </w:pPr>
    </w:p>
    <w:p w14:paraId="5672D031" w14:textId="3924E163" w:rsidR="00DB5CEA" w:rsidRDefault="00DB5CEA" w:rsidP="00A83691">
      <w:pPr>
        <w:spacing w:after="0"/>
      </w:pPr>
      <w:r w:rsidRPr="00F00276">
        <w:rPr>
          <w:i/>
        </w:rPr>
        <w:t xml:space="preserve">des intérêt </w:t>
      </w:r>
      <w:r w:rsidR="0097402C">
        <w:rPr>
          <w:i/>
        </w:rPr>
        <w:t>français</w:t>
      </w:r>
      <w:r w:rsidR="0097402C">
        <w:t>:</w:t>
      </w:r>
      <w:r w:rsidR="00CB12A0">
        <w:t xml:space="preserve"> French interests</w:t>
      </w:r>
    </w:p>
    <w:p w14:paraId="3720FA8D" w14:textId="77777777" w:rsidR="0097402C" w:rsidRPr="0097402C" w:rsidRDefault="0097402C" w:rsidP="00A83691">
      <w:pPr>
        <w:spacing w:after="0"/>
      </w:pPr>
    </w:p>
    <w:p w14:paraId="34D521A6" w14:textId="1FC08E6E" w:rsidR="00806BC8" w:rsidRDefault="00806BC8" w:rsidP="00A83691">
      <w:pPr>
        <w:spacing w:after="0"/>
      </w:pPr>
      <w:r>
        <w:rPr>
          <w:i/>
        </w:rPr>
        <w:t>état-civil</w:t>
      </w:r>
      <w:r w:rsidR="0097402C">
        <w:t>:</w:t>
      </w:r>
      <w:r w:rsidR="00CB12A0">
        <w:t xml:space="preserve"> civil registry; government records for citizenship and various certificates (birth, death, marriage, etc.)</w:t>
      </w:r>
    </w:p>
    <w:p w14:paraId="28EBFE47" w14:textId="77777777" w:rsidR="0097402C" w:rsidRPr="0097402C" w:rsidRDefault="0097402C" w:rsidP="00A83691">
      <w:pPr>
        <w:spacing w:after="0"/>
      </w:pPr>
    </w:p>
    <w:p w14:paraId="16A14741" w14:textId="543D4D73" w:rsidR="00806BC8" w:rsidRPr="00A86185" w:rsidRDefault="00806BC8" w:rsidP="00A83691">
      <w:pPr>
        <w:spacing w:after="0"/>
        <w:rPr>
          <w:i/>
        </w:rPr>
      </w:pPr>
      <w:r>
        <w:rPr>
          <w:i/>
        </w:rPr>
        <w:t>évolués</w:t>
      </w:r>
      <w:r w:rsidR="0097402C">
        <w:t>:</w:t>
      </w:r>
      <w:r w:rsidR="00CB12A0">
        <w:t xml:space="preserve"> evolved, </w:t>
      </w:r>
      <w:r w:rsidR="00A86185">
        <w:t xml:space="preserve">Africans who were educated in French schools yet did not have the political rights of </w:t>
      </w:r>
      <w:r w:rsidR="00A86185">
        <w:rPr>
          <w:i/>
        </w:rPr>
        <w:t>assimilés</w:t>
      </w:r>
    </w:p>
    <w:p w14:paraId="4B656289" w14:textId="77777777" w:rsidR="0097402C" w:rsidRPr="0097402C" w:rsidRDefault="0097402C" w:rsidP="00A83691">
      <w:pPr>
        <w:spacing w:after="0"/>
      </w:pPr>
    </w:p>
    <w:p w14:paraId="762DD49C" w14:textId="31AEF382" w:rsidR="00806BC8" w:rsidRDefault="00806BC8" w:rsidP="00A83691">
      <w:pPr>
        <w:spacing w:after="0"/>
      </w:pPr>
      <w:r>
        <w:rPr>
          <w:i/>
        </w:rPr>
        <w:t>exception française</w:t>
      </w:r>
      <w:r w:rsidR="0097402C">
        <w:t>:</w:t>
      </w:r>
      <w:r w:rsidR="00CB12A0">
        <w:t xml:space="preserve"> French exceptionalism</w:t>
      </w:r>
    </w:p>
    <w:p w14:paraId="13599B6D" w14:textId="77777777" w:rsidR="0097402C" w:rsidRPr="0097402C" w:rsidRDefault="0097402C" w:rsidP="00A83691">
      <w:pPr>
        <w:spacing w:after="0"/>
      </w:pPr>
    </w:p>
    <w:p w14:paraId="078F9EFD" w14:textId="47FE0245" w:rsidR="00806BC8" w:rsidRDefault="00806BC8" w:rsidP="00A83691">
      <w:pPr>
        <w:spacing w:after="0"/>
      </w:pPr>
      <w:r w:rsidRPr="00100FBC">
        <w:rPr>
          <w:i/>
        </w:rPr>
        <w:t>Fonds d’Aide et de Coopération</w:t>
      </w:r>
      <w:r w:rsidR="0097402C">
        <w:t>:</w:t>
      </w:r>
      <w:r w:rsidR="00232784">
        <w:t xml:space="preserve"> Fund for Aid and Cooperation, development fund that replaced FIDES and included military assistance</w:t>
      </w:r>
    </w:p>
    <w:p w14:paraId="4142E802" w14:textId="77777777" w:rsidR="0097402C" w:rsidRPr="0097402C" w:rsidRDefault="0097402C" w:rsidP="00A83691">
      <w:pPr>
        <w:spacing w:after="0"/>
      </w:pPr>
    </w:p>
    <w:p w14:paraId="06ED5E27" w14:textId="6F8DE08F" w:rsidR="00806BC8" w:rsidRDefault="00806BC8" w:rsidP="00A83691">
      <w:pPr>
        <w:spacing w:after="0"/>
      </w:pPr>
      <w:r>
        <w:rPr>
          <w:i/>
        </w:rPr>
        <w:t>Fonds d’Investissement pour le Dév</w:t>
      </w:r>
      <w:r w:rsidR="0097402C">
        <w:rPr>
          <w:i/>
        </w:rPr>
        <w:t>eloppement Economique et Social</w:t>
      </w:r>
      <w:r w:rsidR="0097402C">
        <w:t>:</w:t>
      </w:r>
      <w:r w:rsidR="00E842BA">
        <w:t xml:space="preserve"> </w:t>
      </w:r>
      <w:r w:rsidR="00AB49D9">
        <w:t xml:space="preserve">Investment Fund for Economic and Social Development, FIDES; the French development fund that financed projects in the colonies in the immediate postwar years. FIDES altered the financial structure as colonies were not longer financially responsible for themselves. </w:t>
      </w:r>
    </w:p>
    <w:p w14:paraId="1FBA7887" w14:textId="77777777" w:rsidR="0097402C" w:rsidRPr="0097402C" w:rsidRDefault="0097402C" w:rsidP="00A83691">
      <w:pPr>
        <w:spacing w:after="0"/>
      </w:pPr>
    </w:p>
    <w:p w14:paraId="0879F8F5" w14:textId="22EF3D0B" w:rsidR="00806BC8" w:rsidRDefault="00806BC8" w:rsidP="00A83691">
      <w:pPr>
        <w:spacing w:after="0"/>
      </w:pPr>
      <w:r>
        <w:rPr>
          <w:i/>
        </w:rPr>
        <w:t>forces de presence</w:t>
      </w:r>
      <w:r w:rsidR="0097402C">
        <w:t>:</w:t>
      </w:r>
      <w:r w:rsidR="00EB454D">
        <w:t xml:space="preserve"> military presence in former French colonial possessions</w:t>
      </w:r>
    </w:p>
    <w:p w14:paraId="762EE531" w14:textId="77777777" w:rsidR="0097402C" w:rsidRPr="0097402C" w:rsidRDefault="0097402C" w:rsidP="00A83691">
      <w:pPr>
        <w:spacing w:after="0"/>
      </w:pPr>
    </w:p>
    <w:p w14:paraId="232D1992" w14:textId="4F0599B3" w:rsidR="00806BC8" w:rsidRDefault="00806BC8" w:rsidP="00A83691">
      <w:pPr>
        <w:spacing w:after="0"/>
      </w:pPr>
      <w:r>
        <w:rPr>
          <w:i/>
        </w:rPr>
        <w:t>forces de souveraineté</w:t>
      </w:r>
      <w:r w:rsidR="0097402C">
        <w:t>:</w:t>
      </w:r>
      <w:r w:rsidR="00EB454D">
        <w:t xml:space="preserve"> sovereign military in French territories, such as French Guyana and Antilles</w:t>
      </w:r>
    </w:p>
    <w:p w14:paraId="39921210" w14:textId="77777777" w:rsidR="0097402C" w:rsidRPr="0097402C" w:rsidRDefault="0097402C" w:rsidP="00A83691">
      <w:pPr>
        <w:spacing w:after="0"/>
      </w:pPr>
    </w:p>
    <w:p w14:paraId="5AF2515F" w14:textId="6B0A0222" w:rsidR="00806BC8" w:rsidRPr="00E842BA" w:rsidRDefault="0097402C" w:rsidP="00A83691">
      <w:pPr>
        <w:spacing w:after="0"/>
      </w:pPr>
      <w:r>
        <w:rPr>
          <w:i/>
        </w:rPr>
        <w:t>indigénat</w:t>
      </w:r>
      <w:r>
        <w:t>:</w:t>
      </w:r>
      <w:r w:rsidR="00E842BA">
        <w:t xml:space="preserve"> native courts under French colonialism, African </w:t>
      </w:r>
      <w:r w:rsidR="00E842BA">
        <w:rPr>
          <w:i/>
        </w:rPr>
        <w:t xml:space="preserve">sujets </w:t>
      </w:r>
      <w:r w:rsidR="00E842BA">
        <w:t>were subject to these courts and often faced harsh punishments for minor crimes</w:t>
      </w:r>
    </w:p>
    <w:p w14:paraId="79DE7276" w14:textId="77777777" w:rsidR="0097402C" w:rsidRPr="0097402C" w:rsidRDefault="0097402C" w:rsidP="00A83691">
      <w:pPr>
        <w:spacing w:after="0"/>
      </w:pPr>
    </w:p>
    <w:p w14:paraId="39CE1670" w14:textId="6C65D814" w:rsidR="00806BC8" w:rsidRDefault="00806BC8" w:rsidP="00A83691">
      <w:pPr>
        <w:spacing w:after="0"/>
      </w:pPr>
      <w:r w:rsidRPr="00100FBC">
        <w:rPr>
          <w:i/>
        </w:rPr>
        <w:t>Institut Français</w:t>
      </w:r>
      <w:r w:rsidR="0097402C">
        <w:t>:</w:t>
      </w:r>
      <w:r w:rsidR="00E842BA">
        <w:t xml:space="preserve"> French Institute, a center for cultural understanding located in Dakar, Senegal</w:t>
      </w:r>
    </w:p>
    <w:p w14:paraId="78C492F2" w14:textId="77777777" w:rsidR="0097402C" w:rsidRDefault="0097402C" w:rsidP="00A83691">
      <w:pPr>
        <w:spacing w:after="0"/>
      </w:pPr>
    </w:p>
    <w:p w14:paraId="32963D17" w14:textId="0DFFBF38" w:rsidR="00A86185" w:rsidRDefault="00A86185" w:rsidP="00A83691">
      <w:pPr>
        <w:spacing w:after="0"/>
      </w:pPr>
      <w:r>
        <w:rPr>
          <w:i/>
        </w:rPr>
        <w:t>jus soli</w:t>
      </w:r>
      <w:r>
        <w:t>: citizenship by soil; metropolitan and colonial soil did not confer the same kind of nationality</w:t>
      </w:r>
    </w:p>
    <w:p w14:paraId="7FBFE26C" w14:textId="77777777" w:rsidR="00A86185" w:rsidRPr="00A86185" w:rsidRDefault="00A86185" w:rsidP="00A83691">
      <w:pPr>
        <w:spacing w:after="0"/>
      </w:pPr>
    </w:p>
    <w:p w14:paraId="4F67F1A5" w14:textId="24A9F344" w:rsidR="00806BC8" w:rsidRDefault="00806BC8" w:rsidP="00A83691">
      <w:pPr>
        <w:spacing w:after="0"/>
      </w:pPr>
      <w:r>
        <w:rPr>
          <w:i/>
        </w:rPr>
        <w:t>liberté, égalité, et fratenité</w:t>
      </w:r>
      <w:r w:rsidR="0097402C">
        <w:t>:</w:t>
      </w:r>
      <w:r w:rsidR="00E842BA">
        <w:t xml:space="preserve"> the principles of liberty, equality, and fraternity enshrined in the French Constitution </w:t>
      </w:r>
    </w:p>
    <w:p w14:paraId="288970C1" w14:textId="77777777" w:rsidR="0097402C" w:rsidRPr="0097402C" w:rsidRDefault="0097402C" w:rsidP="00A83691">
      <w:pPr>
        <w:spacing w:after="0"/>
      </w:pPr>
    </w:p>
    <w:p w14:paraId="2404382C" w14:textId="475380AA" w:rsidR="00806BC8" w:rsidRDefault="00806BC8" w:rsidP="00A83691">
      <w:pPr>
        <w:spacing w:after="0"/>
      </w:pPr>
      <w:r>
        <w:rPr>
          <w:i/>
        </w:rPr>
        <w:t>loi cadre</w:t>
      </w:r>
      <w:r w:rsidR="0097402C">
        <w:t>:</w:t>
      </w:r>
      <w:r w:rsidR="00DD0369">
        <w:t xml:space="preserve"> Reform Act</w:t>
      </w:r>
      <w:r w:rsidR="00FC2DF2">
        <w:t>; transfer of powers from France to African colonies</w:t>
      </w:r>
    </w:p>
    <w:p w14:paraId="03F93413" w14:textId="77777777" w:rsidR="0097402C" w:rsidRPr="0097402C" w:rsidRDefault="0097402C" w:rsidP="00A83691">
      <w:pPr>
        <w:spacing w:after="0"/>
      </w:pPr>
    </w:p>
    <w:p w14:paraId="009B1E40" w14:textId="30EF96DA" w:rsidR="00806BC8" w:rsidRDefault="00806BC8" w:rsidP="00A83691">
      <w:pPr>
        <w:spacing w:after="0"/>
      </w:pPr>
      <w:r>
        <w:rPr>
          <w:i/>
        </w:rPr>
        <w:t>la mission civilisatrice</w:t>
      </w:r>
      <w:r w:rsidR="0097402C">
        <w:t>:</w:t>
      </w:r>
      <w:r w:rsidR="00CB12A0">
        <w:t xml:space="preserve"> the civilizing mission; French approach to colonization in Africa was to educate the natives and turn them into civilized, rational men. </w:t>
      </w:r>
    </w:p>
    <w:p w14:paraId="21A30CED" w14:textId="77777777" w:rsidR="0097402C" w:rsidRPr="0097402C" w:rsidRDefault="0097402C" w:rsidP="00A83691">
      <w:pPr>
        <w:spacing w:after="0"/>
      </w:pPr>
    </w:p>
    <w:p w14:paraId="137DDAB4" w14:textId="65A2C86B" w:rsidR="00806BC8" w:rsidRDefault="00806BC8" w:rsidP="00A83691">
      <w:pPr>
        <w:spacing w:after="0"/>
      </w:pPr>
      <w:r>
        <w:rPr>
          <w:i/>
        </w:rPr>
        <w:t>métis</w:t>
      </w:r>
      <w:r w:rsidR="0097402C">
        <w:t>:</w:t>
      </w:r>
      <w:r w:rsidR="00CB12A0">
        <w:t xml:space="preserve"> mixed, mulatto; a status granted to mixed Africans (one French and one African parent) who had political rights during colonization because they possessed French blood</w:t>
      </w:r>
    </w:p>
    <w:p w14:paraId="614D7E69" w14:textId="77777777" w:rsidR="0097402C" w:rsidRPr="0097402C" w:rsidRDefault="0097402C" w:rsidP="00A83691">
      <w:pPr>
        <w:spacing w:after="0"/>
      </w:pPr>
    </w:p>
    <w:p w14:paraId="0FC47663" w14:textId="4A272FD9" w:rsidR="00806BC8" w:rsidRPr="00CB12A0" w:rsidRDefault="00806BC8" w:rsidP="00A83691">
      <w:pPr>
        <w:spacing w:after="0"/>
      </w:pPr>
      <w:r>
        <w:rPr>
          <w:i/>
        </w:rPr>
        <w:t>mise en valeur</w:t>
      </w:r>
      <w:r w:rsidR="00CB12A0">
        <w:t xml:space="preserve">: development or </w:t>
      </w:r>
      <w:r w:rsidR="00EB454D">
        <w:t>improvement of both natural and human resources</w:t>
      </w:r>
    </w:p>
    <w:p w14:paraId="6212D02A" w14:textId="77777777" w:rsidR="0097402C" w:rsidRPr="0097402C" w:rsidRDefault="0097402C" w:rsidP="00A83691">
      <w:pPr>
        <w:spacing w:after="0"/>
      </w:pPr>
    </w:p>
    <w:p w14:paraId="0C48A55E" w14:textId="09E7334C" w:rsidR="00806BC8" w:rsidRDefault="00806BC8" w:rsidP="00A83691">
      <w:pPr>
        <w:spacing w:after="0"/>
      </w:pPr>
      <w:r>
        <w:rPr>
          <w:i/>
        </w:rPr>
        <w:t>Missions de Coopération et d’Action Culturelle</w:t>
      </w:r>
      <w:r w:rsidR="0097402C">
        <w:t>:</w:t>
      </w:r>
      <w:r w:rsidR="00EB454D">
        <w:t xml:space="preserve"> Mission for Cooperation and Cultural Action; aid through technical assistance and advisors</w:t>
      </w:r>
    </w:p>
    <w:p w14:paraId="5287AD96" w14:textId="77777777" w:rsidR="0097402C" w:rsidRPr="0097402C" w:rsidRDefault="0097402C" w:rsidP="00A83691">
      <w:pPr>
        <w:spacing w:after="0"/>
      </w:pPr>
    </w:p>
    <w:p w14:paraId="72E01224" w14:textId="699C3E7A" w:rsidR="00806BC8" w:rsidRDefault="00806BC8" w:rsidP="00A83691">
      <w:pPr>
        <w:spacing w:after="0"/>
      </w:pPr>
      <w:r w:rsidRPr="00A02D5E">
        <w:rPr>
          <w:i/>
        </w:rPr>
        <w:t>Mission Militaire de Coopération</w:t>
      </w:r>
      <w:r w:rsidR="0097402C">
        <w:t>:</w:t>
      </w:r>
      <w:r w:rsidR="00EB454D">
        <w:t xml:space="preserve"> Mission for Military Cooperation; aid given through military assistance and equipment</w:t>
      </w:r>
    </w:p>
    <w:p w14:paraId="40C09AE1" w14:textId="77777777" w:rsidR="0097402C" w:rsidRPr="0097402C" w:rsidRDefault="0097402C" w:rsidP="00A83691">
      <w:pPr>
        <w:spacing w:after="0"/>
      </w:pPr>
    </w:p>
    <w:p w14:paraId="57243378" w14:textId="0A4E00DE" w:rsidR="00806BC8" w:rsidRDefault="00806BC8" w:rsidP="00A83691">
      <w:pPr>
        <w:spacing w:after="0"/>
      </w:pPr>
      <w:r>
        <w:rPr>
          <w:i/>
        </w:rPr>
        <w:t>Organization Internationale de la Francophonie</w:t>
      </w:r>
      <w:r w:rsidR="0097402C">
        <w:t>:</w:t>
      </w:r>
      <w:r w:rsidR="00EB454D">
        <w:t xml:space="preserve"> International Organization of la Francophonie; institution for states whose population speaks French</w:t>
      </w:r>
    </w:p>
    <w:p w14:paraId="50653A21" w14:textId="77777777" w:rsidR="0097402C" w:rsidRPr="0097402C" w:rsidRDefault="0097402C" w:rsidP="00A83691">
      <w:pPr>
        <w:spacing w:after="0"/>
      </w:pPr>
    </w:p>
    <w:p w14:paraId="3D14F777" w14:textId="6993BCE4" w:rsidR="00806BC8" w:rsidRDefault="00806BC8" w:rsidP="00A83691">
      <w:pPr>
        <w:spacing w:after="0"/>
      </w:pPr>
      <w:r>
        <w:rPr>
          <w:i/>
        </w:rPr>
        <w:t>originaires</w:t>
      </w:r>
      <w:r w:rsidR="0097402C">
        <w:t>:</w:t>
      </w:r>
      <w:r w:rsidR="00CB12A0">
        <w:t xml:space="preserve"> originals, a unique citizenship status granted to Africans residing in the Four Communes</w:t>
      </w:r>
    </w:p>
    <w:p w14:paraId="39BAF587" w14:textId="77777777" w:rsidR="0097402C" w:rsidRPr="0097402C" w:rsidRDefault="0097402C" w:rsidP="00A83691">
      <w:pPr>
        <w:spacing w:after="0"/>
      </w:pPr>
    </w:p>
    <w:p w14:paraId="217B785A" w14:textId="4FE043BE" w:rsidR="00806BC8" w:rsidRDefault="00806BC8" w:rsidP="00A83691">
      <w:pPr>
        <w:spacing w:after="0"/>
      </w:pPr>
      <w:r>
        <w:rPr>
          <w:i/>
        </w:rPr>
        <w:t>pieds-noirs</w:t>
      </w:r>
      <w:r w:rsidR="0097402C">
        <w:t>:</w:t>
      </w:r>
      <w:r w:rsidR="00CB12A0">
        <w:t xml:space="preserve"> black feet, referring to Frenchmen who were born in Algeria when it was a French department </w:t>
      </w:r>
    </w:p>
    <w:p w14:paraId="04A852D9" w14:textId="77777777" w:rsidR="0097402C" w:rsidRPr="0097402C" w:rsidRDefault="0097402C" w:rsidP="00A83691">
      <w:pPr>
        <w:spacing w:after="0"/>
      </w:pPr>
    </w:p>
    <w:p w14:paraId="5856999A" w14:textId="09CB3C7A" w:rsidR="00806BC8" w:rsidRDefault="00806BC8" w:rsidP="00A83691">
      <w:pPr>
        <w:spacing w:after="0"/>
      </w:pPr>
      <w:r>
        <w:rPr>
          <w:i/>
        </w:rPr>
        <w:t>plein droit</w:t>
      </w:r>
      <w:r w:rsidR="0097402C">
        <w:t>:</w:t>
      </w:r>
      <w:r w:rsidR="00EB454D">
        <w:t xml:space="preserve"> full rights; a mechanism for Africans to obtain French citizenship</w:t>
      </w:r>
    </w:p>
    <w:p w14:paraId="49D935C5" w14:textId="77777777" w:rsidR="0097402C" w:rsidRPr="0097402C" w:rsidRDefault="0097402C" w:rsidP="00A83691">
      <w:pPr>
        <w:spacing w:after="0"/>
      </w:pPr>
    </w:p>
    <w:p w14:paraId="26DA851E" w14:textId="664067F0" w:rsidR="00806BC8" w:rsidRPr="00CB12A0" w:rsidRDefault="00806BC8" w:rsidP="00A83691">
      <w:pPr>
        <w:spacing w:after="0"/>
      </w:pPr>
      <w:r>
        <w:rPr>
          <w:i/>
        </w:rPr>
        <w:t>pré carré</w:t>
      </w:r>
      <w:r w:rsidR="0097402C">
        <w:t>:</w:t>
      </w:r>
      <w:r w:rsidR="00CB12A0">
        <w:t xml:space="preserve"> backyard, France’s sphere of influence </w:t>
      </w:r>
    </w:p>
    <w:p w14:paraId="26DC00BB" w14:textId="77777777" w:rsidR="0097402C" w:rsidRPr="0097402C" w:rsidRDefault="0097402C" w:rsidP="00A83691">
      <w:pPr>
        <w:spacing w:after="0"/>
      </w:pPr>
    </w:p>
    <w:p w14:paraId="1FCCBCAA" w14:textId="005D010E" w:rsidR="00806BC8" w:rsidRDefault="00806BC8" w:rsidP="00A83691">
      <w:pPr>
        <w:spacing w:after="0"/>
      </w:pPr>
      <w:r>
        <w:rPr>
          <w:i/>
        </w:rPr>
        <w:t>Quatre Communes</w:t>
      </w:r>
      <w:r w:rsidR="0097402C">
        <w:t>:</w:t>
      </w:r>
      <w:r w:rsidR="00CB12A0">
        <w:t xml:space="preserve"> Four Communes—Saint-Louis, Gorée, Rufisuqe, and Dakar—that had special privileges in the colonial empire</w:t>
      </w:r>
    </w:p>
    <w:p w14:paraId="7AFCDACA" w14:textId="77777777" w:rsidR="0097402C" w:rsidRPr="0097402C" w:rsidRDefault="0097402C" w:rsidP="00A83691">
      <w:pPr>
        <w:spacing w:after="0"/>
      </w:pPr>
    </w:p>
    <w:p w14:paraId="3858B898" w14:textId="4C89D6FD" w:rsidR="00806BC8" w:rsidRDefault="00806BC8" w:rsidP="00A83691">
      <w:pPr>
        <w:spacing w:after="0"/>
      </w:pPr>
      <w:r>
        <w:rPr>
          <w:i/>
        </w:rPr>
        <w:t>reseaux</w:t>
      </w:r>
      <w:r w:rsidR="0097402C">
        <w:t>:</w:t>
      </w:r>
      <w:r w:rsidR="00CB12A0">
        <w:t xml:space="preserve"> network, referring to the networks of Françafrique</w:t>
      </w:r>
    </w:p>
    <w:p w14:paraId="47E91A61" w14:textId="77777777" w:rsidR="0097402C" w:rsidRPr="0097402C" w:rsidRDefault="0097402C" w:rsidP="00A83691">
      <w:pPr>
        <w:spacing w:after="0"/>
      </w:pPr>
    </w:p>
    <w:p w14:paraId="45536B32" w14:textId="1FEFC5F4" w:rsidR="00806BC8" w:rsidRDefault="00806BC8" w:rsidP="00A83691">
      <w:pPr>
        <w:spacing w:after="0"/>
      </w:pPr>
      <w:r w:rsidRPr="00D13DC4">
        <w:rPr>
          <w:i/>
        </w:rPr>
        <w:t>signares</w:t>
      </w:r>
      <w:r w:rsidR="0097402C">
        <w:t>:</w:t>
      </w:r>
      <w:r w:rsidR="00CB12A0">
        <w:t xml:space="preserve"> elite African women, often had relations with French colonial administrators</w:t>
      </w:r>
    </w:p>
    <w:p w14:paraId="7950CD68" w14:textId="77777777" w:rsidR="0097402C" w:rsidRPr="0097402C" w:rsidRDefault="0097402C" w:rsidP="00A83691">
      <w:pPr>
        <w:spacing w:after="0"/>
      </w:pPr>
    </w:p>
    <w:p w14:paraId="787F9701" w14:textId="5525C84C" w:rsidR="00806BC8" w:rsidRDefault="00806BC8" w:rsidP="00A83691">
      <w:pPr>
        <w:spacing w:after="0"/>
      </w:pPr>
      <w:r>
        <w:rPr>
          <w:i/>
        </w:rPr>
        <w:t>spahis</w:t>
      </w:r>
      <w:r w:rsidR="0097402C">
        <w:t>:</w:t>
      </w:r>
      <w:r w:rsidR="00EB454D">
        <w:t xml:space="preserve"> all Arab regiments who fought in the French army</w:t>
      </w:r>
    </w:p>
    <w:p w14:paraId="0ECCFC17" w14:textId="77777777" w:rsidR="0097402C" w:rsidRPr="0097402C" w:rsidRDefault="0097402C" w:rsidP="00A83691">
      <w:pPr>
        <w:spacing w:after="0"/>
      </w:pPr>
    </w:p>
    <w:p w14:paraId="5DEA22E1" w14:textId="5095576C" w:rsidR="00806BC8" w:rsidRDefault="00806BC8" w:rsidP="00A83691">
      <w:pPr>
        <w:spacing w:after="0"/>
      </w:pPr>
      <w:r>
        <w:rPr>
          <w:i/>
        </w:rPr>
        <w:t>sujets</w:t>
      </w:r>
      <w:r w:rsidR="0097402C">
        <w:t>:</w:t>
      </w:r>
      <w:r w:rsidR="00232784">
        <w:t xml:space="preserve"> subjects, the most basic level of status in the French colonial empire; subjects had duties rather than rights</w:t>
      </w:r>
    </w:p>
    <w:p w14:paraId="50F00E3F" w14:textId="77777777" w:rsidR="0097402C" w:rsidRPr="0097402C" w:rsidRDefault="0097402C" w:rsidP="00A83691">
      <w:pPr>
        <w:spacing w:after="0"/>
      </w:pPr>
    </w:p>
    <w:p w14:paraId="0C5E96AF" w14:textId="07AEEBDD" w:rsidR="00EC0842" w:rsidRPr="00E22331" w:rsidRDefault="00806BC8" w:rsidP="00A83691">
      <w:pPr>
        <w:spacing w:after="0"/>
      </w:pPr>
      <w:r>
        <w:rPr>
          <w:i/>
        </w:rPr>
        <w:t>tirailleurs</w:t>
      </w:r>
      <w:r w:rsidR="00E22331">
        <w:t xml:space="preserve"> </w:t>
      </w:r>
      <w:r w:rsidR="00E22331" w:rsidRPr="00E22331">
        <w:t>(</w:t>
      </w:r>
      <w:r w:rsidR="00E22331">
        <w:rPr>
          <w:i/>
        </w:rPr>
        <w:t>Sénégalaise</w:t>
      </w:r>
      <w:r w:rsidR="00E22331">
        <w:t xml:space="preserve">): </w:t>
      </w:r>
      <w:r w:rsidR="00232784">
        <w:t>French African soldiers; originally from Senegal but later recruited from all French colonies during the world wars</w:t>
      </w:r>
    </w:p>
    <w:p w14:paraId="50E3E19D" w14:textId="77777777" w:rsidR="00EC0842" w:rsidRDefault="00EC0842">
      <w:r>
        <w:br w:type="page"/>
      </w:r>
    </w:p>
    <w:p w14:paraId="56CAEC79" w14:textId="77777777" w:rsidR="00EC0842" w:rsidRDefault="00EC0842" w:rsidP="00EC0842">
      <w:pPr>
        <w:spacing w:after="0"/>
        <w:jc w:val="center"/>
        <w:rPr>
          <w:b/>
        </w:rPr>
      </w:pPr>
      <w:r w:rsidRPr="00EC0842">
        <w:rPr>
          <w:b/>
        </w:rPr>
        <w:t>Abbreviations</w:t>
      </w:r>
    </w:p>
    <w:p w14:paraId="1CA1CC38" w14:textId="77777777" w:rsidR="00EC0842" w:rsidRDefault="00EC0842" w:rsidP="00EC0842">
      <w:pPr>
        <w:spacing w:after="0"/>
        <w:rPr>
          <w:b/>
        </w:rPr>
      </w:pPr>
    </w:p>
    <w:p w14:paraId="31BDE97F" w14:textId="33888B97" w:rsidR="00EC0842" w:rsidRDefault="00EC0842" w:rsidP="00EC0842">
      <w:pPr>
        <w:spacing w:after="0"/>
      </w:pPr>
      <w:r>
        <w:t>AEF</w:t>
      </w:r>
      <w:r w:rsidR="0019120A">
        <w:tab/>
      </w:r>
      <w:r w:rsidR="00307C7D">
        <w:t xml:space="preserve"> </w:t>
      </w:r>
      <w:r w:rsidR="00307C7D" w:rsidRPr="00307C7D">
        <w:rPr>
          <w:i/>
        </w:rPr>
        <w:t>Afrique Équatoriale Française</w:t>
      </w:r>
      <w:r w:rsidR="00307C7D">
        <w:t>, French Equatorial Africa</w:t>
      </w:r>
    </w:p>
    <w:p w14:paraId="7A8D163B" w14:textId="77777777" w:rsidR="00307C7D" w:rsidRDefault="00307C7D" w:rsidP="00EC0842">
      <w:pPr>
        <w:spacing w:after="0"/>
      </w:pPr>
    </w:p>
    <w:p w14:paraId="105D1639" w14:textId="32F86A7D" w:rsidR="00EC0842" w:rsidRDefault="00EC0842" w:rsidP="00EC0842">
      <w:pPr>
        <w:spacing w:after="0"/>
      </w:pPr>
      <w:r>
        <w:t>AOF</w:t>
      </w:r>
      <w:r w:rsidR="0019120A">
        <w:tab/>
      </w:r>
      <w:r w:rsidR="00307C7D">
        <w:t xml:space="preserve"> </w:t>
      </w:r>
      <w:r w:rsidR="00307C7D" w:rsidRPr="00307C7D">
        <w:rPr>
          <w:i/>
        </w:rPr>
        <w:t>Afrique Occidentale Française</w:t>
      </w:r>
      <w:r w:rsidR="00307C7D">
        <w:t>, French West Africa</w:t>
      </w:r>
    </w:p>
    <w:p w14:paraId="36780344" w14:textId="77777777" w:rsidR="00307C7D" w:rsidRDefault="00307C7D" w:rsidP="00EC0842">
      <w:pPr>
        <w:spacing w:after="0"/>
      </w:pPr>
    </w:p>
    <w:p w14:paraId="14B4B72C" w14:textId="227A17C9" w:rsidR="00463A32" w:rsidRDefault="0019120A" w:rsidP="00EC0842">
      <w:pPr>
        <w:spacing w:after="0"/>
      </w:pPr>
      <w:r>
        <w:t>DAC</w:t>
      </w:r>
      <w:r>
        <w:tab/>
      </w:r>
      <w:r w:rsidR="00463A32">
        <w:t xml:space="preserve"> OECD Development Assistance Committee</w:t>
      </w:r>
    </w:p>
    <w:p w14:paraId="73E3D957" w14:textId="77777777" w:rsidR="00463A32" w:rsidRDefault="00463A32" w:rsidP="00EC0842">
      <w:pPr>
        <w:spacing w:after="0"/>
      </w:pPr>
    </w:p>
    <w:p w14:paraId="17A27137" w14:textId="3312EE6A" w:rsidR="00EC0842" w:rsidRDefault="00EC0842" w:rsidP="00EC0842">
      <w:pPr>
        <w:spacing w:after="0"/>
      </w:pPr>
      <w:r>
        <w:t>EU</w:t>
      </w:r>
      <w:r w:rsidR="0019120A">
        <w:tab/>
      </w:r>
      <w:r w:rsidR="00307C7D">
        <w:t xml:space="preserve"> European Union</w:t>
      </w:r>
    </w:p>
    <w:p w14:paraId="3AF1F31E" w14:textId="77777777" w:rsidR="00307C7D" w:rsidRDefault="00307C7D" w:rsidP="00EC0842">
      <w:pPr>
        <w:spacing w:after="0"/>
      </w:pPr>
    </w:p>
    <w:p w14:paraId="4C94C509" w14:textId="5A33FDF9" w:rsidR="00EC0842" w:rsidRDefault="0019120A" w:rsidP="00EC0842">
      <w:pPr>
        <w:spacing w:after="0"/>
        <w:rPr>
          <w:i/>
        </w:rPr>
      </w:pPr>
      <w:r>
        <w:t>FAC</w:t>
      </w:r>
      <w:r>
        <w:tab/>
      </w:r>
      <w:r w:rsidR="00EC0842">
        <w:t xml:space="preserve"> </w:t>
      </w:r>
      <w:r w:rsidR="00EC0842">
        <w:rPr>
          <w:i/>
        </w:rPr>
        <w:t xml:space="preserve">Fonds d’Aide et de Coopération </w:t>
      </w:r>
    </w:p>
    <w:p w14:paraId="56F2C810" w14:textId="77777777" w:rsidR="00307C7D" w:rsidRPr="00EC0842" w:rsidRDefault="00307C7D" w:rsidP="00EC0842">
      <w:pPr>
        <w:spacing w:after="0"/>
      </w:pPr>
    </w:p>
    <w:p w14:paraId="4DDE117D" w14:textId="691EFA23" w:rsidR="00EC0842" w:rsidRDefault="00EC0842" w:rsidP="00EC0842">
      <w:pPr>
        <w:spacing w:after="0"/>
      </w:pPr>
      <w:r>
        <w:t>FIDES</w:t>
      </w:r>
      <w:r w:rsidR="0019120A">
        <w:tab/>
      </w:r>
      <w:r w:rsidR="00307C7D">
        <w:t xml:space="preserve"> </w:t>
      </w:r>
      <w:r w:rsidR="00307C7D">
        <w:rPr>
          <w:i/>
        </w:rPr>
        <w:t>Fonds d’Investissement pour le Développement Economique et Social</w:t>
      </w:r>
    </w:p>
    <w:p w14:paraId="6D567B01" w14:textId="77777777" w:rsidR="00307C7D" w:rsidRDefault="00307C7D" w:rsidP="00EC0842">
      <w:pPr>
        <w:spacing w:after="0"/>
      </w:pPr>
    </w:p>
    <w:p w14:paraId="22C9A40D" w14:textId="11C6B19E" w:rsidR="00EC0842" w:rsidRDefault="00EC0842" w:rsidP="00EC0842">
      <w:pPr>
        <w:spacing w:after="0"/>
      </w:pPr>
      <w:r>
        <w:t>GDP</w:t>
      </w:r>
      <w:r w:rsidR="0019120A">
        <w:tab/>
      </w:r>
      <w:r w:rsidR="00307C7D">
        <w:t xml:space="preserve">gross domestic product </w:t>
      </w:r>
    </w:p>
    <w:p w14:paraId="52679EF3" w14:textId="77777777" w:rsidR="00307C7D" w:rsidRDefault="00307C7D" w:rsidP="00EC0842">
      <w:pPr>
        <w:spacing w:after="0"/>
      </w:pPr>
    </w:p>
    <w:p w14:paraId="6A25C7F7" w14:textId="7E4FD371" w:rsidR="00EC0842" w:rsidRDefault="00EC0842" w:rsidP="00EC0842">
      <w:pPr>
        <w:spacing w:after="0"/>
      </w:pPr>
      <w:r>
        <w:t>GNI</w:t>
      </w:r>
      <w:r w:rsidR="0019120A">
        <w:tab/>
      </w:r>
      <w:r w:rsidR="00307C7D">
        <w:t>gross national income</w:t>
      </w:r>
    </w:p>
    <w:p w14:paraId="6C49A338" w14:textId="77777777" w:rsidR="00307C7D" w:rsidRDefault="00307C7D" w:rsidP="00EC0842">
      <w:pPr>
        <w:spacing w:after="0"/>
      </w:pPr>
    </w:p>
    <w:p w14:paraId="7E0DC0B1" w14:textId="6D1B01D8" w:rsidR="00EC0842" w:rsidRDefault="0019120A" w:rsidP="00EC0842">
      <w:pPr>
        <w:spacing w:after="0"/>
      </w:pPr>
      <w:r>
        <w:t>MC</w:t>
      </w:r>
      <w:r>
        <w:tab/>
      </w:r>
      <w:r w:rsidR="00EC0842">
        <w:t>Ministry of Cooperation and Development</w:t>
      </w:r>
    </w:p>
    <w:p w14:paraId="60079E77" w14:textId="77777777" w:rsidR="00307C7D" w:rsidRDefault="00307C7D" w:rsidP="00EC0842">
      <w:pPr>
        <w:spacing w:after="0"/>
      </w:pPr>
    </w:p>
    <w:p w14:paraId="1E0042EA" w14:textId="0FEB22C8" w:rsidR="00EC0842" w:rsidRDefault="00EC0842" w:rsidP="00EC0842">
      <w:pPr>
        <w:spacing w:after="0"/>
      </w:pPr>
      <w:r>
        <w:t>ODA</w:t>
      </w:r>
      <w:r w:rsidR="0019120A">
        <w:tab/>
      </w:r>
      <w:r w:rsidR="00307C7D">
        <w:t>Official Development Assistance</w:t>
      </w:r>
    </w:p>
    <w:p w14:paraId="1F5736A4" w14:textId="77777777" w:rsidR="00307C7D" w:rsidRDefault="00307C7D" w:rsidP="00EC0842">
      <w:pPr>
        <w:spacing w:after="0"/>
      </w:pPr>
    </w:p>
    <w:p w14:paraId="2FB9BA8C" w14:textId="483910D6" w:rsidR="00EC0842" w:rsidRDefault="00EC0842" w:rsidP="00EC0842">
      <w:pPr>
        <w:spacing w:after="0"/>
      </w:pPr>
      <w:r>
        <w:t>OECD</w:t>
      </w:r>
      <w:r w:rsidR="0019120A">
        <w:tab/>
      </w:r>
      <w:r w:rsidR="00307C7D">
        <w:t>Organization for Economic Cooperation and Development</w:t>
      </w:r>
    </w:p>
    <w:p w14:paraId="4969B106" w14:textId="77777777" w:rsidR="00307C7D" w:rsidRDefault="00307C7D" w:rsidP="00EC0842">
      <w:pPr>
        <w:spacing w:after="0"/>
      </w:pPr>
    </w:p>
    <w:p w14:paraId="05DEAE60" w14:textId="1CB1E744" w:rsidR="00EC0842" w:rsidRDefault="0019120A" w:rsidP="00EC0842">
      <w:pPr>
        <w:spacing w:after="0"/>
      </w:pPr>
      <w:r>
        <w:t>OIF</w:t>
      </w:r>
      <w:r>
        <w:tab/>
      </w:r>
      <w:r w:rsidR="00307C7D">
        <w:rPr>
          <w:i/>
        </w:rPr>
        <w:t>Organization Internationale de la Francophonie</w:t>
      </w:r>
    </w:p>
    <w:p w14:paraId="34A28593" w14:textId="77777777" w:rsidR="00307C7D" w:rsidRDefault="00307C7D" w:rsidP="00EC0842">
      <w:pPr>
        <w:spacing w:after="0"/>
      </w:pPr>
    </w:p>
    <w:p w14:paraId="1A0E3940" w14:textId="0FE0701C" w:rsidR="00EC0842" w:rsidRDefault="00EC0842" w:rsidP="00EC0842">
      <w:pPr>
        <w:spacing w:after="0"/>
      </w:pPr>
      <w:r>
        <w:t>UN</w:t>
      </w:r>
      <w:r w:rsidR="0019120A">
        <w:tab/>
      </w:r>
      <w:r w:rsidR="00307C7D">
        <w:t>United Nations</w:t>
      </w:r>
    </w:p>
    <w:p w14:paraId="59EB2EA5" w14:textId="77777777" w:rsidR="00307C7D" w:rsidRDefault="00307C7D" w:rsidP="00EC0842">
      <w:pPr>
        <w:spacing w:after="0"/>
      </w:pPr>
    </w:p>
    <w:p w14:paraId="0539E751" w14:textId="2F81ACB3" w:rsidR="00EC0842" w:rsidRDefault="00EC0842" w:rsidP="00EC0842">
      <w:pPr>
        <w:spacing w:after="0"/>
      </w:pPr>
      <w:r>
        <w:t>UNSC</w:t>
      </w:r>
      <w:r w:rsidR="0019120A">
        <w:tab/>
      </w:r>
      <w:r w:rsidR="00307C7D">
        <w:t>United Nations Security Council</w:t>
      </w:r>
    </w:p>
    <w:p w14:paraId="2326E39B" w14:textId="77777777" w:rsidR="00307C7D" w:rsidRDefault="00307C7D" w:rsidP="00EC0842">
      <w:pPr>
        <w:spacing w:after="0"/>
      </w:pPr>
    </w:p>
    <w:p w14:paraId="2EB9F153" w14:textId="6C464A71" w:rsidR="00EC0842" w:rsidRDefault="00EC0842" w:rsidP="00EC0842">
      <w:pPr>
        <w:spacing w:after="0"/>
      </w:pPr>
      <w:r>
        <w:t>XAF</w:t>
      </w:r>
      <w:r w:rsidR="0019120A">
        <w:tab/>
      </w:r>
      <w:r w:rsidR="00307C7D">
        <w:t>Central African CFA franc</w:t>
      </w:r>
    </w:p>
    <w:p w14:paraId="0C567DF6" w14:textId="77777777" w:rsidR="00307C7D" w:rsidRDefault="00307C7D" w:rsidP="00EC0842">
      <w:pPr>
        <w:spacing w:after="0"/>
        <w:rPr>
          <w:b/>
        </w:rPr>
      </w:pPr>
    </w:p>
    <w:p w14:paraId="6D2B0096" w14:textId="0245B354" w:rsidR="00307C7D" w:rsidRDefault="0019120A" w:rsidP="00307C7D">
      <w:pPr>
        <w:spacing w:after="0"/>
      </w:pPr>
      <w:r>
        <w:t>XOF</w:t>
      </w:r>
      <w:r>
        <w:tab/>
      </w:r>
      <w:r w:rsidR="00307C7D">
        <w:t>West African CFA franc</w:t>
      </w:r>
    </w:p>
    <w:p w14:paraId="6FD30599" w14:textId="2E6BD605" w:rsidR="00A83691" w:rsidRPr="00EC0842" w:rsidRDefault="00A83691" w:rsidP="00EC0842">
      <w:pPr>
        <w:spacing w:after="0"/>
        <w:rPr>
          <w:i/>
        </w:rPr>
      </w:pPr>
      <w:r w:rsidRPr="00EC0842">
        <w:rPr>
          <w:b/>
        </w:rPr>
        <w:br w:type="page"/>
      </w:r>
    </w:p>
    <w:p w14:paraId="1C508F19" w14:textId="1EAD0CDC" w:rsidR="007229CD" w:rsidRPr="006517B2" w:rsidRDefault="007229CD" w:rsidP="00272641">
      <w:pPr>
        <w:spacing w:after="0"/>
        <w:jc w:val="center"/>
        <w:rPr>
          <w:b/>
          <w:sz w:val="28"/>
          <w:szCs w:val="28"/>
        </w:rPr>
      </w:pPr>
      <w:r w:rsidRPr="006517B2">
        <w:rPr>
          <w:b/>
          <w:sz w:val="28"/>
          <w:szCs w:val="28"/>
        </w:rPr>
        <w:t>Appendix</w:t>
      </w:r>
      <w:r w:rsidR="00950556" w:rsidRPr="006517B2">
        <w:rPr>
          <w:b/>
          <w:sz w:val="28"/>
          <w:szCs w:val="28"/>
        </w:rPr>
        <w:t xml:space="preserve"> </w:t>
      </w:r>
      <w:r w:rsidR="00A83691">
        <w:rPr>
          <w:b/>
          <w:sz w:val="28"/>
          <w:szCs w:val="28"/>
        </w:rPr>
        <w:t>B</w:t>
      </w:r>
    </w:p>
    <w:p w14:paraId="2F58C121" w14:textId="7AF5DCE9" w:rsidR="001D7CB6" w:rsidRDefault="001D7CB6" w:rsidP="00272641">
      <w:pPr>
        <w:spacing w:after="0"/>
        <w:jc w:val="center"/>
        <w:rPr>
          <w:b/>
        </w:rPr>
      </w:pPr>
      <w:r>
        <w:rPr>
          <w:b/>
        </w:rPr>
        <w:t>Dependent Variable Measurement: ODA Bilateral Aid Committed</w:t>
      </w:r>
    </w:p>
    <w:p w14:paraId="65609C3C" w14:textId="77777777" w:rsidR="006517B2" w:rsidRDefault="006517B2" w:rsidP="00272641">
      <w:pPr>
        <w:spacing w:after="0"/>
        <w:jc w:val="both"/>
        <w:rPr>
          <w:b/>
        </w:rPr>
      </w:pPr>
    </w:p>
    <w:p w14:paraId="1C5E1EA7" w14:textId="77777777" w:rsidR="006517B2" w:rsidRDefault="006517B2" w:rsidP="00272641">
      <w:pPr>
        <w:spacing w:after="0"/>
        <w:jc w:val="both"/>
        <w:rPr>
          <w:b/>
        </w:rPr>
      </w:pPr>
    </w:p>
    <w:p w14:paraId="61CAB951" w14:textId="77777777" w:rsidR="006517B2" w:rsidRDefault="006517B2" w:rsidP="00272641">
      <w:pPr>
        <w:spacing w:after="0"/>
        <w:jc w:val="both"/>
        <w:rPr>
          <w:b/>
        </w:rPr>
      </w:pPr>
    </w:p>
    <w:p w14:paraId="598E6AA7" w14:textId="7BB62ADA" w:rsidR="00C24B57" w:rsidRDefault="00C24B57" w:rsidP="00272641">
      <w:pPr>
        <w:spacing w:after="0" w:line="480" w:lineRule="auto"/>
        <w:ind w:firstLine="720"/>
        <w:jc w:val="both"/>
      </w:pPr>
      <w:r>
        <w:t>The DAC database lists Official Development Assistance (ODA) from donor countries to recipient countries. Specifically this includes assistance “(i) provided by official agencies, including state and local governments, or by their executive agencies; and (ii) each transaction of which: (a) is administered with the promotion of the economic development and welfare of developing countries as its main objective; and (b) is concessional in character and conveys a grant element of at least 25 per cent (calculated at a rate of discount of 10 per cent).</w:t>
      </w:r>
      <w:r w:rsidR="001D7CB6">
        <w:t>”</w:t>
      </w:r>
      <w:r>
        <w:rPr>
          <w:rStyle w:val="FootnoteReference"/>
        </w:rPr>
        <w:footnoteReference w:id="209"/>
      </w:r>
      <w:r w:rsidR="001D7CB6">
        <w:t xml:space="preserve"> However, ODA does not include bilateral or multilateral spending in the form of military, peacekeeping, social/cultural programs (museums, spor</w:t>
      </w:r>
      <w:r w:rsidR="0060524F">
        <w:t xml:space="preserve">t training facilities, etc.), anti-terrorism activities, and some forms of nuclear energy and research activities. </w:t>
      </w:r>
      <w:r w:rsidR="00912951">
        <w:t xml:space="preserve">ODA flows are measured in the form of cash or commodities and services; however, loans for less than a year are not counted in aid flows. </w:t>
      </w:r>
      <w:r w:rsidR="001D7CB6">
        <w:t xml:space="preserve"> </w:t>
      </w:r>
    </w:p>
    <w:p w14:paraId="2301FDB8" w14:textId="77777777" w:rsidR="00C24B57" w:rsidRDefault="00C24B57" w:rsidP="00272641">
      <w:pPr>
        <w:spacing w:after="0" w:line="480" w:lineRule="auto"/>
        <w:jc w:val="both"/>
        <w:rPr>
          <w:b/>
        </w:rPr>
      </w:pPr>
    </w:p>
    <w:p w14:paraId="010E4E64" w14:textId="77777777" w:rsidR="00950556" w:rsidRDefault="00950556" w:rsidP="00272641">
      <w:pPr>
        <w:jc w:val="both"/>
        <w:rPr>
          <w:b/>
        </w:rPr>
      </w:pPr>
      <w:r>
        <w:rPr>
          <w:b/>
        </w:rPr>
        <w:br w:type="page"/>
      </w:r>
    </w:p>
    <w:p w14:paraId="1662B00A" w14:textId="3FA57AB9" w:rsidR="00950556" w:rsidRPr="006517B2" w:rsidRDefault="00950556" w:rsidP="00272641">
      <w:pPr>
        <w:spacing w:after="0"/>
        <w:jc w:val="center"/>
        <w:rPr>
          <w:b/>
          <w:sz w:val="28"/>
          <w:szCs w:val="28"/>
        </w:rPr>
      </w:pPr>
      <w:r w:rsidRPr="006517B2">
        <w:rPr>
          <w:b/>
          <w:sz w:val="28"/>
          <w:szCs w:val="28"/>
        </w:rPr>
        <w:t xml:space="preserve">Appendix </w:t>
      </w:r>
      <w:r w:rsidR="00A83691">
        <w:rPr>
          <w:b/>
          <w:sz w:val="28"/>
          <w:szCs w:val="28"/>
        </w:rPr>
        <w:t>C</w:t>
      </w:r>
    </w:p>
    <w:p w14:paraId="28D9B1D6" w14:textId="4DF20FE8" w:rsidR="00A85FFD" w:rsidRDefault="00A85FFD" w:rsidP="00272641">
      <w:pPr>
        <w:spacing w:after="0"/>
        <w:jc w:val="center"/>
        <w:rPr>
          <w:b/>
        </w:rPr>
      </w:pPr>
      <w:r>
        <w:rPr>
          <w:b/>
        </w:rPr>
        <w:t>Sources of Data</w:t>
      </w:r>
    </w:p>
    <w:p w14:paraId="393451A9" w14:textId="77777777" w:rsidR="006517B2" w:rsidRDefault="006517B2" w:rsidP="00272641">
      <w:pPr>
        <w:spacing w:after="0"/>
        <w:jc w:val="center"/>
        <w:rPr>
          <w:b/>
        </w:rPr>
      </w:pPr>
    </w:p>
    <w:p w14:paraId="6B642D44" w14:textId="77777777" w:rsidR="00FE1BEE" w:rsidRDefault="00FE1BEE" w:rsidP="00272641">
      <w:pPr>
        <w:spacing w:after="0"/>
        <w:jc w:val="center"/>
        <w:rPr>
          <w:b/>
        </w:rPr>
      </w:pPr>
    </w:p>
    <w:p w14:paraId="5A591D8F" w14:textId="280FF55F" w:rsidR="00950556" w:rsidRDefault="009503B1" w:rsidP="00272641">
      <w:pPr>
        <w:spacing w:after="0"/>
        <w:jc w:val="both"/>
      </w:pPr>
      <w:r w:rsidRPr="002F7E74">
        <w:t xml:space="preserve">Table </w:t>
      </w:r>
      <w:r w:rsidR="00A83691" w:rsidRPr="002F7E74">
        <w:t>C</w:t>
      </w:r>
      <w:r w:rsidRPr="002F7E74">
        <w:t>.1.</w:t>
      </w:r>
      <w:r w:rsidR="00FE1BEE" w:rsidRPr="002F7E74">
        <w:t xml:space="preserve"> Summary of data</w:t>
      </w:r>
    </w:p>
    <w:p w14:paraId="58999DB5" w14:textId="77777777" w:rsidR="002F7E74" w:rsidRPr="002F7E74" w:rsidRDefault="002F7E74" w:rsidP="00272641">
      <w:pPr>
        <w:spacing w:after="0"/>
        <w:jc w:val="both"/>
      </w:pPr>
    </w:p>
    <w:tbl>
      <w:tblPr>
        <w:tblW w:w="8475" w:type="dxa"/>
        <w:tblInd w:w="93" w:type="dxa"/>
        <w:tblLayout w:type="fixed"/>
        <w:tblLook w:val="04A0" w:firstRow="1" w:lastRow="0" w:firstColumn="1" w:lastColumn="0" w:noHBand="0" w:noVBand="1"/>
      </w:tblPr>
      <w:tblGrid>
        <w:gridCol w:w="1635"/>
        <w:gridCol w:w="2790"/>
        <w:gridCol w:w="4050"/>
      </w:tblGrid>
      <w:tr w:rsidR="005A6E82" w:rsidRPr="005A6E82" w14:paraId="28071806" w14:textId="77777777" w:rsidTr="002F7E74">
        <w:trPr>
          <w:trHeight w:val="300"/>
        </w:trPr>
        <w:tc>
          <w:tcPr>
            <w:tcW w:w="1635" w:type="dxa"/>
            <w:tcBorders>
              <w:left w:val="nil"/>
              <w:bottom w:val="single" w:sz="4" w:space="0" w:color="auto"/>
              <w:right w:val="nil"/>
            </w:tcBorders>
            <w:shd w:val="clear" w:color="auto" w:fill="auto"/>
            <w:vAlign w:val="center"/>
            <w:hideMark/>
          </w:tcPr>
          <w:p w14:paraId="4F3F3E24" w14:textId="77777777" w:rsidR="005A6E82" w:rsidRPr="00FE1BEE" w:rsidRDefault="005A6E82" w:rsidP="00FE1BEE">
            <w:pPr>
              <w:spacing w:after="0"/>
              <w:jc w:val="center"/>
              <w:rPr>
                <w:rFonts w:eastAsia="Times New Roman" w:cs="Times New Roman"/>
                <w:b/>
                <w:color w:val="000000"/>
                <w:lang w:eastAsia="en-US"/>
              </w:rPr>
            </w:pPr>
            <w:bookmarkStart w:id="2" w:name="RANGE!A1:C28"/>
            <w:r w:rsidRPr="00FE1BEE">
              <w:rPr>
                <w:rFonts w:eastAsia="Times New Roman" w:cs="Times New Roman"/>
                <w:b/>
                <w:color w:val="000000"/>
                <w:lang w:eastAsia="en-US"/>
              </w:rPr>
              <w:t>Variable</w:t>
            </w:r>
            <w:bookmarkEnd w:id="2"/>
          </w:p>
        </w:tc>
        <w:tc>
          <w:tcPr>
            <w:tcW w:w="2790" w:type="dxa"/>
            <w:tcBorders>
              <w:left w:val="nil"/>
              <w:bottom w:val="single" w:sz="4" w:space="0" w:color="auto"/>
              <w:right w:val="nil"/>
            </w:tcBorders>
            <w:shd w:val="clear" w:color="auto" w:fill="auto"/>
            <w:vAlign w:val="center"/>
            <w:hideMark/>
          </w:tcPr>
          <w:p w14:paraId="483FDB19" w14:textId="77777777" w:rsidR="005A6E82" w:rsidRPr="00FE1BEE" w:rsidRDefault="005A6E82" w:rsidP="00FE1BEE">
            <w:pPr>
              <w:spacing w:after="0"/>
              <w:jc w:val="center"/>
              <w:rPr>
                <w:rFonts w:eastAsia="Times New Roman" w:cs="Times New Roman"/>
                <w:b/>
                <w:color w:val="000000"/>
                <w:lang w:eastAsia="en-US"/>
              </w:rPr>
            </w:pPr>
            <w:r w:rsidRPr="00FE1BEE">
              <w:rPr>
                <w:rFonts w:eastAsia="Times New Roman" w:cs="Times New Roman"/>
                <w:b/>
                <w:color w:val="000000"/>
                <w:lang w:eastAsia="en-US"/>
              </w:rPr>
              <w:t>Description</w:t>
            </w:r>
          </w:p>
        </w:tc>
        <w:tc>
          <w:tcPr>
            <w:tcW w:w="4050" w:type="dxa"/>
            <w:tcBorders>
              <w:left w:val="nil"/>
              <w:bottom w:val="single" w:sz="4" w:space="0" w:color="auto"/>
              <w:right w:val="nil"/>
            </w:tcBorders>
            <w:shd w:val="clear" w:color="auto" w:fill="auto"/>
            <w:vAlign w:val="center"/>
            <w:hideMark/>
          </w:tcPr>
          <w:p w14:paraId="54C516C3" w14:textId="77777777" w:rsidR="005A6E82" w:rsidRPr="00FE1BEE" w:rsidRDefault="005A6E82" w:rsidP="00FE1BEE">
            <w:pPr>
              <w:spacing w:after="0"/>
              <w:jc w:val="center"/>
              <w:rPr>
                <w:rFonts w:eastAsia="Times New Roman" w:cs="Times New Roman"/>
                <w:b/>
                <w:color w:val="000000"/>
                <w:lang w:eastAsia="en-US"/>
              </w:rPr>
            </w:pPr>
            <w:r w:rsidRPr="00FE1BEE">
              <w:rPr>
                <w:rFonts w:eastAsia="Times New Roman" w:cs="Times New Roman"/>
                <w:b/>
                <w:color w:val="000000"/>
                <w:lang w:eastAsia="en-US"/>
              </w:rPr>
              <w:t>Source</w:t>
            </w:r>
          </w:p>
        </w:tc>
      </w:tr>
      <w:tr w:rsidR="005A6E82" w:rsidRPr="005A6E82" w14:paraId="6C2160E9" w14:textId="77777777" w:rsidTr="00C61E98">
        <w:trPr>
          <w:trHeight w:val="1133"/>
        </w:trPr>
        <w:tc>
          <w:tcPr>
            <w:tcW w:w="1635" w:type="dxa"/>
            <w:tcBorders>
              <w:top w:val="single" w:sz="4" w:space="0" w:color="auto"/>
              <w:left w:val="nil"/>
              <w:bottom w:val="nil"/>
              <w:right w:val="nil"/>
            </w:tcBorders>
            <w:shd w:val="clear" w:color="auto" w:fill="auto"/>
            <w:vAlign w:val="center"/>
            <w:hideMark/>
          </w:tcPr>
          <w:p w14:paraId="33316836" w14:textId="77777777" w:rsidR="005A6E82" w:rsidRPr="005A6E82" w:rsidRDefault="005A6E82" w:rsidP="00330BA8">
            <w:pPr>
              <w:jc w:val="both"/>
              <w:rPr>
                <w:rFonts w:eastAsia="Times New Roman" w:cs="Times New Roman"/>
                <w:color w:val="000000"/>
                <w:lang w:eastAsia="en-US"/>
              </w:rPr>
            </w:pPr>
            <w:r w:rsidRPr="002A5FCC">
              <w:rPr>
                <w:rFonts w:eastAsia="Times New Roman" w:cs="Times New Roman"/>
                <w:color w:val="000000"/>
                <w:lang w:eastAsia="en-US"/>
              </w:rPr>
              <w:t>age of regime</w:t>
            </w:r>
          </w:p>
        </w:tc>
        <w:tc>
          <w:tcPr>
            <w:tcW w:w="2790" w:type="dxa"/>
            <w:tcBorders>
              <w:top w:val="single" w:sz="4" w:space="0" w:color="auto"/>
              <w:left w:val="nil"/>
              <w:bottom w:val="nil"/>
              <w:right w:val="nil"/>
            </w:tcBorders>
            <w:shd w:val="clear" w:color="auto" w:fill="auto"/>
            <w:vAlign w:val="center"/>
            <w:hideMark/>
          </w:tcPr>
          <w:p w14:paraId="0977A4C8" w14:textId="5A08EE25" w:rsidR="005A6E82" w:rsidRPr="005A6E82" w:rsidRDefault="00330BA8" w:rsidP="00330BA8">
            <w:pPr>
              <w:jc w:val="both"/>
              <w:rPr>
                <w:rFonts w:eastAsia="Times New Roman" w:cs="Times New Roman"/>
                <w:color w:val="000000"/>
                <w:lang w:eastAsia="en-US"/>
              </w:rPr>
            </w:pPr>
            <w:r>
              <w:rPr>
                <w:rFonts w:eastAsia="Times New Roman" w:cs="Times New Roman"/>
                <w:color w:val="000000"/>
                <w:lang w:eastAsia="en-US"/>
              </w:rPr>
              <w:t>Number of years a current regime has been in place.</w:t>
            </w:r>
          </w:p>
        </w:tc>
        <w:tc>
          <w:tcPr>
            <w:tcW w:w="4050" w:type="dxa"/>
            <w:tcBorders>
              <w:top w:val="single" w:sz="4" w:space="0" w:color="auto"/>
              <w:left w:val="nil"/>
              <w:bottom w:val="nil"/>
              <w:right w:val="nil"/>
            </w:tcBorders>
            <w:shd w:val="clear" w:color="auto" w:fill="auto"/>
            <w:vAlign w:val="center"/>
            <w:hideMark/>
          </w:tcPr>
          <w:p w14:paraId="4DF932DF" w14:textId="4D23B13B" w:rsidR="005A6E82" w:rsidRPr="002A5FCC" w:rsidRDefault="002A5FCC" w:rsidP="00330BA8">
            <w:pPr>
              <w:jc w:val="both"/>
              <w:rPr>
                <w:rFonts w:eastAsia="Times New Roman" w:cs="Times New Roman"/>
                <w:color w:val="000000"/>
                <w:lang w:eastAsia="en-US"/>
              </w:rPr>
            </w:pPr>
            <w:r>
              <w:rPr>
                <w:rFonts w:eastAsia="Times New Roman" w:cs="Times New Roman"/>
                <w:color w:val="000000"/>
                <w:lang w:eastAsia="en-US"/>
              </w:rPr>
              <w:t xml:space="preserve">Cheibub, José Antionio, Jennifer Gandhi, and James Raymond Vreeland. “Democracy-Dictatorship (DD) Data.” </w:t>
            </w:r>
            <w:r>
              <w:rPr>
                <w:rFonts w:eastAsia="Times New Roman" w:cs="Times New Roman"/>
                <w:i/>
                <w:color w:val="000000"/>
                <w:lang w:eastAsia="en-US"/>
              </w:rPr>
              <w:t xml:space="preserve">Public Choice </w:t>
            </w:r>
            <w:r>
              <w:rPr>
                <w:rFonts w:eastAsia="Times New Roman" w:cs="Times New Roman"/>
                <w:color w:val="000000"/>
                <w:lang w:eastAsia="en-US"/>
              </w:rPr>
              <w:t xml:space="preserve">142.2 (2010): 67-101. </w:t>
            </w:r>
          </w:p>
        </w:tc>
      </w:tr>
      <w:tr w:rsidR="005A6E82" w:rsidRPr="005A6E82" w14:paraId="429D0A0B" w14:textId="77777777" w:rsidTr="00C61E98">
        <w:trPr>
          <w:trHeight w:val="3078"/>
        </w:trPr>
        <w:tc>
          <w:tcPr>
            <w:tcW w:w="1635" w:type="dxa"/>
            <w:tcBorders>
              <w:top w:val="nil"/>
              <w:left w:val="nil"/>
              <w:bottom w:val="nil"/>
              <w:right w:val="nil"/>
            </w:tcBorders>
            <w:shd w:val="clear" w:color="auto" w:fill="auto"/>
            <w:vAlign w:val="center"/>
            <w:hideMark/>
          </w:tcPr>
          <w:p w14:paraId="578FCAEC" w14:textId="77777777" w:rsidR="005A6E82" w:rsidRPr="005A6E82" w:rsidRDefault="005A6E82" w:rsidP="00330BA8">
            <w:pPr>
              <w:jc w:val="both"/>
              <w:rPr>
                <w:rFonts w:eastAsia="Times New Roman" w:cs="Times New Roman"/>
                <w:color w:val="000000"/>
                <w:lang w:eastAsia="en-US"/>
              </w:rPr>
            </w:pPr>
            <w:r w:rsidRPr="005A6E82">
              <w:rPr>
                <w:rFonts w:eastAsia="Times New Roman" w:cs="Times New Roman"/>
                <w:color w:val="000000"/>
                <w:lang w:eastAsia="en-US"/>
              </w:rPr>
              <w:t>aid committed</w:t>
            </w:r>
          </w:p>
        </w:tc>
        <w:tc>
          <w:tcPr>
            <w:tcW w:w="2790" w:type="dxa"/>
            <w:tcBorders>
              <w:top w:val="nil"/>
              <w:left w:val="nil"/>
              <w:bottom w:val="nil"/>
              <w:right w:val="nil"/>
            </w:tcBorders>
            <w:shd w:val="clear" w:color="auto" w:fill="auto"/>
            <w:vAlign w:val="center"/>
            <w:hideMark/>
          </w:tcPr>
          <w:p w14:paraId="42689860" w14:textId="77777777" w:rsidR="005A6E82" w:rsidRPr="005A6E82" w:rsidRDefault="005A6E82" w:rsidP="00330BA8">
            <w:pPr>
              <w:jc w:val="both"/>
              <w:rPr>
                <w:rFonts w:eastAsia="Times New Roman" w:cs="Times New Roman"/>
                <w:color w:val="000000"/>
                <w:lang w:eastAsia="en-US"/>
              </w:rPr>
            </w:pPr>
            <w:r w:rsidRPr="005A6E82">
              <w:rPr>
                <w:rFonts w:eastAsia="Times New Roman" w:cs="Times New Roman"/>
                <w:color w:val="000000"/>
                <w:lang w:eastAsia="en-US"/>
              </w:rPr>
              <w:t>Amount of aid committed to recipient, 2009 USD</w:t>
            </w:r>
          </w:p>
        </w:tc>
        <w:tc>
          <w:tcPr>
            <w:tcW w:w="4050" w:type="dxa"/>
            <w:tcBorders>
              <w:top w:val="nil"/>
              <w:left w:val="nil"/>
              <w:bottom w:val="nil"/>
              <w:right w:val="nil"/>
            </w:tcBorders>
            <w:shd w:val="clear" w:color="auto" w:fill="auto"/>
            <w:vAlign w:val="center"/>
            <w:hideMark/>
          </w:tcPr>
          <w:p w14:paraId="41AA7025" w14:textId="6830FA9E" w:rsidR="005A6E82" w:rsidRPr="005A6E82" w:rsidRDefault="005A6E82" w:rsidP="00A632FD">
            <w:pPr>
              <w:jc w:val="both"/>
              <w:rPr>
                <w:rFonts w:eastAsia="Times New Roman" w:cs="Times New Roman"/>
                <w:color w:val="000000"/>
                <w:lang w:eastAsia="en-US"/>
              </w:rPr>
            </w:pPr>
            <w:r w:rsidRPr="005A6E82">
              <w:rPr>
                <w:rFonts w:eastAsia="Times New Roman" w:cs="Times New Roman"/>
                <w:color w:val="000000"/>
                <w:lang w:eastAsia="en-US"/>
              </w:rPr>
              <w:t xml:space="preserve">OECD. </w:t>
            </w:r>
            <w:r w:rsidR="00A632FD">
              <w:rPr>
                <w:rFonts w:eastAsia="Times New Roman" w:cs="Times New Roman"/>
                <w:color w:val="000000"/>
                <w:lang w:eastAsia="en-US"/>
              </w:rPr>
              <w:t>“</w:t>
            </w:r>
            <w:r w:rsidRPr="005A6E82">
              <w:rPr>
                <w:rFonts w:eastAsia="Times New Roman" w:cs="Times New Roman"/>
                <w:color w:val="000000"/>
                <w:lang w:eastAsia="en-US"/>
              </w:rPr>
              <w:t>Technical g</w:t>
            </w:r>
            <w:r w:rsidR="00A632FD">
              <w:rPr>
                <w:rFonts w:eastAsia="Times New Roman" w:cs="Times New Roman"/>
                <w:color w:val="000000"/>
                <w:lang w:eastAsia="en-US"/>
              </w:rPr>
              <w:t>uide to DAC statistics database.”</w:t>
            </w:r>
            <w:r w:rsidRPr="005A6E82">
              <w:rPr>
                <w:rFonts w:eastAsia="Times New Roman" w:cs="Times New Roman"/>
                <w:color w:val="000000"/>
                <w:lang w:eastAsia="en-US"/>
              </w:rPr>
              <w:t xml:space="preserve"> OECD aid statistics</w:t>
            </w:r>
            <w:r w:rsidR="00EA01B9">
              <w:rPr>
                <w:rFonts w:eastAsia="Times New Roman" w:cs="Times New Roman"/>
                <w:color w:val="000000"/>
                <w:lang w:eastAsia="en-US"/>
              </w:rPr>
              <w:t xml:space="preserve"> 2014</w:t>
            </w:r>
            <w:r w:rsidR="00C07D75">
              <w:rPr>
                <w:rFonts w:eastAsia="Times New Roman" w:cs="Times New Roman"/>
                <w:color w:val="000000"/>
                <w:lang w:eastAsia="en-US"/>
              </w:rPr>
              <w:t>. Accessed July 2014,</w:t>
            </w:r>
            <w:r w:rsidRPr="005A6E82">
              <w:rPr>
                <w:rFonts w:eastAsia="Times New Roman" w:cs="Times New Roman"/>
                <w:color w:val="000000"/>
                <w:lang w:eastAsia="en-US"/>
              </w:rPr>
              <w:t xml:space="preserve"> http://www.o</w:t>
            </w:r>
            <w:r w:rsidR="00C07D75">
              <w:rPr>
                <w:rFonts w:eastAsia="Times New Roman" w:cs="Times New Roman"/>
                <w:color w:val="000000"/>
                <w:lang w:eastAsia="en-US"/>
              </w:rPr>
              <w:t xml:space="preserve">ecd.org/dac/stats/dacguide.htm; </w:t>
            </w:r>
            <w:r w:rsidR="00EA01B9">
              <w:rPr>
                <w:rFonts w:eastAsia="Times New Roman" w:cs="Times New Roman"/>
                <w:color w:val="000000"/>
                <w:lang w:eastAsia="en-US"/>
              </w:rPr>
              <w:t>Tierney, Michael J.,</w:t>
            </w:r>
            <w:r w:rsidRPr="005A6E82">
              <w:rPr>
                <w:rFonts w:eastAsia="Times New Roman" w:cs="Times New Roman"/>
                <w:color w:val="000000"/>
                <w:lang w:eastAsia="en-US"/>
              </w:rPr>
              <w:t xml:space="preserve"> </w:t>
            </w:r>
            <w:r w:rsidR="00EA01B9">
              <w:rPr>
                <w:rFonts w:eastAsia="Times New Roman" w:cs="Times New Roman"/>
                <w:color w:val="000000"/>
                <w:lang w:eastAsia="en-US"/>
              </w:rPr>
              <w:t xml:space="preserve">Daniel L. Nielson, and Darren G. Hawkins. </w:t>
            </w:r>
            <w:r w:rsidRPr="005A6E82">
              <w:rPr>
                <w:rFonts w:eastAsia="Times New Roman" w:cs="Times New Roman"/>
                <w:color w:val="000000"/>
                <w:lang w:eastAsia="en-US"/>
              </w:rPr>
              <w:t xml:space="preserve"> </w:t>
            </w:r>
            <w:r w:rsidR="00A632FD">
              <w:rPr>
                <w:rFonts w:eastAsia="Times New Roman" w:cs="Times New Roman"/>
                <w:color w:val="000000"/>
                <w:lang w:eastAsia="en-US"/>
              </w:rPr>
              <w:t>“</w:t>
            </w:r>
            <w:r w:rsidRPr="005A6E82">
              <w:rPr>
                <w:rFonts w:eastAsia="Times New Roman" w:cs="Times New Roman"/>
                <w:color w:val="000000"/>
                <w:lang w:eastAsia="en-US"/>
              </w:rPr>
              <w:t>More dollars than sense: refining our knowledge of de</w:t>
            </w:r>
            <w:r w:rsidR="00A632FD">
              <w:rPr>
                <w:rFonts w:eastAsia="Times New Roman" w:cs="Times New Roman"/>
                <w:color w:val="000000"/>
                <w:lang w:eastAsia="en-US"/>
              </w:rPr>
              <w:t>velopment finance using AidData.”</w:t>
            </w:r>
            <w:r w:rsidRPr="005A6E82">
              <w:rPr>
                <w:rFonts w:eastAsia="Times New Roman" w:cs="Times New Roman"/>
                <w:color w:val="000000"/>
                <w:lang w:eastAsia="en-US"/>
              </w:rPr>
              <w:t xml:space="preserve"> </w:t>
            </w:r>
            <w:r w:rsidR="00EA01B9">
              <w:rPr>
                <w:rFonts w:eastAsia="Times New Roman" w:cs="Times New Roman"/>
                <w:i/>
                <w:iCs/>
                <w:color w:val="000000"/>
                <w:lang w:eastAsia="en-US"/>
              </w:rPr>
              <w:t>World Development</w:t>
            </w:r>
            <w:r w:rsidRPr="005A6E82">
              <w:rPr>
                <w:rFonts w:eastAsia="Times New Roman" w:cs="Times New Roman"/>
                <w:i/>
                <w:iCs/>
                <w:color w:val="000000"/>
                <w:lang w:eastAsia="en-US"/>
              </w:rPr>
              <w:t xml:space="preserve"> </w:t>
            </w:r>
            <w:r w:rsidR="00EA01B9">
              <w:rPr>
                <w:rFonts w:eastAsia="Times New Roman" w:cs="Times New Roman"/>
                <w:color w:val="000000"/>
                <w:lang w:eastAsia="en-US"/>
              </w:rPr>
              <w:t>39 (2011):</w:t>
            </w:r>
            <w:r w:rsidRPr="005A6E82">
              <w:rPr>
                <w:rFonts w:eastAsia="Times New Roman" w:cs="Times New Roman"/>
                <w:color w:val="000000"/>
                <w:lang w:eastAsia="en-US"/>
              </w:rPr>
              <w:t xml:space="preserve"> 1891-906. </w:t>
            </w:r>
          </w:p>
        </w:tc>
      </w:tr>
      <w:tr w:rsidR="005A6E82" w:rsidRPr="005A6E82" w14:paraId="60E47521" w14:textId="77777777" w:rsidTr="00C61E98">
        <w:trPr>
          <w:trHeight w:val="300"/>
        </w:trPr>
        <w:tc>
          <w:tcPr>
            <w:tcW w:w="1635" w:type="dxa"/>
            <w:tcBorders>
              <w:top w:val="nil"/>
              <w:left w:val="nil"/>
              <w:bottom w:val="nil"/>
              <w:right w:val="nil"/>
            </w:tcBorders>
            <w:shd w:val="clear" w:color="auto" w:fill="auto"/>
            <w:vAlign w:val="center"/>
            <w:hideMark/>
          </w:tcPr>
          <w:p w14:paraId="1D97103B"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CFA franc</w:t>
            </w:r>
          </w:p>
        </w:tc>
        <w:tc>
          <w:tcPr>
            <w:tcW w:w="2790" w:type="dxa"/>
            <w:tcBorders>
              <w:top w:val="nil"/>
              <w:left w:val="nil"/>
              <w:bottom w:val="nil"/>
              <w:right w:val="nil"/>
            </w:tcBorders>
            <w:shd w:val="clear" w:color="auto" w:fill="auto"/>
            <w:vAlign w:val="center"/>
            <w:hideMark/>
          </w:tcPr>
          <w:p w14:paraId="47565ECE" w14:textId="439481A0" w:rsidR="005A6E82" w:rsidRPr="005A6E82" w:rsidRDefault="00D82B72" w:rsidP="00272641">
            <w:pPr>
              <w:jc w:val="both"/>
              <w:rPr>
                <w:rFonts w:eastAsia="Times New Roman" w:cs="Times New Roman"/>
                <w:color w:val="000000"/>
                <w:lang w:eastAsia="en-US"/>
              </w:rPr>
            </w:pPr>
            <w:r>
              <w:rPr>
                <w:rFonts w:eastAsia="Times New Roman" w:cs="Times New Roman"/>
                <w:color w:val="000000"/>
                <w:lang w:eastAsia="en-US"/>
              </w:rPr>
              <w:t>Dummy variable by year; 1 if country was a member of the CFA franc zone</w:t>
            </w:r>
          </w:p>
        </w:tc>
        <w:tc>
          <w:tcPr>
            <w:tcW w:w="4050" w:type="dxa"/>
            <w:tcBorders>
              <w:top w:val="nil"/>
              <w:left w:val="nil"/>
              <w:bottom w:val="nil"/>
              <w:right w:val="nil"/>
            </w:tcBorders>
            <w:shd w:val="clear" w:color="auto" w:fill="auto"/>
            <w:vAlign w:val="center"/>
            <w:hideMark/>
          </w:tcPr>
          <w:p w14:paraId="577FE797" w14:textId="0DC60555" w:rsidR="005A6E82" w:rsidRPr="00950556" w:rsidRDefault="00B738EE" w:rsidP="00272641">
            <w:pPr>
              <w:jc w:val="both"/>
              <w:rPr>
                <w:rFonts w:eastAsia="Times New Roman" w:cs="Times New Roman"/>
                <w:color w:val="000000"/>
                <w:lang w:eastAsia="en-US"/>
              </w:rPr>
            </w:pPr>
            <w:r>
              <w:rPr>
                <w:rFonts w:eastAsia="Times New Roman" w:cs="Times New Roman"/>
                <w:color w:val="000000"/>
                <w:lang w:eastAsia="en-US"/>
              </w:rPr>
              <w:t xml:space="preserve">Hadjimichael, Michael T. and Michel Galy. “The CFA Franc Zone and the EMU.” </w:t>
            </w:r>
            <w:r>
              <w:rPr>
                <w:rFonts w:eastAsia="Times New Roman" w:cs="Times New Roman"/>
                <w:i/>
                <w:color w:val="000000"/>
                <w:lang w:eastAsia="en-US"/>
              </w:rPr>
              <w:t xml:space="preserve">IMF Working Paper WP/97/156 </w:t>
            </w:r>
            <w:r w:rsidR="00950556">
              <w:rPr>
                <w:rFonts w:eastAsia="Times New Roman" w:cs="Times New Roman"/>
                <w:color w:val="000000"/>
                <w:lang w:eastAsia="en-US"/>
              </w:rPr>
              <w:t xml:space="preserve">(1997). </w:t>
            </w:r>
          </w:p>
        </w:tc>
      </w:tr>
      <w:tr w:rsidR="005A6E82" w:rsidRPr="005A6E82" w14:paraId="34634108" w14:textId="77777777" w:rsidTr="00C61E98">
        <w:trPr>
          <w:trHeight w:val="300"/>
        </w:trPr>
        <w:tc>
          <w:tcPr>
            <w:tcW w:w="1635" w:type="dxa"/>
            <w:tcBorders>
              <w:top w:val="nil"/>
              <w:left w:val="nil"/>
              <w:bottom w:val="nil"/>
              <w:right w:val="nil"/>
            </w:tcBorders>
            <w:shd w:val="clear" w:color="auto" w:fill="auto"/>
            <w:vAlign w:val="center"/>
            <w:hideMark/>
          </w:tcPr>
          <w:p w14:paraId="376E54B2"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colony</w:t>
            </w:r>
          </w:p>
        </w:tc>
        <w:tc>
          <w:tcPr>
            <w:tcW w:w="2790" w:type="dxa"/>
            <w:tcBorders>
              <w:top w:val="nil"/>
              <w:left w:val="nil"/>
              <w:bottom w:val="nil"/>
              <w:right w:val="nil"/>
            </w:tcBorders>
            <w:shd w:val="clear" w:color="auto" w:fill="auto"/>
            <w:vAlign w:val="center"/>
            <w:hideMark/>
          </w:tcPr>
          <w:p w14:paraId="1EB4051C" w14:textId="4DF7CDB2" w:rsidR="005A6E82" w:rsidRPr="005A6E82" w:rsidRDefault="00D82B72" w:rsidP="00272641">
            <w:pPr>
              <w:jc w:val="both"/>
              <w:rPr>
                <w:rFonts w:eastAsia="Times New Roman" w:cs="Times New Roman"/>
                <w:color w:val="000000"/>
                <w:lang w:eastAsia="en-US"/>
              </w:rPr>
            </w:pPr>
            <w:r>
              <w:rPr>
                <w:rFonts w:eastAsia="Times New Roman" w:cs="Times New Roman"/>
                <w:color w:val="000000"/>
                <w:lang w:eastAsia="en-US"/>
              </w:rPr>
              <w:t>D</w:t>
            </w:r>
            <w:r w:rsidR="00B013B9">
              <w:rPr>
                <w:rFonts w:eastAsia="Times New Roman" w:cs="Times New Roman"/>
                <w:color w:val="000000"/>
                <w:lang w:eastAsia="en-US"/>
              </w:rPr>
              <w:t>ummy variable; 1 if regional status was French colony, 0 otherwise</w:t>
            </w:r>
          </w:p>
        </w:tc>
        <w:tc>
          <w:tcPr>
            <w:tcW w:w="4050" w:type="dxa"/>
            <w:tcBorders>
              <w:top w:val="nil"/>
              <w:left w:val="nil"/>
              <w:bottom w:val="nil"/>
              <w:right w:val="nil"/>
            </w:tcBorders>
            <w:shd w:val="clear" w:color="auto" w:fill="auto"/>
            <w:vAlign w:val="center"/>
            <w:hideMark/>
          </w:tcPr>
          <w:p w14:paraId="7B34D1D8" w14:textId="50BB6D8C" w:rsidR="005A6E82" w:rsidRPr="005A6E82" w:rsidRDefault="00EA01B9" w:rsidP="00272641">
            <w:pPr>
              <w:jc w:val="both"/>
              <w:rPr>
                <w:rFonts w:eastAsia="Times New Roman" w:cs="Times New Roman"/>
                <w:color w:val="000000"/>
                <w:lang w:eastAsia="en-US"/>
              </w:rPr>
            </w:pPr>
            <w:r w:rsidRPr="00EA01B9">
              <w:t xml:space="preserve">Cooper, Frederick. </w:t>
            </w:r>
            <w:r w:rsidRPr="00EA01B9">
              <w:rPr>
                <w:i/>
              </w:rPr>
              <w:t xml:space="preserve">Citizenship between Empire and Nation: Remaking France and French Africa, 1945-1960. </w:t>
            </w:r>
            <w:r w:rsidRPr="00EA01B9">
              <w:t>Princeton: Princeton University Press, 2014.</w:t>
            </w:r>
            <w:r w:rsidR="00950556">
              <w:t xml:space="preserve"> </w:t>
            </w:r>
          </w:p>
        </w:tc>
      </w:tr>
      <w:tr w:rsidR="005A6E82" w:rsidRPr="005A6E82" w14:paraId="1A6C2401" w14:textId="77777777" w:rsidTr="00C61E98">
        <w:trPr>
          <w:trHeight w:val="300"/>
        </w:trPr>
        <w:tc>
          <w:tcPr>
            <w:tcW w:w="1635" w:type="dxa"/>
            <w:tcBorders>
              <w:top w:val="nil"/>
              <w:left w:val="nil"/>
              <w:bottom w:val="nil"/>
              <w:right w:val="nil"/>
            </w:tcBorders>
            <w:shd w:val="clear" w:color="auto" w:fill="auto"/>
            <w:vAlign w:val="center"/>
            <w:hideMark/>
          </w:tcPr>
          <w:p w14:paraId="5EC2A998" w14:textId="77777777" w:rsidR="005A6E82" w:rsidRPr="005A6E82" w:rsidRDefault="005A6E82" w:rsidP="00272641">
            <w:pPr>
              <w:jc w:val="both"/>
              <w:rPr>
                <w:rFonts w:eastAsia="Times New Roman" w:cs="Times New Roman"/>
                <w:color w:val="000000"/>
                <w:lang w:eastAsia="en-US"/>
              </w:rPr>
            </w:pPr>
            <w:r w:rsidRPr="002A5FCC">
              <w:rPr>
                <w:rFonts w:eastAsia="Times New Roman" w:cs="Times New Roman"/>
                <w:color w:val="000000"/>
                <w:lang w:eastAsia="en-US"/>
              </w:rPr>
              <w:t>democracy</w:t>
            </w:r>
          </w:p>
        </w:tc>
        <w:tc>
          <w:tcPr>
            <w:tcW w:w="2790" w:type="dxa"/>
            <w:tcBorders>
              <w:top w:val="nil"/>
              <w:left w:val="nil"/>
              <w:bottom w:val="nil"/>
              <w:right w:val="nil"/>
            </w:tcBorders>
            <w:shd w:val="clear" w:color="auto" w:fill="auto"/>
            <w:vAlign w:val="center"/>
            <w:hideMark/>
          </w:tcPr>
          <w:p w14:paraId="6CF11651" w14:textId="1CB33258" w:rsidR="005A6E82" w:rsidRPr="005A6E82" w:rsidRDefault="002A5FCC" w:rsidP="00272641">
            <w:pPr>
              <w:jc w:val="both"/>
              <w:rPr>
                <w:rFonts w:eastAsia="Times New Roman" w:cs="Times New Roman"/>
                <w:color w:val="000000"/>
                <w:lang w:eastAsia="en-US"/>
              </w:rPr>
            </w:pPr>
            <w:r>
              <w:rPr>
                <w:rFonts w:eastAsia="Times New Roman" w:cs="Times New Roman"/>
                <w:color w:val="000000"/>
                <w:lang w:eastAsia="en-US"/>
              </w:rPr>
              <w:t>Dummy variable: 1 if country is a democracy, 0 otherwise</w:t>
            </w:r>
          </w:p>
        </w:tc>
        <w:tc>
          <w:tcPr>
            <w:tcW w:w="4050" w:type="dxa"/>
            <w:tcBorders>
              <w:top w:val="nil"/>
              <w:left w:val="nil"/>
              <w:bottom w:val="nil"/>
              <w:right w:val="nil"/>
            </w:tcBorders>
            <w:shd w:val="clear" w:color="auto" w:fill="auto"/>
            <w:vAlign w:val="center"/>
            <w:hideMark/>
          </w:tcPr>
          <w:p w14:paraId="77F2030E" w14:textId="3363F4CD" w:rsidR="005A6E82" w:rsidRPr="005A6E82" w:rsidRDefault="002A5FCC" w:rsidP="00272641">
            <w:pPr>
              <w:jc w:val="both"/>
              <w:rPr>
                <w:rFonts w:eastAsia="Times New Roman" w:cs="Times New Roman"/>
                <w:color w:val="000000"/>
                <w:lang w:eastAsia="en-US"/>
              </w:rPr>
            </w:pPr>
            <w:r>
              <w:rPr>
                <w:rFonts w:eastAsia="Times New Roman" w:cs="Times New Roman"/>
                <w:color w:val="000000"/>
                <w:lang w:eastAsia="en-US"/>
              </w:rPr>
              <w:t xml:space="preserve">Cheibub, José Antionio, Jennifer Gandhi, and James Raymond Vreeland. “Democracy-Dictatorship (DD) Data.” </w:t>
            </w:r>
            <w:r>
              <w:rPr>
                <w:rFonts w:eastAsia="Times New Roman" w:cs="Times New Roman"/>
                <w:i/>
                <w:color w:val="000000"/>
                <w:lang w:eastAsia="en-US"/>
              </w:rPr>
              <w:t xml:space="preserve">Public Choice </w:t>
            </w:r>
            <w:r>
              <w:rPr>
                <w:rFonts w:eastAsia="Times New Roman" w:cs="Times New Roman"/>
                <w:color w:val="000000"/>
                <w:lang w:eastAsia="en-US"/>
              </w:rPr>
              <w:t>142.2 (2010): 67-101.</w:t>
            </w:r>
          </w:p>
        </w:tc>
      </w:tr>
      <w:tr w:rsidR="005A6E82" w:rsidRPr="005A6E82" w14:paraId="1C97D8CD" w14:textId="77777777" w:rsidTr="00C61E98">
        <w:trPr>
          <w:trHeight w:val="300"/>
        </w:trPr>
        <w:tc>
          <w:tcPr>
            <w:tcW w:w="1635" w:type="dxa"/>
            <w:tcBorders>
              <w:top w:val="nil"/>
              <w:left w:val="nil"/>
              <w:bottom w:val="nil"/>
              <w:right w:val="nil"/>
            </w:tcBorders>
            <w:shd w:val="clear" w:color="auto" w:fill="auto"/>
            <w:vAlign w:val="center"/>
            <w:hideMark/>
          </w:tcPr>
          <w:p w14:paraId="41ADEDD7"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department</w:t>
            </w:r>
          </w:p>
        </w:tc>
        <w:tc>
          <w:tcPr>
            <w:tcW w:w="2790" w:type="dxa"/>
            <w:tcBorders>
              <w:top w:val="nil"/>
              <w:left w:val="nil"/>
              <w:bottom w:val="nil"/>
              <w:right w:val="nil"/>
            </w:tcBorders>
            <w:shd w:val="clear" w:color="auto" w:fill="auto"/>
            <w:vAlign w:val="center"/>
            <w:hideMark/>
          </w:tcPr>
          <w:p w14:paraId="488A22C7" w14:textId="74B2F93D" w:rsidR="005A6E82" w:rsidRPr="005A6E82" w:rsidRDefault="00D82B72" w:rsidP="00272641">
            <w:pPr>
              <w:jc w:val="both"/>
              <w:rPr>
                <w:rFonts w:eastAsia="Times New Roman" w:cs="Times New Roman"/>
                <w:color w:val="000000"/>
                <w:lang w:eastAsia="en-US"/>
              </w:rPr>
            </w:pPr>
            <w:r>
              <w:rPr>
                <w:rFonts w:eastAsia="Times New Roman" w:cs="Times New Roman"/>
                <w:color w:val="000000"/>
                <w:lang w:eastAsia="en-US"/>
              </w:rPr>
              <w:t xml:space="preserve">Dummy </w:t>
            </w:r>
            <w:r w:rsidR="00B013B9">
              <w:rPr>
                <w:rFonts w:eastAsia="Times New Roman" w:cs="Times New Roman"/>
                <w:color w:val="000000"/>
                <w:lang w:eastAsia="en-US"/>
              </w:rPr>
              <w:t>variable; 1 if regional status was French department, 0 otherwise</w:t>
            </w:r>
          </w:p>
        </w:tc>
        <w:tc>
          <w:tcPr>
            <w:tcW w:w="4050" w:type="dxa"/>
            <w:tcBorders>
              <w:top w:val="nil"/>
              <w:left w:val="nil"/>
              <w:bottom w:val="nil"/>
              <w:right w:val="nil"/>
            </w:tcBorders>
            <w:shd w:val="clear" w:color="auto" w:fill="auto"/>
            <w:vAlign w:val="center"/>
            <w:hideMark/>
          </w:tcPr>
          <w:p w14:paraId="766505AE" w14:textId="72762DE1" w:rsidR="005A6E82" w:rsidRPr="005A6E82" w:rsidRDefault="008F1E79" w:rsidP="00272641">
            <w:pPr>
              <w:jc w:val="both"/>
              <w:rPr>
                <w:rFonts w:eastAsia="Times New Roman" w:cs="Times New Roman"/>
                <w:color w:val="000000"/>
                <w:lang w:eastAsia="en-US"/>
              </w:rPr>
            </w:pPr>
            <w:r w:rsidRPr="00EA01B9">
              <w:t xml:space="preserve">Cooper, Frederick. </w:t>
            </w:r>
            <w:r w:rsidRPr="00EA01B9">
              <w:rPr>
                <w:i/>
              </w:rPr>
              <w:t xml:space="preserve">Citizenship between Empire and Nation: Remaking France and French Africa, 1945-1960. </w:t>
            </w:r>
            <w:r w:rsidRPr="00EA01B9">
              <w:t>Princeton: Princeton University Press, 2014.</w:t>
            </w:r>
          </w:p>
        </w:tc>
      </w:tr>
      <w:tr w:rsidR="005A6E82" w:rsidRPr="005A6E82" w14:paraId="441A090B" w14:textId="77777777" w:rsidTr="00C61E98">
        <w:trPr>
          <w:trHeight w:val="1620"/>
        </w:trPr>
        <w:tc>
          <w:tcPr>
            <w:tcW w:w="1635" w:type="dxa"/>
            <w:tcBorders>
              <w:top w:val="nil"/>
              <w:left w:val="nil"/>
              <w:bottom w:val="nil"/>
              <w:right w:val="nil"/>
            </w:tcBorders>
            <w:shd w:val="clear" w:color="auto" w:fill="auto"/>
            <w:vAlign w:val="center"/>
            <w:hideMark/>
          </w:tcPr>
          <w:p w14:paraId="0864FC3B"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distance between capitals</w:t>
            </w:r>
          </w:p>
        </w:tc>
        <w:tc>
          <w:tcPr>
            <w:tcW w:w="2790" w:type="dxa"/>
            <w:tcBorders>
              <w:top w:val="nil"/>
              <w:left w:val="nil"/>
              <w:bottom w:val="nil"/>
              <w:right w:val="nil"/>
            </w:tcBorders>
            <w:shd w:val="clear" w:color="auto" w:fill="auto"/>
            <w:vAlign w:val="center"/>
            <w:hideMark/>
          </w:tcPr>
          <w:p w14:paraId="252D090D"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Simple distance between capitals (capitals, km)</w:t>
            </w:r>
          </w:p>
        </w:tc>
        <w:tc>
          <w:tcPr>
            <w:tcW w:w="4050" w:type="dxa"/>
            <w:tcBorders>
              <w:top w:val="nil"/>
              <w:left w:val="nil"/>
              <w:bottom w:val="nil"/>
              <w:right w:val="nil"/>
            </w:tcBorders>
            <w:shd w:val="clear" w:color="auto" w:fill="auto"/>
            <w:vAlign w:val="center"/>
            <w:hideMark/>
          </w:tcPr>
          <w:p w14:paraId="4BC0F23E" w14:textId="7D2AD9FE" w:rsidR="005A6E82" w:rsidRPr="009E103A" w:rsidRDefault="005352EC" w:rsidP="009E103A">
            <w:pPr>
              <w:jc w:val="both"/>
              <w:rPr>
                <w:rFonts w:eastAsia="Times New Roman" w:cs="Times New Roman"/>
                <w:color w:val="000000"/>
                <w:lang w:eastAsia="en-US"/>
              </w:rPr>
            </w:pPr>
            <w:r w:rsidRPr="009E103A">
              <w:rPr>
                <w:rFonts w:eastAsia="Times New Roman" w:cs="Times New Roman"/>
                <w:color w:val="000000"/>
                <w:lang w:eastAsia="en-US"/>
              </w:rPr>
              <w:t>Mayer, Theirry and Soledad Zignago.</w:t>
            </w:r>
            <w:r w:rsidR="005A6E82" w:rsidRPr="009E103A">
              <w:rPr>
                <w:rFonts w:eastAsia="Times New Roman" w:cs="Times New Roman"/>
                <w:color w:val="000000"/>
                <w:lang w:eastAsia="en-US"/>
              </w:rPr>
              <w:t xml:space="preserve"> </w:t>
            </w:r>
            <w:r w:rsidR="00A632FD">
              <w:rPr>
                <w:rFonts w:eastAsia="Times New Roman" w:cs="Times New Roman"/>
                <w:color w:val="000000"/>
                <w:lang w:eastAsia="en-US"/>
              </w:rPr>
              <w:t>“</w:t>
            </w:r>
            <w:r w:rsidR="005A6E82" w:rsidRPr="009E103A">
              <w:rPr>
                <w:rFonts w:eastAsia="Times New Roman" w:cs="Times New Roman"/>
                <w:color w:val="000000"/>
                <w:lang w:eastAsia="en-US"/>
              </w:rPr>
              <w:t xml:space="preserve">Notes on CEPII's </w:t>
            </w:r>
            <w:r w:rsidR="00A632FD">
              <w:rPr>
                <w:rFonts w:eastAsia="Times New Roman" w:cs="Times New Roman"/>
                <w:color w:val="000000"/>
                <w:lang w:eastAsia="en-US"/>
              </w:rPr>
              <w:t>Distances Measures: t</w:t>
            </w:r>
            <w:r w:rsidR="00A632FD" w:rsidRPr="009E103A">
              <w:rPr>
                <w:rFonts w:eastAsia="Times New Roman" w:cs="Times New Roman"/>
                <w:color w:val="000000"/>
                <w:lang w:eastAsia="en-US"/>
              </w:rPr>
              <w:t>he Geodist Database</w:t>
            </w:r>
            <w:r w:rsidR="00A632FD">
              <w:rPr>
                <w:rFonts w:eastAsia="Times New Roman" w:cs="Times New Roman"/>
                <w:color w:val="000000"/>
                <w:lang w:eastAsia="en-US"/>
              </w:rPr>
              <w:t xml:space="preserve">.” </w:t>
            </w:r>
            <w:r w:rsidR="00A632FD" w:rsidRPr="00A632FD">
              <w:rPr>
                <w:rFonts w:eastAsia="Times New Roman" w:cs="Times New Roman"/>
                <w:i/>
                <w:color w:val="000000"/>
                <w:lang w:eastAsia="en-US"/>
              </w:rPr>
              <w:t xml:space="preserve">CEPII Working Paper </w:t>
            </w:r>
            <w:r w:rsidR="00A632FD">
              <w:rPr>
                <w:rFonts w:eastAsia="Times New Roman" w:cs="Times New Roman"/>
                <w:color w:val="000000"/>
                <w:lang w:eastAsia="en-US"/>
              </w:rPr>
              <w:t>25. (2011).</w:t>
            </w:r>
            <w:r w:rsidR="005A6E82" w:rsidRPr="009E103A">
              <w:rPr>
                <w:rFonts w:eastAsia="Times New Roman" w:cs="Times New Roman"/>
                <w:color w:val="000000"/>
                <w:lang w:eastAsia="en-US"/>
              </w:rPr>
              <w:t xml:space="preserve"> Centre d'Etudes Prospectives et d'Informations Internationals, Paris. </w:t>
            </w:r>
          </w:p>
        </w:tc>
      </w:tr>
      <w:tr w:rsidR="005A6E82" w:rsidRPr="005A6E82" w14:paraId="10E5B881" w14:textId="77777777" w:rsidTr="00C61E98">
        <w:trPr>
          <w:trHeight w:val="1800"/>
        </w:trPr>
        <w:tc>
          <w:tcPr>
            <w:tcW w:w="1635" w:type="dxa"/>
            <w:tcBorders>
              <w:top w:val="nil"/>
              <w:left w:val="nil"/>
              <w:bottom w:val="nil"/>
              <w:right w:val="nil"/>
            </w:tcBorders>
            <w:shd w:val="clear" w:color="auto" w:fill="auto"/>
            <w:vAlign w:val="center"/>
            <w:hideMark/>
          </w:tcPr>
          <w:p w14:paraId="35D9C0A4"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external war</w:t>
            </w:r>
          </w:p>
        </w:tc>
        <w:tc>
          <w:tcPr>
            <w:tcW w:w="2790" w:type="dxa"/>
            <w:tcBorders>
              <w:top w:val="nil"/>
              <w:left w:val="nil"/>
              <w:bottom w:val="nil"/>
              <w:right w:val="nil"/>
            </w:tcBorders>
            <w:shd w:val="clear" w:color="auto" w:fill="auto"/>
            <w:vAlign w:val="center"/>
            <w:hideMark/>
          </w:tcPr>
          <w:p w14:paraId="7DC01EA7"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Recipient External War</w:t>
            </w:r>
          </w:p>
        </w:tc>
        <w:tc>
          <w:tcPr>
            <w:tcW w:w="4050" w:type="dxa"/>
            <w:tcBorders>
              <w:top w:val="nil"/>
              <w:left w:val="nil"/>
              <w:bottom w:val="nil"/>
              <w:right w:val="nil"/>
            </w:tcBorders>
            <w:shd w:val="clear" w:color="auto" w:fill="auto"/>
            <w:vAlign w:val="center"/>
            <w:hideMark/>
          </w:tcPr>
          <w:p w14:paraId="4E64ED05" w14:textId="3B92C59F" w:rsidR="005A6E82" w:rsidRPr="005A6E82" w:rsidRDefault="00A632FD" w:rsidP="00272641">
            <w:pPr>
              <w:jc w:val="both"/>
              <w:rPr>
                <w:rFonts w:eastAsia="Times New Roman" w:cs="Times New Roman"/>
                <w:color w:val="000000"/>
                <w:lang w:eastAsia="en-US"/>
              </w:rPr>
            </w:pPr>
            <w:r w:rsidRPr="005A6E82">
              <w:rPr>
                <w:rFonts w:eastAsia="Times New Roman" w:cs="Times New Roman"/>
                <w:color w:val="000000"/>
                <w:lang w:eastAsia="en-US"/>
              </w:rPr>
              <w:t>Barbieri, K</w:t>
            </w:r>
            <w:r>
              <w:rPr>
                <w:rFonts w:eastAsia="Times New Roman" w:cs="Times New Roman"/>
                <w:color w:val="000000"/>
                <w:lang w:eastAsia="en-US"/>
              </w:rPr>
              <w:t>atherine</w:t>
            </w:r>
            <w:r w:rsidRPr="005A6E82">
              <w:rPr>
                <w:rFonts w:eastAsia="Times New Roman" w:cs="Times New Roman"/>
                <w:color w:val="000000"/>
                <w:lang w:eastAsia="en-US"/>
              </w:rPr>
              <w:t xml:space="preserve"> and </w:t>
            </w:r>
            <w:r>
              <w:rPr>
                <w:rFonts w:eastAsia="Times New Roman" w:cs="Times New Roman"/>
                <w:color w:val="000000"/>
                <w:lang w:eastAsia="en-US"/>
              </w:rPr>
              <w:t xml:space="preserve">Omar Keshk. </w:t>
            </w:r>
            <w:r w:rsidRPr="005A6E82">
              <w:rPr>
                <w:rFonts w:eastAsia="Times New Roman" w:cs="Times New Roman"/>
                <w:color w:val="000000"/>
                <w:lang w:eastAsia="en-US"/>
              </w:rPr>
              <w:t xml:space="preserve"> </w:t>
            </w:r>
            <w:r w:rsidRPr="005A6E82">
              <w:rPr>
                <w:rFonts w:eastAsia="Times New Roman" w:cs="Times New Roman"/>
                <w:i/>
                <w:iCs/>
                <w:color w:val="000000"/>
                <w:lang w:eastAsia="en-US"/>
              </w:rPr>
              <w:t>Correlates of War Project Trade Data Set Codebook, Version 3.0</w:t>
            </w:r>
            <w:r>
              <w:rPr>
                <w:rFonts w:eastAsia="Times New Roman" w:cs="Times New Roman"/>
                <w:iCs/>
                <w:color w:val="000000"/>
                <w:lang w:eastAsia="en-US"/>
              </w:rPr>
              <w:t xml:space="preserve">. 2012. Accessed August 18, 2014. </w:t>
            </w:r>
            <w:r>
              <w:rPr>
                <w:rFonts w:eastAsia="Times New Roman" w:cs="Times New Roman"/>
                <w:color w:val="000000"/>
                <w:lang w:eastAsia="en-US"/>
              </w:rPr>
              <w:t>http://correlatesofwar.org.</w:t>
            </w:r>
          </w:p>
        </w:tc>
      </w:tr>
      <w:tr w:rsidR="005A6E82" w:rsidRPr="005A6E82" w14:paraId="44BE60A3" w14:textId="77777777" w:rsidTr="00C61E98">
        <w:trPr>
          <w:trHeight w:val="300"/>
        </w:trPr>
        <w:tc>
          <w:tcPr>
            <w:tcW w:w="1635" w:type="dxa"/>
            <w:tcBorders>
              <w:top w:val="nil"/>
              <w:left w:val="nil"/>
              <w:bottom w:val="nil"/>
              <w:right w:val="nil"/>
            </w:tcBorders>
            <w:shd w:val="clear" w:color="auto" w:fill="auto"/>
            <w:vAlign w:val="center"/>
            <w:hideMark/>
          </w:tcPr>
          <w:p w14:paraId="57E3DE9D"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French Assembly</w:t>
            </w:r>
          </w:p>
        </w:tc>
        <w:tc>
          <w:tcPr>
            <w:tcW w:w="2790" w:type="dxa"/>
            <w:tcBorders>
              <w:top w:val="nil"/>
              <w:left w:val="nil"/>
              <w:bottom w:val="nil"/>
              <w:right w:val="nil"/>
            </w:tcBorders>
            <w:shd w:val="clear" w:color="auto" w:fill="auto"/>
            <w:vAlign w:val="center"/>
            <w:hideMark/>
          </w:tcPr>
          <w:p w14:paraId="5BE01E40" w14:textId="23A4F176" w:rsidR="005A6E82" w:rsidRPr="005A6E82" w:rsidRDefault="00330BA8" w:rsidP="00272641">
            <w:pPr>
              <w:jc w:val="both"/>
              <w:rPr>
                <w:rFonts w:eastAsia="Times New Roman" w:cs="Times New Roman"/>
                <w:color w:val="000000"/>
                <w:lang w:eastAsia="en-US"/>
              </w:rPr>
            </w:pPr>
            <w:r>
              <w:rPr>
                <w:rFonts w:eastAsia="Times New Roman" w:cs="Times New Roman"/>
                <w:color w:val="000000"/>
                <w:lang w:eastAsia="en-US"/>
              </w:rPr>
              <w:t>If a head of state served on the French Assembly prior to independence</w:t>
            </w:r>
          </w:p>
        </w:tc>
        <w:tc>
          <w:tcPr>
            <w:tcW w:w="4050" w:type="dxa"/>
            <w:tcBorders>
              <w:top w:val="nil"/>
              <w:left w:val="nil"/>
              <w:bottom w:val="nil"/>
              <w:right w:val="nil"/>
            </w:tcBorders>
            <w:shd w:val="clear" w:color="auto" w:fill="auto"/>
            <w:vAlign w:val="center"/>
            <w:hideMark/>
          </w:tcPr>
          <w:p w14:paraId="3FF568B3" w14:textId="3ACAFC1C" w:rsidR="005A6E82" w:rsidRPr="005A6E82" w:rsidRDefault="008F1E79" w:rsidP="00272641">
            <w:pPr>
              <w:jc w:val="both"/>
              <w:rPr>
                <w:rFonts w:eastAsia="Times New Roman" w:cs="Times New Roman"/>
                <w:color w:val="000000"/>
                <w:lang w:eastAsia="en-US"/>
              </w:rPr>
            </w:pPr>
            <w:r w:rsidRPr="00EA01B9">
              <w:t xml:space="preserve">Cooper, Frederick. </w:t>
            </w:r>
            <w:r w:rsidRPr="00EA01B9">
              <w:rPr>
                <w:i/>
              </w:rPr>
              <w:t xml:space="preserve">Citizenship between Empire and Nation: Remaking France and French Africa, 1945-1960. </w:t>
            </w:r>
            <w:r w:rsidRPr="00EA01B9">
              <w:t>Princeton: Princeton University Press, 2014.</w:t>
            </w:r>
          </w:p>
        </w:tc>
      </w:tr>
      <w:tr w:rsidR="005A6E82" w:rsidRPr="005A6E82" w14:paraId="3DF3E450" w14:textId="77777777" w:rsidTr="00C61E98">
        <w:trPr>
          <w:trHeight w:val="1800"/>
        </w:trPr>
        <w:tc>
          <w:tcPr>
            <w:tcW w:w="1635" w:type="dxa"/>
            <w:tcBorders>
              <w:top w:val="nil"/>
              <w:left w:val="nil"/>
              <w:bottom w:val="nil"/>
              <w:right w:val="nil"/>
            </w:tcBorders>
            <w:shd w:val="clear" w:color="auto" w:fill="auto"/>
            <w:vAlign w:val="center"/>
            <w:hideMark/>
          </w:tcPr>
          <w:p w14:paraId="568E1D3D"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internal war</w:t>
            </w:r>
          </w:p>
        </w:tc>
        <w:tc>
          <w:tcPr>
            <w:tcW w:w="2790" w:type="dxa"/>
            <w:tcBorders>
              <w:top w:val="nil"/>
              <w:left w:val="nil"/>
              <w:bottom w:val="nil"/>
              <w:right w:val="nil"/>
            </w:tcBorders>
            <w:shd w:val="clear" w:color="auto" w:fill="auto"/>
            <w:vAlign w:val="center"/>
            <w:hideMark/>
          </w:tcPr>
          <w:p w14:paraId="250486B4"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Recipient Internal War</w:t>
            </w:r>
          </w:p>
        </w:tc>
        <w:tc>
          <w:tcPr>
            <w:tcW w:w="4050" w:type="dxa"/>
            <w:tcBorders>
              <w:top w:val="nil"/>
              <w:left w:val="nil"/>
              <w:bottom w:val="nil"/>
              <w:right w:val="nil"/>
            </w:tcBorders>
            <w:shd w:val="clear" w:color="auto" w:fill="auto"/>
            <w:vAlign w:val="center"/>
            <w:hideMark/>
          </w:tcPr>
          <w:p w14:paraId="39B05D31" w14:textId="2DD6228C" w:rsidR="005A6E82" w:rsidRPr="005A6E82" w:rsidRDefault="00EA01B9" w:rsidP="00C07D75">
            <w:pPr>
              <w:jc w:val="both"/>
              <w:rPr>
                <w:rFonts w:eastAsia="Times New Roman" w:cs="Times New Roman"/>
                <w:color w:val="000000"/>
                <w:lang w:eastAsia="en-US"/>
              </w:rPr>
            </w:pPr>
            <w:r w:rsidRPr="005A6E82">
              <w:rPr>
                <w:rFonts w:eastAsia="Times New Roman" w:cs="Times New Roman"/>
                <w:color w:val="000000"/>
                <w:lang w:eastAsia="en-US"/>
              </w:rPr>
              <w:t>Barbieri, K</w:t>
            </w:r>
            <w:r>
              <w:rPr>
                <w:rFonts w:eastAsia="Times New Roman" w:cs="Times New Roman"/>
                <w:color w:val="000000"/>
                <w:lang w:eastAsia="en-US"/>
              </w:rPr>
              <w:t>atherine</w:t>
            </w:r>
            <w:r w:rsidRPr="005A6E82">
              <w:rPr>
                <w:rFonts w:eastAsia="Times New Roman" w:cs="Times New Roman"/>
                <w:color w:val="000000"/>
                <w:lang w:eastAsia="en-US"/>
              </w:rPr>
              <w:t xml:space="preserve"> and </w:t>
            </w:r>
            <w:r>
              <w:rPr>
                <w:rFonts w:eastAsia="Times New Roman" w:cs="Times New Roman"/>
                <w:color w:val="000000"/>
                <w:lang w:eastAsia="en-US"/>
              </w:rPr>
              <w:t xml:space="preserve">Omar Keshk. </w:t>
            </w:r>
            <w:r w:rsidRPr="005A6E82">
              <w:rPr>
                <w:rFonts w:eastAsia="Times New Roman" w:cs="Times New Roman"/>
                <w:color w:val="000000"/>
                <w:lang w:eastAsia="en-US"/>
              </w:rPr>
              <w:t xml:space="preserve"> </w:t>
            </w:r>
            <w:r w:rsidRPr="005A6E82">
              <w:rPr>
                <w:rFonts w:eastAsia="Times New Roman" w:cs="Times New Roman"/>
                <w:i/>
                <w:iCs/>
                <w:color w:val="000000"/>
                <w:lang w:eastAsia="en-US"/>
              </w:rPr>
              <w:t>Correlates of War Project Trade Data Set Codebook, Version 3.0</w:t>
            </w:r>
            <w:r w:rsidR="00C07D75">
              <w:rPr>
                <w:rFonts w:eastAsia="Times New Roman" w:cs="Times New Roman"/>
                <w:iCs/>
                <w:color w:val="000000"/>
                <w:lang w:eastAsia="en-US"/>
              </w:rPr>
              <w:t xml:space="preserve">. 2012. Accessed August 18, 2014. </w:t>
            </w:r>
            <w:r w:rsidR="00C07D75">
              <w:rPr>
                <w:rFonts w:eastAsia="Times New Roman" w:cs="Times New Roman"/>
                <w:color w:val="000000"/>
                <w:lang w:eastAsia="en-US"/>
              </w:rPr>
              <w:t>http://correlatesofwar.org.</w:t>
            </w:r>
          </w:p>
        </w:tc>
      </w:tr>
      <w:tr w:rsidR="005A6E82" w:rsidRPr="005A6E82" w14:paraId="2DA136C7" w14:textId="77777777" w:rsidTr="00C61E98">
        <w:trPr>
          <w:trHeight w:val="300"/>
        </w:trPr>
        <w:tc>
          <w:tcPr>
            <w:tcW w:w="1635" w:type="dxa"/>
            <w:tcBorders>
              <w:top w:val="nil"/>
              <w:left w:val="nil"/>
              <w:bottom w:val="nil"/>
              <w:right w:val="nil"/>
            </w:tcBorders>
            <w:shd w:val="clear" w:color="auto" w:fill="auto"/>
            <w:vAlign w:val="center"/>
            <w:hideMark/>
          </w:tcPr>
          <w:p w14:paraId="508A9DCA"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interventions</w:t>
            </w:r>
          </w:p>
        </w:tc>
        <w:tc>
          <w:tcPr>
            <w:tcW w:w="2790" w:type="dxa"/>
            <w:tcBorders>
              <w:top w:val="nil"/>
              <w:left w:val="nil"/>
              <w:bottom w:val="nil"/>
              <w:right w:val="nil"/>
            </w:tcBorders>
            <w:shd w:val="clear" w:color="auto" w:fill="auto"/>
            <w:vAlign w:val="center"/>
            <w:hideMark/>
          </w:tcPr>
          <w:p w14:paraId="70D42838" w14:textId="3F171B1A" w:rsidR="005A6E82" w:rsidRPr="005A6E82" w:rsidRDefault="00FC6BEF" w:rsidP="00272641">
            <w:pPr>
              <w:jc w:val="both"/>
              <w:rPr>
                <w:rFonts w:eastAsia="Times New Roman" w:cs="Times New Roman"/>
                <w:color w:val="000000"/>
                <w:lang w:eastAsia="en-US"/>
              </w:rPr>
            </w:pPr>
            <w:r>
              <w:rPr>
                <w:rFonts w:eastAsia="Times New Roman" w:cs="Times New Roman"/>
                <w:color w:val="000000"/>
                <w:lang w:eastAsia="en-US"/>
              </w:rPr>
              <w:t>Dummy variable by year; 1 if French troops were present in country, 0 otherwise</w:t>
            </w:r>
          </w:p>
        </w:tc>
        <w:tc>
          <w:tcPr>
            <w:tcW w:w="4050" w:type="dxa"/>
            <w:tcBorders>
              <w:top w:val="nil"/>
              <w:left w:val="nil"/>
              <w:bottom w:val="nil"/>
              <w:right w:val="nil"/>
            </w:tcBorders>
            <w:shd w:val="clear" w:color="auto" w:fill="auto"/>
            <w:vAlign w:val="center"/>
            <w:hideMark/>
          </w:tcPr>
          <w:p w14:paraId="1617E462" w14:textId="7869BAD6" w:rsidR="005A6E82" w:rsidRPr="00B738EE" w:rsidRDefault="00B738EE" w:rsidP="00272641">
            <w:pPr>
              <w:jc w:val="both"/>
              <w:rPr>
                <w:rFonts w:eastAsia="Times New Roman" w:cs="Times New Roman"/>
                <w:color w:val="000000"/>
                <w:lang w:eastAsia="en-US"/>
              </w:rPr>
            </w:pPr>
            <w:r>
              <w:rPr>
                <w:rFonts w:eastAsia="Times New Roman" w:cs="Times New Roman"/>
                <w:color w:val="000000"/>
                <w:lang w:eastAsia="en-US"/>
              </w:rPr>
              <w:t xml:space="preserve">Bender, Jeremy. “France’s Military is All Over Africa.” </w:t>
            </w:r>
            <w:r>
              <w:rPr>
                <w:rFonts w:eastAsia="Times New Roman" w:cs="Times New Roman"/>
                <w:i/>
                <w:color w:val="000000"/>
                <w:lang w:eastAsia="en-US"/>
              </w:rPr>
              <w:t xml:space="preserve">Business Insider. </w:t>
            </w:r>
            <w:r>
              <w:rPr>
                <w:rFonts w:eastAsia="Times New Roman" w:cs="Times New Roman"/>
                <w:color w:val="000000"/>
                <w:lang w:eastAsia="en-US"/>
              </w:rPr>
              <w:t xml:space="preserve">January 22, 2015, accessed April 1, 2017. </w:t>
            </w:r>
            <w:r w:rsidRPr="00B738EE">
              <w:rPr>
                <w:rFonts w:eastAsia="Times New Roman" w:cs="Times New Roman"/>
                <w:color w:val="000000"/>
                <w:lang w:eastAsia="en-US"/>
              </w:rPr>
              <w:t>http://www.businessinsider.com/frances-military-is-all-over-africa-2015-1</w:t>
            </w:r>
          </w:p>
        </w:tc>
      </w:tr>
      <w:tr w:rsidR="005A6E82" w:rsidRPr="005A6E82" w14:paraId="7017F48C" w14:textId="77777777" w:rsidTr="00C61E98">
        <w:trPr>
          <w:trHeight w:val="300"/>
        </w:trPr>
        <w:tc>
          <w:tcPr>
            <w:tcW w:w="1635" w:type="dxa"/>
            <w:tcBorders>
              <w:top w:val="nil"/>
              <w:left w:val="nil"/>
              <w:bottom w:val="nil"/>
              <w:right w:val="nil"/>
            </w:tcBorders>
            <w:shd w:val="clear" w:color="auto" w:fill="auto"/>
            <w:vAlign w:val="center"/>
            <w:hideMark/>
          </w:tcPr>
          <w:p w14:paraId="1CBF4C75" w14:textId="77777777" w:rsidR="005A6E82" w:rsidRPr="005A6E82" w:rsidRDefault="005A6E82" w:rsidP="00272641">
            <w:pPr>
              <w:jc w:val="both"/>
              <w:rPr>
                <w:rFonts w:eastAsia="Times New Roman" w:cs="Times New Roman"/>
                <w:i/>
                <w:iCs/>
                <w:color w:val="000000"/>
                <w:lang w:eastAsia="en-US"/>
              </w:rPr>
            </w:pPr>
            <w:r w:rsidRPr="005A6E82">
              <w:rPr>
                <w:rFonts w:eastAsia="Times New Roman" w:cs="Times New Roman"/>
                <w:i/>
                <w:iCs/>
                <w:color w:val="000000"/>
                <w:lang w:eastAsia="en-US"/>
              </w:rPr>
              <w:t xml:space="preserve">la Francophonie </w:t>
            </w:r>
          </w:p>
        </w:tc>
        <w:tc>
          <w:tcPr>
            <w:tcW w:w="2790" w:type="dxa"/>
            <w:tcBorders>
              <w:top w:val="nil"/>
              <w:left w:val="nil"/>
              <w:bottom w:val="nil"/>
              <w:right w:val="nil"/>
            </w:tcBorders>
            <w:shd w:val="clear" w:color="auto" w:fill="auto"/>
            <w:vAlign w:val="center"/>
            <w:hideMark/>
          </w:tcPr>
          <w:p w14:paraId="71E4E803" w14:textId="2855201C" w:rsidR="005A6E82" w:rsidRPr="005A6E82" w:rsidRDefault="00FC6BEF" w:rsidP="00272641">
            <w:pPr>
              <w:jc w:val="both"/>
              <w:rPr>
                <w:rFonts w:eastAsia="Times New Roman" w:cs="Times New Roman"/>
                <w:color w:val="000000"/>
                <w:lang w:eastAsia="en-US"/>
              </w:rPr>
            </w:pPr>
            <w:r>
              <w:rPr>
                <w:rFonts w:eastAsia="Times New Roman" w:cs="Times New Roman"/>
                <w:color w:val="000000"/>
                <w:lang w:eastAsia="en-US"/>
              </w:rPr>
              <w:t xml:space="preserve">Dummy variable by year; 1 if country was a member of </w:t>
            </w:r>
            <w:r>
              <w:rPr>
                <w:i/>
              </w:rPr>
              <w:t xml:space="preserve">Organization Internationale de la Francophonie </w:t>
            </w:r>
            <w:r>
              <w:t>(OIF), 0 otherwise</w:t>
            </w:r>
          </w:p>
        </w:tc>
        <w:tc>
          <w:tcPr>
            <w:tcW w:w="4050" w:type="dxa"/>
            <w:tcBorders>
              <w:top w:val="nil"/>
              <w:left w:val="nil"/>
              <w:bottom w:val="nil"/>
              <w:right w:val="nil"/>
            </w:tcBorders>
            <w:shd w:val="clear" w:color="auto" w:fill="auto"/>
            <w:vAlign w:val="center"/>
            <w:hideMark/>
          </w:tcPr>
          <w:p w14:paraId="75A5AE2D" w14:textId="3E8AD125" w:rsidR="005A6E82" w:rsidRPr="009E103A" w:rsidRDefault="009E103A" w:rsidP="00272641">
            <w:pPr>
              <w:jc w:val="both"/>
              <w:rPr>
                <w:rFonts w:cs="Times New Roman"/>
              </w:rPr>
            </w:pPr>
            <w:r w:rsidRPr="00D03F03">
              <w:rPr>
                <w:rFonts w:cs="Times New Roman"/>
              </w:rPr>
              <w:t xml:space="preserve">“Welcome to the International Organisation of La Francophonie’s Official Website.” </w:t>
            </w:r>
            <w:r w:rsidRPr="00D03F03">
              <w:rPr>
                <w:rFonts w:cs="Times New Roman"/>
                <w:i/>
              </w:rPr>
              <w:t xml:space="preserve">Organisation Internaitonale de la Francophonie. </w:t>
            </w:r>
            <w:r w:rsidRPr="00D03F03">
              <w:rPr>
                <w:rFonts w:cs="Times New Roman"/>
              </w:rPr>
              <w:t>Accessed April 14, 2017. http://www.francophonie.org/Welcome-to-the-International.html.</w:t>
            </w:r>
          </w:p>
        </w:tc>
      </w:tr>
      <w:tr w:rsidR="005A6E82" w:rsidRPr="005A6E82" w14:paraId="48FA6AE8" w14:textId="77777777" w:rsidTr="00C61E98">
        <w:trPr>
          <w:trHeight w:val="300"/>
        </w:trPr>
        <w:tc>
          <w:tcPr>
            <w:tcW w:w="1635" w:type="dxa"/>
            <w:tcBorders>
              <w:top w:val="nil"/>
              <w:left w:val="nil"/>
              <w:bottom w:val="nil"/>
              <w:right w:val="nil"/>
            </w:tcBorders>
            <w:shd w:val="clear" w:color="auto" w:fill="auto"/>
            <w:vAlign w:val="center"/>
            <w:hideMark/>
          </w:tcPr>
          <w:p w14:paraId="620D96F8" w14:textId="77777777" w:rsidR="005A6E82" w:rsidRPr="005A6E82" w:rsidRDefault="005A6E82" w:rsidP="00272641">
            <w:pPr>
              <w:jc w:val="both"/>
              <w:rPr>
                <w:rFonts w:eastAsia="Times New Roman" w:cs="Times New Roman"/>
                <w:color w:val="000000"/>
                <w:lang w:eastAsia="en-US"/>
              </w:rPr>
            </w:pPr>
            <w:r w:rsidRPr="00330BA8">
              <w:rPr>
                <w:rFonts w:eastAsia="Times New Roman" w:cs="Times New Roman"/>
                <w:color w:val="000000"/>
                <w:lang w:eastAsia="en-US"/>
              </w:rPr>
              <w:t>legal origins</w:t>
            </w:r>
          </w:p>
        </w:tc>
        <w:tc>
          <w:tcPr>
            <w:tcW w:w="2790" w:type="dxa"/>
            <w:tcBorders>
              <w:top w:val="nil"/>
              <w:left w:val="nil"/>
              <w:bottom w:val="nil"/>
              <w:right w:val="nil"/>
            </w:tcBorders>
            <w:shd w:val="clear" w:color="auto" w:fill="auto"/>
            <w:vAlign w:val="center"/>
            <w:hideMark/>
          </w:tcPr>
          <w:p w14:paraId="3E658887" w14:textId="49B18742" w:rsidR="00B013B9" w:rsidRPr="005A6E82" w:rsidRDefault="00FC6BEF" w:rsidP="00272641">
            <w:pPr>
              <w:jc w:val="both"/>
              <w:rPr>
                <w:rFonts w:eastAsia="Times New Roman" w:cs="Times New Roman"/>
                <w:color w:val="000000"/>
                <w:lang w:eastAsia="en-US"/>
              </w:rPr>
            </w:pPr>
            <w:r>
              <w:rPr>
                <w:rFonts w:eastAsia="Times New Roman" w:cs="Times New Roman"/>
                <w:color w:val="000000"/>
                <w:lang w:eastAsia="en-US"/>
              </w:rPr>
              <w:t>If the l</w:t>
            </w:r>
            <w:r w:rsidR="005A6E82" w:rsidRPr="005A6E82">
              <w:rPr>
                <w:rFonts w:eastAsia="Times New Roman" w:cs="Times New Roman"/>
                <w:color w:val="000000"/>
                <w:lang w:eastAsia="en-US"/>
              </w:rPr>
              <w:t>egal origins: French civil law</w:t>
            </w:r>
          </w:p>
        </w:tc>
        <w:tc>
          <w:tcPr>
            <w:tcW w:w="4050" w:type="dxa"/>
            <w:tcBorders>
              <w:top w:val="nil"/>
              <w:left w:val="nil"/>
              <w:bottom w:val="nil"/>
              <w:right w:val="nil"/>
            </w:tcBorders>
            <w:shd w:val="clear" w:color="auto" w:fill="auto"/>
            <w:vAlign w:val="center"/>
            <w:hideMark/>
          </w:tcPr>
          <w:p w14:paraId="5833741D" w14:textId="4652FD72" w:rsidR="005A6E82" w:rsidRPr="00330BA8" w:rsidRDefault="00330BA8" w:rsidP="00272641">
            <w:pPr>
              <w:jc w:val="both"/>
              <w:rPr>
                <w:rFonts w:eastAsia="Times New Roman" w:cs="Times New Roman"/>
                <w:color w:val="000000"/>
                <w:lang w:eastAsia="en-US"/>
              </w:rPr>
            </w:pPr>
            <w:r>
              <w:rPr>
                <w:rFonts w:eastAsia="Times New Roman" w:cs="Times New Roman"/>
                <w:color w:val="000000"/>
                <w:lang w:eastAsia="en-US"/>
              </w:rPr>
              <w:t xml:space="preserve">LaPorta, Rafael, Florencio Lopez-de-Silanes, and Andrei Shleifer. “The Economic Consequences of Legal Origines.” </w:t>
            </w:r>
            <w:r>
              <w:rPr>
                <w:rFonts w:eastAsia="Times New Roman" w:cs="Times New Roman"/>
                <w:i/>
                <w:color w:val="000000"/>
                <w:lang w:eastAsia="en-US"/>
              </w:rPr>
              <w:t xml:space="preserve">Journal of Economic Literature </w:t>
            </w:r>
            <w:r>
              <w:rPr>
                <w:rFonts w:eastAsia="Times New Roman" w:cs="Times New Roman"/>
                <w:color w:val="000000"/>
                <w:lang w:eastAsia="en-US"/>
              </w:rPr>
              <w:t>46.2 (2008): 285-332.</w:t>
            </w:r>
          </w:p>
        </w:tc>
      </w:tr>
      <w:tr w:rsidR="005A6E82" w:rsidRPr="005A6E82" w14:paraId="019BF62F" w14:textId="77777777" w:rsidTr="00C61E98">
        <w:trPr>
          <w:trHeight w:val="300"/>
        </w:trPr>
        <w:tc>
          <w:tcPr>
            <w:tcW w:w="1635" w:type="dxa"/>
            <w:tcBorders>
              <w:top w:val="nil"/>
              <w:left w:val="nil"/>
              <w:bottom w:val="nil"/>
              <w:right w:val="nil"/>
            </w:tcBorders>
            <w:shd w:val="clear" w:color="auto" w:fill="auto"/>
            <w:vAlign w:val="center"/>
            <w:hideMark/>
          </w:tcPr>
          <w:p w14:paraId="49E40F1C"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mandate</w:t>
            </w:r>
          </w:p>
        </w:tc>
        <w:tc>
          <w:tcPr>
            <w:tcW w:w="2790" w:type="dxa"/>
            <w:tcBorders>
              <w:top w:val="nil"/>
              <w:left w:val="nil"/>
              <w:bottom w:val="nil"/>
              <w:right w:val="nil"/>
            </w:tcBorders>
            <w:shd w:val="clear" w:color="auto" w:fill="auto"/>
            <w:vAlign w:val="center"/>
            <w:hideMark/>
          </w:tcPr>
          <w:p w14:paraId="4D24944A" w14:textId="41B37ABE" w:rsidR="005A6E82" w:rsidRPr="005A6E82" w:rsidRDefault="00D82B72" w:rsidP="00272641">
            <w:pPr>
              <w:jc w:val="both"/>
              <w:rPr>
                <w:rFonts w:eastAsia="Times New Roman" w:cs="Times New Roman"/>
                <w:color w:val="000000"/>
                <w:lang w:eastAsia="en-US"/>
              </w:rPr>
            </w:pPr>
            <w:r>
              <w:rPr>
                <w:rFonts w:eastAsia="Times New Roman" w:cs="Times New Roman"/>
                <w:color w:val="000000"/>
                <w:lang w:eastAsia="en-US"/>
              </w:rPr>
              <w:t>D</w:t>
            </w:r>
            <w:r w:rsidR="00B013B9">
              <w:rPr>
                <w:rFonts w:eastAsia="Times New Roman" w:cs="Times New Roman"/>
                <w:color w:val="000000"/>
                <w:lang w:eastAsia="en-US"/>
              </w:rPr>
              <w:t>ummy variable; 1 if regional status was French mandate, 0 otherwise</w:t>
            </w:r>
          </w:p>
        </w:tc>
        <w:tc>
          <w:tcPr>
            <w:tcW w:w="4050" w:type="dxa"/>
            <w:tcBorders>
              <w:top w:val="nil"/>
              <w:left w:val="nil"/>
              <w:bottom w:val="nil"/>
              <w:right w:val="nil"/>
            </w:tcBorders>
            <w:shd w:val="clear" w:color="auto" w:fill="auto"/>
            <w:vAlign w:val="center"/>
            <w:hideMark/>
          </w:tcPr>
          <w:p w14:paraId="0F59C309" w14:textId="3A8C0825" w:rsidR="005A6E82" w:rsidRPr="00EA01B9" w:rsidRDefault="00EA01B9" w:rsidP="00272641">
            <w:pPr>
              <w:jc w:val="both"/>
              <w:rPr>
                <w:rFonts w:eastAsia="Times New Roman" w:cs="Times New Roman"/>
                <w:color w:val="000000"/>
                <w:lang w:eastAsia="en-US"/>
              </w:rPr>
            </w:pPr>
            <w:r w:rsidRPr="00EA01B9">
              <w:t xml:space="preserve">Cooper, Frederick. </w:t>
            </w:r>
            <w:r w:rsidRPr="00EA01B9">
              <w:rPr>
                <w:i/>
              </w:rPr>
              <w:t xml:space="preserve">Citizenship between Empire and Nation: Remaking France and French Africa, 1945-1960. </w:t>
            </w:r>
            <w:r w:rsidRPr="00EA01B9">
              <w:t>Princeton: Princeton University Press, 2014.</w:t>
            </w:r>
          </w:p>
        </w:tc>
      </w:tr>
      <w:tr w:rsidR="005A6E82" w:rsidRPr="005A6E82" w14:paraId="48E1D79E" w14:textId="77777777" w:rsidTr="00C61E98">
        <w:trPr>
          <w:trHeight w:val="300"/>
        </w:trPr>
        <w:tc>
          <w:tcPr>
            <w:tcW w:w="1635" w:type="dxa"/>
            <w:tcBorders>
              <w:top w:val="nil"/>
              <w:left w:val="nil"/>
              <w:bottom w:val="nil"/>
              <w:right w:val="nil"/>
            </w:tcBorders>
            <w:shd w:val="clear" w:color="auto" w:fill="auto"/>
            <w:vAlign w:val="center"/>
            <w:hideMark/>
          </w:tcPr>
          <w:p w14:paraId="5740083E" w14:textId="77777777" w:rsidR="005A6E82" w:rsidRPr="005A6E82" w:rsidRDefault="005A6E82" w:rsidP="00272641">
            <w:pPr>
              <w:jc w:val="both"/>
              <w:rPr>
                <w:rFonts w:eastAsia="Times New Roman" w:cs="Times New Roman"/>
                <w:i/>
                <w:iCs/>
                <w:color w:val="000000"/>
                <w:lang w:eastAsia="en-US"/>
              </w:rPr>
            </w:pPr>
            <w:r w:rsidRPr="005A6E82">
              <w:rPr>
                <w:rFonts w:eastAsia="Times New Roman" w:cs="Times New Roman"/>
                <w:i/>
                <w:iCs/>
                <w:color w:val="000000"/>
                <w:lang w:eastAsia="en-US"/>
              </w:rPr>
              <w:t>métis</w:t>
            </w:r>
          </w:p>
        </w:tc>
        <w:tc>
          <w:tcPr>
            <w:tcW w:w="2790" w:type="dxa"/>
            <w:tcBorders>
              <w:top w:val="nil"/>
              <w:left w:val="nil"/>
              <w:bottom w:val="nil"/>
              <w:right w:val="nil"/>
            </w:tcBorders>
            <w:shd w:val="clear" w:color="auto" w:fill="auto"/>
            <w:vAlign w:val="center"/>
            <w:hideMark/>
          </w:tcPr>
          <w:p w14:paraId="4E8921F1" w14:textId="09A6367F" w:rsidR="005A6E82" w:rsidRPr="005A6E82" w:rsidRDefault="00EA01B9" w:rsidP="00272641">
            <w:pPr>
              <w:jc w:val="both"/>
              <w:rPr>
                <w:rFonts w:eastAsia="Times New Roman" w:cs="Times New Roman"/>
                <w:color w:val="000000"/>
                <w:lang w:eastAsia="en-US"/>
              </w:rPr>
            </w:pPr>
            <w:r>
              <w:rPr>
                <w:rFonts w:eastAsia="Times New Roman" w:cs="Times New Roman"/>
                <w:color w:val="000000"/>
                <w:lang w:eastAsia="en-US"/>
              </w:rPr>
              <w:t xml:space="preserve">Variable between 0 and 2 based on the number of </w:t>
            </w:r>
            <w:r>
              <w:rPr>
                <w:rFonts w:eastAsia="Times New Roman" w:cs="Times New Roman"/>
                <w:i/>
                <w:color w:val="000000"/>
                <w:lang w:eastAsia="en-US"/>
              </w:rPr>
              <w:t>métis</w:t>
            </w:r>
            <w:r>
              <w:rPr>
                <w:rFonts w:eastAsia="Times New Roman" w:cs="Times New Roman"/>
                <w:color w:val="000000"/>
                <w:lang w:eastAsia="en-US"/>
              </w:rPr>
              <w:t xml:space="preserve"> throughout the colonial period</w:t>
            </w:r>
          </w:p>
        </w:tc>
        <w:tc>
          <w:tcPr>
            <w:tcW w:w="4050" w:type="dxa"/>
            <w:tcBorders>
              <w:top w:val="nil"/>
              <w:left w:val="nil"/>
              <w:bottom w:val="nil"/>
              <w:right w:val="nil"/>
            </w:tcBorders>
            <w:shd w:val="clear" w:color="auto" w:fill="auto"/>
            <w:vAlign w:val="center"/>
            <w:hideMark/>
          </w:tcPr>
          <w:p w14:paraId="7DE803AC" w14:textId="5D40525B" w:rsidR="005A6E82" w:rsidRPr="00EA01B9" w:rsidRDefault="00EA01B9" w:rsidP="00272641">
            <w:pPr>
              <w:jc w:val="both"/>
              <w:rPr>
                <w:rFonts w:eastAsia="Times New Roman" w:cs="Times New Roman"/>
                <w:color w:val="000000"/>
                <w:lang w:eastAsia="en-US"/>
              </w:rPr>
            </w:pPr>
            <w:r>
              <w:rPr>
                <w:rFonts w:eastAsia="Times New Roman" w:cs="Times New Roman"/>
                <w:color w:val="000000"/>
                <w:lang w:eastAsia="en-US"/>
              </w:rPr>
              <w:t xml:space="preserve">Saada, Emmanuelle. </w:t>
            </w:r>
            <w:r>
              <w:rPr>
                <w:rFonts w:eastAsia="Times New Roman" w:cs="Times New Roman"/>
                <w:i/>
                <w:color w:val="000000"/>
                <w:lang w:eastAsia="en-US"/>
              </w:rPr>
              <w:t xml:space="preserve">Empire’s Children: Race, Filiation, and Citizenship in the French Colonies. </w:t>
            </w:r>
            <w:r>
              <w:rPr>
                <w:rFonts w:eastAsia="Times New Roman" w:cs="Times New Roman"/>
                <w:color w:val="000000"/>
                <w:lang w:eastAsia="en-US"/>
              </w:rPr>
              <w:t>Chicago: University of Chicago Press, 2012.</w:t>
            </w:r>
          </w:p>
        </w:tc>
      </w:tr>
      <w:tr w:rsidR="005A6E82" w:rsidRPr="005A6E82" w14:paraId="7CA096E6" w14:textId="77777777" w:rsidTr="00C61E98">
        <w:trPr>
          <w:trHeight w:val="300"/>
        </w:trPr>
        <w:tc>
          <w:tcPr>
            <w:tcW w:w="1635" w:type="dxa"/>
            <w:tcBorders>
              <w:top w:val="nil"/>
              <w:left w:val="nil"/>
              <w:bottom w:val="nil"/>
              <w:right w:val="nil"/>
            </w:tcBorders>
            <w:shd w:val="clear" w:color="auto" w:fill="auto"/>
            <w:vAlign w:val="center"/>
            <w:hideMark/>
          </w:tcPr>
          <w:p w14:paraId="1B19A53D"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military base</w:t>
            </w:r>
          </w:p>
        </w:tc>
        <w:tc>
          <w:tcPr>
            <w:tcW w:w="2790" w:type="dxa"/>
            <w:tcBorders>
              <w:top w:val="nil"/>
              <w:left w:val="nil"/>
              <w:bottom w:val="nil"/>
              <w:right w:val="nil"/>
            </w:tcBorders>
            <w:shd w:val="clear" w:color="auto" w:fill="auto"/>
            <w:vAlign w:val="center"/>
            <w:hideMark/>
          </w:tcPr>
          <w:p w14:paraId="41E4CAA9" w14:textId="6E864E15" w:rsidR="005A6E82" w:rsidRPr="00FC6BEF" w:rsidRDefault="00D82B72" w:rsidP="00272641">
            <w:pPr>
              <w:jc w:val="both"/>
              <w:rPr>
                <w:rFonts w:eastAsia="Times New Roman" w:cs="Times New Roman"/>
                <w:color w:val="000000"/>
                <w:lang w:eastAsia="en-US"/>
              </w:rPr>
            </w:pPr>
            <w:r>
              <w:rPr>
                <w:rFonts w:eastAsia="Times New Roman" w:cs="Times New Roman"/>
                <w:color w:val="000000"/>
                <w:lang w:eastAsia="en-US"/>
              </w:rPr>
              <w:t>Dummy variable; 1</w:t>
            </w:r>
            <w:r w:rsidR="009E103A">
              <w:rPr>
                <w:rFonts w:eastAsia="Times New Roman" w:cs="Times New Roman"/>
                <w:color w:val="000000"/>
                <w:lang w:eastAsia="en-US"/>
              </w:rPr>
              <w:t xml:space="preserve"> </w:t>
            </w:r>
            <w:r>
              <w:rPr>
                <w:rFonts w:eastAsia="Times New Roman" w:cs="Times New Roman"/>
                <w:color w:val="000000"/>
                <w:lang w:eastAsia="en-US"/>
              </w:rPr>
              <w:t xml:space="preserve">if </w:t>
            </w:r>
            <w:r w:rsidR="00FC6BEF">
              <w:rPr>
                <w:rFonts w:eastAsia="Times New Roman" w:cs="Times New Roman"/>
                <w:color w:val="000000"/>
                <w:lang w:eastAsia="en-US"/>
              </w:rPr>
              <w:t xml:space="preserve">military base is </w:t>
            </w:r>
            <w:r w:rsidR="00FC6BEF">
              <w:rPr>
                <w:rFonts w:eastAsia="Times New Roman" w:cs="Times New Roman"/>
                <w:i/>
                <w:color w:val="000000"/>
                <w:lang w:eastAsia="en-US"/>
              </w:rPr>
              <w:t xml:space="preserve">les forces de présence </w:t>
            </w:r>
            <w:r w:rsidR="00FC6BEF">
              <w:rPr>
                <w:rFonts w:eastAsia="Times New Roman" w:cs="Times New Roman"/>
                <w:color w:val="000000"/>
                <w:lang w:eastAsia="en-US"/>
              </w:rPr>
              <w:t>or occupied by French troops, 0 otherwise</w:t>
            </w:r>
          </w:p>
        </w:tc>
        <w:tc>
          <w:tcPr>
            <w:tcW w:w="4050" w:type="dxa"/>
            <w:tcBorders>
              <w:top w:val="nil"/>
              <w:left w:val="nil"/>
              <w:bottom w:val="nil"/>
              <w:right w:val="nil"/>
            </w:tcBorders>
            <w:shd w:val="clear" w:color="auto" w:fill="auto"/>
            <w:vAlign w:val="center"/>
            <w:hideMark/>
          </w:tcPr>
          <w:p w14:paraId="013F8366" w14:textId="5FA079C1" w:rsidR="005A6E82" w:rsidRPr="009E103A" w:rsidRDefault="009E103A" w:rsidP="009E103A">
            <w:pPr>
              <w:jc w:val="both"/>
              <w:rPr>
                <w:rFonts w:cs="Times New Roman"/>
              </w:rPr>
            </w:pPr>
            <w:r w:rsidRPr="00D03F03">
              <w:rPr>
                <w:rFonts w:cs="Times New Roman"/>
              </w:rPr>
              <w:t xml:space="preserve">“Les </w:t>
            </w:r>
            <w:r w:rsidR="00A632FD" w:rsidRPr="00D03F03">
              <w:rPr>
                <w:rFonts w:cs="Times New Roman"/>
              </w:rPr>
              <w:t>Forces Françaises Prépositionnées</w:t>
            </w:r>
            <w:r w:rsidRPr="00D03F03">
              <w:rPr>
                <w:rFonts w:cs="Times New Roman"/>
              </w:rPr>
              <w:t xml:space="preserve">, Mai 2016.” </w:t>
            </w:r>
            <w:r w:rsidRPr="00D03F03">
              <w:rPr>
                <w:rFonts w:cs="Times New Roman"/>
                <w:i/>
              </w:rPr>
              <w:t xml:space="preserve">Ministère de la Défense. </w:t>
            </w:r>
            <w:r w:rsidRPr="00D03F03">
              <w:rPr>
                <w:rFonts w:cs="Times New Roman"/>
              </w:rPr>
              <w:t>January 31, 2017. Accessed April 14, 2017. http://www.defense.gouv.fr/ema/forces-prepositionnees/mission-des-forces-prepositionnees/missions-des-forces-prepositionnees.</w:t>
            </w:r>
          </w:p>
        </w:tc>
      </w:tr>
      <w:tr w:rsidR="005A6E82" w:rsidRPr="005A6E82" w14:paraId="5EB07163" w14:textId="77777777" w:rsidTr="00C61E98">
        <w:trPr>
          <w:trHeight w:val="2100"/>
        </w:trPr>
        <w:tc>
          <w:tcPr>
            <w:tcW w:w="1635" w:type="dxa"/>
            <w:tcBorders>
              <w:top w:val="nil"/>
              <w:left w:val="nil"/>
              <w:bottom w:val="nil"/>
              <w:right w:val="nil"/>
            </w:tcBorders>
            <w:shd w:val="clear" w:color="auto" w:fill="auto"/>
            <w:vAlign w:val="center"/>
            <w:hideMark/>
          </w:tcPr>
          <w:p w14:paraId="37C9F443"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natural disasters</w:t>
            </w:r>
          </w:p>
        </w:tc>
        <w:tc>
          <w:tcPr>
            <w:tcW w:w="2790" w:type="dxa"/>
            <w:tcBorders>
              <w:top w:val="nil"/>
              <w:left w:val="nil"/>
              <w:bottom w:val="nil"/>
              <w:right w:val="nil"/>
            </w:tcBorders>
            <w:shd w:val="clear" w:color="auto" w:fill="auto"/>
            <w:vAlign w:val="center"/>
            <w:hideMark/>
          </w:tcPr>
          <w:p w14:paraId="59AC7359" w14:textId="5C61774C"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 xml:space="preserve">Indicator for </w:t>
            </w:r>
            <w:r w:rsidR="00FC6BEF">
              <w:rPr>
                <w:rFonts w:eastAsia="Times New Roman" w:cs="Times New Roman"/>
                <w:color w:val="000000"/>
                <w:lang w:eastAsia="en-US"/>
              </w:rPr>
              <w:t xml:space="preserve">if </w:t>
            </w:r>
            <w:r w:rsidRPr="005A6E82">
              <w:rPr>
                <w:rFonts w:eastAsia="Times New Roman" w:cs="Times New Roman"/>
                <w:color w:val="000000"/>
                <w:lang w:eastAsia="en-US"/>
              </w:rPr>
              <w:t>recipient had any type of disaster</w:t>
            </w:r>
          </w:p>
        </w:tc>
        <w:tc>
          <w:tcPr>
            <w:tcW w:w="4050" w:type="dxa"/>
            <w:tcBorders>
              <w:top w:val="nil"/>
              <w:left w:val="nil"/>
              <w:bottom w:val="nil"/>
              <w:right w:val="nil"/>
            </w:tcBorders>
            <w:shd w:val="clear" w:color="auto" w:fill="auto"/>
            <w:vAlign w:val="center"/>
            <w:hideMark/>
          </w:tcPr>
          <w:p w14:paraId="47D20256" w14:textId="1C68B720" w:rsidR="005A6E82" w:rsidRPr="005A6E82" w:rsidRDefault="00B738EE" w:rsidP="00272641">
            <w:pPr>
              <w:jc w:val="both"/>
              <w:rPr>
                <w:rFonts w:eastAsia="Times New Roman" w:cs="Times New Roman"/>
                <w:color w:val="000000"/>
                <w:lang w:eastAsia="en-US"/>
              </w:rPr>
            </w:pPr>
            <w:r w:rsidRPr="009E103A">
              <w:rPr>
                <w:rFonts w:eastAsia="Times New Roman" w:cs="Times New Roman"/>
                <w:color w:val="000000"/>
                <w:lang w:eastAsia="en-US"/>
              </w:rPr>
              <w:t xml:space="preserve">Guha-Sapir, D. R. Below, Ph. Hoyois. </w:t>
            </w:r>
            <w:r w:rsidR="005A6E82" w:rsidRPr="009E103A">
              <w:rPr>
                <w:rFonts w:eastAsia="Times New Roman" w:cs="Times New Roman"/>
                <w:color w:val="000000"/>
                <w:lang w:eastAsia="en-US"/>
              </w:rPr>
              <w:t>EM-DAT</w:t>
            </w:r>
            <w:r w:rsidRPr="009E103A">
              <w:rPr>
                <w:rFonts w:eastAsia="Times New Roman" w:cs="Times New Roman"/>
                <w:color w:val="000000"/>
                <w:lang w:eastAsia="en-US"/>
              </w:rPr>
              <w:t>. “</w:t>
            </w:r>
            <w:r w:rsidR="005A6E82" w:rsidRPr="009E103A">
              <w:rPr>
                <w:rFonts w:eastAsia="Times New Roman" w:cs="Times New Roman"/>
                <w:color w:val="000000"/>
                <w:lang w:eastAsia="en-US"/>
              </w:rPr>
              <w:t xml:space="preserve">The OFDA/CRED </w:t>
            </w:r>
            <w:r w:rsidR="00C07D75">
              <w:rPr>
                <w:rFonts w:eastAsia="Times New Roman" w:cs="Times New Roman"/>
                <w:color w:val="000000"/>
                <w:lang w:eastAsia="en-US"/>
              </w:rPr>
              <w:t>international disaster database.</w:t>
            </w:r>
            <w:r w:rsidRPr="009E103A">
              <w:rPr>
                <w:rFonts w:eastAsia="Times New Roman" w:cs="Times New Roman"/>
                <w:color w:val="000000"/>
                <w:lang w:eastAsia="en-US"/>
              </w:rPr>
              <w:t>”</w:t>
            </w:r>
            <w:r w:rsidR="005A6E82" w:rsidRPr="009E103A">
              <w:rPr>
                <w:rFonts w:eastAsia="Times New Roman" w:cs="Times New Roman"/>
                <w:color w:val="000000"/>
                <w:lang w:eastAsia="en-US"/>
              </w:rPr>
              <w:t xml:space="preserve"> Université catholique de Louvain, Brussels, Belgium. </w:t>
            </w:r>
            <w:r w:rsidRPr="009E103A">
              <w:rPr>
                <w:rFonts w:eastAsia="Times New Roman" w:cs="Times New Roman"/>
                <w:color w:val="000000"/>
                <w:lang w:eastAsia="en-US"/>
              </w:rPr>
              <w:t xml:space="preserve">2012. </w:t>
            </w:r>
            <w:r w:rsidR="00C07D75">
              <w:rPr>
                <w:rFonts w:eastAsia="Times New Roman" w:cs="Times New Roman"/>
                <w:color w:val="000000"/>
                <w:lang w:eastAsia="en-US"/>
              </w:rPr>
              <w:t xml:space="preserve">Accessed June 2013. </w:t>
            </w:r>
            <w:r w:rsidR="005A6E82" w:rsidRPr="009E103A">
              <w:rPr>
                <w:rFonts w:eastAsia="Times New Roman" w:cs="Times New Roman"/>
                <w:color w:val="000000"/>
                <w:lang w:eastAsia="en-US"/>
              </w:rPr>
              <w:t>h</w:t>
            </w:r>
            <w:r w:rsidR="00C07D75">
              <w:rPr>
                <w:rFonts w:eastAsia="Times New Roman" w:cs="Times New Roman"/>
                <w:color w:val="000000"/>
                <w:lang w:eastAsia="en-US"/>
              </w:rPr>
              <w:t>ttp://www.emdat.be.</w:t>
            </w:r>
          </w:p>
        </w:tc>
      </w:tr>
      <w:tr w:rsidR="005A6E82" w:rsidRPr="005A6E82" w14:paraId="5BAF09CC" w14:textId="77777777" w:rsidTr="00C61E98">
        <w:trPr>
          <w:trHeight w:val="300"/>
        </w:trPr>
        <w:tc>
          <w:tcPr>
            <w:tcW w:w="1635" w:type="dxa"/>
            <w:tcBorders>
              <w:top w:val="nil"/>
              <w:left w:val="nil"/>
              <w:bottom w:val="nil"/>
              <w:right w:val="nil"/>
            </w:tcBorders>
            <w:shd w:val="clear" w:color="auto" w:fill="auto"/>
            <w:vAlign w:val="center"/>
            <w:hideMark/>
          </w:tcPr>
          <w:p w14:paraId="31FABC21" w14:textId="77777777" w:rsidR="005A6E82" w:rsidRPr="005A6E82" w:rsidRDefault="005A6E82" w:rsidP="00272641">
            <w:pPr>
              <w:jc w:val="both"/>
              <w:rPr>
                <w:rFonts w:eastAsia="Times New Roman" w:cs="Times New Roman"/>
                <w:i/>
                <w:iCs/>
                <w:color w:val="000000"/>
                <w:lang w:eastAsia="en-US"/>
              </w:rPr>
            </w:pPr>
            <w:r w:rsidRPr="005A6E82">
              <w:rPr>
                <w:rFonts w:eastAsia="Times New Roman" w:cs="Times New Roman"/>
                <w:i/>
                <w:iCs/>
                <w:color w:val="000000"/>
                <w:lang w:eastAsia="en-US"/>
              </w:rPr>
              <w:t xml:space="preserve">originaires </w:t>
            </w:r>
          </w:p>
        </w:tc>
        <w:tc>
          <w:tcPr>
            <w:tcW w:w="2790" w:type="dxa"/>
            <w:tcBorders>
              <w:top w:val="nil"/>
              <w:left w:val="nil"/>
              <w:bottom w:val="nil"/>
              <w:right w:val="nil"/>
            </w:tcBorders>
            <w:shd w:val="clear" w:color="auto" w:fill="auto"/>
            <w:vAlign w:val="center"/>
            <w:hideMark/>
          </w:tcPr>
          <w:p w14:paraId="7B101DAB" w14:textId="35E990B6" w:rsidR="005A6E82" w:rsidRPr="005A6E82" w:rsidRDefault="00B013B9" w:rsidP="00272641">
            <w:pPr>
              <w:jc w:val="both"/>
              <w:rPr>
                <w:rFonts w:eastAsia="Times New Roman" w:cs="Times New Roman"/>
                <w:color w:val="000000"/>
                <w:lang w:eastAsia="en-US"/>
              </w:rPr>
            </w:pPr>
            <w:r>
              <w:rPr>
                <w:rFonts w:eastAsia="Times New Roman" w:cs="Times New Roman"/>
                <w:color w:val="000000"/>
                <w:lang w:eastAsia="en-US"/>
              </w:rPr>
              <w:t xml:space="preserve">Dummy variable as </w:t>
            </w:r>
            <w:r>
              <w:rPr>
                <w:rFonts w:eastAsia="Times New Roman" w:cs="Times New Roman"/>
                <w:i/>
                <w:color w:val="000000"/>
                <w:lang w:eastAsia="en-US"/>
              </w:rPr>
              <w:t xml:space="preserve">originaire </w:t>
            </w:r>
            <w:r>
              <w:rPr>
                <w:rFonts w:eastAsia="Times New Roman" w:cs="Times New Roman"/>
                <w:color w:val="000000"/>
                <w:lang w:eastAsia="en-US"/>
              </w:rPr>
              <w:t>was only a status in Senegal</w:t>
            </w:r>
            <w:r w:rsidR="00FC6BEF">
              <w:rPr>
                <w:rFonts w:eastAsia="Times New Roman" w:cs="Times New Roman"/>
                <w:color w:val="000000"/>
                <w:lang w:eastAsia="en-US"/>
              </w:rPr>
              <w:t>, 0 otherwise</w:t>
            </w:r>
          </w:p>
        </w:tc>
        <w:tc>
          <w:tcPr>
            <w:tcW w:w="4050" w:type="dxa"/>
            <w:tcBorders>
              <w:top w:val="nil"/>
              <w:left w:val="nil"/>
              <w:bottom w:val="nil"/>
              <w:right w:val="nil"/>
            </w:tcBorders>
            <w:shd w:val="clear" w:color="auto" w:fill="auto"/>
            <w:vAlign w:val="center"/>
            <w:hideMark/>
          </w:tcPr>
          <w:p w14:paraId="344F279A" w14:textId="3A177BC0" w:rsidR="005A6E82" w:rsidRPr="00EA01B9" w:rsidRDefault="00EA01B9" w:rsidP="00272641">
            <w:pPr>
              <w:jc w:val="both"/>
              <w:rPr>
                <w:rFonts w:eastAsia="Times New Roman" w:cs="Times New Roman"/>
                <w:color w:val="000000"/>
                <w:lang w:eastAsia="en-US"/>
              </w:rPr>
            </w:pPr>
            <w:r>
              <w:t>C</w:t>
            </w:r>
            <w:r w:rsidRPr="00EA01B9">
              <w:t xml:space="preserve">rowder, </w:t>
            </w:r>
            <w:r>
              <w:t xml:space="preserve">Michael. </w:t>
            </w:r>
            <w:r w:rsidRPr="00EA01B9">
              <w:rPr>
                <w:i/>
              </w:rPr>
              <w:t>Senegal: A Study in French Assimilation Policy</w:t>
            </w:r>
            <w:r>
              <w:rPr>
                <w:i/>
              </w:rPr>
              <w:t xml:space="preserve">. </w:t>
            </w:r>
            <w:r w:rsidRPr="00EA01B9">
              <w:t>New York: Ox</w:t>
            </w:r>
            <w:r>
              <w:t>ford University Press, 1962</w:t>
            </w:r>
            <w:r w:rsidRPr="00EA01B9">
              <w:t>.</w:t>
            </w:r>
          </w:p>
        </w:tc>
      </w:tr>
      <w:tr w:rsidR="005A6E82" w:rsidRPr="005A6E82" w14:paraId="15382800" w14:textId="77777777" w:rsidTr="00C61E98">
        <w:trPr>
          <w:trHeight w:val="300"/>
        </w:trPr>
        <w:tc>
          <w:tcPr>
            <w:tcW w:w="1635" w:type="dxa"/>
            <w:tcBorders>
              <w:top w:val="nil"/>
              <w:left w:val="nil"/>
              <w:bottom w:val="nil"/>
              <w:right w:val="nil"/>
            </w:tcBorders>
            <w:shd w:val="clear" w:color="auto" w:fill="auto"/>
            <w:vAlign w:val="center"/>
            <w:hideMark/>
          </w:tcPr>
          <w:p w14:paraId="6517C28E" w14:textId="77777777" w:rsidR="005A6E82" w:rsidRPr="005A6E82" w:rsidRDefault="005A6E82" w:rsidP="009E103A">
            <w:pPr>
              <w:ind w:right="-108"/>
              <w:jc w:val="both"/>
              <w:rPr>
                <w:rFonts w:eastAsia="Times New Roman" w:cs="Times New Roman"/>
                <w:color w:val="000000"/>
                <w:lang w:eastAsia="en-US"/>
              </w:rPr>
            </w:pPr>
            <w:r w:rsidRPr="006D6941">
              <w:rPr>
                <w:rFonts w:eastAsia="Times New Roman" w:cs="Times New Roman"/>
                <w:color w:val="000000"/>
                <w:lang w:eastAsia="en-US"/>
              </w:rPr>
              <w:t>percentage French</w:t>
            </w:r>
            <w:r w:rsidRPr="005A6E82">
              <w:rPr>
                <w:rFonts w:eastAsia="Times New Roman" w:cs="Times New Roman"/>
                <w:color w:val="000000"/>
                <w:lang w:eastAsia="en-US"/>
              </w:rPr>
              <w:t xml:space="preserve"> </w:t>
            </w:r>
          </w:p>
        </w:tc>
        <w:tc>
          <w:tcPr>
            <w:tcW w:w="2790" w:type="dxa"/>
            <w:tcBorders>
              <w:top w:val="nil"/>
              <w:left w:val="nil"/>
              <w:bottom w:val="nil"/>
              <w:right w:val="nil"/>
            </w:tcBorders>
            <w:shd w:val="clear" w:color="auto" w:fill="auto"/>
            <w:vAlign w:val="center"/>
            <w:hideMark/>
          </w:tcPr>
          <w:p w14:paraId="5B8FAD8E" w14:textId="551012B8" w:rsidR="005A6E82" w:rsidRPr="00D82B72" w:rsidRDefault="00D82B72" w:rsidP="00272641">
            <w:pPr>
              <w:jc w:val="both"/>
              <w:rPr>
                <w:rFonts w:eastAsia="Times New Roman" w:cs="Times New Roman"/>
                <w:color w:val="000000"/>
                <w:lang w:eastAsia="en-US"/>
              </w:rPr>
            </w:pPr>
            <w:r>
              <w:rPr>
                <w:rFonts w:eastAsia="Times New Roman" w:cs="Times New Roman"/>
                <w:color w:val="000000"/>
                <w:lang w:eastAsia="en-US"/>
              </w:rPr>
              <w:t xml:space="preserve">Using the </w:t>
            </w:r>
            <w:r>
              <w:rPr>
                <w:rFonts w:eastAsia="Times New Roman" w:cs="Times New Roman"/>
                <w:i/>
                <w:color w:val="000000"/>
                <w:lang w:eastAsia="en-US"/>
              </w:rPr>
              <w:t xml:space="preserve">lingua franca </w:t>
            </w:r>
            <w:r>
              <w:rPr>
                <w:rFonts w:eastAsia="Times New Roman" w:cs="Times New Roman"/>
                <w:color w:val="000000"/>
                <w:lang w:eastAsia="en-US"/>
              </w:rPr>
              <w:t>data, I calculated the population speaking French in each country</w:t>
            </w:r>
          </w:p>
        </w:tc>
        <w:tc>
          <w:tcPr>
            <w:tcW w:w="4050" w:type="dxa"/>
            <w:tcBorders>
              <w:top w:val="nil"/>
              <w:left w:val="nil"/>
              <w:bottom w:val="nil"/>
              <w:right w:val="nil"/>
            </w:tcBorders>
            <w:shd w:val="clear" w:color="auto" w:fill="auto"/>
            <w:vAlign w:val="center"/>
            <w:hideMark/>
          </w:tcPr>
          <w:p w14:paraId="320216F9" w14:textId="0529AB14" w:rsidR="005A6E82" w:rsidRPr="006D6941" w:rsidRDefault="006D6941" w:rsidP="006D6941">
            <w:pPr>
              <w:ind w:hanging="18"/>
              <w:jc w:val="both"/>
              <w:rPr>
                <w:rFonts w:cs="Times New Roman"/>
              </w:rPr>
            </w:pPr>
            <w:r>
              <w:rPr>
                <w:rFonts w:cs="Times New Roman"/>
              </w:rPr>
              <w:t xml:space="preserve">Britannica. </w:t>
            </w:r>
            <w:r>
              <w:rPr>
                <w:rFonts w:cs="Times New Roman"/>
                <w:i/>
              </w:rPr>
              <w:t xml:space="preserve">Britannica Book of the Year 2010. </w:t>
            </w:r>
            <w:r>
              <w:rPr>
                <w:rFonts w:cs="Times New Roman"/>
              </w:rPr>
              <w:t xml:space="preserve">Chicago: Encyclopedia Britannica, Inc. 2010. </w:t>
            </w:r>
          </w:p>
        </w:tc>
      </w:tr>
      <w:tr w:rsidR="005A6E82" w:rsidRPr="005A6E82" w14:paraId="40606B45" w14:textId="77777777" w:rsidTr="00C61E98">
        <w:trPr>
          <w:trHeight w:val="1500"/>
        </w:trPr>
        <w:tc>
          <w:tcPr>
            <w:tcW w:w="1635" w:type="dxa"/>
            <w:tcBorders>
              <w:top w:val="nil"/>
              <w:left w:val="nil"/>
              <w:bottom w:val="nil"/>
              <w:right w:val="nil"/>
            </w:tcBorders>
            <w:shd w:val="clear" w:color="auto" w:fill="auto"/>
            <w:vAlign w:val="center"/>
            <w:hideMark/>
          </w:tcPr>
          <w:p w14:paraId="26633DCD"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Polity IV</w:t>
            </w:r>
          </w:p>
        </w:tc>
        <w:tc>
          <w:tcPr>
            <w:tcW w:w="2790" w:type="dxa"/>
            <w:tcBorders>
              <w:top w:val="nil"/>
              <w:left w:val="nil"/>
              <w:bottom w:val="nil"/>
              <w:right w:val="nil"/>
            </w:tcBorders>
            <w:shd w:val="clear" w:color="auto" w:fill="auto"/>
            <w:vAlign w:val="center"/>
            <w:hideMark/>
          </w:tcPr>
          <w:p w14:paraId="4846A4FC"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Measurement of most autocratic (-10) to most democratic (10)</w:t>
            </w:r>
          </w:p>
        </w:tc>
        <w:tc>
          <w:tcPr>
            <w:tcW w:w="4050" w:type="dxa"/>
            <w:tcBorders>
              <w:top w:val="nil"/>
              <w:left w:val="nil"/>
              <w:bottom w:val="nil"/>
              <w:right w:val="nil"/>
            </w:tcBorders>
            <w:shd w:val="clear" w:color="auto" w:fill="auto"/>
            <w:vAlign w:val="center"/>
            <w:hideMark/>
          </w:tcPr>
          <w:p w14:paraId="59342446" w14:textId="2284C4AC" w:rsidR="005A6E82" w:rsidRPr="005A6E82" w:rsidRDefault="00B738EE" w:rsidP="00272641">
            <w:pPr>
              <w:jc w:val="both"/>
              <w:rPr>
                <w:rFonts w:eastAsia="Times New Roman" w:cs="Times New Roman"/>
                <w:color w:val="000000"/>
                <w:lang w:eastAsia="en-US"/>
              </w:rPr>
            </w:pPr>
            <w:r w:rsidRPr="00B738EE">
              <w:rPr>
                <w:rFonts w:eastAsia="Times New Roman" w:cs="Times New Roman"/>
                <w:color w:val="000000"/>
                <w:lang w:eastAsia="en-US"/>
              </w:rPr>
              <w:t xml:space="preserve">Marshall, Monty </w:t>
            </w:r>
            <w:r w:rsidR="005A6E82" w:rsidRPr="00B738EE">
              <w:rPr>
                <w:rFonts w:eastAsia="Times New Roman" w:cs="Times New Roman"/>
                <w:color w:val="000000"/>
                <w:lang w:eastAsia="en-US"/>
              </w:rPr>
              <w:t xml:space="preserve">G., </w:t>
            </w:r>
            <w:r w:rsidRPr="00B738EE">
              <w:rPr>
                <w:rFonts w:eastAsia="Times New Roman" w:cs="Times New Roman"/>
                <w:color w:val="000000"/>
                <w:lang w:eastAsia="en-US"/>
              </w:rPr>
              <w:t>Ted Robert Gurr. and Keith Jaggers</w:t>
            </w:r>
            <w:r w:rsidR="005A6E82" w:rsidRPr="00B738EE">
              <w:rPr>
                <w:rFonts w:eastAsia="Times New Roman" w:cs="Times New Roman"/>
                <w:color w:val="000000"/>
                <w:lang w:eastAsia="en-US"/>
              </w:rPr>
              <w:t xml:space="preserve">. </w:t>
            </w:r>
            <w:r w:rsidR="005A6E82" w:rsidRPr="00B738EE">
              <w:rPr>
                <w:rFonts w:eastAsia="Times New Roman" w:cs="Times New Roman"/>
                <w:i/>
                <w:iCs/>
                <w:color w:val="000000"/>
                <w:lang w:eastAsia="en-US"/>
              </w:rPr>
              <w:t xml:space="preserve">Polity IV Project: Data Users' Manual, </w:t>
            </w:r>
            <w:r w:rsidRPr="00B738EE">
              <w:rPr>
                <w:rFonts w:eastAsia="Times New Roman" w:cs="Times New Roman"/>
                <w:iCs/>
                <w:color w:val="000000"/>
                <w:lang w:eastAsia="en-US"/>
              </w:rPr>
              <w:t xml:space="preserve">Vienna, VA: </w:t>
            </w:r>
            <w:r w:rsidR="005A6E82" w:rsidRPr="00B738EE">
              <w:rPr>
                <w:rFonts w:eastAsia="Times New Roman" w:cs="Times New Roman"/>
                <w:color w:val="000000"/>
                <w:lang w:eastAsia="en-US"/>
              </w:rPr>
              <w:t xml:space="preserve">Center for Systemic Peace, </w:t>
            </w:r>
            <w:r w:rsidRPr="00B738EE">
              <w:rPr>
                <w:rFonts w:eastAsia="Times New Roman" w:cs="Times New Roman"/>
                <w:color w:val="000000"/>
                <w:lang w:eastAsia="en-US"/>
              </w:rPr>
              <w:t>2012.</w:t>
            </w:r>
            <w:r w:rsidR="005A6E82" w:rsidRPr="005A6E82">
              <w:rPr>
                <w:rFonts w:eastAsia="Times New Roman" w:cs="Times New Roman"/>
                <w:color w:val="000000"/>
                <w:lang w:eastAsia="en-US"/>
              </w:rPr>
              <w:t xml:space="preserve"> </w:t>
            </w:r>
          </w:p>
        </w:tc>
      </w:tr>
      <w:tr w:rsidR="005A6E82" w:rsidRPr="005A6E82" w14:paraId="7D54A507" w14:textId="77777777" w:rsidTr="00C61E98">
        <w:trPr>
          <w:trHeight w:val="300"/>
        </w:trPr>
        <w:tc>
          <w:tcPr>
            <w:tcW w:w="1635" w:type="dxa"/>
            <w:tcBorders>
              <w:top w:val="nil"/>
              <w:left w:val="nil"/>
              <w:bottom w:val="nil"/>
              <w:right w:val="nil"/>
            </w:tcBorders>
            <w:shd w:val="clear" w:color="auto" w:fill="auto"/>
            <w:vAlign w:val="center"/>
            <w:hideMark/>
          </w:tcPr>
          <w:p w14:paraId="4E0007BD" w14:textId="77777777" w:rsidR="005A6E82" w:rsidRPr="005A6E82" w:rsidRDefault="005A6E82" w:rsidP="00272641">
            <w:pPr>
              <w:jc w:val="both"/>
              <w:rPr>
                <w:rFonts w:eastAsia="Times New Roman" w:cs="Times New Roman"/>
                <w:color w:val="000000"/>
                <w:lang w:eastAsia="en-US"/>
              </w:rPr>
            </w:pPr>
            <w:r w:rsidRPr="00E73489">
              <w:rPr>
                <w:rFonts w:eastAsia="Times New Roman" w:cs="Times New Roman"/>
                <w:color w:val="000000"/>
                <w:lang w:eastAsia="en-US"/>
              </w:rPr>
              <w:t>population</w:t>
            </w:r>
          </w:p>
        </w:tc>
        <w:tc>
          <w:tcPr>
            <w:tcW w:w="2790" w:type="dxa"/>
            <w:tcBorders>
              <w:top w:val="nil"/>
              <w:left w:val="nil"/>
              <w:bottom w:val="nil"/>
              <w:right w:val="nil"/>
            </w:tcBorders>
            <w:shd w:val="clear" w:color="auto" w:fill="auto"/>
            <w:vAlign w:val="center"/>
            <w:hideMark/>
          </w:tcPr>
          <w:p w14:paraId="7235B70C" w14:textId="77777777" w:rsidR="005A6E82" w:rsidRPr="005A6E82" w:rsidRDefault="005A6E82" w:rsidP="00272641">
            <w:pPr>
              <w:jc w:val="both"/>
              <w:rPr>
                <w:rFonts w:eastAsia="Times New Roman" w:cs="Times New Roman"/>
                <w:color w:val="000000"/>
                <w:lang w:eastAsia="en-US"/>
              </w:rPr>
            </w:pPr>
          </w:p>
        </w:tc>
        <w:tc>
          <w:tcPr>
            <w:tcW w:w="4050" w:type="dxa"/>
            <w:tcBorders>
              <w:top w:val="nil"/>
              <w:left w:val="nil"/>
              <w:bottom w:val="nil"/>
              <w:right w:val="nil"/>
            </w:tcBorders>
            <w:shd w:val="clear" w:color="auto" w:fill="auto"/>
            <w:vAlign w:val="center"/>
            <w:hideMark/>
          </w:tcPr>
          <w:p w14:paraId="11BC3BF3" w14:textId="6242195D" w:rsidR="005A6E82" w:rsidRPr="005A6E82" w:rsidRDefault="00E73489" w:rsidP="00272641">
            <w:pPr>
              <w:jc w:val="both"/>
              <w:rPr>
                <w:rFonts w:eastAsia="Times New Roman" w:cs="Times New Roman"/>
                <w:color w:val="000000"/>
                <w:lang w:eastAsia="en-US"/>
              </w:rPr>
            </w:pPr>
            <w:r>
              <w:rPr>
                <w:rFonts w:eastAsia="Times New Roman" w:cs="Times New Roman"/>
                <w:color w:val="000000"/>
                <w:lang w:eastAsia="en-US"/>
              </w:rPr>
              <w:t>Feenstra, R.C., Inklaar, R., and Timmer, M.P. “The Next Generation of the Penn World Table.” 2013. Accessed July 2013. http://www.ggdc.net/pwt.</w:t>
            </w:r>
          </w:p>
        </w:tc>
      </w:tr>
      <w:tr w:rsidR="005A6E82" w:rsidRPr="005A6E82" w14:paraId="47BA469A" w14:textId="77777777" w:rsidTr="00C61E98">
        <w:trPr>
          <w:trHeight w:val="300"/>
        </w:trPr>
        <w:tc>
          <w:tcPr>
            <w:tcW w:w="1635" w:type="dxa"/>
            <w:tcBorders>
              <w:top w:val="nil"/>
              <w:left w:val="nil"/>
              <w:bottom w:val="nil"/>
              <w:right w:val="nil"/>
            </w:tcBorders>
            <w:shd w:val="clear" w:color="auto" w:fill="auto"/>
            <w:vAlign w:val="center"/>
            <w:hideMark/>
          </w:tcPr>
          <w:p w14:paraId="334BEFE2"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protectorate</w:t>
            </w:r>
          </w:p>
        </w:tc>
        <w:tc>
          <w:tcPr>
            <w:tcW w:w="2790" w:type="dxa"/>
            <w:tcBorders>
              <w:top w:val="nil"/>
              <w:left w:val="nil"/>
              <w:bottom w:val="nil"/>
              <w:right w:val="nil"/>
            </w:tcBorders>
            <w:shd w:val="clear" w:color="auto" w:fill="auto"/>
            <w:vAlign w:val="center"/>
            <w:hideMark/>
          </w:tcPr>
          <w:p w14:paraId="033E9223" w14:textId="39C69389" w:rsidR="005A6E82" w:rsidRPr="005A6E82" w:rsidRDefault="00D82B72" w:rsidP="00272641">
            <w:pPr>
              <w:jc w:val="both"/>
              <w:rPr>
                <w:rFonts w:eastAsia="Times New Roman" w:cs="Times New Roman"/>
                <w:color w:val="000000"/>
                <w:lang w:eastAsia="en-US"/>
              </w:rPr>
            </w:pPr>
            <w:r>
              <w:rPr>
                <w:rFonts w:eastAsia="Times New Roman" w:cs="Times New Roman"/>
                <w:color w:val="000000"/>
                <w:lang w:eastAsia="en-US"/>
              </w:rPr>
              <w:t>D</w:t>
            </w:r>
            <w:r w:rsidR="00B013B9">
              <w:rPr>
                <w:rFonts w:eastAsia="Times New Roman" w:cs="Times New Roman"/>
                <w:color w:val="000000"/>
                <w:lang w:eastAsia="en-US"/>
              </w:rPr>
              <w:t>ummy variable; 1 if regional status was French protectorate, 0 otherwise</w:t>
            </w:r>
          </w:p>
        </w:tc>
        <w:tc>
          <w:tcPr>
            <w:tcW w:w="4050" w:type="dxa"/>
            <w:tcBorders>
              <w:top w:val="nil"/>
              <w:left w:val="nil"/>
              <w:bottom w:val="nil"/>
              <w:right w:val="nil"/>
            </w:tcBorders>
            <w:shd w:val="clear" w:color="auto" w:fill="auto"/>
            <w:vAlign w:val="center"/>
            <w:hideMark/>
          </w:tcPr>
          <w:p w14:paraId="127904CF" w14:textId="7F88A644" w:rsidR="00EA01B9" w:rsidRPr="00EA01B9" w:rsidRDefault="00EA01B9" w:rsidP="00272641">
            <w:pPr>
              <w:jc w:val="both"/>
            </w:pPr>
            <w:r w:rsidRPr="00EA01B9">
              <w:t xml:space="preserve">Cooper, Frederick. </w:t>
            </w:r>
            <w:r w:rsidRPr="00EA01B9">
              <w:rPr>
                <w:i/>
              </w:rPr>
              <w:t xml:space="preserve">Citizenship between Empire and Nation: Remaking France and French Africa, 1945-1960. </w:t>
            </w:r>
            <w:r w:rsidRPr="00EA01B9">
              <w:t>Princeton: Princeton University Press, 2014.</w:t>
            </w:r>
          </w:p>
        </w:tc>
      </w:tr>
      <w:tr w:rsidR="005A6E82" w:rsidRPr="005A6E82" w14:paraId="2553A6DC" w14:textId="77777777" w:rsidTr="00C61E98">
        <w:trPr>
          <w:trHeight w:val="300"/>
        </w:trPr>
        <w:tc>
          <w:tcPr>
            <w:tcW w:w="1635" w:type="dxa"/>
            <w:tcBorders>
              <w:top w:val="nil"/>
              <w:left w:val="nil"/>
              <w:bottom w:val="nil"/>
              <w:right w:val="nil"/>
            </w:tcBorders>
            <w:shd w:val="clear" w:color="auto" w:fill="auto"/>
            <w:vAlign w:val="center"/>
            <w:hideMark/>
          </w:tcPr>
          <w:p w14:paraId="503364C6" w14:textId="77777777" w:rsidR="005A6E82" w:rsidRPr="005A6E82" w:rsidRDefault="005A6E82" w:rsidP="00272641">
            <w:pPr>
              <w:jc w:val="both"/>
              <w:rPr>
                <w:rFonts w:eastAsia="Times New Roman" w:cs="Times New Roman"/>
                <w:color w:val="000000"/>
                <w:lang w:eastAsia="en-US"/>
              </w:rPr>
            </w:pPr>
            <w:r w:rsidRPr="00E73489">
              <w:rPr>
                <w:rFonts w:eastAsia="Times New Roman" w:cs="Times New Roman"/>
                <w:color w:val="000000"/>
                <w:lang w:eastAsia="en-US"/>
              </w:rPr>
              <w:t>real GDP</w:t>
            </w:r>
            <w:r w:rsidRPr="005A6E82">
              <w:rPr>
                <w:rFonts w:eastAsia="Times New Roman" w:cs="Times New Roman"/>
                <w:color w:val="000000"/>
                <w:lang w:eastAsia="en-US"/>
              </w:rPr>
              <w:t xml:space="preserve"> </w:t>
            </w:r>
          </w:p>
        </w:tc>
        <w:tc>
          <w:tcPr>
            <w:tcW w:w="2790" w:type="dxa"/>
            <w:tcBorders>
              <w:top w:val="nil"/>
              <w:left w:val="nil"/>
              <w:bottom w:val="nil"/>
              <w:right w:val="nil"/>
            </w:tcBorders>
            <w:shd w:val="clear" w:color="auto" w:fill="auto"/>
            <w:vAlign w:val="center"/>
            <w:hideMark/>
          </w:tcPr>
          <w:p w14:paraId="5EADF02C" w14:textId="1CD3E0CD" w:rsidR="005A6E82" w:rsidRPr="005A6E82" w:rsidRDefault="00E73489" w:rsidP="00272641">
            <w:pPr>
              <w:jc w:val="both"/>
              <w:rPr>
                <w:rFonts w:eastAsia="Times New Roman" w:cs="Times New Roman"/>
                <w:color w:val="000000"/>
                <w:lang w:eastAsia="en-US"/>
              </w:rPr>
            </w:pPr>
            <w:r>
              <w:rPr>
                <w:rFonts w:eastAsia="Times New Roman" w:cs="Times New Roman"/>
                <w:color w:val="000000"/>
                <w:lang w:eastAsia="en-US"/>
              </w:rPr>
              <w:t>Gross domestic product in terms of 2010 USD</w:t>
            </w:r>
          </w:p>
        </w:tc>
        <w:tc>
          <w:tcPr>
            <w:tcW w:w="4050" w:type="dxa"/>
            <w:tcBorders>
              <w:top w:val="nil"/>
              <w:left w:val="nil"/>
              <w:bottom w:val="nil"/>
              <w:right w:val="nil"/>
            </w:tcBorders>
            <w:shd w:val="clear" w:color="auto" w:fill="auto"/>
            <w:vAlign w:val="center"/>
            <w:hideMark/>
          </w:tcPr>
          <w:p w14:paraId="51E3A592" w14:textId="47DBC110" w:rsidR="005A6E82" w:rsidRPr="00E73489" w:rsidRDefault="00E73489" w:rsidP="00272641">
            <w:pPr>
              <w:jc w:val="both"/>
              <w:rPr>
                <w:rFonts w:eastAsia="Times New Roman" w:cs="Times New Roman"/>
                <w:color w:val="000000"/>
                <w:lang w:eastAsia="en-US"/>
              </w:rPr>
            </w:pPr>
            <w:r>
              <w:rPr>
                <w:rFonts w:eastAsia="Times New Roman" w:cs="Times New Roman"/>
                <w:color w:val="000000"/>
                <w:lang w:eastAsia="en-US"/>
              </w:rPr>
              <w:t>Feenstra, R.C., Inklaar, R., and Timmer, M.P. “The Next Generation of the Penn World Table.” 2013. Accessed July 2013. http://www.ggdc.net/pwt.</w:t>
            </w:r>
          </w:p>
        </w:tc>
      </w:tr>
      <w:tr w:rsidR="005A6E82" w:rsidRPr="005A6E82" w14:paraId="0C52CAAC" w14:textId="77777777" w:rsidTr="00C61E98">
        <w:trPr>
          <w:trHeight w:val="1062"/>
        </w:trPr>
        <w:tc>
          <w:tcPr>
            <w:tcW w:w="1635" w:type="dxa"/>
            <w:tcBorders>
              <w:top w:val="nil"/>
              <w:left w:val="nil"/>
              <w:bottom w:val="nil"/>
              <w:right w:val="nil"/>
            </w:tcBorders>
            <w:shd w:val="clear" w:color="auto" w:fill="auto"/>
            <w:vAlign w:val="center"/>
            <w:hideMark/>
          </w:tcPr>
          <w:p w14:paraId="15351114" w14:textId="77777777" w:rsidR="005A6E82" w:rsidRPr="005A6E82" w:rsidRDefault="005A6E82" w:rsidP="00272641">
            <w:pPr>
              <w:jc w:val="both"/>
              <w:rPr>
                <w:rFonts w:eastAsia="Times New Roman" w:cs="Times New Roman"/>
                <w:i/>
                <w:iCs/>
                <w:color w:val="000000"/>
                <w:lang w:eastAsia="en-US"/>
              </w:rPr>
            </w:pPr>
            <w:r w:rsidRPr="005A6E82">
              <w:rPr>
                <w:rFonts w:eastAsia="Times New Roman" w:cs="Times New Roman"/>
                <w:i/>
                <w:iCs/>
                <w:color w:val="000000"/>
                <w:lang w:eastAsia="en-US"/>
              </w:rPr>
              <w:t xml:space="preserve">tirailleurs </w:t>
            </w:r>
          </w:p>
        </w:tc>
        <w:tc>
          <w:tcPr>
            <w:tcW w:w="2790" w:type="dxa"/>
            <w:tcBorders>
              <w:top w:val="nil"/>
              <w:left w:val="nil"/>
              <w:bottom w:val="nil"/>
              <w:right w:val="nil"/>
            </w:tcBorders>
            <w:shd w:val="clear" w:color="auto" w:fill="auto"/>
            <w:vAlign w:val="center"/>
            <w:hideMark/>
          </w:tcPr>
          <w:p w14:paraId="2FDCE6DC" w14:textId="551A88CD" w:rsidR="005A6E82" w:rsidRPr="005A6E82" w:rsidRDefault="00B013B9" w:rsidP="00272641">
            <w:pPr>
              <w:jc w:val="both"/>
              <w:rPr>
                <w:rFonts w:eastAsia="Times New Roman" w:cs="Times New Roman"/>
                <w:color w:val="000000"/>
                <w:lang w:eastAsia="en-US"/>
              </w:rPr>
            </w:pPr>
            <w:r>
              <w:rPr>
                <w:rFonts w:eastAsia="Times New Roman" w:cs="Times New Roman"/>
                <w:color w:val="000000"/>
                <w:lang w:eastAsia="en-US"/>
              </w:rPr>
              <w:t xml:space="preserve">Variable between 0 and 2 based on the number of </w:t>
            </w:r>
            <w:r>
              <w:rPr>
                <w:rFonts w:eastAsia="Times New Roman" w:cs="Times New Roman"/>
                <w:i/>
                <w:color w:val="000000"/>
                <w:lang w:eastAsia="en-US"/>
              </w:rPr>
              <w:t>tirailleurs</w:t>
            </w:r>
            <w:r>
              <w:rPr>
                <w:rFonts w:eastAsia="Times New Roman" w:cs="Times New Roman"/>
                <w:color w:val="000000"/>
                <w:lang w:eastAsia="en-US"/>
              </w:rPr>
              <w:t xml:space="preserve"> throughout the colonial period</w:t>
            </w:r>
          </w:p>
        </w:tc>
        <w:tc>
          <w:tcPr>
            <w:tcW w:w="4050" w:type="dxa"/>
            <w:tcBorders>
              <w:top w:val="nil"/>
              <w:left w:val="nil"/>
              <w:bottom w:val="nil"/>
              <w:right w:val="nil"/>
            </w:tcBorders>
            <w:shd w:val="clear" w:color="auto" w:fill="auto"/>
            <w:vAlign w:val="center"/>
            <w:hideMark/>
          </w:tcPr>
          <w:p w14:paraId="48916169" w14:textId="3EAEEB85" w:rsidR="005A6E82" w:rsidRPr="00EA01B9" w:rsidRDefault="00EA01B9" w:rsidP="00272641">
            <w:pPr>
              <w:jc w:val="both"/>
              <w:rPr>
                <w:rFonts w:eastAsia="Times New Roman" w:cs="Times New Roman"/>
                <w:color w:val="000000"/>
                <w:lang w:eastAsia="en-US"/>
              </w:rPr>
            </w:pPr>
            <w:r>
              <w:rPr>
                <w:rFonts w:eastAsia="Times New Roman" w:cs="Times New Roman"/>
                <w:color w:val="000000"/>
                <w:lang w:eastAsia="en-US"/>
              </w:rPr>
              <w:t xml:space="preserve">Echenberg, Myron J. </w:t>
            </w:r>
            <w:r>
              <w:rPr>
                <w:rFonts w:eastAsia="Times New Roman" w:cs="Times New Roman"/>
                <w:i/>
                <w:color w:val="000000"/>
                <w:lang w:eastAsia="en-US"/>
              </w:rPr>
              <w:t xml:space="preserve">Colonial Conscripts: the Tirailleurs Sénégalais in French West Africa, 1857-1960. </w:t>
            </w:r>
            <w:r>
              <w:rPr>
                <w:rFonts w:eastAsia="Times New Roman" w:cs="Times New Roman"/>
                <w:color w:val="000000"/>
                <w:lang w:eastAsia="en-US"/>
              </w:rPr>
              <w:t xml:space="preserve">Portsmouth, NH: Heinneman, 1991. </w:t>
            </w:r>
          </w:p>
        </w:tc>
      </w:tr>
      <w:tr w:rsidR="005A6E82" w:rsidRPr="005A6E82" w14:paraId="2098907A" w14:textId="77777777" w:rsidTr="00C61E98">
        <w:trPr>
          <w:trHeight w:val="1800"/>
        </w:trPr>
        <w:tc>
          <w:tcPr>
            <w:tcW w:w="1635" w:type="dxa"/>
            <w:tcBorders>
              <w:top w:val="nil"/>
              <w:left w:val="nil"/>
              <w:bottom w:val="nil"/>
              <w:right w:val="nil"/>
            </w:tcBorders>
            <w:shd w:val="clear" w:color="auto" w:fill="auto"/>
            <w:vAlign w:val="center"/>
            <w:hideMark/>
          </w:tcPr>
          <w:p w14:paraId="5F35CD93"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trade flows</w:t>
            </w:r>
          </w:p>
        </w:tc>
        <w:tc>
          <w:tcPr>
            <w:tcW w:w="2790" w:type="dxa"/>
            <w:tcBorders>
              <w:top w:val="nil"/>
              <w:left w:val="nil"/>
              <w:bottom w:val="nil"/>
              <w:right w:val="nil"/>
            </w:tcBorders>
            <w:shd w:val="clear" w:color="auto" w:fill="auto"/>
            <w:vAlign w:val="center"/>
            <w:hideMark/>
          </w:tcPr>
          <w:p w14:paraId="2E1C56DF" w14:textId="052C6154" w:rsidR="005A6E82" w:rsidRPr="005A6E82" w:rsidRDefault="00B738EE" w:rsidP="00272641">
            <w:pPr>
              <w:jc w:val="both"/>
              <w:rPr>
                <w:rFonts w:eastAsia="Times New Roman" w:cs="Times New Roman"/>
                <w:color w:val="000000"/>
                <w:lang w:eastAsia="en-US"/>
              </w:rPr>
            </w:pPr>
            <w:r>
              <w:rPr>
                <w:rFonts w:eastAsia="Times New Roman" w:cs="Times New Roman"/>
                <w:color w:val="000000"/>
                <w:lang w:eastAsia="en-US"/>
              </w:rPr>
              <w:t>Trade flows between countries (dyadic)</w:t>
            </w:r>
          </w:p>
        </w:tc>
        <w:tc>
          <w:tcPr>
            <w:tcW w:w="4050" w:type="dxa"/>
            <w:tcBorders>
              <w:top w:val="nil"/>
              <w:left w:val="nil"/>
              <w:bottom w:val="nil"/>
              <w:right w:val="nil"/>
            </w:tcBorders>
            <w:shd w:val="clear" w:color="auto" w:fill="auto"/>
            <w:vAlign w:val="center"/>
            <w:hideMark/>
          </w:tcPr>
          <w:p w14:paraId="103D7405" w14:textId="0AE51552" w:rsidR="005A6E82" w:rsidRPr="005A6E82" w:rsidRDefault="00EA01B9" w:rsidP="00A632FD">
            <w:pPr>
              <w:jc w:val="both"/>
              <w:rPr>
                <w:rFonts w:eastAsia="Times New Roman" w:cs="Times New Roman"/>
                <w:color w:val="000000"/>
                <w:lang w:eastAsia="en-US"/>
              </w:rPr>
            </w:pPr>
            <w:r w:rsidRPr="005A6E82">
              <w:rPr>
                <w:rFonts w:eastAsia="Times New Roman" w:cs="Times New Roman"/>
                <w:color w:val="000000"/>
                <w:lang w:eastAsia="en-US"/>
              </w:rPr>
              <w:t>Barbieri, K</w:t>
            </w:r>
            <w:r>
              <w:rPr>
                <w:rFonts w:eastAsia="Times New Roman" w:cs="Times New Roman"/>
                <w:color w:val="000000"/>
                <w:lang w:eastAsia="en-US"/>
              </w:rPr>
              <w:t>atherine</w:t>
            </w:r>
            <w:r w:rsidRPr="005A6E82">
              <w:rPr>
                <w:rFonts w:eastAsia="Times New Roman" w:cs="Times New Roman"/>
                <w:color w:val="000000"/>
                <w:lang w:eastAsia="en-US"/>
              </w:rPr>
              <w:t xml:space="preserve"> and </w:t>
            </w:r>
            <w:r>
              <w:rPr>
                <w:rFonts w:eastAsia="Times New Roman" w:cs="Times New Roman"/>
                <w:color w:val="000000"/>
                <w:lang w:eastAsia="en-US"/>
              </w:rPr>
              <w:t xml:space="preserve">Omar Keshk. </w:t>
            </w:r>
            <w:r w:rsidRPr="005A6E82">
              <w:rPr>
                <w:rFonts w:eastAsia="Times New Roman" w:cs="Times New Roman"/>
                <w:color w:val="000000"/>
                <w:lang w:eastAsia="en-US"/>
              </w:rPr>
              <w:t xml:space="preserve"> </w:t>
            </w:r>
            <w:r w:rsidRPr="005A6E82">
              <w:rPr>
                <w:rFonts w:eastAsia="Times New Roman" w:cs="Times New Roman"/>
                <w:i/>
                <w:iCs/>
                <w:color w:val="000000"/>
                <w:lang w:eastAsia="en-US"/>
              </w:rPr>
              <w:t>Correlates of War Project Trade Data Set Codebook, Version 3.0</w:t>
            </w:r>
            <w:r>
              <w:rPr>
                <w:rFonts w:eastAsia="Times New Roman" w:cs="Times New Roman"/>
                <w:i/>
                <w:iCs/>
                <w:color w:val="000000"/>
                <w:lang w:eastAsia="en-US"/>
              </w:rPr>
              <w:t xml:space="preserve"> </w:t>
            </w:r>
            <w:r>
              <w:rPr>
                <w:rFonts w:eastAsia="Times New Roman" w:cs="Times New Roman"/>
                <w:iCs/>
                <w:color w:val="000000"/>
                <w:lang w:eastAsia="en-US"/>
              </w:rPr>
              <w:t>(2012).</w:t>
            </w:r>
            <w:r w:rsidRPr="005A6E82">
              <w:rPr>
                <w:rFonts w:eastAsia="Times New Roman" w:cs="Times New Roman"/>
                <w:i/>
                <w:iCs/>
                <w:color w:val="000000"/>
                <w:lang w:eastAsia="en-US"/>
              </w:rPr>
              <w:t xml:space="preserve"> </w:t>
            </w:r>
            <w:r w:rsidR="00A632FD">
              <w:rPr>
                <w:rFonts w:eastAsia="Times New Roman" w:cs="Times New Roman"/>
                <w:color w:val="000000"/>
                <w:lang w:eastAsia="en-US"/>
              </w:rPr>
              <w:t>Accessed August 18, 2014.</w:t>
            </w:r>
            <w:r w:rsidRPr="005A6E82">
              <w:rPr>
                <w:rFonts w:eastAsia="Times New Roman" w:cs="Times New Roman"/>
                <w:color w:val="000000"/>
                <w:lang w:eastAsia="en-US"/>
              </w:rPr>
              <w:t xml:space="preserve"> http://correlatesofwar.org</w:t>
            </w:r>
            <w:r w:rsidR="00A632FD">
              <w:rPr>
                <w:rFonts w:eastAsia="Times New Roman" w:cs="Times New Roman"/>
                <w:color w:val="000000"/>
                <w:lang w:eastAsia="en-US"/>
              </w:rPr>
              <w:t>.</w:t>
            </w:r>
          </w:p>
        </w:tc>
      </w:tr>
      <w:tr w:rsidR="005A6E82" w:rsidRPr="005A6E82" w14:paraId="5D7A7159" w14:textId="77777777" w:rsidTr="00C61E98">
        <w:trPr>
          <w:trHeight w:val="1449"/>
        </w:trPr>
        <w:tc>
          <w:tcPr>
            <w:tcW w:w="1635" w:type="dxa"/>
            <w:tcBorders>
              <w:top w:val="nil"/>
              <w:left w:val="nil"/>
              <w:right w:val="nil"/>
            </w:tcBorders>
            <w:shd w:val="clear" w:color="auto" w:fill="auto"/>
            <w:vAlign w:val="center"/>
            <w:hideMark/>
          </w:tcPr>
          <w:p w14:paraId="17EB55B0"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UN voting affinity</w:t>
            </w:r>
          </w:p>
        </w:tc>
        <w:tc>
          <w:tcPr>
            <w:tcW w:w="2790" w:type="dxa"/>
            <w:tcBorders>
              <w:top w:val="nil"/>
              <w:left w:val="nil"/>
              <w:right w:val="nil"/>
            </w:tcBorders>
            <w:shd w:val="clear" w:color="auto" w:fill="auto"/>
            <w:vAlign w:val="center"/>
            <w:hideMark/>
          </w:tcPr>
          <w:p w14:paraId="3A4311B6" w14:textId="129E8007" w:rsidR="005A6E82" w:rsidRPr="005A6E82" w:rsidRDefault="00FC6BEF" w:rsidP="00272641">
            <w:pPr>
              <w:jc w:val="both"/>
              <w:rPr>
                <w:rFonts w:eastAsia="Times New Roman" w:cs="Times New Roman"/>
                <w:color w:val="000000"/>
                <w:lang w:eastAsia="en-US"/>
              </w:rPr>
            </w:pPr>
            <w:r>
              <w:rPr>
                <w:rFonts w:eastAsia="Times New Roman" w:cs="Times New Roman"/>
                <w:color w:val="000000"/>
                <w:lang w:eastAsia="en-US"/>
              </w:rPr>
              <w:t>Voting similarity index (0-1) using three category vote data (yes, abstain, no)</w:t>
            </w:r>
            <w:r w:rsidR="00B738EE">
              <w:rPr>
                <w:rFonts w:eastAsia="Times New Roman" w:cs="Times New Roman"/>
                <w:color w:val="000000"/>
                <w:lang w:eastAsia="en-US"/>
              </w:rPr>
              <w:t xml:space="preserve"> (dyadic)</w:t>
            </w:r>
          </w:p>
        </w:tc>
        <w:tc>
          <w:tcPr>
            <w:tcW w:w="4050" w:type="dxa"/>
            <w:tcBorders>
              <w:top w:val="nil"/>
              <w:left w:val="nil"/>
              <w:right w:val="nil"/>
            </w:tcBorders>
            <w:shd w:val="clear" w:color="auto" w:fill="auto"/>
            <w:vAlign w:val="center"/>
            <w:hideMark/>
          </w:tcPr>
          <w:p w14:paraId="3A0B459D" w14:textId="2A6BCDD6" w:rsidR="005A6E82" w:rsidRPr="00FC6BEF" w:rsidRDefault="00FC6BEF" w:rsidP="00A632FD">
            <w:pPr>
              <w:jc w:val="both"/>
              <w:rPr>
                <w:rFonts w:eastAsia="Times New Roman" w:cs="Times New Roman"/>
                <w:color w:val="000000"/>
                <w:lang w:eastAsia="en-US"/>
              </w:rPr>
            </w:pPr>
            <w:r>
              <w:rPr>
                <w:rFonts w:eastAsia="Times New Roman" w:cs="Times New Roman"/>
                <w:color w:val="000000"/>
                <w:lang w:eastAsia="en-US"/>
              </w:rPr>
              <w:t xml:space="preserve">Bailey, Michael, Anton Strezhnev, and Erik Voeten. “Estimating Dynamic State Preferences from UN Voting Data.” Forthcoming </w:t>
            </w:r>
            <w:r>
              <w:rPr>
                <w:rFonts w:eastAsia="Times New Roman" w:cs="Times New Roman"/>
                <w:i/>
                <w:color w:val="000000"/>
                <w:lang w:eastAsia="en-US"/>
              </w:rPr>
              <w:t xml:space="preserve">Journal of Conflict Resolution. </w:t>
            </w:r>
          </w:p>
        </w:tc>
      </w:tr>
      <w:tr w:rsidR="005A6E82" w:rsidRPr="005A6E82" w14:paraId="32B68311" w14:textId="77777777" w:rsidTr="00C61E98">
        <w:trPr>
          <w:trHeight w:val="300"/>
        </w:trPr>
        <w:tc>
          <w:tcPr>
            <w:tcW w:w="1635" w:type="dxa"/>
            <w:tcBorders>
              <w:top w:val="nil"/>
              <w:left w:val="nil"/>
              <w:bottom w:val="single" w:sz="4" w:space="0" w:color="auto"/>
              <w:right w:val="nil"/>
            </w:tcBorders>
            <w:shd w:val="clear" w:color="auto" w:fill="auto"/>
            <w:vAlign w:val="center"/>
            <w:hideMark/>
          </w:tcPr>
          <w:p w14:paraId="3D5B50F4" w14:textId="77777777" w:rsidR="005A6E82" w:rsidRPr="005A6E82" w:rsidRDefault="005A6E82" w:rsidP="00272641">
            <w:pPr>
              <w:jc w:val="both"/>
              <w:rPr>
                <w:rFonts w:eastAsia="Times New Roman" w:cs="Times New Roman"/>
                <w:color w:val="000000"/>
                <w:lang w:eastAsia="en-US"/>
              </w:rPr>
            </w:pPr>
            <w:r w:rsidRPr="005A6E82">
              <w:rPr>
                <w:rFonts w:eastAsia="Times New Roman" w:cs="Times New Roman"/>
                <w:color w:val="000000"/>
                <w:lang w:eastAsia="en-US"/>
              </w:rPr>
              <w:t>years of possession</w:t>
            </w:r>
          </w:p>
        </w:tc>
        <w:tc>
          <w:tcPr>
            <w:tcW w:w="2790" w:type="dxa"/>
            <w:tcBorders>
              <w:top w:val="nil"/>
              <w:left w:val="nil"/>
              <w:bottom w:val="single" w:sz="4" w:space="0" w:color="auto"/>
              <w:right w:val="nil"/>
            </w:tcBorders>
            <w:shd w:val="clear" w:color="auto" w:fill="auto"/>
            <w:vAlign w:val="center"/>
            <w:hideMark/>
          </w:tcPr>
          <w:p w14:paraId="733D7083" w14:textId="1216AF83" w:rsidR="005A6E82" w:rsidRPr="005A6E82" w:rsidRDefault="00D82B72" w:rsidP="00272641">
            <w:pPr>
              <w:jc w:val="both"/>
              <w:rPr>
                <w:rFonts w:eastAsia="Times New Roman" w:cs="Times New Roman"/>
                <w:color w:val="000000"/>
                <w:lang w:eastAsia="en-US"/>
              </w:rPr>
            </w:pPr>
            <w:r>
              <w:rPr>
                <w:rFonts w:eastAsia="Times New Roman" w:cs="Times New Roman"/>
                <w:color w:val="000000"/>
                <w:lang w:eastAsia="en-US"/>
              </w:rPr>
              <w:t>The number of years a possession was occupied by France</w:t>
            </w:r>
          </w:p>
        </w:tc>
        <w:tc>
          <w:tcPr>
            <w:tcW w:w="4050" w:type="dxa"/>
            <w:tcBorders>
              <w:top w:val="nil"/>
              <w:left w:val="nil"/>
              <w:bottom w:val="single" w:sz="4" w:space="0" w:color="auto"/>
              <w:right w:val="nil"/>
            </w:tcBorders>
            <w:shd w:val="clear" w:color="auto" w:fill="auto"/>
            <w:vAlign w:val="center"/>
            <w:hideMark/>
          </w:tcPr>
          <w:p w14:paraId="1712438F" w14:textId="6DDA554F" w:rsidR="005A6E82" w:rsidRPr="005A6E82" w:rsidRDefault="00EA01B9" w:rsidP="00272641">
            <w:pPr>
              <w:jc w:val="both"/>
              <w:rPr>
                <w:rFonts w:eastAsia="Times New Roman" w:cs="Times New Roman"/>
                <w:color w:val="000000"/>
                <w:lang w:eastAsia="en-US"/>
              </w:rPr>
            </w:pPr>
            <w:r w:rsidRPr="00EA01B9">
              <w:t xml:space="preserve">Cooper, Frederick. </w:t>
            </w:r>
            <w:r w:rsidRPr="00EA01B9">
              <w:rPr>
                <w:i/>
              </w:rPr>
              <w:t xml:space="preserve">Citizenship between Empire and Nation: Remaking France and French Africa, 1945-1960. </w:t>
            </w:r>
            <w:r w:rsidRPr="00EA01B9">
              <w:t>Princeton: Princeton University Press, 2014.</w:t>
            </w:r>
          </w:p>
        </w:tc>
      </w:tr>
    </w:tbl>
    <w:p w14:paraId="7B9CA414" w14:textId="77777777" w:rsidR="00A85FFD" w:rsidRDefault="00A85FFD" w:rsidP="00272641">
      <w:pPr>
        <w:spacing w:after="0" w:line="480" w:lineRule="auto"/>
        <w:jc w:val="both"/>
      </w:pPr>
    </w:p>
    <w:p w14:paraId="286F85B5" w14:textId="77777777" w:rsidR="00950556" w:rsidRDefault="00950556" w:rsidP="00272641">
      <w:pPr>
        <w:jc w:val="both"/>
        <w:rPr>
          <w:b/>
        </w:rPr>
      </w:pPr>
      <w:r>
        <w:rPr>
          <w:b/>
        </w:rPr>
        <w:br w:type="page"/>
      </w:r>
    </w:p>
    <w:p w14:paraId="209A6943" w14:textId="7C50BAE5" w:rsidR="00950556" w:rsidRPr="006517B2" w:rsidRDefault="00950556" w:rsidP="00272641">
      <w:pPr>
        <w:spacing w:after="0"/>
        <w:jc w:val="center"/>
        <w:rPr>
          <w:b/>
          <w:sz w:val="28"/>
          <w:szCs w:val="28"/>
        </w:rPr>
      </w:pPr>
      <w:r w:rsidRPr="006517B2">
        <w:rPr>
          <w:b/>
          <w:sz w:val="28"/>
          <w:szCs w:val="28"/>
        </w:rPr>
        <w:t xml:space="preserve">Appendix </w:t>
      </w:r>
      <w:r w:rsidR="00A83691">
        <w:rPr>
          <w:b/>
          <w:sz w:val="28"/>
          <w:szCs w:val="28"/>
        </w:rPr>
        <w:t>D</w:t>
      </w:r>
    </w:p>
    <w:p w14:paraId="5EC4F52C" w14:textId="68E1AFCE" w:rsidR="00950556" w:rsidRDefault="00950556" w:rsidP="00272641">
      <w:pPr>
        <w:spacing w:after="0"/>
        <w:jc w:val="center"/>
        <w:rPr>
          <w:b/>
        </w:rPr>
      </w:pPr>
      <w:r>
        <w:rPr>
          <w:b/>
        </w:rPr>
        <w:t>Regression Tables</w:t>
      </w:r>
    </w:p>
    <w:p w14:paraId="272D9630" w14:textId="77777777" w:rsidR="006517B2" w:rsidRDefault="006517B2" w:rsidP="00272641">
      <w:pPr>
        <w:spacing w:after="0"/>
        <w:jc w:val="center"/>
        <w:rPr>
          <w:b/>
        </w:rPr>
      </w:pPr>
    </w:p>
    <w:p w14:paraId="7E157A22" w14:textId="77777777" w:rsidR="00272641" w:rsidRPr="00950556" w:rsidRDefault="00272641" w:rsidP="00272641">
      <w:pPr>
        <w:spacing w:after="0"/>
        <w:jc w:val="center"/>
        <w:rPr>
          <w:b/>
        </w:rPr>
      </w:pPr>
    </w:p>
    <w:p w14:paraId="434F8B3A" w14:textId="27CFCE78" w:rsidR="00A85FFD" w:rsidRPr="00272641" w:rsidRDefault="00A85FFD" w:rsidP="00272641">
      <w:pPr>
        <w:spacing w:after="0" w:line="480" w:lineRule="auto"/>
        <w:jc w:val="center"/>
      </w:pPr>
      <w:r w:rsidRPr="00272641">
        <w:t>UN Voting</w:t>
      </w:r>
    </w:p>
    <w:p w14:paraId="1E6F3D2F" w14:textId="2FF6C0DD" w:rsidR="007229CD" w:rsidRDefault="007229CD" w:rsidP="00272641">
      <w:pPr>
        <w:spacing w:after="0" w:line="480" w:lineRule="auto"/>
        <w:ind w:firstLine="720"/>
        <w:jc w:val="both"/>
      </w:pPr>
      <w:r>
        <w:t>The following section presents regression analysis to address the argument for UN voting affinity presented in “Who Gives Foreign Aid to Whom and Why?” Alesina and Dollar argue that UN votes are a “reliable indication of the political alliances between countries and that these political alliances in part determine aid flow.”</w:t>
      </w:r>
      <w:r>
        <w:rPr>
          <w:rStyle w:val="FootnoteReference"/>
        </w:rPr>
        <w:footnoteReference w:id="210"/>
      </w:r>
      <w:r>
        <w:t xml:space="preserve"> However, other scholars—notably Kuziemko and Werker (2006)—argue that members of the UN Security Council, especially the US, give aid to rotating members on the Security Council in exchange for votes. The following analysis addresses this debate, and I find that UN voting affinity, which is a dyadic variable, has a positive and significant effect on bilateral aid committed. This can be seen in Table </w:t>
      </w:r>
      <w:r w:rsidR="00A83691">
        <w:t>D</w:t>
      </w:r>
      <w:r w:rsidR="009503B1">
        <w:t>.</w:t>
      </w:r>
      <w:r w:rsidR="005A27A4" w:rsidRPr="002F7AEE">
        <w:t>1</w:t>
      </w:r>
      <w:r w:rsidR="009503B1">
        <w:t>.</w:t>
      </w:r>
      <w:r w:rsidRPr="002F7AEE">
        <w:t>,</w:t>
      </w:r>
      <w:r>
        <w:t xml:space="preserve"> column (4).</w:t>
      </w:r>
      <w:r w:rsidR="009503B1">
        <w:t xml:space="preserve"> Table </w:t>
      </w:r>
      <w:r w:rsidR="00A83691">
        <w:t>D</w:t>
      </w:r>
      <w:r w:rsidR="009503B1">
        <w:t>.</w:t>
      </w:r>
      <w:r w:rsidR="00A66B3E">
        <w:t>2</w:t>
      </w:r>
      <w:r w:rsidR="009503B1">
        <w:t>.</w:t>
      </w:r>
      <w:r w:rsidR="00A66B3E">
        <w:t xml:space="preserve"> shows the regression analysis for former French colonies only.</w:t>
      </w:r>
      <w:r>
        <w:t xml:space="preserve"> </w:t>
      </w:r>
      <w:r w:rsidR="005A27A4">
        <w:t xml:space="preserve">Additionally, I ran regressions with UN voting affinity as the dependent variable </w:t>
      </w:r>
      <w:r w:rsidR="00A66B3E">
        <w:t>with similar controls from previous analyses</w:t>
      </w:r>
      <w:r w:rsidR="005A27A4">
        <w:t>. The re</w:t>
      </w:r>
      <w:r w:rsidR="009503B1">
        <w:t xml:space="preserve">sults are presented in Tables </w:t>
      </w:r>
      <w:r w:rsidR="00A83691">
        <w:t>D</w:t>
      </w:r>
      <w:r w:rsidR="009503B1">
        <w:t>.</w:t>
      </w:r>
      <w:r w:rsidR="00A66B3E">
        <w:t>3</w:t>
      </w:r>
      <w:r w:rsidR="009503B1">
        <w:t xml:space="preserve">. and </w:t>
      </w:r>
      <w:r w:rsidR="00A83691">
        <w:t>D</w:t>
      </w:r>
      <w:r w:rsidR="009503B1">
        <w:t>.</w:t>
      </w:r>
      <w:r w:rsidR="00A66B3E">
        <w:t>4</w:t>
      </w:r>
      <w:r w:rsidR="005A27A4">
        <w:t>.</w:t>
      </w:r>
    </w:p>
    <w:p w14:paraId="2C8AF68A" w14:textId="31CE344B" w:rsidR="00A66B3E" w:rsidRDefault="00A66B3E">
      <w:r>
        <w:br w:type="page"/>
      </w:r>
    </w:p>
    <w:p w14:paraId="6E4C2E38" w14:textId="77777777" w:rsidR="00A66B3E" w:rsidRDefault="00A66B3E" w:rsidP="00272641">
      <w:pPr>
        <w:spacing w:after="0"/>
        <w:ind w:right="360"/>
        <w:rPr>
          <w:rFonts w:eastAsia="Times New Roman" w:cs="Times New Roman"/>
          <w:b/>
          <w:bCs/>
          <w:color w:val="000000"/>
          <w:lang w:eastAsia="en-US"/>
        </w:rPr>
        <w:sectPr w:rsidR="00A66B3E" w:rsidSect="00D0314C">
          <w:headerReference w:type="default" r:id="rId18"/>
          <w:footerReference w:type="default" r:id="rId19"/>
          <w:pgSz w:w="12240" w:h="15840"/>
          <w:pgMar w:top="1440" w:right="1440" w:bottom="1440" w:left="2520" w:header="720" w:footer="720" w:gutter="0"/>
          <w:cols w:space="720"/>
        </w:sectPr>
      </w:pPr>
    </w:p>
    <w:tbl>
      <w:tblPr>
        <w:tblW w:w="6720" w:type="dxa"/>
        <w:tblInd w:w="93" w:type="dxa"/>
        <w:tblLook w:val="04A0" w:firstRow="1" w:lastRow="0" w:firstColumn="1" w:lastColumn="0" w:noHBand="0" w:noVBand="1"/>
      </w:tblPr>
      <w:tblGrid>
        <w:gridCol w:w="498"/>
        <w:gridCol w:w="498"/>
        <w:gridCol w:w="498"/>
        <w:gridCol w:w="498"/>
        <w:gridCol w:w="498"/>
        <w:gridCol w:w="498"/>
        <w:gridCol w:w="498"/>
        <w:gridCol w:w="498"/>
        <w:gridCol w:w="498"/>
        <w:gridCol w:w="498"/>
        <w:gridCol w:w="498"/>
        <w:gridCol w:w="498"/>
        <w:gridCol w:w="498"/>
        <w:gridCol w:w="498"/>
        <w:gridCol w:w="498"/>
        <w:gridCol w:w="498"/>
      </w:tblGrid>
      <w:tr w:rsidR="00AE1490" w:rsidRPr="00AE1490" w14:paraId="75E05916" w14:textId="77777777" w:rsidTr="00AE1490">
        <w:trPr>
          <w:trHeight w:val="1180"/>
        </w:trPr>
        <w:tc>
          <w:tcPr>
            <w:tcW w:w="380" w:type="dxa"/>
            <w:vMerge w:val="restart"/>
            <w:tcBorders>
              <w:top w:val="nil"/>
              <w:left w:val="nil"/>
              <w:bottom w:val="nil"/>
              <w:right w:val="single" w:sz="4" w:space="0" w:color="auto"/>
            </w:tcBorders>
            <w:shd w:val="clear" w:color="auto" w:fill="auto"/>
            <w:noWrap/>
            <w:textDirection w:val="btLr"/>
            <w:vAlign w:val="bottom"/>
            <w:hideMark/>
          </w:tcPr>
          <w:p w14:paraId="2D23205C" w14:textId="77777777" w:rsidR="00AE1490" w:rsidRPr="00AE1490" w:rsidRDefault="00AE1490" w:rsidP="00AE1490">
            <w:pPr>
              <w:spacing w:after="0"/>
              <w:rPr>
                <w:rFonts w:eastAsia="Times New Roman" w:cs="Times New Roman"/>
                <w:color w:val="000000"/>
                <w:lang w:eastAsia="en-US"/>
              </w:rPr>
            </w:pPr>
            <w:r w:rsidRPr="00AE1490">
              <w:rPr>
                <w:rFonts w:eastAsia="Times New Roman" w:cs="Times New Roman"/>
                <w:color w:val="000000"/>
                <w:lang w:eastAsia="en-US"/>
              </w:rPr>
              <w:t>Table D.1. Bilateral aid committed (ln) with UN voting affinity, full sample</w:t>
            </w:r>
          </w:p>
        </w:tc>
        <w:tc>
          <w:tcPr>
            <w:tcW w:w="460" w:type="dxa"/>
            <w:tcBorders>
              <w:top w:val="nil"/>
              <w:left w:val="nil"/>
              <w:bottom w:val="nil"/>
              <w:right w:val="nil"/>
            </w:tcBorders>
            <w:shd w:val="clear" w:color="auto" w:fill="auto"/>
            <w:textDirection w:val="btLr"/>
            <w:vAlign w:val="center"/>
            <w:hideMark/>
          </w:tcPr>
          <w:p w14:paraId="379D21B2"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(8)</w:t>
            </w:r>
          </w:p>
        </w:tc>
        <w:tc>
          <w:tcPr>
            <w:tcW w:w="420" w:type="dxa"/>
            <w:tcBorders>
              <w:top w:val="nil"/>
              <w:left w:val="nil"/>
              <w:bottom w:val="nil"/>
              <w:right w:val="nil"/>
            </w:tcBorders>
            <w:shd w:val="clear" w:color="auto" w:fill="auto"/>
            <w:noWrap/>
            <w:textDirection w:val="btLr"/>
            <w:vAlign w:val="center"/>
            <w:hideMark/>
          </w:tcPr>
          <w:p w14:paraId="22226CF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0.316***</w:t>
            </w:r>
          </w:p>
        </w:tc>
        <w:tc>
          <w:tcPr>
            <w:tcW w:w="420" w:type="dxa"/>
            <w:tcBorders>
              <w:top w:val="nil"/>
              <w:left w:val="nil"/>
              <w:bottom w:val="nil"/>
              <w:right w:val="nil"/>
            </w:tcBorders>
            <w:shd w:val="clear" w:color="auto" w:fill="auto"/>
            <w:noWrap/>
            <w:textDirection w:val="btLr"/>
            <w:vAlign w:val="center"/>
            <w:hideMark/>
          </w:tcPr>
          <w:p w14:paraId="1DBA847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(0.022)</w:t>
            </w:r>
          </w:p>
        </w:tc>
        <w:tc>
          <w:tcPr>
            <w:tcW w:w="420" w:type="dxa"/>
            <w:tcBorders>
              <w:top w:val="nil"/>
              <w:left w:val="nil"/>
              <w:bottom w:val="nil"/>
              <w:right w:val="nil"/>
            </w:tcBorders>
            <w:shd w:val="clear" w:color="auto" w:fill="auto"/>
            <w:noWrap/>
            <w:textDirection w:val="btLr"/>
            <w:vAlign w:val="center"/>
            <w:hideMark/>
          </w:tcPr>
          <w:p w14:paraId="1778891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0.449***</w:t>
            </w:r>
          </w:p>
        </w:tc>
        <w:tc>
          <w:tcPr>
            <w:tcW w:w="420" w:type="dxa"/>
            <w:tcBorders>
              <w:top w:val="nil"/>
              <w:left w:val="nil"/>
              <w:bottom w:val="nil"/>
              <w:right w:val="nil"/>
            </w:tcBorders>
            <w:shd w:val="clear" w:color="auto" w:fill="auto"/>
            <w:noWrap/>
            <w:textDirection w:val="btLr"/>
            <w:vAlign w:val="center"/>
            <w:hideMark/>
          </w:tcPr>
          <w:p w14:paraId="062F481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(0.057)</w:t>
            </w:r>
          </w:p>
        </w:tc>
        <w:tc>
          <w:tcPr>
            <w:tcW w:w="420" w:type="dxa"/>
            <w:tcBorders>
              <w:top w:val="nil"/>
              <w:left w:val="nil"/>
              <w:bottom w:val="nil"/>
              <w:right w:val="nil"/>
            </w:tcBorders>
            <w:shd w:val="clear" w:color="auto" w:fill="auto"/>
            <w:noWrap/>
            <w:textDirection w:val="btLr"/>
            <w:vAlign w:val="center"/>
            <w:hideMark/>
          </w:tcPr>
          <w:p w14:paraId="5EED57F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5253C49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2A9C15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-0.030</w:t>
            </w:r>
          </w:p>
        </w:tc>
        <w:tc>
          <w:tcPr>
            <w:tcW w:w="420" w:type="dxa"/>
            <w:tcBorders>
              <w:top w:val="nil"/>
              <w:left w:val="nil"/>
              <w:bottom w:val="nil"/>
              <w:right w:val="nil"/>
            </w:tcBorders>
            <w:shd w:val="clear" w:color="auto" w:fill="auto"/>
            <w:noWrap/>
            <w:textDirection w:val="btLr"/>
            <w:vAlign w:val="center"/>
            <w:hideMark/>
          </w:tcPr>
          <w:p w14:paraId="756B742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(0.188)</w:t>
            </w:r>
          </w:p>
        </w:tc>
        <w:tc>
          <w:tcPr>
            <w:tcW w:w="420" w:type="dxa"/>
            <w:tcBorders>
              <w:top w:val="nil"/>
              <w:left w:val="nil"/>
              <w:bottom w:val="nil"/>
              <w:right w:val="nil"/>
            </w:tcBorders>
            <w:shd w:val="clear" w:color="auto" w:fill="auto"/>
            <w:noWrap/>
            <w:textDirection w:val="btLr"/>
            <w:vAlign w:val="center"/>
            <w:hideMark/>
          </w:tcPr>
          <w:p w14:paraId="36531F7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0.487</w:t>
            </w:r>
          </w:p>
        </w:tc>
        <w:tc>
          <w:tcPr>
            <w:tcW w:w="420" w:type="dxa"/>
            <w:tcBorders>
              <w:top w:val="nil"/>
              <w:left w:val="nil"/>
              <w:bottom w:val="nil"/>
              <w:right w:val="nil"/>
            </w:tcBorders>
            <w:shd w:val="clear" w:color="auto" w:fill="auto"/>
            <w:noWrap/>
            <w:textDirection w:val="btLr"/>
            <w:vAlign w:val="center"/>
            <w:hideMark/>
          </w:tcPr>
          <w:p w14:paraId="2DEB978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(0.471)</w:t>
            </w:r>
          </w:p>
        </w:tc>
        <w:tc>
          <w:tcPr>
            <w:tcW w:w="420" w:type="dxa"/>
            <w:tcBorders>
              <w:top w:val="nil"/>
              <w:left w:val="nil"/>
              <w:bottom w:val="nil"/>
              <w:right w:val="nil"/>
            </w:tcBorders>
            <w:shd w:val="clear" w:color="auto" w:fill="auto"/>
            <w:noWrap/>
            <w:textDirection w:val="btLr"/>
            <w:vAlign w:val="center"/>
            <w:hideMark/>
          </w:tcPr>
          <w:p w14:paraId="422050A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0.563***</w:t>
            </w:r>
          </w:p>
        </w:tc>
        <w:tc>
          <w:tcPr>
            <w:tcW w:w="420" w:type="dxa"/>
            <w:tcBorders>
              <w:top w:val="nil"/>
              <w:left w:val="nil"/>
              <w:bottom w:val="nil"/>
              <w:right w:val="nil"/>
            </w:tcBorders>
            <w:shd w:val="clear" w:color="auto" w:fill="auto"/>
            <w:noWrap/>
            <w:textDirection w:val="btLr"/>
            <w:vAlign w:val="center"/>
            <w:hideMark/>
          </w:tcPr>
          <w:p w14:paraId="6CC3359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(0.198)</w:t>
            </w:r>
          </w:p>
        </w:tc>
        <w:tc>
          <w:tcPr>
            <w:tcW w:w="420" w:type="dxa"/>
            <w:tcBorders>
              <w:top w:val="nil"/>
              <w:left w:val="nil"/>
              <w:bottom w:val="nil"/>
              <w:right w:val="nil"/>
            </w:tcBorders>
            <w:shd w:val="clear" w:color="auto" w:fill="auto"/>
            <w:noWrap/>
            <w:textDirection w:val="btLr"/>
            <w:vAlign w:val="center"/>
            <w:hideMark/>
          </w:tcPr>
          <w:p w14:paraId="17EBC5A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-0.010</w:t>
            </w:r>
          </w:p>
        </w:tc>
        <w:tc>
          <w:tcPr>
            <w:tcW w:w="420" w:type="dxa"/>
            <w:tcBorders>
              <w:top w:val="nil"/>
              <w:left w:val="nil"/>
              <w:bottom w:val="nil"/>
              <w:right w:val="nil"/>
            </w:tcBorders>
            <w:shd w:val="clear" w:color="auto" w:fill="auto"/>
            <w:noWrap/>
            <w:textDirection w:val="btLr"/>
            <w:vAlign w:val="center"/>
            <w:hideMark/>
          </w:tcPr>
          <w:p w14:paraId="4B0ABC2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(0.013)</w:t>
            </w:r>
          </w:p>
        </w:tc>
      </w:tr>
      <w:tr w:rsidR="00AE1490" w:rsidRPr="00AE1490" w14:paraId="16319783" w14:textId="77777777" w:rsidTr="00AE1490">
        <w:trPr>
          <w:trHeight w:val="1180"/>
        </w:trPr>
        <w:tc>
          <w:tcPr>
            <w:tcW w:w="380" w:type="dxa"/>
            <w:vMerge/>
            <w:tcBorders>
              <w:top w:val="nil"/>
              <w:left w:val="nil"/>
              <w:bottom w:val="nil"/>
              <w:right w:val="single" w:sz="4" w:space="0" w:color="auto"/>
            </w:tcBorders>
            <w:vAlign w:val="center"/>
            <w:hideMark/>
          </w:tcPr>
          <w:p w14:paraId="3AC6A10C"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711D0D2B"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(7)</w:t>
            </w:r>
          </w:p>
        </w:tc>
        <w:tc>
          <w:tcPr>
            <w:tcW w:w="420" w:type="dxa"/>
            <w:tcBorders>
              <w:top w:val="nil"/>
              <w:left w:val="nil"/>
              <w:bottom w:val="nil"/>
              <w:right w:val="nil"/>
            </w:tcBorders>
            <w:shd w:val="clear" w:color="auto" w:fill="auto"/>
            <w:noWrap/>
            <w:textDirection w:val="btLr"/>
            <w:vAlign w:val="center"/>
            <w:hideMark/>
          </w:tcPr>
          <w:p w14:paraId="028F133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0.342***</w:t>
            </w:r>
          </w:p>
        </w:tc>
        <w:tc>
          <w:tcPr>
            <w:tcW w:w="420" w:type="dxa"/>
            <w:tcBorders>
              <w:top w:val="nil"/>
              <w:left w:val="nil"/>
              <w:bottom w:val="nil"/>
              <w:right w:val="nil"/>
            </w:tcBorders>
            <w:shd w:val="clear" w:color="auto" w:fill="auto"/>
            <w:noWrap/>
            <w:textDirection w:val="btLr"/>
            <w:vAlign w:val="center"/>
            <w:hideMark/>
          </w:tcPr>
          <w:p w14:paraId="45E13B1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(0.020)</w:t>
            </w:r>
          </w:p>
        </w:tc>
        <w:tc>
          <w:tcPr>
            <w:tcW w:w="420" w:type="dxa"/>
            <w:tcBorders>
              <w:top w:val="nil"/>
              <w:left w:val="nil"/>
              <w:bottom w:val="nil"/>
              <w:right w:val="nil"/>
            </w:tcBorders>
            <w:shd w:val="clear" w:color="auto" w:fill="auto"/>
            <w:noWrap/>
            <w:textDirection w:val="btLr"/>
            <w:vAlign w:val="center"/>
            <w:hideMark/>
          </w:tcPr>
          <w:p w14:paraId="6CA3A7F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0.415***</w:t>
            </w:r>
          </w:p>
        </w:tc>
        <w:tc>
          <w:tcPr>
            <w:tcW w:w="420" w:type="dxa"/>
            <w:tcBorders>
              <w:top w:val="nil"/>
              <w:left w:val="nil"/>
              <w:bottom w:val="nil"/>
              <w:right w:val="nil"/>
            </w:tcBorders>
            <w:shd w:val="clear" w:color="auto" w:fill="auto"/>
            <w:noWrap/>
            <w:textDirection w:val="btLr"/>
            <w:vAlign w:val="center"/>
            <w:hideMark/>
          </w:tcPr>
          <w:p w14:paraId="5D7050D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(0.045)</w:t>
            </w:r>
          </w:p>
        </w:tc>
        <w:tc>
          <w:tcPr>
            <w:tcW w:w="420" w:type="dxa"/>
            <w:tcBorders>
              <w:top w:val="nil"/>
              <w:left w:val="nil"/>
              <w:bottom w:val="nil"/>
              <w:right w:val="nil"/>
            </w:tcBorders>
            <w:shd w:val="clear" w:color="auto" w:fill="auto"/>
            <w:noWrap/>
            <w:textDirection w:val="btLr"/>
            <w:vAlign w:val="center"/>
            <w:hideMark/>
          </w:tcPr>
          <w:p w14:paraId="38DAA10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3660374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434647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-0.072</w:t>
            </w:r>
          </w:p>
        </w:tc>
        <w:tc>
          <w:tcPr>
            <w:tcW w:w="420" w:type="dxa"/>
            <w:tcBorders>
              <w:top w:val="nil"/>
              <w:left w:val="nil"/>
              <w:bottom w:val="nil"/>
              <w:right w:val="nil"/>
            </w:tcBorders>
            <w:shd w:val="clear" w:color="auto" w:fill="auto"/>
            <w:noWrap/>
            <w:textDirection w:val="btLr"/>
            <w:vAlign w:val="center"/>
            <w:hideMark/>
          </w:tcPr>
          <w:p w14:paraId="08FE4D3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(0.186)</w:t>
            </w:r>
          </w:p>
        </w:tc>
        <w:tc>
          <w:tcPr>
            <w:tcW w:w="420" w:type="dxa"/>
            <w:tcBorders>
              <w:top w:val="nil"/>
              <w:left w:val="nil"/>
              <w:bottom w:val="nil"/>
              <w:right w:val="nil"/>
            </w:tcBorders>
            <w:shd w:val="clear" w:color="auto" w:fill="auto"/>
            <w:noWrap/>
            <w:textDirection w:val="btLr"/>
            <w:vAlign w:val="center"/>
            <w:hideMark/>
          </w:tcPr>
          <w:p w14:paraId="1EE5351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0.483</w:t>
            </w:r>
          </w:p>
        </w:tc>
        <w:tc>
          <w:tcPr>
            <w:tcW w:w="420" w:type="dxa"/>
            <w:tcBorders>
              <w:top w:val="nil"/>
              <w:left w:val="nil"/>
              <w:bottom w:val="nil"/>
              <w:right w:val="nil"/>
            </w:tcBorders>
            <w:shd w:val="clear" w:color="auto" w:fill="auto"/>
            <w:noWrap/>
            <w:textDirection w:val="btLr"/>
            <w:vAlign w:val="center"/>
            <w:hideMark/>
          </w:tcPr>
          <w:p w14:paraId="5A325B5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(0.468)</w:t>
            </w:r>
          </w:p>
        </w:tc>
        <w:tc>
          <w:tcPr>
            <w:tcW w:w="420" w:type="dxa"/>
            <w:tcBorders>
              <w:top w:val="nil"/>
              <w:left w:val="nil"/>
              <w:bottom w:val="nil"/>
              <w:right w:val="nil"/>
            </w:tcBorders>
            <w:shd w:val="clear" w:color="auto" w:fill="auto"/>
            <w:noWrap/>
            <w:textDirection w:val="btLr"/>
            <w:vAlign w:val="center"/>
            <w:hideMark/>
          </w:tcPr>
          <w:p w14:paraId="58E7FED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0.568***</w:t>
            </w:r>
          </w:p>
        </w:tc>
        <w:tc>
          <w:tcPr>
            <w:tcW w:w="420" w:type="dxa"/>
            <w:tcBorders>
              <w:top w:val="nil"/>
              <w:left w:val="nil"/>
              <w:bottom w:val="nil"/>
              <w:right w:val="nil"/>
            </w:tcBorders>
            <w:shd w:val="clear" w:color="auto" w:fill="auto"/>
            <w:noWrap/>
            <w:textDirection w:val="btLr"/>
            <w:vAlign w:val="center"/>
            <w:hideMark/>
          </w:tcPr>
          <w:p w14:paraId="572841D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(0.199)</w:t>
            </w:r>
          </w:p>
        </w:tc>
        <w:tc>
          <w:tcPr>
            <w:tcW w:w="420" w:type="dxa"/>
            <w:tcBorders>
              <w:top w:val="nil"/>
              <w:left w:val="nil"/>
              <w:bottom w:val="nil"/>
              <w:right w:val="nil"/>
            </w:tcBorders>
            <w:shd w:val="clear" w:color="auto" w:fill="auto"/>
            <w:noWrap/>
            <w:textDirection w:val="btLr"/>
            <w:vAlign w:val="center"/>
            <w:hideMark/>
          </w:tcPr>
          <w:p w14:paraId="3E72B6B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-0.020*</w:t>
            </w:r>
          </w:p>
        </w:tc>
        <w:tc>
          <w:tcPr>
            <w:tcW w:w="420" w:type="dxa"/>
            <w:tcBorders>
              <w:top w:val="nil"/>
              <w:left w:val="nil"/>
              <w:bottom w:val="nil"/>
              <w:right w:val="nil"/>
            </w:tcBorders>
            <w:shd w:val="clear" w:color="auto" w:fill="auto"/>
            <w:noWrap/>
            <w:textDirection w:val="btLr"/>
            <w:vAlign w:val="center"/>
            <w:hideMark/>
          </w:tcPr>
          <w:p w14:paraId="51D93E2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(0.012)</w:t>
            </w:r>
          </w:p>
        </w:tc>
      </w:tr>
      <w:tr w:rsidR="00AE1490" w:rsidRPr="00AE1490" w14:paraId="6DF13EC5" w14:textId="77777777" w:rsidTr="00AE1490">
        <w:trPr>
          <w:trHeight w:val="1180"/>
        </w:trPr>
        <w:tc>
          <w:tcPr>
            <w:tcW w:w="380" w:type="dxa"/>
            <w:vMerge/>
            <w:tcBorders>
              <w:top w:val="nil"/>
              <w:left w:val="nil"/>
              <w:bottom w:val="nil"/>
              <w:right w:val="single" w:sz="4" w:space="0" w:color="auto"/>
            </w:tcBorders>
            <w:vAlign w:val="center"/>
            <w:hideMark/>
          </w:tcPr>
          <w:p w14:paraId="078E4B6B"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78EFFEA4"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(6)</w:t>
            </w:r>
          </w:p>
        </w:tc>
        <w:tc>
          <w:tcPr>
            <w:tcW w:w="420" w:type="dxa"/>
            <w:tcBorders>
              <w:top w:val="nil"/>
              <w:left w:val="nil"/>
              <w:bottom w:val="nil"/>
              <w:right w:val="nil"/>
            </w:tcBorders>
            <w:shd w:val="clear" w:color="auto" w:fill="auto"/>
            <w:noWrap/>
            <w:textDirection w:val="btLr"/>
            <w:vAlign w:val="center"/>
            <w:hideMark/>
          </w:tcPr>
          <w:p w14:paraId="2A08D15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0.323***</w:t>
            </w:r>
          </w:p>
        </w:tc>
        <w:tc>
          <w:tcPr>
            <w:tcW w:w="420" w:type="dxa"/>
            <w:tcBorders>
              <w:top w:val="nil"/>
              <w:left w:val="nil"/>
              <w:bottom w:val="nil"/>
              <w:right w:val="nil"/>
            </w:tcBorders>
            <w:shd w:val="clear" w:color="auto" w:fill="auto"/>
            <w:noWrap/>
            <w:textDirection w:val="btLr"/>
            <w:vAlign w:val="center"/>
            <w:hideMark/>
          </w:tcPr>
          <w:p w14:paraId="2F52CE1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(0.022)</w:t>
            </w:r>
          </w:p>
        </w:tc>
        <w:tc>
          <w:tcPr>
            <w:tcW w:w="420" w:type="dxa"/>
            <w:tcBorders>
              <w:top w:val="nil"/>
              <w:left w:val="nil"/>
              <w:bottom w:val="nil"/>
              <w:right w:val="nil"/>
            </w:tcBorders>
            <w:shd w:val="clear" w:color="auto" w:fill="auto"/>
            <w:noWrap/>
            <w:textDirection w:val="btLr"/>
            <w:vAlign w:val="center"/>
            <w:hideMark/>
          </w:tcPr>
          <w:p w14:paraId="16B9350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0.452***</w:t>
            </w:r>
          </w:p>
        </w:tc>
        <w:tc>
          <w:tcPr>
            <w:tcW w:w="420" w:type="dxa"/>
            <w:tcBorders>
              <w:top w:val="nil"/>
              <w:left w:val="nil"/>
              <w:bottom w:val="nil"/>
              <w:right w:val="nil"/>
            </w:tcBorders>
            <w:shd w:val="clear" w:color="auto" w:fill="auto"/>
            <w:noWrap/>
            <w:textDirection w:val="btLr"/>
            <w:vAlign w:val="center"/>
            <w:hideMark/>
          </w:tcPr>
          <w:p w14:paraId="5A33296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(0.046)</w:t>
            </w:r>
          </w:p>
        </w:tc>
        <w:tc>
          <w:tcPr>
            <w:tcW w:w="420" w:type="dxa"/>
            <w:tcBorders>
              <w:top w:val="nil"/>
              <w:left w:val="nil"/>
              <w:bottom w:val="nil"/>
              <w:right w:val="nil"/>
            </w:tcBorders>
            <w:shd w:val="clear" w:color="auto" w:fill="auto"/>
            <w:noWrap/>
            <w:textDirection w:val="btLr"/>
            <w:vAlign w:val="center"/>
            <w:hideMark/>
          </w:tcPr>
          <w:p w14:paraId="77C722A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D8A997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392E813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81FCEA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748CFC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F58456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86B9C7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35F755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024CC0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EB48222" w14:textId="77777777" w:rsidR="00AE1490" w:rsidRPr="00AE1490" w:rsidRDefault="00AE1490" w:rsidP="00AE1490">
            <w:pPr>
              <w:spacing w:after="0"/>
              <w:rPr>
                <w:rFonts w:eastAsia="Times New Roman" w:cs="Times New Roman"/>
                <w:lang w:eastAsia="en-US"/>
              </w:rPr>
            </w:pPr>
          </w:p>
        </w:tc>
      </w:tr>
      <w:tr w:rsidR="00AE1490" w:rsidRPr="00AE1490" w14:paraId="7CCA61E1" w14:textId="77777777" w:rsidTr="00AE1490">
        <w:trPr>
          <w:trHeight w:val="1180"/>
        </w:trPr>
        <w:tc>
          <w:tcPr>
            <w:tcW w:w="380" w:type="dxa"/>
            <w:vMerge/>
            <w:tcBorders>
              <w:top w:val="nil"/>
              <w:left w:val="nil"/>
              <w:bottom w:val="nil"/>
              <w:right w:val="single" w:sz="4" w:space="0" w:color="auto"/>
            </w:tcBorders>
            <w:vAlign w:val="center"/>
            <w:hideMark/>
          </w:tcPr>
          <w:p w14:paraId="5B020579"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7798E12C"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(5)</w:t>
            </w:r>
          </w:p>
        </w:tc>
        <w:tc>
          <w:tcPr>
            <w:tcW w:w="420" w:type="dxa"/>
            <w:tcBorders>
              <w:top w:val="nil"/>
              <w:left w:val="nil"/>
              <w:bottom w:val="nil"/>
              <w:right w:val="nil"/>
            </w:tcBorders>
            <w:shd w:val="clear" w:color="auto" w:fill="auto"/>
            <w:noWrap/>
            <w:textDirection w:val="btLr"/>
            <w:vAlign w:val="center"/>
            <w:hideMark/>
          </w:tcPr>
          <w:p w14:paraId="3F035C9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0.373***</w:t>
            </w:r>
          </w:p>
        </w:tc>
        <w:tc>
          <w:tcPr>
            <w:tcW w:w="420" w:type="dxa"/>
            <w:tcBorders>
              <w:top w:val="nil"/>
              <w:left w:val="nil"/>
              <w:bottom w:val="nil"/>
              <w:right w:val="nil"/>
            </w:tcBorders>
            <w:shd w:val="clear" w:color="auto" w:fill="auto"/>
            <w:noWrap/>
            <w:textDirection w:val="btLr"/>
            <w:vAlign w:val="center"/>
            <w:hideMark/>
          </w:tcPr>
          <w:p w14:paraId="7F04777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(0.023)</w:t>
            </w:r>
          </w:p>
        </w:tc>
        <w:tc>
          <w:tcPr>
            <w:tcW w:w="420" w:type="dxa"/>
            <w:tcBorders>
              <w:top w:val="nil"/>
              <w:left w:val="nil"/>
              <w:bottom w:val="nil"/>
              <w:right w:val="nil"/>
            </w:tcBorders>
            <w:shd w:val="clear" w:color="auto" w:fill="auto"/>
            <w:noWrap/>
            <w:textDirection w:val="btLr"/>
            <w:vAlign w:val="center"/>
            <w:hideMark/>
          </w:tcPr>
          <w:p w14:paraId="6967927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56B3D8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E24D49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5FB74B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AB8CF7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EFB08C7"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F8C954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F46CC1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A1029E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925634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A5F8AF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E63FC15" w14:textId="77777777" w:rsidR="00AE1490" w:rsidRPr="00AE1490" w:rsidRDefault="00AE1490" w:rsidP="00AE1490">
            <w:pPr>
              <w:spacing w:after="0"/>
              <w:rPr>
                <w:rFonts w:eastAsia="Times New Roman" w:cs="Times New Roman"/>
                <w:lang w:eastAsia="en-US"/>
              </w:rPr>
            </w:pPr>
          </w:p>
        </w:tc>
      </w:tr>
      <w:tr w:rsidR="00AE1490" w:rsidRPr="00AE1490" w14:paraId="4DA44062" w14:textId="77777777" w:rsidTr="00AE1490">
        <w:trPr>
          <w:trHeight w:val="1180"/>
        </w:trPr>
        <w:tc>
          <w:tcPr>
            <w:tcW w:w="380" w:type="dxa"/>
            <w:vMerge/>
            <w:tcBorders>
              <w:top w:val="nil"/>
              <w:left w:val="nil"/>
              <w:bottom w:val="nil"/>
              <w:right w:val="single" w:sz="4" w:space="0" w:color="auto"/>
            </w:tcBorders>
            <w:vAlign w:val="center"/>
            <w:hideMark/>
          </w:tcPr>
          <w:p w14:paraId="7B19F40A"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2DB414DA"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(4)</w:t>
            </w:r>
          </w:p>
        </w:tc>
        <w:tc>
          <w:tcPr>
            <w:tcW w:w="420" w:type="dxa"/>
            <w:tcBorders>
              <w:top w:val="nil"/>
              <w:left w:val="nil"/>
              <w:bottom w:val="nil"/>
              <w:right w:val="nil"/>
            </w:tcBorders>
            <w:shd w:val="clear" w:color="auto" w:fill="auto"/>
            <w:noWrap/>
            <w:textDirection w:val="btLr"/>
            <w:vAlign w:val="center"/>
            <w:hideMark/>
          </w:tcPr>
          <w:p w14:paraId="7090B45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0.337***</w:t>
            </w:r>
          </w:p>
        </w:tc>
        <w:tc>
          <w:tcPr>
            <w:tcW w:w="420" w:type="dxa"/>
            <w:tcBorders>
              <w:top w:val="nil"/>
              <w:left w:val="nil"/>
              <w:bottom w:val="nil"/>
              <w:right w:val="nil"/>
            </w:tcBorders>
            <w:shd w:val="clear" w:color="auto" w:fill="auto"/>
            <w:noWrap/>
            <w:textDirection w:val="btLr"/>
            <w:vAlign w:val="center"/>
            <w:hideMark/>
          </w:tcPr>
          <w:p w14:paraId="7A63D3A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(0.022)</w:t>
            </w:r>
          </w:p>
        </w:tc>
        <w:tc>
          <w:tcPr>
            <w:tcW w:w="420" w:type="dxa"/>
            <w:tcBorders>
              <w:top w:val="nil"/>
              <w:left w:val="nil"/>
              <w:bottom w:val="nil"/>
              <w:right w:val="nil"/>
            </w:tcBorders>
            <w:shd w:val="clear" w:color="auto" w:fill="auto"/>
            <w:noWrap/>
            <w:textDirection w:val="btLr"/>
            <w:vAlign w:val="center"/>
            <w:hideMark/>
          </w:tcPr>
          <w:p w14:paraId="62BAE04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63A78A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C328FD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AC5967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929CE8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0.100</w:t>
            </w:r>
          </w:p>
        </w:tc>
        <w:tc>
          <w:tcPr>
            <w:tcW w:w="420" w:type="dxa"/>
            <w:tcBorders>
              <w:top w:val="nil"/>
              <w:left w:val="nil"/>
              <w:bottom w:val="nil"/>
              <w:right w:val="nil"/>
            </w:tcBorders>
            <w:shd w:val="clear" w:color="auto" w:fill="auto"/>
            <w:noWrap/>
            <w:textDirection w:val="btLr"/>
            <w:vAlign w:val="center"/>
            <w:hideMark/>
          </w:tcPr>
          <w:p w14:paraId="63E4406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(0.195)</w:t>
            </w:r>
          </w:p>
        </w:tc>
        <w:tc>
          <w:tcPr>
            <w:tcW w:w="420" w:type="dxa"/>
            <w:tcBorders>
              <w:top w:val="nil"/>
              <w:left w:val="nil"/>
              <w:bottom w:val="nil"/>
              <w:right w:val="nil"/>
            </w:tcBorders>
            <w:shd w:val="clear" w:color="auto" w:fill="auto"/>
            <w:noWrap/>
            <w:textDirection w:val="btLr"/>
            <w:vAlign w:val="center"/>
            <w:hideMark/>
          </w:tcPr>
          <w:p w14:paraId="468837F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0.428</w:t>
            </w:r>
          </w:p>
        </w:tc>
        <w:tc>
          <w:tcPr>
            <w:tcW w:w="420" w:type="dxa"/>
            <w:tcBorders>
              <w:top w:val="nil"/>
              <w:left w:val="nil"/>
              <w:bottom w:val="nil"/>
              <w:right w:val="nil"/>
            </w:tcBorders>
            <w:shd w:val="clear" w:color="auto" w:fill="auto"/>
            <w:noWrap/>
            <w:textDirection w:val="btLr"/>
            <w:vAlign w:val="center"/>
            <w:hideMark/>
          </w:tcPr>
          <w:p w14:paraId="72D8CD0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(0.442)</w:t>
            </w:r>
          </w:p>
        </w:tc>
        <w:tc>
          <w:tcPr>
            <w:tcW w:w="420" w:type="dxa"/>
            <w:tcBorders>
              <w:top w:val="nil"/>
              <w:left w:val="nil"/>
              <w:bottom w:val="nil"/>
              <w:right w:val="nil"/>
            </w:tcBorders>
            <w:shd w:val="clear" w:color="auto" w:fill="auto"/>
            <w:noWrap/>
            <w:textDirection w:val="btLr"/>
            <w:vAlign w:val="center"/>
            <w:hideMark/>
          </w:tcPr>
          <w:p w14:paraId="023FA4B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0.921***</w:t>
            </w:r>
          </w:p>
        </w:tc>
        <w:tc>
          <w:tcPr>
            <w:tcW w:w="420" w:type="dxa"/>
            <w:tcBorders>
              <w:top w:val="nil"/>
              <w:left w:val="nil"/>
              <w:bottom w:val="nil"/>
              <w:right w:val="nil"/>
            </w:tcBorders>
            <w:shd w:val="clear" w:color="auto" w:fill="auto"/>
            <w:noWrap/>
            <w:textDirection w:val="btLr"/>
            <w:vAlign w:val="center"/>
            <w:hideMark/>
          </w:tcPr>
          <w:p w14:paraId="5E9F12D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(0.214)</w:t>
            </w:r>
          </w:p>
        </w:tc>
        <w:tc>
          <w:tcPr>
            <w:tcW w:w="420" w:type="dxa"/>
            <w:tcBorders>
              <w:top w:val="nil"/>
              <w:left w:val="nil"/>
              <w:bottom w:val="nil"/>
              <w:right w:val="nil"/>
            </w:tcBorders>
            <w:shd w:val="clear" w:color="auto" w:fill="auto"/>
            <w:noWrap/>
            <w:textDirection w:val="btLr"/>
            <w:vAlign w:val="center"/>
            <w:hideMark/>
          </w:tcPr>
          <w:p w14:paraId="17A1ABF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-0.040***</w:t>
            </w:r>
          </w:p>
        </w:tc>
        <w:tc>
          <w:tcPr>
            <w:tcW w:w="420" w:type="dxa"/>
            <w:tcBorders>
              <w:top w:val="nil"/>
              <w:left w:val="nil"/>
              <w:bottom w:val="nil"/>
              <w:right w:val="nil"/>
            </w:tcBorders>
            <w:shd w:val="clear" w:color="auto" w:fill="auto"/>
            <w:noWrap/>
            <w:textDirection w:val="btLr"/>
            <w:vAlign w:val="center"/>
            <w:hideMark/>
          </w:tcPr>
          <w:p w14:paraId="304E79D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(0.013)</w:t>
            </w:r>
          </w:p>
        </w:tc>
      </w:tr>
      <w:tr w:rsidR="00AE1490" w:rsidRPr="00AE1490" w14:paraId="28256C83" w14:textId="77777777" w:rsidTr="00AE1490">
        <w:trPr>
          <w:trHeight w:val="1180"/>
        </w:trPr>
        <w:tc>
          <w:tcPr>
            <w:tcW w:w="380" w:type="dxa"/>
            <w:vMerge/>
            <w:tcBorders>
              <w:top w:val="nil"/>
              <w:left w:val="nil"/>
              <w:bottom w:val="nil"/>
              <w:right w:val="single" w:sz="4" w:space="0" w:color="auto"/>
            </w:tcBorders>
            <w:vAlign w:val="center"/>
            <w:hideMark/>
          </w:tcPr>
          <w:p w14:paraId="3146DA4D"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063188A1"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(3)</w:t>
            </w:r>
          </w:p>
        </w:tc>
        <w:tc>
          <w:tcPr>
            <w:tcW w:w="420" w:type="dxa"/>
            <w:tcBorders>
              <w:top w:val="nil"/>
              <w:left w:val="nil"/>
              <w:bottom w:val="nil"/>
              <w:right w:val="nil"/>
            </w:tcBorders>
            <w:shd w:val="clear" w:color="auto" w:fill="auto"/>
            <w:noWrap/>
            <w:textDirection w:val="btLr"/>
            <w:vAlign w:val="center"/>
            <w:hideMark/>
          </w:tcPr>
          <w:p w14:paraId="355334F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0.351***</w:t>
            </w:r>
          </w:p>
        </w:tc>
        <w:tc>
          <w:tcPr>
            <w:tcW w:w="420" w:type="dxa"/>
            <w:tcBorders>
              <w:top w:val="nil"/>
              <w:left w:val="nil"/>
              <w:bottom w:val="nil"/>
              <w:right w:val="nil"/>
            </w:tcBorders>
            <w:shd w:val="clear" w:color="auto" w:fill="auto"/>
            <w:noWrap/>
            <w:textDirection w:val="btLr"/>
            <w:vAlign w:val="center"/>
            <w:hideMark/>
          </w:tcPr>
          <w:p w14:paraId="5424F06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(0.020)</w:t>
            </w:r>
          </w:p>
        </w:tc>
        <w:tc>
          <w:tcPr>
            <w:tcW w:w="420" w:type="dxa"/>
            <w:tcBorders>
              <w:top w:val="nil"/>
              <w:left w:val="nil"/>
              <w:bottom w:val="nil"/>
              <w:right w:val="nil"/>
            </w:tcBorders>
            <w:shd w:val="clear" w:color="auto" w:fill="auto"/>
            <w:noWrap/>
            <w:textDirection w:val="btLr"/>
            <w:vAlign w:val="center"/>
            <w:hideMark/>
          </w:tcPr>
          <w:p w14:paraId="282884F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0.416***</w:t>
            </w:r>
          </w:p>
        </w:tc>
        <w:tc>
          <w:tcPr>
            <w:tcW w:w="420" w:type="dxa"/>
            <w:tcBorders>
              <w:top w:val="nil"/>
              <w:left w:val="nil"/>
              <w:bottom w:val="nil"/>
              <w:right w:val="nil"/>
            </w:tcBorders>
            <w:shd w:val="clear" w:color="auto" w:fill="auto"/>
            <w:noWrap/>
            <w:textDirection w:val="btLr"/>
            <w:vAlign w:val="center"/>
            <w:hideMark/>
          </w:tcPr>
          <w:p w14:paraId="35823C9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(0.036)</w:t>
            </w:r>
          </w:p>
        </w:tc>
        <w:tc>
          <w:tcPr>
            <w:tcW w:w="420" w:type="dxa"/>
            <w:tcBorders>
              <w:top w:val="nil"/>
              <w:left w:val="nil"/>
              <w:bottom w:val="nil"/>
              <w:right w:val="nil"/>
            </w:tcBorders>
            <w:shd w:val="clear" w:color="auto" w:fill="auto"/>
            <w:noWrap/>
            <w:textDirection w:val="btLr"/>
            <w:vAlign w:val="center"/>
            <w:hideMark/>
          </w:tcPr>
          <w:p w14:paraId="605A670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072F8E6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4675C50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F137FD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A1B679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860FC1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BB3029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D76988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9C6EFD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FEC527C" w14:textId="77777777" w:rsidR="00AE1490" w:rsidRPr="00AE1490" w:rsidRDefault="00AE1490" w:rsidP="00AE1490">
            <w:pPr>
              <w:spacing w:after="0"/>
              <w:rPr>
                <w:rFonts w:eastAsia="Times New Roman" w:cs="Times New Roman"/>
                <w:lang w:eastAsia="en-US"/>
              </w:rPr>
            </w:pPr>
          </w:p>
        </w:tc>
      </w:tr>
      <w:tr w:rsidR="00AE1490" w:rsidRPr="00AE1490" w14:paraId="07F7B0F8" w14:textId="77777777" w:rsidTr="00AE1490">
        <w:trPr>
          <w:trHeight w:val="1180"/>
        </w:trPr>
        <w:tc>
          <w:tcPr>
            <w:tcW w:w="380" w:type="dxa"/>
            <w:vMerge/>
            <w:tcBorders>
              <w:top w:val="nil"/>
              <w:left w:val="nil"/>
              <w:bottom w:val="nil"/>
              <w:right w:val="single" w:sz="4" w:space="0" w:color="auto"/>
            </w:tcBorders>
            <w:vAlign w:val="center"/>
            <w:hideMark/>
          </w:tcPr>
          <w:p w14:paraId="3EC0B508"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01EDCCC6"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(2)</w:t>
            </w:r>
          </w:p>
        </w:tc>
        <w:tc>
          <w:tcPr>
            <w:tcW w:w="420" w:type="dxa"/>
            <w:tcBorders>
              <w:top w:val="nil"/>
              <w:left w:val="nil"/>
              <w:bottom w:val="nil"/>
              <w:right w:val="nil"/>
            </w:tcBorders>
            <w:shd w:val="clear" w:color="auto" w:fill="auto"/>
            <w:noWrap/>
            <w:textDirection w:val="btLr"/>
            <w:vAlign w:val="center"/>
            <w:hideMark/>
          </w:tcPr>
          <w:p w14:paraId="1AD58BB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0.365***</w:t>
            </w:r>
          </w:p>
        </w:tc>
        <w:tc>
          <w:tcPr>
            <w:tcW w:w="420" w:type="dxa"/>
            <w:tcBorders>
              <w:top w:val="nil"/>
              <w:left w:val="nil"/>
              <w:bottom w:val="nil"/>
              <w:right w:val="nil"/>
            </w:tcBorders>
            <w:shd w:val="clear" w:color="auto" w:fill="auto"/>
            <w:noWrap/>
            <w:textDirection w:val="btLr"/>
            <w:vAlign w:val="center"/>
            <w:hideMark/>
          </w:tcPr>
          <w:p w14:paraId="0D5EBA4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(0.019)</w:t>
            </w:r>
          </w:p>
        </w:tc>
        <w:tc>
          <w:tcPr>
            <w:tcW w:w="420" w:type="dxa"/>
            <w:tcBorders>
              <w:top w:val="nil"/>
              <w:left w:val="nil"/>
              <w:bottom w:val="nil"/>
              <w:right w:val="nil"/>
            </w:tcBorders>
            <w:shd w:val="clear" w:color="auto" w:fill="auto"/>
            <w:noWrap/>
            <w:textDirection w:val="btLr"/>
            <w:vAlign w:val="center"/>
            <w:hideMark/>
          </w:tcPr>
          <w:p w14:paraId="061C7CB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0.481***</w:t>
            </w:r>
          </w:p>
        </w:tc>
        <w:tc>
          <w:tcPr>
            <w:tcW w:w="420" w:type="dxa"/>
            <w:tcBorders>
              <w:top w:val="nil"/>
              <w:left w:val="nil"/>
              <w:bottom w:val="nil"/>
              <w:right w:val="nil"/>
            </w:tcBorders>
            <w:shd w:val="clear" w:color="auto" w:fill="auto"/>
            <w:noWrap/>
            <w:textDirection w:val="btLr"/>
            <w:vAlign w:val="center"/>
            <w:hideMark/>
          </w:tcPr>
          <w:p w14:paraId="0DE8A92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(0.031)</w:t>
            </w:r>
          </w:p>
        </w:tc>
        <w:tc>
          <w:tcPr>
            <w:tcW w:w="420" w:type="dxa"/>
            <w:tcBorders>
              <w:top w:val="nil"/>
              <w:left w:val="nil"/>
              <w:bottom w:val="nil"/>
              <w:right w:val="nil"/>
            </w:tcBorders>
            <w:shd w:val="clear" w:color="auto" w:fill="auto"/>
            <w:noWrap/>
            <w:textDirection w:val="btLr"/>
            <w:vAlign w:val="center"/>
            <w:hideMark/>
          </w:tcPr>
          <w:p w14:paraId="31AD497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FE8BC2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E867D5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883E27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693404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A14B55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77E69A8"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7A826B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8E1849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EA91783" w14:textId="77777777" w:rsidR="00AE1490" w:rsidRPr="00AE1490" w:rsidRDefault="00AE1490" w:rsidP="00AE1490">
            <w:pPr>
              <w:spacing w:after="0"/>
              <w:rPr>
                <w:rFonts w:eastAsia="Times New Roman" w:cs="Times New Roman"/>
                <w:lang w:eastAsia="en-US"/>
              </w:rPr>
            </w:pPr>
          </w:p>
        </w:tc>
      </w:tr>
      <w:tr w:rsidR="00AE1490" w:rsidRPr="00AE1490" w14:paraId="64E9A02B" w14:textId="77777777" w:rsidTr="00AE1490">
        <w:trPr>
          <w:trHeight w:val="1180"/>
        </w:trPr>
        <w:tc>
          <w:tcPr>
            <w:tcW w:w="380" w:type="dxa"/>
            <w:vMerge/>
            <w:tcBorders>
              <w:top w:val="nil"/>
              <w:left w:val="nil"/>
              <w:bottom w:val="nil"/>
              <w:right w:val="single" w:sz="4" w:space="0" w:color="auto"/>
            </w:tcBorders>
            <w:vAlign w:val="center"/>
            <w:hideMark/>
          </w:tcPr>
          <w:p w14:paraId="444CCC4C"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51464DE9"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(1)</w:t>
            </w:r>
          </w:p>
        </w:tc>
        <w:tc>
          <w:tcPr>
            <w:tcW w:w="420" w:type="dxa"/>
            <w:tcBorders>
              <w:top w:val="nil"/>
              <w:left w:val="nil"/>
              <w:bottom w:val="nil"/>
              <w:right w:val="nil"/>
            </w:tcBorders>
            <w:shd w:val="clear" w:color="auto" w:fill="auto"/>
            <w:noWrap/>
            <w:textDirection w:val="btLr"/>
            <w:vAlign w:val="center"/>
            <w:hideMark/>
          </w:tcPr>
          <w:p w14:paraId="1127B65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0.375***</w:t>
            </w:r>
          </w:p>
        </w:tc>
        <w:tc>
          <w:tcPr>
            <w:tcW w:w="420" w:type="dxa"/>
            <w:tcBorders>
              <w:top w:val="nil"/>
              <w:left w:val="nil"/>
              <w:bottom w:val="nil"/>
              <w:right w:val="nil"/>
            </w:tcBorders>
            <w:shd w:val="clear" w:color="auto" w:fill="auto"/>
            <w:noWrap/>
            <w:textDirection w:val="btLr"/>
            <w:vAlign w:val="center"/>
            <w:hideMark/>
          </w:tcPr>
          <w:p w14:paraId="3B8BFC0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(0.022)</w:t>
            </w:r>
          </w:p>
        </w:tc>
        <w:tc>
          <w:tcPr>
            <w:tcW w:w="420" w:type="dxa"/>
            <w:tcBorders>
              <w:top w:val="nil"/>
              <w:left w:val="nil"/>
              <w:bottom w:val="nil"/>
              <w:right w:val="nil"/>
            </w:tcBorders>
            <w:shd w:val="clear" w:color="auto" w:fill="auto"/>
            <w:noWrap/>
            <w:textDirection w:val="btLr"/>
            <w:vAlign w:val="center"/>
            <w:hideMark/>
          </w:tcPr>
          <w:p w14:paraId="044F93A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BDF0BC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6D2F8E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6A29CB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761FAA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4DAD0E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98C489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5CA990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85EAF1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370BD2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71493C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B75E547" w14:textId="77777777" w:rsidR="00AE1490" w:rsidRPr="00AE1490" w:rsidRDefault="00AE1490" w:rsidP="00AE1490">
            <w:pPr>
              <w:spacing w:after="0"/>
              <w:rPr>
                <w:rFonts w:eastAsia="Times New Roman" w:cs="Times New Roman"/>
                <w:lang w:eastAsia="en-US"/>
              </w:rPr>
            </w:pPr>
          </w:p>
        </w:tc>
      </w:tr>
      <w:tr w:rsidR="00AE1490" w:rsidRPr="00AE1490" w14:paraId="5970964A" w14:textId="77777777" w:rsidTr="00AE1490">
        <w:trPr>
          <w:trHeight w:val="2180"/>
        </w:trPr>
        <w:tc>
          <w:tcPr>
            <w:tcW w:w="380" w:type="dxa"/>
            <w:vMerge/>
            <w:tcBorders>
              <w:top w:val="nil"/>
              <w:left w:val="nil"/>
              <w:bottom w:val="nil"/>
              <w:right w:val="single" w:sz="4" w:space="0" w:color="auto"/>
            </w:tcBorders>
            <w:vAlign w:val="center"/>
            <w:hideMark/>
          </w:tcPr>
          <w:p w14:paraId="71B2877B"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noWrap/>
            <w:textDirection w:val="btLr"/>
            <w:vAlign w:val="bottom"/>
            <w:hideMark/>
          </w:tcPr>
          <w:p w14:paraId="69046F2B" w14:textId="77777777" w:rsidR="00AE1490" w:rsidRPr="00AE1490" w:rsidRDefault="00AE1490" w:rsidP="00AE1490">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center"/>
            <w:hideMark/>
          </w:tcPr>
          <w:p w14:paraId="6A29BDA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Frenchness</w:t>
            </w:r>
          </w:p>
        </w:tc>
        <w:tc>
          <w:tcPr>
            <w:tcW w:w="420" w:type="dxa"/>
            <w:tcBorders>
              <w:top w:val="nil"/>
              <w:left w:val="nil"/>
              <w:bottom w:val="nil"/>
              <w:right w:val="nil"/>
            </w:tcBorders>
            <w:shd w:val="clear" w:color="auto" w:fill="auto"/>
            <w:textDirection w:val="btLr"/>
            <w:vAlign w:val="center"/>
            <w:hideMark/>
          </w:tcPr>
          <w:p w14:paraId="5E5CB0BD" w14:textId="77777777" w:rsidR="00AE1490" w:rsidRPr="00AE1490" w:rsidRDefault="00AE1490" w:rsidP="00AE1490">
            <w:pPr>
              <w:spacing w:after="0"/>
              <w:rPr>
                <w:rFonts w:eastAsia="Times New Roman" w:cs="Times New Roman"/>
                <w:lang w:eastAsia="en-US"/>
              </w:rPr>
            </w:pPr>
          </w:p>
        </w:tc>
        <w:tc>
          <w:tcPr>
            <w:tcW w:w="840" w:type="dxa"/>
            <w:gridSpan w:val="2"/>
            <w:tcBorders>
              <w:top w:val="nil"/>
              <w:left w:val="nil"/>
              <w:bottom w:val="nil"/>
              <w:right w:val="nil"/>
            </w:tcBorders>
            <w:shd w:val="clear" w:color="auto" w:fill="auto"/>
            <w:textDirection w:val="btLr"/>
            <w:vAlign w:val="center"/>
            <w:hideMark/>
          </w:tcPr>
          <w:p w14:paraId="24F5280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Real GDP (ln)</w:t>
            </w:r>
          </w:p>
        </w:tc>
        <w:tc>
          <w:tcPr>
            <w:tcW w:w="420" w:type="dxa"/>
            <w:tcBorders>
              <w:top w:val="nil"/>
              <w:left w:val="nil"/>
              <w:bottom w:val="nil"/>
              <w:right w:val="nil"/>
            </w:tcBorders>
            <w:shd w:val="clear" w:color="auto" w:fill="auto"/>
            <w:textDirection w:val="btLr"/>
            <w:vAlign w:val="center"/>
            <w:hideMark/>
          </w:tcPr>
          <w:p w14:paraId="6C0DD84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Trade Flows</w:t>
            </w:r>
          </w:p>
        </w:tc>
        <w:tc>
          <w:tcPr>
            <w:tcW w:w="420" w:type="dxa"/>
            <w:tcBorders>
              <w:top w:val="nil"/>
              <w:left w:val="nil"/>
              <w:bottom w:val="nil"/>
              <w:right w:val="nil"/>
            </w:tcBorders>
            <w:shd w:val="clear" w:color="auto" w:fill="auto"/>
            <w:textDirection w:val="btLr"/>
            <w:vAlign w:val="center"/>
            <w:hideMark/>
          </w:tcPr>
          <w:p w14:paraId="6A2E208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06A3096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Recipient Civil War</w:t>
            </w:r>
          </w:p>
        </w:tc>
        <w:tc>
          <w:tcPr>
            <w:tcW w:w="420" w:type="dxa"/>
            <w:tcBorders>
              <w:top w:val="nil"/>
              <w:left w:val="nil"/>
              <w:bottom w:val="nil"/>
              <w:right w:val="nil"/>
            </w:tcBorders>
            <w:shd w:val="clear" w:color="auto" w:fill="auto"/>
            <w:textDirection w:val="btLr"/>
            <w:vAlign w:val="center"/>
            <w:hideMark/>
          </w:tcPr>
          <w:p w14:paraId="37AC81E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700000F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Recipient External War</w:t>
            </w:r>
          </w:p>
        </w:tc>
        <w:tc>
          <w:tcPr>
            <w:tcW w:w="420" w:type="dxa"/>
            <w:tcBorders>
              <w:top w:val="nil"/>
              <w:left w:val="nil"/>
              <w:bottom w:val="nil"/>
              <w:right w:val="nil"/>
            </w:tcBorders>
            <w:shd w:val="clear" w:color="auto" w:fill="auto"/>
            <w:textDirection w:val="btLr"/>
            <w:vAlign w:val="center"/>
            <w:hideMark/>
          </w:tcPr>
          <w:p w14:paraId="4B32B8B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73E5E16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Democracy (Dummy)</w:t>
            </w:r>
          </w:p>
        </w:tc>
        <w:tc>
          <w:tcPr>
            <w:tcW w:w="420" w:type="dxa"/>
            <w:tcBorders>
              <w:top w:val="nil"/>
              <w:left w:val="nil"/>
              <w:bottom w:val="nil"/>
              <w:right w:val="nil"/>
            </w:tcBorders>
            <w:shd w:val="clear" w:color="auto" w:fill="auto"/>
            <w:textDirection w:val="btLr"/>
            <w:vAlign w:val="center"/>
            <w:hideMark/>
          </w:tcPr>
          <w:p w14:paraId="550630B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698700B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Polity IV</w:t>
            </w:r>
          </w:p>
        </w:tc>
        <w:tc>
          <w:tcPr>
            <w:tcW w:w="420" w:type="dxa"/>
            <w:tcBorders>
              <w:top w:val="nil"/>
              <w:left w:val="nil"/>
              <w:bottom w:val="nil"/>
              <w:right w:val="nil"/>
            </w:tcBorders>
            <w:shd w:val="clear" w:color="auto" w:fill="auto"/>
            <w:textDirection w:val="btLr"/>
            <w:vAlign w:val="center"/>
            <w:hideMark/>
          </w:tcPr>
          <w:p w14:paraId="7B3272F2" w14:textId="77777777" w:rsidR="00AE1490" w:rsidRPr="00AE1490" w:rsidRDefault="00AE1490" w:rsidP="00AE1490">
            <w:pPr>
              <w:spacing w:after="0"/>
              <w:rPr>
                <w:rFonts w:eastAsia="Times New Roman" w:cs="Times New Roman"/>
                <w:lang w:eastAsia="en-US"/>
              </w:rPr>
            </w:pPr>
          </w:p>
        </w:tc>
      </w:tr>
    </w:tbl>
    <w:p w14:paraId="507E0DAD" w14:textId="5B81CB88" w:rsidR="003F26E5" w:rsidRDefault="003F26E5" w:rsidP="008F23CC">
      <w:pPr>
        <w:spacing w:after="0"/>
        <w:rPr>
          <w:rFonts w:eastAsia="Times New Roman" w:cs="Times New Roman"/>
          <w:b/>
          <w:bCs/>
          <w:color w:val="000000"/>
          <w:sz w:val="22"/>
          <w:szCs w:val="22"/>
          <w:lang w:eastAsia="en-US"/>
        </w:rPr>
      </w:pPr>
    </w:p>
    <w:p w14:paraId="219F54A4" w14:textId="77777777" w:rsidR="003F26E5" w:rsidRDefault="003F26E5">
      <w:pPr>
        <w:rPr>
          <w:rFonts w:eastAsia="Times New Roman" w:cs="Times New Roman"/>
          <w:b/>
          <w:bCs/>
          <w:color w:val="000000"/>
          <w:sz w:val="22"/>
          <w:szCs w:val="22"/>
          <w:lang w:eastAsia="en-US"/>
        </w:rPr>
      </w:pPr>
      <w:r>
        <w:rPr>
          <w:rFonts w:eastAsia="Times New Roman" w:cs="Times New Roman"/>
          <w:b/>
          <w:bCs/>
          <w:color w:val="000000"/>
          <w:sz w:val="22"/>
          <w:szCs w:val="22"/>
          <w:lang w:eastAsia="en-US"/>
        </w:rPr>
        <w:br w:type="page"/>
      </w:r>
    </w:p>
    <w:tbl>
      <w:tblPr>
        <w:tblW w:w="6260" w:type="dxa"/>
        <w:tblInd w:w="93" w:type="dxa"/>
        <w:tblLook w:val="04A0" w:firstRow="1" w:lastRow="0" w:firstColumn="1" w:lastColumn="0" w:noHBand="0" w:noVBand="1"/>
      </w:tblPr>
      <w:tblGrid>
        <w:gridCol w:w="498"/>
        <w:gridCol w:w="498"/>
        <w:gridCol w:w="498"/>
        <w:gridCol w:w="498"/>
        <w:gridCol w:w="498"/>
        <w:gridCol w:w="498"/>
        <w:gridCol w:w="498"/>
        <w:gridCol w:w="498"/>
        <w:gridCol w:w="498"/>
        <w:gridCol w:w="498"/>
        <w:gridCol w:w="498"/>
        <w:gridCol w:w="498"/>
        <w:gridCol w:w="498"/>
        <w:gridCol w:w="498"/>
        <w:gridCol w:w="498"/>
      </w:tblGrid>
      <w:tr w:rsidR="00AE1490" w:rsidRPr="00AE1490" w14:paraId="2F1F5ACD" w14:textId="77777777" w:rsidTr="00AE1490">
        <w:trPr>
          <w:trHeight w:val="1180"/>
        </w:trPr>
        <w:tc>
          <w:tcPr>
            <w:tcW w:w="420" w:type="dxa"/>
            <w:tcBorders>
              <w:top w:val="nil"/>
              <w:left w:val="nil"/>
              <w:bottom w:val="nil"/>
              <w:right w:val="nil"/>
            </w:tcBorders>
            <w:shd w:val="clear" w:color="auto" w:fill="auto"/>
            <w:noWrap/>
            <w:textDirection w:val="btLr"/>
            <w:vAlign w:val="center"/>
            <w:hideMark/>
          </w:tcPr>
          <w:p w14:paraId="5C21094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0.014***</w:t>
            </w:r>
          </w:p>
        </w:tc>
        <w:tc>
          <w:tcPr>
            <w:tcW w:w="420" w:type="dxa"/>
            <w:tcBorders>
              <w:top w:val="nil"/>
              <w:left w:val="nil"/>
              <w:bottom w:val="nil"/>
              <w:right w:val="nil"/>
            </w:tcBorders>
            <w:shd w:val="clear" w:color="auto" w:fill="auto"/>
            <w:noWrap/>
            <w:textDirection w:val="btLr"/>
            <w:vAlign w:val="center"/>
            <w:hideMark/>
          </w:tcPr>
          <w:p w14:paraId="7A6D66B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(0.005)</w:t>
            </w:r>
          </w:p>
        </w:tc>
        <w:tc>
          <w:tcPr>
            <w:tcW w:w="420" w:type="dxa"/>
            <w:tcBorders>
              <w:top w:val="nil"/>
              <w:left w:val="nil"/>
              <w:bottom w:val="nil"/>
              <w:right w:val="nil"/>
            </w:tcBorders>
            <w:shd w:val="clear" w:color="auto" w:fill="auto"/>
            <w:noWrap/>
            <w:textDirection w:val="btLr"/>
            <w:vAlign w:val="center"/>
            <w:hideMark/>
          </w:tcPr>
          <w:p w14:paraId="5209913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-4.360***</w:t>
            </w:r>
          </w:p>
        </w:tc>
        <w:tc>
          <w:tcPr>
            <w:tcW w:w="420" w:type="dxa"/>
            <w:tcBorders>
              <w:top w:val="nil"/>
              <w:left w:val="nil"/>
              <w:bottom w:val="nil"/>
              <w:right w:val="nil"/>
            </w:tcBorders>
            <w:shd w:val="clear" w:color="auto" w:fill="auto"/>
            <w:noWrap/>
            <w:textDirection w:val="btLr"/>
            <w:vAlign w:val="center"/>
            <w:hideMark/>
          </w:tcPr>
          <w:p w14:paraId="5414704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(0.772)</w:t>
            </w:r>
          </w:p>
        </w:tc>
        <w:tc>
          <w:tcPr>
            <w:tcW w:w="420" w:type="dxa"/>
            <w:tcBorders>
              <w:top w:val="nil"/>
              <w:left w:val="nil"/>
              <w:bottom w:val="nil"/>
              <w:right w:val="nil"/>
            </w:tcBorders>
            <w:shd w:val="clear" w:color="auto" w:fill="auto"/>
            <w:noWrap/>
            <w:textDirection w:val="btLr"/>
            <w:vAlign w:val="center"/>
            <w:hideMark/>
          </w:tcPr>
          <w:p w14:paraId="2F250FD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0.184*</w:t>
            </w:r>
          </w:p>
        </w:tc>
        <w:tc>
          <w:tcPr>
            <w:tcW w:w="420" w:type="dxa"/>
            <w:tcBorders>
              <w:top w:val="nil"/>
              <w:left w:val="nil"/>
              <w:bottom w:val="nil"/>
              <w:right w:val="nil"/>
            </w:tcBorders>
            <w:shd w:val="clear" w:color="auto" w:fill="auto"/>
            <w:noWrap/>
            <w:textDirection w:val="btLr"/>
            <w:vAlign w:val="center"/>
            <w:hideMark/>
          </w:tcPr>
          <w:p w14:paraId="3BDD8B1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(0.098)</w:t>
            </w:r>
          </w:p>
        </w:tc>
        <w:tc>
          <w:tcPr>
            <w:tcW w:w="420" w:type="dxa"/>
            <w:tcBorders>
              <w:top w:val="nil"/>
              <w:left w:val="nil"/>
              <w:bottom w:val="nil"/>
              <w:right w:val="nil"/>
            </w:tcBorders>
            <w:shd w:val="clear" w:color="auto" w:fill="auto"/>
            <w:noWrap/>
            <w:textDirection w:val="btLr"/>
            <w:vAlign w:val="center"/>
            <w:hideMark/>
          </w:tcPr>
          <w:p w14:paraId="3D2DBEF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1F0483E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B4594F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770328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64F2F5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15.557***</w:t>
            </w:r>
          </w:p>
        </w:tc>
        <w:tc>
          <w:tcPr>
            <w:tcW w:w="420" w:type="dxa"/>
            <w:tcBorders>
              <w:top w:val="nil"/>
              <w:left w:val="nil"/>
              <w:bottom w:val="nil"/>
              <w:right w:val="nil"/>
            </w:tcBorders>
            <w:shd w:val="clear" w:color="auto" w:fill="auto"/>
            <w:noWrap/>
            <w:textDirection w:val="btLr"/>
            <w:vAlign w:val="center"/>
            <w:hideMark/>
          </w:tcPr>
          <w:p w14:paraId="56D9308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(0.665)</w:t>
            </w:r>
          </w:p>
        </w:tc>
        <w:tc>
          <w:tcPr>
            <w:tcW w:w="420" w:type="dxa"/>
            <w:tcBorders>
              <w:top w:val="nil"/>
              <w:left w:val="nil"/>
              <w:bottom w:val="nil"/>
              <w:right w:val="nil"/>
            </w:tcBorders>
            <w:shd w:val="clear" w:color="auto" w:fill="auto"/>
            <w:noWrap/>
            <w:textDirection w:val="btLr"/>
            <w:vAlign w:val="center"/>
            <w:hideMark/>
          </w:tcPr>
          <w:p w14:paraId="6528270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902</w:t>
            </w:r>
          </w:p>
        </w:tc>
        <w:tc>
          <w:tcPr>
            <w:tcW w:w="420" w:type="dxa"/>
            <w:tcBorders>
              <w:top w:val="nil"/>
              <w:left w:val="nil"/>
              <w:bottom w:val="nil"/>
              <w:right w:val="nil"/>
            </w:tcBorders>
            <w:shd w:val="clear" w:color="auto" w:fill="auto"/>
            <w:noWrap/>
            <w:textDirection w:val="btLr"/>
            <w:vAlign w:val="center"/>
            <w:hideMark/>
          </w:tcPr>
          <w:p w14:paraId="506E0BE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0.415</w:t>
            </w:r>
          </w:p>
        </w:tc>
        <w:tc>
          <w:tcPr>
            <w:tcW w:w="380" w:type="dxa"/>
            <w:vMerge w:val="restart"/>
            <w:tcBorders>
              <w:top w:val="nil"/>
              <w:left w:val="nil"/>
              <w:bottom w:val="nil"/>
              <w:right w:val="single" w:sz="4" w:space="0" w:color="auto"/>
            </w:tcBorders>
            <w:shd w:val="clear" w:color="auto" w:fill="auto"/>
            <w:noWrap/>
            <w:textDirection w:val="btLr"/>
            <w:vAlign w:val="center"/>
            <w:hideMark/>
          </w:tcPr>
          <w:p w14:paraId="28CBD7B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note:  *** p&lt;0.01, ** p&lt;0.05, * p&lt;0.1</w:t>
            </w:r>
          </w:p>
        </w:tc>
      </w:tr>
      <w:tr w:rsidR="00AE1490" w:rsidRPr="00AE1490" w14:paraId="5ED594FD" w14:textId="77777777" w:rsidTr="00AE1490">
        <w:trPr>
          <w:trHeight w:val="1180"/>
        </w:trPr>
        <w:tc>
          <w:tcPr>
            <w:tcW w:w="420" w:type="dxa"/>
            <w:tcBorders>
              <w:top w:val="nil"/>
              <w:left w:val="nil"/>
              <w:bottom w:val="nil"/>
              <w:right w:val="nil"/>
            </w:tcBorders>
            <w:shd w:val="clear" w:color="auto" w:fill="auto"/>
            <w:noWrap/>
            <w:textDirection w:val="btLr"/>
            <w:vAlign w:val="center"/>
            <w:hideMark/>
          </w:tcPr>
          <w:p w14:paraId="60EB43B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0.013**</w:t>
            </w:r>
          </w:p>
        </w:tc>
        <w:tc>
          <w:tcPr>
            <w:tcW w:w="420" w:type="dxa"/>
            <w:tcBorders>
              <w:top w:val="nil"/>
              <w:left w:val="nil"/>
              <w:bottom w:val="nil"/>
              <w:right w:val="nil"/>
            </w:tcBorders>
            <w:shd w:val="clear" w:color="auto" w:fill="auto"/>
            <w:noWrap/>
            <w:textDirection w:val="btLr"/>
            <w:vAlign w:val="center"/>
            <w:hideMark/>
          </w:tcPr>
          <w:p w14:paraId="3C9183C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(0.005)</w:t>
            </w:r>
          </w:p>
        </w:tc>
        <w:tc>
          <w:tcPr>
            <w:tcW w:w="420" w:type="dxa"/>
            <w:tcBorders>
              <w:top w:val="nil"/>
              <w:left w:val="nil"/>
              <w:bottom w:val="nil"/>
              <w:right w:val="nil"/>
            </w:tcBorders>
            <w:shd w:val="clear" w:color="auto" w:fill="auto"/>
            <w:noWrap/>
            <w:textDirection w:val="btLr"/>
            <w:vAlign w:val="center"/>
            <w:hideMark/>
          </w:tcPr>
          <w:p w14:paraId="3578F09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-4.127***</w:t>
            </w:r>
          </w:p>
        </w:tc>
        <w:tc>
          <w:tcPr>
            <w:tcW w:w="420" w:type="dxa"/>
            <w:tcBorders>
              <w:top w:val="nil"/>
              <w:left w:val="nil"/>
              <w:bottom w:val="nil"/>
              <w:right w:val="nil"/>
            </w:tcBorders>
            <w:shd w:val="clear" w:color="auto" w:fill="auto"/>
            <w:noWrap/>
            <w:textDirection w:val="btLr"/>
            <w:vAlign w:val="center"/>
            <w:hideMark/>
          </w:tcPr>
          <w:p w14:paraId="7BB18F8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(0.771)</w:t>
            </w:r>
          </w:p>
        </w:tc>
        <w:tc>
          <w:tcPr>
            <w:tcW w:w="420" w:type="dxa"/>
            <w:tcBorders>
              <w:top w:val="nil"/>
              <w:left w:val="nil"/>
              <w:bottom w:val="nil"/>
              <w:right w:val="nil"/>
            </w:tcBorders>
            <w:shd w:val="clear" w:color="auto" w:fill="auto"/>
            <w:noWrap/>
            <w:textDirection w:val="btLr"/>
            <w:vAlign w:val="center"/>
            <w:hideMark/>
          </w:tcPr>
          <w:p w14:paraId="65DC890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882DBE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F3A92B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51A7A7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3D95C8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4C0A34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D45BA8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15.222***</w:t>
            </w:r>
          </w:p>
        </w:tc>
        <w:tc>
          <w:tcPr>
            <w:tcW w:w="420" w:type="dxa"/>
            <w:tcBorders>
              <w:top w:val="nil"/>
              <w:left w:val="nil"/>
              <w:bottom w:val="nil"/>
              <w:right w:val="nil"/>
            </w:tcBorders>
            <w:shd w:val="clear" w:color="auto" w:fill="auto"/>
            <w:noWrap/>
            <w:textDirection w:val="btLr"/>
            <w:vAlign w:val="center"/>
            <w:hideMark/>
          </w:tcPr>
          <w:p w14:paraId="3710D88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(0.583)</w:t>
            </w:r>
          </w:p>
        </w:tc>
        <w:tc>
          <w:tcPr>
            <w:tcW w:w="420" w:type="dxa"/>
            <w:tcBorders>
              <w:top w:val="nil"/>
              <w:left w:val="nil"/>
              <w:bottom w:val="nil"/>
              <w:right w:val="nil"/>
            </w:tcBorders>
            <w:shd w:val="clear" w:color="auto" w:fill="auto"/>
            <w:noWrap/>
            <w:textDirection w:val="btLr"/>
            <w:vAlign w:val="center"/>
            <w:hideMark/>
          </w:tcPr>
          <w:p w14:paraId="1C4FA1F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902</w:t>
            </w:r>
          </w:p>
        </w:tc>
        <w:tc>
          <w:tcPr>
            <w:tcW w:w="420" w:type="dxa"/>
            <w:tcBorders>
              <w:top w:val="nil"/>
              <w:left w:val="nil"/>
              <w:bottom w:val="nil"/>
              <w:right w:val="nil"/>
            </w:tcBorders>
            <w:shd w:val="clear" w:color="auto" w:fill="auto"/>
            <w:noWrap/>
            <w:textDirection w:val="btLr"/>
            <w:vAlign w:val="center"/>
            <w:hideMark/>
          </w:tcPr>
          <w:p w14:paraId="3604476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0.406</w:t>
            </w:r>
          </w:p>
        </w:tc>
        <w:tc>
          <w:tcPr>
            <w:tcW w:w="380" w:type="dxa"/>
            <w:vMerge/>
            <w:tcBorders>
              <w:top w:val="nil"/>
              <w:left w:val="nil"/>
              <w:bottom w:val="nil"/>
              <w:right w:val="single" w:sz="4" w:space="0" w:color="auto"/>
            </w:tcBorders>
            <w:vAlign w:val="center"/>
            <w:hideMark/>
          </w:tcPr>
          <w:p w14:paraId="5D353F98" w14:textId="77777777" w:rsidR="00AE1490" w:rsidRPr="00AE1490" w:rsidRDefault="00AE1490" w:rsidP="00AE1490">
            <w:pPr>
              <w:spacing w:after="0"/>
              <w:rPr>
                <w:rFonts w:eastAsia="Times New Roman" w:cs="Times New Roman"/>
                <w:lang w:eastAsia="en-US"/>
              </w:rPr>
            </w:pPr>
          </w:p>
        </w:tc>
      </w:tr>
      <w:tr w:rsidR="00AE1490" w:rsidRPr="00AE1490" w14:paraId="483201D6" w14:textId="77777777" w:rsidTr="00AE1490">
        <w:trPr>
          <w:trHeight w:val="1180"/>
        </w:trPr>
        <w:tc>
          <w:tcPr>
            <w:tcW w:w="420" w:type="dxa"/>
            <w:tcBorders>
              <w:top w:val="nil"/>
              <w:left w:val="nil"/>
              <w:bottom w:val="nil"/>
              <w:right w:val="nil"/>
            </w:tcBorders>
            <w:shd w:val="clear" w:color="auto" w:fill="auto"/>
            <w:noWrap/>
            <w:textDirection w:val="btLr"/>
            <w:vAlign w:val="center"/>
            <w:hideMark/>
          </w:tcPr>
          <w:p w14:paraId="42C1A7E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A52CAF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54055B7"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025495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17B4BD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0.084</w:t>
            </w:r>
          </w:p>
        </w:tc>
        <w:tc>
          <w:tcPr>
            <w:tcW w:w="420" w:type="dxa"/>
            <w:tcBorders>
              <w:top w:val="nil"/>
              <w:left w:val="nil"/>
              <w:bottom w:val="nil"/>
              <w:right w:val="nil"/>
            </w:tcBorders>
            <w:shd w:val="clear" w:color="auto" w:fill="auto"/>
            <w:noWrap/>
            <w:textDirection w:val="btLr"/>
            <w:vAlign w:val="center"/>
            <w:hideMark/>
          </w:tcPr>
          <w:p w14:paraId="2218A07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(0.097)</w:t>
            </w:r>
          </w:p>
        </w:tc>
        <w:tc>
          <w:tcPr>
            <w:tcW w:w="420" w:type="dxa"/>
            <w:tcBorders>
              <w:top w:val="nil"/>
              <w:left w:val="nil"/>
              <w:bottom w:val="nil"/>
              <w:right w:val="nil"/>
            </w:tcBorders>
            <w:shd w:val="clear" w:color="auto" w:fill="auto"/>
            <w:noWrap/>
            <w:textDirection w:val="btLr"/>
            <w:vAlign w:val="center"/>
            <w:hideMark/>
          </w:tcPr>
          <w:p w14:paraId="25D1B62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945A85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05912D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433885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803003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13.222***</w:t>
            </w:r>
          </w:p>
        </w:tc>
        <w:tc>
          <w:tcPr>
            <w:tcW w:w="420" w:type="dxa"/>
            <w:tcBorders>
              <w:top w:val="nil"/>
              <w:left w:val="nil"/>
              <w:bottom w:val="nil"/>
              <w:right w:val="nil"/>
            </w:tcBorders>
            <w:shd w:val="clear" w:color="auto" w:fill="auto"/>
            <w:noWrap/>
            <w:textDirection w:val="btLr"/>
            <w:vAlign w:val="center"/>
            <w:hideMark/>
          </w:tcPr>
          <w:p w14:paraId="262D5C6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(0.387)</w:t>
            </w:r>
          </w:p>
        </w:tc>
        <w:tc>
          <w:tcPr>
            <w:tcW w:w="420" w:type="dxa"/>
            <w:tcBorders>
              <w:top w:val="nil"/>
              <w:left w:val="nil"/>
              <w:bottom w:val="nil"/>
              <w:right w:val="nil"/>
            </w:tcBorders>
            <w:shd w:val="clear" w:color="auto" w:fill="auto"/>
            <w:noWrap/>
            <w:textDirection w:val="btLr"/>
            <w:vAlign w:val="center"/>
            <w:hideMark/>
          </w:tcPr>
          <w:p w14:paraId="353EF4C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945</w:t>
            </w:r>
          </w:p>
        </w:tc>
        <w:tc>
          <w:tcPr>
            <w:tcW w:w="420" w:type="dxa"/>
            <w:tcBorders>
              <w:top w:val="nil"/>
              <w:left w:val="nil"/>
              <w:bottom w:val="nil"/>
              <w:right w:val="nil"/>
            </w:tcBorders>
            <w:shd w:val="clear" w:color="auto" w:fill="auto"/>
            <w:noWrap/>
            <w:textDirection w:val="btLr"/>
            <w:vAlign w:val="center"/>
            <w:hideMark/>
          </w:tcPr>
          <w:p w14:paraId="4B4208F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0.399</w:t>
            </w:r>
          </w:p>
        </w:tc>
        <w:tc>
          <w:tcPr>
            <w:tcW w:w="380" w:type="dxa"/>
            <w:vMerge/>
            <w:tcBorders>
              <w:top w:val="nil"/>
              <w:left w:val="nil"/>
              <w:bottom w:val="nil"/>
              <w:right w:val="single" w:sz="4" w:space="0" w:color="auto"/>
            </w:tcBorders>
            <w:vAlign w:val="center"/>
            <w:hideMark/>
          </w:tcPr>
          <w:p w14:paraId="3F5F5AFA" w14:textId="77777777" w:rsidR="00AE1490" w:rsidRPr="00AE1490" w:rsidRDefault="00AE1490" w:rsidP="00AE1490">
            <w:pPr>
              <w:spacing w:after="0"/>
              <w:rPr>
                <w:rFonts w:eastAsia="Times New Roman" w:cs="Times New Roman"/>
                <w:lang w:eastAsia="en-US"/>
              </w:rPr>
            </w:pPr>
          </w:p>
        </w:tc>
      </w:tr>
      <w:tr w:rsidR="00AE1490" w:rsidRPr="00AE1490" w14:paraId="12440F31" w14:textId="77777777" w:rsidTr="00AE1490">
        <w:trPr>
          <w:trHeight w:val="1180"/>
        </w:trPr>
        <w:tc>
          <w:tcPr>
            <w:tcW w:w="420" w:type="dxa"/>
            <w:tcBorders>
              <w:top w:val="nil"/>
              <w:left w:val="nil"/>
              <w:bottom w:val="nil"/>
              <w:right w:val="nil"/>
            </w:tcBorders>
            <w:shd w:val="clear" w:color="auto" w:fill="auto"/>
            <w:noWrap/>
            <w:textDirection w:val="btLr"/>
            <w:vAlign w:val="center"/>
            <w:hideMark/>
          </w:tcPr>
          <w:p w14:paraId="417D407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D1FDBC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A3EDEA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8F138A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918875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0.186*</w:t>
            </w:r>
          </w:p>
        </w:tc>
        <w:tc>
          <w:tcPr>
            <w:tcW w:w="420" w:type="dxa"/>
            <w:tcBorders>
              <w:top w:val="nil"/>
              <w:left w:val="nil"/>
              <w:bottom w:val="nil"/>
              <w:right w:val="nil"/>
            </w:tcBorders>
            <w:shd w:val="clear" w:color="auto" w:fill="auto"/>
            <w:noWrap/>
            <w:textDirection w:val="btLr"/>
            <w:vAlign w:val="center"/>
            <w:hideMark/>
          </w:tcPr>
          <w:p w14:paraId="0D0DC2F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(0.103)</w:t>
            </w:r>
          </w:p>
        </w:tc>
        <w:tc>
          <w:tcPr>
            <w:tcW w:w="420" w:type="dxa"/>
            <w:tcBorders>
              <w:top w:val="nil"/>
              <w:left w:val="nil"/>
              <w:bottom w:val="nil"/>
              <w:right w:val="nil"/>
            </w:tcBorders>
            <w:shd w:val="clear" w:color="auto" w:fill="auto"/>
            <w:noWrap/>
            <w:textDirection w:val="btLr"/>
            <w:vAlign w:val="center"/>
            <w:hideMark/>
          </w:tcPr>
          <w:p w14:paraId="63FC6E5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6621004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1B1572E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0E4BA3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1C99F3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16.966***</w:t>
            </w:r>
          </w:p>
        </w:tc>
        <w:tc>
          <w:tcPr>
            <w:tcW w:w="420" w:type="dxa"/>
            <w:tcBorders>
              <w:top w:val="nil"/>
              <w:left w:val="nil"/>
              <w:bottom w:val="nil"/>
              <w:right w:val="nil"/>
            </w:tcBorders>
            <w:shd w:val="clear" w:color="auto" w:fill="auto"/>
            <w:noWrap/>
            <w:textDirection w:val="btLr"/>
            <w:vAlign w:val="center"/>
            <w:hideMark/>
          </w:tcPr>
          <w:p w14:paraId="2EEDA76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(0.177)</w:t>
            </w:r>
          </w:p>
        </w:tc>
        <w:tc>
          <w:tcPr>
            <w:tcW w:w="420" w:type="dxa"/>
            <w:tcBorders>
              <w:top w:val="nil"/>
              <w:left w:val="nil"/>
              <w:bottom w:val="nil"/>
              <w:right w:val="nil"/>
            </w:tcBorders>
            <w:shd w:val="clear" w:color="auto" w:fill="auto"/>
            <w:noWrap/>
            <w:textDirection w:val="btLr"/>
            <w:vAlign w:val="center"/>
            <w:hideMark/>
          </w:tcPr>
          <w:p w14:paraId="6E3C94A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952</w:t>
            </w:r>
          </w:p>
        </w:tc>
        <w:tc>
          <w:tcPr>
            <w:tcW w:w="420" w:type="dxa"/>
            <w:tcBorders>
              <w:top w:val="nil"/>
              <w:left w:val="nil"/>
              <w:bottom w:val="nil"/>
              <w:right w:val="nil"/>
            </w:tcBorders>
            <w:shd w:val="clear" w:color="auto" w:fill="auto"/>
            <w:noWrap/>
            <w:textDirection w:val="btLr"/>
            <w:vAlign w:val="center"/>
            <w:hideMark/>
          </w:tcPr>
          <w:p w14:paraId="2520BBC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0.305</w:t>
            </w:r>
          </w:p>
        </w:tc>
        <w:tc>
          <w:tcPr>
            <w:tcW w:w="380" w:type="dxa"/>
            <w:vMerge/>
            <w:tcBorders>
              <w:top w:val="nil"/>
              <w:left w:val="nil"/>
              <w:bottom w:val="nil"/>
              <w:right w:val="single" w:sz="4" w:space="0" w:color="auto"/>
            </w:tcBorders>
            <w:vAlign w:val="center"/>
            <w:hideMark/>
          </w:tcPr>
          <w:p w14:paraId="73D01F0C" w14:textId="77777777" w:rsidR="00AE1490" w:rsidRPr="00AE1490" w:rsidRDefault="00AE1490" w:rsidP="00AE1490">
            <w:pPr>
              <w:spacing w:after="0"/>
              <w:rPr>
                <w:rFonts w:eastAsia="Times New Roman" w:cs="Times New Roman"/>
                <w:lang w:eastAsia="en-US"/>
              </w:rPr>
            </w:pPr>
          </w:p>
        </w:tc>
      </w:tr>
      <w:tr w:rsidR="00AE1490" w:rsidRPr="00AE1490" w14:paraId="609D71F6" w14:textId="77777777" w:rsidTr="00AE1490">
        <w:trPr>
          <w:trHeight w:val="1180"/>
        </w:trPr>
        <w:tc>
          <w:tcPr>
            <w:tcW w:w="420" w:type="dxa"/>
            <w:tcBorders>
              <w:top w:val="nil"/>
              <w:left w:val="nil"/>
              <w:bottom w:val="nil"/>
              <w:right w:val="nil"/>
            </w:tcBorders>
            <w:shd w:val="clear" w:color="auto" w:fill="auto"/>
            <w:noWrap/>
            <w:textDirection w:val="btLr"/>
            <w:vAlign w:val="center"/>
            <w:hideMark/>
          </w:tcPr>
          <w:p w14:paraId="580779C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0.046***</w:t>
            </w:r>
          </w:p>
        </w:tc>
        <w:tc>
          <w:tcPr>
            <w:tcW w:w="420" w:type="dxa"/>
            <w:tcBorders>
              <w:top w:val="nil"/>
              <w:left w:val="nil"/>
              <w:bottom w:val="nil"/>
              <w:right w:val="nil"/>
            </w:tcBorders>
            <w:shd w:val="clear" w:color="auto" w:fill="auto"/>
            <w:noWrap/>
            <w:textDirection w:val="btLr"/>
            <w:vAlign w:val="center"/>
            <w:hideMark/>
          </w:tcPr>
          <w:p w14:paraId="31D7C33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(0.005)</w:t>
            </w:r>
          </w:p>
        </w:tc>
        <w:tc>
          <w:tcPr>
            <w:tcW w:w="420" w:type="dxa"/>
            <w:tcBorders>
              <w:top w:val="nil"/>
              <w:left w:val="nil"/>
              <w:bottom w:val="nil"/>
              <w:right w:val="nil"/>
            </w:tcBorders>
            <w:shd w:val="clear" w:color="auto" w:fill="auto"/>
            <w:noWrap/>
            <w:textDirection w:val="btLr"/>
            <w:vAlign w:val="center"/>
            <w:hideMark/>
          </w:tcPr>
          <w:p w14:paraId="3D694C2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-3.100***</w:t>
            </w:r>
          </w:p>
        </w:tc>
        <w:tc>
          <w:tcPr>
            <w:tcW w:w="420" w:type="dxa"/>
            <w:tcBorders>
              <w:top w:val="nil"/>
              <w:left w:val="nil"/>
              <w:bottom w:val="nil"/>
              <w:right w:val="nil"/>
            </w:tcBorders>
            <w:shd w:val="clear" w:color="auto" w:fill="auto"/>
            <w:noWrap/>
            <w:textDirection w:val="btLr"/>
            <w:vAlign w:val="center"/>
            <w:hideMark/>
          </w:tcPr>
          <w:p w14:paraId="0B9C5ED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(0.824)</w:t>
            </w:r>
          </w:p>
        </w:tc>
        <w:tc>
          <w:tcPr>
            <w:tcW w:w="420" w:type="dxa"/>
            <w:tcBorders>
              <w:top w:val="nil"/>
              <w:left w:val="nil"/>
              <w:bottom w:val="nil"/>
              <w:right w:val="nil"/>
            </w:tcBorders>
            <w:shd w:val="clear" w:color="auto" w:fill="auto"/>
            <w:noWrap/>
            <w:textDirection w:val="btLr"/>
            <w:vAlign w:val="center"/>
            <w:hideMark/>
          </w:tcPr>
          <w:p w14:paraId="08EE7D87"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052525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12E03E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D58EAD8"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7363B3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68A38D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FB29E9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17.677***</w:t>
            </w:r>
          </w:p>
        </w:tc>
        <w:tc>
          <w:tcPr>
            <w:tcW w:w="420" w:type="dxa"/>
            <w:tcBorders>
              <w:top w:val="nil"/>
              <w:left w:val="nil"/>
              <w:bottom w:val="nil"/>
              <w:right w:val="nil"/>
            </w:tcBorders>
            <w:shd w:val="clear" w:color="auto" w:fill="auto"/>
            <w:noWrap/>
            <w:textDirection w:val="btLr"/>
            <w:vAlign w:val="center"/>
            <w:hideMark/>
          </w:tcPr>
          <w:p w14:paraId="227AD99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(0.518)</w:t>
            </w:r>
          </w:p>
        </w:tc>
        <w:tc>
          <w:tcPr>
            <w:tcW w:w="420" w:type="dxa"/>
            <w:tcBorders>
              <w:top w:val="nil"/>
              <w:left w:val="nil"/>
              <w:bottom w:val="nil"/>
              <w:right w:val="nil"/>
            </w:tcBorders>
            <w:shd w:val="clear" w:color="auto" w:fill="auto"/>
            <w:noWrap/>
            <w:textDirection w:val="btLr"/>
            <w:vAlign w:val="center"/>
            <w:hideMark/>
          </w:tcPr>
          <w:p w14:paraId="5DF9CA9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938</w:t>
            </w:r>
          </w:p>
        </w:tc>
        <w:tc>
          <w:tcPr>
            <w:tcW w:w="420" w:type="dxa"/>
            <w:tcBorders>
              <w:top w:val="nil"/>
              <w:left w:val="nil"/>
              <w:bottom w:val="nil"/>
              <w:right w:val="nil"/>
            </w:tcBorders>
            <w:shd w:val="clear" w:color="auto" w:fill="auto"/>
            <w:noWrap/>
            <w:textDirection w:val="btLr"/>
            <w:vAlign w:val="center"/>
            <w:hideMark/>
          </w:tcPr>
          <w:p w14:paraId="52DF170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0.300</w:t>
            </w:r>
          </w:p>
        </w:tc>
        <w:tc>
          <w:tcPr>
            <w:tcW w:w="380" w:type="dxa"/>
            <w:vMerge/>
            <w:tcBorders>
              <w:top w:val="nil"/>
              <w:left w:val="nil"/>
              <w:bottom w:val="nil"/>
              <w:right w:val="single" w:sz="4" w:space="0" w:color="auto"/>
            </w:tcBorders>
            <w:vAlign w:val="center"/>
            <w:hideMark/>
          </w:tcPr>
          <w:p w14:paraId="5382EBD0" w14:textId="77777777" w:rsidR="00AE1490" w:rsidRPr="00AE1490" w:rsidRDefault="00AE1490" w:rsidP="00AE1490">
            <w:pPr>
              <w:spacing w:after="0"/>
              <w:rPr>
                <w:rFonts w:eastAsia="Times New Roman" w:cs="Times New Roman"/>
                <w:lang w:eastAsia="en-US"/>
              </w:rPr>
            </w:pPr>
          </w:p>
        </w:tc>
      </w:tr>
      <w:tr w:rsidR="00AE1490" w:rsidRPr="00AE1490" w14:paraId="75208A52" w14:textId="77777777" w:rsidTr="00AE1490">
        <w:trPr>
          <w:trHeight w:val="1180"/>
        </w:trPr>
        <w:tc>
          <w:tcPr>
            <w:tcW w:w="420" w:type="dxa"/>
            <w:tcBorders>
              <w:top w:val="nil"/>
              <w:left w:val="nil"/>
              <w:bottom w:val="nil"/>
              <w:right w:val="nil"/>
            </w:tcBorders>
            <w:shd w:val="clear" w:color="auto" w:fill="auto"/>
            <w:noWrap/>
            <w:textDirection w:val="btLr"/>
            <w:vAlign w:val="center"/>
            <w:hideMark/>
          </w:tcPr>
          <w:p w14:paraId="1329DDA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82A4AF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98A5E5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C50FD9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A1CDA6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FF4625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D6D55E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684946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73CCF1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2E253C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FB463F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13.038***</w:t>
            </w:r>
          </w:p>
        </w:tc>
        <w:tc>
          <w:tcPr>
            <w:tcW w:w="420" w:type="dxa"/>
            <w:tcBorders>
              <w:top w:val="nil"/>
              <w:left w:val="nil"/>
              <w:bottom w:val="nil"/>
              <w:right w:val="nil"/>
            </w:tcBorders>
            <w:shd w:val="clear" w:color="auto" w:fill="auto"/>
            <w:noWrap/>
            <w:textDirection w:val="btLr"/>
            <w:vAlign w:val="center"/>
            <w:hideMark/>
          </w:tcPr>
          <w:p w14:paraId="666AD0F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(0.309)</w:t>
            </w:r>
          </w:p>
        </w:tc>
        <w:tc>
          <w:tcPr>
            <w:tcW w:w="420" w:type="dxa"/>
            <w:tcBorders>
              <w:top w:val="nil"/>
              <w:left w:val="nil"/>
              <w:bottom w:val="nil"/>
              <w:right w:val="nil"/>
            </w:tcBorders>
            <w:shd w:val="clear" w:color="auto" w:fill="auto"/>
            <w:noWrap/>
            <w:textDirection w:val="btLr"/>
            <w:vAlign w:val="center"/>
            <w:hideMark/>
          </w:tcPr>
          <w:p w14:paraId="2ADE96D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945</w:t>
            </w:r>
          </w:p>
        </w:tc>
        <w:tc>
          <w:tcPr>
            <w:tcW w:w="420" w:type="dxa"/>
            <w:tcBorders>
              <w:top w:val="nil"/>
              <w:left w:val="nil"/>
              <w:bottom w:val="nil"/>
              <w:right w:val="nil"/>
            </w:tcBorders>
            <w:shd w:val="clear" w:color="auto" w:fill="auto"/>
            <w:noWrap/>
            <w:textDirection w:val="btLr"/>
            <w:vAlign w:val="center"/>
            <w:hideMark/>
          </w:tcPr>
          <w:p w14:paraId="384CFE5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0.393</w:t>
            </w:r>
          </w:p>
        </w:tc>
        <w:tc>
          <w:tcPr>
            <w:tcW w:w="380" w:type="dxa"/>
            <w:vMerge/>
            <w:tcBorders>
              <w:top w:val="nil"/>
              <w:left w:val="nil"/>
              <w:bottom w:val="nil"/>
              <w:right w:val="single" w:sz="4" w:space="0" w:color="auto"/>
            </w:tcBorders>
            <w:vAlign w:val="center"/>
            <w:hideMark/>
          </w:tcPr>
          <w:p w14:paraId="7CC6E3DD" w14:textId="77777777" w:rsidR="00AE1490" w:rsidRPr="00AE1490" w:rsidRDefault="00AE1490" w:rsidP="00AE1490">
            <w:pPr>
              <w:spacing w:after="0"/>
              <w:rPr>
                <w:rFonts w:eastAsia="Times New Roman" w:cs="Times New Roman"/>
                <w:lang w:eastAsia="en-US"/>
              </w:rPr>
            </w:pPr>
          </w:p>
        </w:tc>
      </w:tr>
      <w:tr w:rsidR="00AE1490" w:rsidRPr="00AE1490" w14:paraId="40533EA2" w14:textId="77777777" w:rsidTr="00AE1490">
        <w:trPr>
          <w:trHeight w:val="1180"/>
        </w:trPr>
        <w:tc>
          <w:tcPr>
            <w:tcW w:w="420" w:type="dxa"/>
            <w:tcBorders>
              <w:top w:val="nil"/>
              <w:left w:val="nil"/>
              <w:bottom w:val="nil"/>
              <w:right w:val="nil"/>
            </w:tcBorders>
            <w:shd w:val="clear" w:color="auto" w:fill="auto"/>
            <w:noWrap/>
            <w:textDirection w:val="btLr"/>
            <w:vAlign w:val="center"/>
            <w:hideMark/>
          </w:tcPr>
          <w:p w14:paraId="7C67618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514532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7C5D48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B7834F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D939D7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30E07D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C4EF8B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CA7DD1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ED8C08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C5F9FD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B84B56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12.569***</w:t>
            </w:r>
          </w:p>
        </w:tc>
        <w:tc>
          <w:tcPr>
            <w:tcW w:w="420" w:type="dxa"/>
            <w:tcBorders>
              <w:top w:val="nil"/>
              <w:left w:val="nil"/>
              <w:bottom w:val="nil"/>
              <w:right w:val="nil"/>
            </w:tcBorders>
            <w:shd w:val="clear" w:color="auto" w:fill="auto"/>
            <w:noWrap/>
            <w:textDirection w:val="btLr"/>
            <w:vAlign w:val="center"/>
            <w:hideMark/>
          </w:tcPr>
          <w:p w14:paraId="7D31161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(0.278)</w:t>
            </w:r>
          </w:p>
        </w:tc>
        <w:tc>
          <w:tcPr>
            <w:tcW w:w="420" w:type="dxa"/>
            <w:tcBorders>
              <w:top w:val="nil"/>
              <w:left w:val="nil"/>
              <w:bottom w:val="nil"/>
              <w:right w:val="nil"/>
            </w:tcBorders>
            <w:shd w:val="clear" w:color="auto" w:fill="auto"/>
            <w:noWrap/>
            <w:textDirection w:val="btLr"/>
            <w:vAlign w:val="center"/>
            <w:hideMark/>
          </w:tcPr>
          <w:p w14:paraId="5F2AA94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952</w:t>
            </w:r>
          </w:p>
        </w:tc>
        <w:tc>
          <w:tcPr>
            <w:tcW w:w="420" w:type="dxa"/>
            <w:tcBorders>
              <w:top w:val="nil"/>
              <w:left w:val="nil"/>
              <w:bottom w:val="nil"/>
              <w:right w:val="nil"/>
            </w:tcBorders>
            <w:shd w:val="clear" w:color="auto" w:fill="auto"/>
            <w:noWrap/>
            <w:textDirection w:val="btLr"/>
            <w:vAlign w:val="center"/>
            <w:hideMark/>
          </w:tcPr>
          <w:p w14:paraId="02AE13E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0.381</w:t>
            </w:r>
          </w:p>
        </w:tc>
        <w:tc>
          <w:tcPr>
            <w:tcW w:w="380" w:type="dxa"/>
            <w:vMerge/>
            <w:tcBorders>
              <w:top w:val="nil"/>
              <w:left w:val="nil"/>
              <w:bottom w:val="nil"/>
              <w:right w:val="single" w:sz="4" w:space="0" w:color="auto"/>
            </w:tcBorders>
            <w:vAlign w:val="center"/>
            <w:hideMark/>
          </w:tcPr>
          <w:p w14:paraId="6B3DE3A6" w14:textId="77777777" w:rsidR="00AE1490" w:rsidRPr="00AE1490" w:rsidRDefault="00AE1490" w:rsidP="00AE1490">
            <w:pPr>
              <w:spacing w:after="0"/>
              <w:rPr>
                <w:rFonts w:eastAsia="Times New Roman" w:cs="Times New Roman"/>
                <w:lang w:eastAsia="en-US"/>
              </w:rPr>
            </w:pPr>
          </w:p>
        </w:tc>
      </w:tr>
      <w:tr w:rsidR="00AE1490" w:rsidRPr="00AE1490" w14:paraId="4053D618" w14:textId="77777777" w:rsidTr="00AE1490">
        <w:trPr>
          <w:trHeight w:val="1180"/>
        </w:trPr>
        <w:tc>
          <w:tcPr>
            <w:tcW w:w="420" w:type="dxa"/>
            <w:tcBorders>
              <w:top w:val="nil"/>
              <w:left w:val="nil"/>
              <w:bottom w:val="nil"/>
              <w:right w:val="nil"/>
            </w:tcBorders>
            <w:shd w:val="clear" w:color="auto" w:fill="auto"/>
            <w:noWrap/>
            <w:textDirection w:val="btLr"/>
            <w:vAlign w:val="center"/>
            <w:hideMark/>
          </w:tcPr>
          <w:p w14:paraId="5496A9D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2FE608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3CA7A4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9C0ED9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966F1B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D533CF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D55A60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9CED7C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F38851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657C6F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07896E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16.720***</w:t>
            </w:r>
          </w:p>
        </w:tc>
        <w:tc>
          <w:tcPr>
            <w:tcW w:w="420" w:type="dxa"/>
            <w:tcBorders>
              <w:top w:val="nil"/>
              <w:left w:val="nil"/>
              <w:bottom w:val="nil"/>
              <w:right w:val="nil"/>
            </w:tcBorders>
            <w:shd w:val="clear" w:color="auto" w:fill="auto"/>
            <w:noWrap/>
            <w:textDirection w:val="btLr"/>
            <w:vAlign w:val="center"/>
            <w:hideMark/>
          </w:tcPr>
          <w:p w14:paraId="2D41ACA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(0.050)</w:t>
            </w:r>
          </w:p>
        </w:tc>
        <w:tc>
          <w:tcPr>
            <w:tcW w:w="420" w:type="dxa"/>
            <w:tcBorders>
              <w:top w:val="nil"/>
              <w:left w:val="nil"/>
              <w:bottom w:val="nil"/>
              <w:right w:val="nil"/>
            </w:tcBorders>
            <w:shd w:val="clear" w:color="auto" w:fill="auto"/>
            <w:noWrap/>
            <w:textDirection w:val="btLr"/>
            <w:vAlign w:val="center"/>
            <w:hideMark/>
          </w:tcPr>
          <w:p w14:paraId="4B88635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1,018</w:t>
            </w:r>
          </w:p>
        </w:tc>
        <w:tc>
          <w:tcPr>
            <w:tcW w:w="420" w:type="dxa"/>
            <w:tcBorders>
              <w:top w:val="nil"/>
              <w:left w:val="nil"/>
              <w:bottom w:val="nil"/>
              <w:right w:val="nil"/>
            </w:tcBorders>
            <w:shd w:val="clear" w:color="auto" w:fill="auto"/>
            <w:noWrap/>
            <w:textDirection w:val="btLr"/>
            <w:vAlign w:val="center"/>
            <w:hideMark/>
          </w:tcPr>
          <w:p w14:paraId="4A59126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0.229</w:t>
            </w:r>
          </w:p>
        </w:tc>
        <w:tc>
          <w:tcPr>
            <w:tcW w:w="380" w:type="dxa"/>
            <w:vMerge/>
            <w:tcBorders>
              <w:top w:val="nil"/>
              <w:left w:val="nil"/>
              <w:bottom w:val="nil"/>
              <w:right w:val="single" w:sz="4" w:space="0" w:color="auto"/>
            </w:tcBorders>
            <w:vAlign w:val="center"/>
            <w:hideMark/>
          </w:tcPr>
          <w:p w14:paraId="56240EAD" w14:textId="77777777" w:rsidR="00AE1490" w:rsidRPr="00AE1490" w:rsidRDefault="00AE1490" w:rsidP="00AE1490">
            <w:pPr>
              <w:spacing w:after="0"/>
              <w:rPr>
                <w:rFonts w:eastAsia="Times New Roman" w:cs="Times New Roman"/>
                <w:lang w:eastAsia="en-US"/>
              </w:rPr>
            </w:pPr>
          </w:p>
        </w:tc>
      </w:tr>
      <w:tr w:rsidR="00AE1490" w:rsidRPr="00AE1490" w14:paraId="32DCEDCA" w14:textId="77777777" w:rsidTr="00AE1490">
        <w:trPr>
          <w:trHeight w:val="2180"/>
        </w:trPr>
        <w:tc>
          <w:tcPr>
            <w:tcW w:w="840" w:type="dxa"/>
            <w:gridSpan w:val="2"/>
            <w:tcBorders>
              <w:top w:val="nil"/>
              <w:left w:val="nil"/>
              <w:bottom w:val="nil"/>
              <w:right w:val="nil"/>
            </w:tcBorders>
            <w:shd w:val="clear" w:color="auto" w:fill="auto"/>
            <w:textDirection w:val="btLr"/>
            <w:vAlign w:val="center"/>
            <w:hideMark/>
          </w:tcPr>
          <w:p w14:paraId="6B4928F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Age in years of current regimes</w:t>
            </w:r>
          </w:p>
        </w:tc>
        <w:tc>
          <w:tcPr>
            <w:tcW w:w="420" w:type="dxa"/>
            <w:tcBorders>
              <w:top w:val="nil"/>
              <w:left w:val="nil"/>
              <w:bottom w:val="nil"/>
              <w:right w:val="nil"/>
            </w:tcBorders>
            <w:shd w:val="clear" w:color="auto" w:fill="auto"/>
            <w:textDirection w:val="btLr"/>
            <w:vAlign w:val="center"/>
            <w:hideMark/>
          </w:tcPr>
          <w:p w14:paraId="70B65CA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UN voting affinity</w:t>
            </w:r>
          </w:p>
        </w:tc>
        <w:tc>
          <w:tcPr>
            <w:tcW w:w="420" w:type="dxa"/>
            <w:tcBorders>
              <w:top w:val="nil"/>
              <w:left w:val="nil"/>
              <w:bottom w:val="nil"/>
              <w:right w:val="nil"/>
            </w:tcBorders>
            <w:shd w:val="clear" w:color="auto" w:fill="auto"/>
            <w:textDirection w:val="btLr"/>
            <w:vAlign w:val="center"/>
            <w:hideMark/>
          </w:tcPr>
          <w:p w14:paraId="1F0E7945" w14:textId="77777777" w:rsidR="00AE1490" w:rsidRPr="00AE1490" w:rsidRDefault="00AE1490" w:rsidP="00AE1490">
            <w:pPr>
              <w:spacing w:after="0"/>
              <w:rPr>
                <w:rFonts w:eastAsia="Times New Roman" w:cs="Times New Roman"/>
                <w:lang w:eastAsia="en-US"/>
              </w:rPr>
            </w:pPr>
          </w:p>
        </w:tc>
        <w:tc>
          <w:tcPr>
            <w:tcW w:w="840" w:type="dxa"/>
            <w:gridSpan w:val="2"/>
            <w:tcBorders>
              <w:top w:val="nil"/>
              <w:left w:val="nil"/>
              <w:bottom w:val="nil"/>
              <w:right w:val="nil"/>
            </w:tcBorders>
            <w:shd w:val="clear" w:color="auto" w:fill="auto"/>
            <w:textDirection w:val="btLr"/>
            <w:vAlign w:val="center"/>
            <w:hideMark/>
          </w:tcPr>
          <w:p w14:paraId="094F21D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If recipient had any type of disaster</w:t>
            </w:r>
          </w:p>
        </w:tc>
        <w:tc>
          <w:tcPr>
            <w:tcW w:w="840" w:type="dxa"/>
            <w:gridSpan w:val="2"/>
            <w:tcBorders>
              <w:top w:val="nil"/>
              <w:left w:val="nil"/>
              <w:bottom w:val="nil"/>
              <w:right w:val="nil"/>
            </w:tcBorders>
            <w:shd w:val="clear" w:color="auto" w:fill="auto"/>
            <w:textDirection w:val="btLr"/>
            <w:vAlign w:val="center"/>
            <w:hideMark/>
          </w:tcPr>
          <w:p w14:paraId="3BD2CDF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Population (in thousands)</w:t>
            </w:r>
          </w:p>
        </w:tc>
        <w:tc>
          <w:tcPr>
            <w:tcW w:w="840" w:type="dxa"/>
            <w:gridSpan w:val="2"/>
            <w:tcBorders>
              <w:top w:val="nil"/>
              <w:left w:val="nil"/>
              <w:bottom w:val="nil"/>
              <w:right w:val="nil"/>
            </w:tcBorders>
            <w:shd w:val="clear" w:color="auto" w:fill="auto"/>
            <w:textDirection w:val="btLr"/>
            <w:vAlign w:val="center"/>
            <w:hideMark/>
          </w:tcPr>
          <w:p w14:paraId="213341F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Distance between capitals (capitals, km)</w:t>
            </w:r>
          </w:p>
        </w:tc>
        <w:tc>
          <w:tcPr>
            <w:tcW w:w="420" w:type="dxa"/>
            <w:tcBorders>
              <w:top w:val="nil"/>
              <w:left w:val="nil"/>
              <w:bottom w:val="nil"/>
              <w:right w:val="nil"/>
            </w:tcBorders>
            <w:shd w:val="clear" w:color="auto" w:fill="auto"/>
            <w:textDirection w:val="btLr"/>
            <w:vAlign w:val="center"/>
            <w:hideMark/>
          </w:tcPr>
          <w:p w14:paraId="46754E2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Constant</w:t>
            </w:r>
          </w:p>
        </w:tc>
        <w:tc>
          <w:tcPr>
            <w:tcW w:w="420" w:type="dxa"/>
            <w:tcBorders>
              <w:top w:val="nil"/>
              <w:left w:val="nil"/>
              <w:bottom w:val="nil"/>
              <w:right w:val="nil"/>
            </w:tcBorders>
            <w:shd w:val="clear" w:color="auto" w:fill="auto"/>
            <w:textDirection w:val="btLr"/>
            <w:vAlign w:val="center"/>
            <w:hideMark/>
          </w:tcPr>
          <w:p w14:paraId="1D452B2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01964FD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No. of observations</w:t>
            </w:r>
          </w:p>
        </w:tc>
        <w:tc>
          <w:tcPr>
            <w:tcW w:w="420" w:type="dxa"/>
            <w:tcBorders>
              <w:top w:val="nil"/>
              <w:left w:val="nil"/>
              <w:bottom w:val="nil"/>
              <w:right w:val="nil"/>
            </w:tcBorders>
            <w:shd w:val="clear" w:color="auto" w:fill="auto"/>
            <w:textDirection w:val="btLr"/>
            <w:vAlign w:val="center"/>
            <w:hideMark/>
          </w:tcPr>
          <w:p w14:paraId="7E81B38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R2</w:t>
            </w:r>
          </w:p>
        </w:tc>
        <w:tc>
          <w:tcPr>
            <w:tcW w:w="380" w:type="dxa"/>
            <w:vMerge/>
            <w:tcBorders>
              <w:top w:val="nil"/>
              <w:left w:val="nil"/>
              <w:bottom w:val="nil"/>
              <w:right w:val="single" w:sz="4" w:space="0" w:color="auto"/>
            </w:tcBorders>
            <w:vAlign w:val="center"/>
            <w:hideMark/>
          </w:tcPr>
          <w:p w14:paraId="50D26797" w14:textId="77777777" w:rsidR="00AE1490" w:rsidRPr="00AE1490" w:rsidRDefault="00AE1490" w:rsidP="00AE1490">
            <w:pPr>
              <w:spacing w:after="0"/>
              <w:rPr>
                <w:rFonts w:eastAsia="Times New Roman" w:cs="Times New Roman"/>
                <w:lang w:eastAsia="en-US"/>
              </w:rPr>
            </w:pPr>
          </w:p>
        </w:tc>
      </w:tr>
    </w:tbl>
    <w:p w14:paraId="1D69FD78" w14:textId="062DAF00" w:rsidR="003F26E5" w:rsidRDefault="003F26E5">
      <w:pPr>
        <w:rPr>
          <w:rFonts w:eastAsia="Times New Roman" w:cs="Times New Roman"/>
          <w:b/>
          <w:bCs/>
          <w:color w:val="000000"/>
          <w:sz w:val="22"/>
          <w:szCs w:val="22"/>
          <w:lang w:eastAsia="en-US"/>
        </w:rPr>
      </w:pPr>
      <w:r>
        <w:rPr>
          <w:rFonts w:eastAsia="Times New Roman" w:cs="Times New Roman"/>
          <w:b/>
          <w:bCs/>
          <w:color w:val="000000"/>
          <w:sz w:val="22"/>
          <w:szCs w:val="22"/>
          <w:lang w:eastAsia="en-US"/>
        </w:rPr>
        <w:br w:type="page"/>
      </w:r>
    </w:p>
    <w:p w14:paraId="55092949" w14:textId="77777777" w:rsidR="00EC31FA" w:rsidRDefault="00EC31FA" w:rsidP="008F23CC">
      <w:pPr>
        <w:spacing w:after="0"/>
        <w:rPr>
          <w:rFonts w:eastAsia="Times New Roman" w:cs="Times New Roman"/>
          <w:b/>
          <w:bCs/>
          <w:color w:val="000000"/>
          <w:sz w:val="22"/>
          <w:szCs w:val="22"/>
          <w:lang w:eastAsia="en-US"/>
        </w:rPr>
        <w:sectPr w:rsidR="00EC31FA" w:rsidSect="00D0314C">
          <w:pgSz w:w="12240" w:h="15840"/>
          <w:pgMar w:top="1440" w:right="1440" w:bottom="1440" w:left="2520" w:header="720" w:footer="720" w:gutter="0"/>
          <w:cols w:space="720"/>
        </w:sectPr>
      </w:pPr>
    </w:p>
    <w:tbl>
      <w:tblPr>
        <w:tblW w:w="6700" w:type="dxa"/>
        <w:tblInd w:w="93" w:type="dxa"/>
        <w:tblLook w:val="04A0" w:firstRow="1" w:lastRow="0" w:firstColumn="1" w:lastColumn="0" w:noHBand="0" w:noVBand="1"/>
      </w:tblPr>
      <w:tblGrid>
        <w:gridCol w:w="498"/>
        <w:gridCol w:w="498"/>
        <w:gridCol w:w="498"/>
        <w:gridCol w:w="498"/>
        <w:gridCol w:w="498"/>
        <w:gridCol w:w="498"/>
        <w:gridCol w:w="498"/>
        <w:gridCol w:w="498"/>
        <w:gridCol w:w="498"/>
        <w:gridCol w:w="498"/>
        <w:gridCol w:w="498"/>
        <w:gridCol w:w="498"/>
        <w:gridCol w:w="498"/>
        <w:gridCol w:w="498"/>
        <w:gridCol w:w="498"/>
        <w:gridCol w:w="498"/>
      </w:tblGrid>
      <w:tr w:rsidR="00AE1490" w:rsidRPr="00AE1490" w14:paraId="721B43CC" w14:textId="77777777" w:rsidTr="00AE1490">
        <w:trPr>
          <w:trHeight w:val="1180"/>
        </w:trPr>
        <w:tc>
          <w:tcPr>
            <w:tcW w:w="380" w:type="dxa"/>
            <w:vMerge w:val="restart"/>
            <w:tcBorders>
              <w:top w:val="nil"/>
              <w:left w:val="nil"/>
              <w:bottom w:val="nil"/>
              <w:right w:val="single" w:sz="4" w:space="0" w:color="auto"/>
            </w:tcBorders>
            <w:shd w:val="clear" w:color="auto" w:fill="auto"/>
            <w:noWrap/>
            <w:textDirection w:val="btLr"/>
            <w:vAlign w:val="bottom"/>
            <w:hideMark/>
          </w:tcPr>
          <w:p w14:paraId="78D81121" w14:textId="77777777" w:rsidR="00AE1490" w:rsidRPr="00AE1490" w:rsidRDefault="00AE1490" w:rsidP="00AE1490">
            <w:pPr>
              <w:spacing w:after="0"/>
              <w:rPr>
                <w:rFonts w:eastAsia="Times New Roman" w:cs="Times New Roman"/>
                <w:color w:val="000000"/>
                <w:lang w:eastAsia="en-US"/>
              </w:rPr>
            </w:pPr>
            <w:r w:rsidRPr="00AE1490">
              <w:rPr>
                <w:rFonts w:eastAsia="Times New Roman" w:cs="Times New Roman"/>
                <w:color w:val="000000"/>
                <w:lang w:eastAsia="en-US"/>
              </w:rPr>
              <w:t>Table D.2. Bilateral aid committed (ln) with UN voting affinity, former colonies only</w:t>
            </w:r>
          </w:p>
        </w:tc>
        <w:tc>
          <w:tcPr>
            <w:tcW w:w="440" w:type="dxa"/>
            <w:tcBorders>
              <w:top w:val="nil"/>
              <w:left w:val="nil"/>
              <w:bottom w:val="nil"/>
              <w:right w:val="nil"/>
            </w:tcBorders>
            <w:shd w:val="clear" w:color="auto" w:fill="auto"/>
            <w:textDirection w:val="btLr"/>
            <w:vAlign w:val="center"/>
            <w:hideMark/>
          </w:tcPr>
          <w:p w14:paraId="14161CCC"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(8)</w:t>
            </w:r>
          </w:p>
        </w:tc>
        <w:tc>
          <w:tcPr>
            <w:tcW w:w="420" w:type="dxa"/>
            <w:tcBorders>
              <w:top w:val="nil"/>
              <w:left w:val="nil"/>
              <w:bottom w:val="nil"/>
              <w:right w:val="nil"/>
            </w:tcBorders>
            <w:shd w:val="clear" w:color="auto" w:fill="auto"/>
            <w:noWrap/>
            <w:textDirection w:val="btLr"/>
            <w:vAlign w:val="center"/>
            <w:hideMark/>
          </w:tcPr>
          <w:p w14:paraId="2F5B70B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1.321***</w:t>
            </w:r>
          </w:p>
        </w:tc>
        <w:tc>
          <w:tcPr>
            <w:tcW w:w="420" w:type="dxa"/>
            <w:tcBorders>
              <w:top w:val="nil"/>
              <w:left w:val="nil"/>
              <w:bottom w:val="nil"/>
              <w:right w:val="nil"/>
            </w:tcBorders>
            <w:shd w:val="clear" w:color="auto" w:fill="auto"/>
            <w:noWrap/>
            <w:textDirection w:val="btLr"/>
            <w:vAlign w:val="center"/>
            <w:hideMark/>
          </w:tcPr>
          <w:p w14:paraId="61FEDAB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(0.157)</w:t>
            </w:r>
          </w:p>
        </w:tc>
        <w:tc>
          <w:tcPr>
            <w:tcW w:w="420" w:type="dxa"/>
            <w:tcBorders>
              <w:top w:val="nil"/>
              <w:left w:val="nil"/>
              <w:bottom w:val="nil"/>
              <w:right w:val="nil"/>
            </w:tcBorders>
            <w:shd w:val="clear" w:color="auto" w:fill="auto"/>
            <w:noWrap/>
            <w:textDirection w:val="btLr"/>
            <w:vAlign w:val="center"/>
            <w:hideMark/>
          </w:tcPr>
          <w:p w14:paraId="091982F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0.596***</w:t>
            </w:r>
          </w:p>
        </w:tc>
        <w:tc>
          <w:tcPr>
            <w:tcW w:w="420" w:type="dxa"/>
            <w:tcBorders>
              <w:top w:val="nil"/>
              <w:left w:val="nil"/>
              <w:bottom w:val="nil"/>
              <w:right w:val="nil"/>
            </w:tcBorders>
            <w:shd w:val="clear" w:color="auto" w:fill="auto"/>
            <w:noWrap/>
            <w:textDirection w:val="btLr"/>
            <w:vAlign w:val="center"/>
            <w:hideMark/>
          </w:tcPr>
          <w:p w14:paraId="32C1E11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(0.091)</w:t>
            </w:r>
          </w:p>
        </w:tc>
        <w:tc>
          <w:tcPr>
            <w:tcW w:w="420" w:type="dxa"/>
            <w:tcBorders>
              <w:top w:val="nil"/>
              <w:left w:val="nil"/>
              <w:bottom w:val="nil"/>
              <w:right w:val="nil"/>
            </w:tcBorders>
            <w:shd w:val="clear" w:color="auto" w:fill="auto"/>
            <w:noWrap/>
            <w:textDirection w:val="btLr"/>
            <w:vAlign w:val="center"/>
            <w:hideMark/>
          </w:tcPr>
          <w:p w14:paraId="52E54BB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419721F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5DFFFE0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-0.060</w:t>
            </w:r>
          </w:p>
        </w:tc>
        <w:tc>
          <w:tcPr>
            <w:tcW w:w="420" w:type="dxa"/>
            <w:tcBorders>
              <w:top w:val="nil"/>
              <w:left w:val="nil"/>
              <w:bottom w:val="nil"/>
              <w:right w:val="nil"/>
            </w:tcBorders>
            <w:shd w:val="clear" w:color="auto" w:fill="auto"/>
            <w:noWrap/>
            <w:textDirection w:val="btLr"/>
            <w:vAlign w:val="center"/>
            <w:hideMark/>
          </w:tcPr>
          <w:p w14:paraId="40C1ADA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(0.238)</w:t>
            </w:r>
          </w:p>
        </w:tc>
        <w:tc>
          <w:tcPr>
            <w:tcW w:w="420" w:type="dxa"/>
            <w:tcBorders>
              <w:top w:val="nil"/>
              <w:left w:val="nil"/>
              <w:bottom w:val="nil"/>
              <w:right w:val="nil"/>
            </w:tcBorders>
            <w:shd w:val="clear" w:color="auto" w:fill="auto"/>
            <w:noWrap/>
            <w:textDirection w:val="btLr"/>
            <w:vAlign w:val="center"/>
            <w:hideMark/>
          </w:tcPr>
          <w:p w14:paraId="612EFE2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0.775</w:t>
            </w:r>
          </w:p>
        </w:tc>
        <w:tc>
          <w:tcPr>
            <w:tcW w:w="420" w:type="dxa"/>
            <w:tcBorders>
              <w:top w:val="nil"/>
              <w:left w:val="nil"/>
              <w:bottom w:val="nil"/>
              <w:right w:val="nil"/>
            </w:tcBorders>
            <w:shd w:val="clear" w:color="auto" w:fill="auto"/>
            <w:noWrap/>
            <w:textDirection w:val="btLr"/>
            <w:vAlign w:val="center"/>
            <w:hideMark/>
          </w:tcPr>
          <w:p w14:paraId="62DA453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(0.671)</w:t>
            </w:r>
          </w:p>
        </w:tc>
        <w:tc>
          <w:tcPr>
            <w:tcW w:w="420" w:type="dxa"/>
            <w:tcBorders>
              <w:top w:val="nil"/>
              <w:left w:val="nil"/>
              <w:bottom w:val="nil"/>
              <w:right w:val="nil"/>
            </w:tcBorders>
            <w:shd w:val="clear" w:color="auto" w:fill="auto"/>
            <w:noWrap/>
            <w:textDirection w:val="btLr"/>
            <w:vAlign w:val="center"/>
            <w:hideMark/>
          </w:tcPr>
          <w:p w14:paraId="6A9E174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0.251</w:t>
            </w:r>
          </w:p>
        </w:tc>
        <w:tc>
          <w:tcPr>
            <w:tcW w:w="420" w:type="dxa"/>
            <w:tcBorders>
              <w:top w:val="nil"/>
              <w:left w:val="nil"/>
              <w:bottom w:val="nil"/>
              <w:right w:val="nil"/>
            </w:tcBorders>
            <w:shd w:val="clear" w:color="auto" w:fill="auto"/>
            <w:noWrap/>
            <w:textDirection w:val="btLr"/>
            <w:vAlign w:val="center"/>
            <w:hideMark/>
          </w:tcPr>
          <w:p w14:paraId="4DF0303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(0.278)</w:t>
            </w:r>
          </w:p>
        </w:tc>
        <w:tc>
          <w:tcPr>
            <w:tcW w:w="420" w:type="dxa"/>
            <w:tcBorders>
              <w:top w:val="nil"/>
              <w:left w:val="nil"/>
              <w:bottom w:val="nil"/>
              <w:right w:val="nil"/>
            </w:tcBorders>
            <w:shd w:val="clear" w:color="auto" w:fill="auto"/>
            <w:noWrap/>
            <w:textDirection w:val="btLr"/>
            <w:vAlign w:val="center"/>
            <w:hideMark/>
          </w:tcPr>
          <w:p w14:paraId="1276D95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0.004</w:t>
            </w:r>
          </w:p>
        </w:tc>
        <w:tc>
          <w:tcPr>
            <w:tcW w:w="420" w:type="dxa"/>
            <w:tcBorders>
              <w:top w:val="nil"/>
              <w:left w:val="nil"/>
              <w:bottom w:val="nil"/>
              <w:right w:val="nil"/>
            </w:tcBorders>
            <w:shd w:val="clear" w:color="auto" w:fill="auto"/>
            <w:noWrap/>
            <w:textDirection w:val="btLr"/>
            <w:vAlign w:val="center"/>
            <w:hideMark/>
          </w:tcPr>
          <w:p w14:paraId="747CC84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(0.018)</w:t>
            </w:r>
          </w:p>
        </w:tc>
      </w:tr>
      <w:tr w:rsidR="00AE1490" w:rsidRPr="00AE1490" w14:paraId="761B0465" w14:textId="77777777" w:rsidTr="00AE1490">
        <w:trPr>
          <w:trHeight w:val="1180"/>
        </w:trPr>
        <w:tc>
          <w:tcPr>
            <w:tcW w:w="380" w:type="dxa"/>
            <w:vMerge/>
            <w:tcBorders>
              <w:top w:val="nil"/>
              <w:left w:val="nil"/>
              <w:bottom w:val="nil"/>
              <w:right w:val="single" w:sz="4" w:space="0" w:color="auto"/>
            </w:tcBorders>
            <w:vAlign w:val="center"/>
            <w:hideMark/>
          </w:tcPr>
          <w:p w14:paraId="1B04CF64" w14:textId="77777777" w:rsidR="00AE1490" w:rsidRPr="00AE1490" w:rsidRDefault="00AE1490" w:rsidP="00AE1490">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textDirection w:val="btLr"/>
            <w:vAlign w:val="center"/>
            <w:hideMark/>
          </w:tcPr>
          <w:p w14:paraId="2294E08F"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(7)</w:t>
            </w:r>
          </w:p>
        </w:tc>
        <w:tc>
          <w:tcPr>
            <w:tcW w:w="420" w:type="dxa"/>
            <w:tcBorders>
              <w:top w:val="nil"/>
              <w:left w:val="nil"/>
              <w:bottom w:val="nil"/>
              <w:right w:val="nil"/>
            </w:tcBorders>
            <w:shd w:val="clear" w:color="auto" w:fill="auto"/>
            <w:noWrap/>
            <w:textDirection w:val="btLr"/>
            <w:vAlign w:val="center"/>
            <w:hideMark/>
          </w:tcPr>
          <w:p w14:paraId="44778E6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1.296***</w:t>
            </w:r>
          </w:p>
        </w:tc>
        <w:tc>
          <w:tcPr>
            <w:tcW w:w="420" w:type="dxa"/>
            <w:tcBorders>
              <w:top w:val="nil"/>
              <w:left w:val="nil"/>
              <w:bottom w:val="nil"/>
              <w:right w:val="nil"/>
            </w:tcBorders>
            <w:shd w:val="clear" w:color="auto" w:fill="auto"/>
            <w:noWrap/>
            <w:textDirection w:val="btLr"/>
            <w:vAlign w:val="center"/>
            <w:hideMark/>
          </w:tcPr>
          <w:p w14:paraId="399E4DE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(0.154)</w:t>
            </w:r>
          </w:p>
        </w:tc>
        <w:tc>
          <w:tcPr>
            <w:tcW w:w="420" w:type="dxa"/>
            <w:tcBorders>
              <w:top w:val="nil"/>
              <w:left w:val="nil"/>
              <w:bottom w:val="nil"/>
              <w:right w:val="nil"/>
            </w:tcBorders>
            <w:shd w:val="clear" w:color="auto" w:fill="auto"/>
            <w:noWrap/>
            <w:textDirection w:val="btLr"/>
            <w:vAlign w:val="center"/>
            <w:hideMark/>
          </w:tcPr>
          <w:p w14:paraId="091F338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0.584***</w:t>
            </w:r>
          </w:p>
        </w:tc>
        <w:tc>
          <w:tcPr>
            <w:tcW w:w="420" w:type="dxa"/>
            <w:tcBorders>
              <w:top w:val="nil"/>
              <w:left w:val="nil"/>
              <w:bottom w:val="nil"/>
              <w:right w:val="nil"/>
            </w:tcBorders>
            <w:shd w:val="clear" w:color="auto" w:fill="auto"/>
            <w:noWrap/>
            <w:textDirection w:val="btLr"/>
            <w:vAlign w:val="center"/>
            <w:hideMark/>
          </w:tcPr>
          <w:p w14:paraId="0D091DD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(0.071)</w:t>
            </w:r>
          </w:p>
        </w:tc>
        <w:tc>
          <w:tcPr>
            <w:tcW w:w="420" w:type="dxa"/>
            <w:tcBorders>
              <w:top w:val="nil"/>
              <w:left w:val="nil"/>
              <w:bottom w:val="nil"/>
              <w:right w:val="nil"/>
            </w:tcBorders>
            <w:shd w:val="clear" w:color="auto" w:fill="auto"/>
            <w:noWrap/>
            <w:textDirection w:val="btLr"/>
            <w:vAlign w:val="center"/>
            <w:hideMark/>
          </w:tcPr>
          <w:p w14:paraId="31C95E8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153C09B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3B4E169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-0.010</w:t>
            </w:r>
          </w:p>
        </w:tc>
        <w:tc>
          <w:tcPr>
            <w:tcW w:w="420" w:type="dxa"/>
            <w:tcBorders>
              <w:top w:val="nil"/>
              <w:left w:val="nil"/>
              <w:bottom w:val="nil"/>
              <w:right w:val="nil"/>
            </w:tcBorders>
            <w:shd w:val="clear" w:color="auto" w:fill="auto"/>
            <w:noWrap/>
            <w:textDirection w:val="btLr"/>
            <w:vAlign w:val="center"/>
            <w:hideMark/>
          </w:tcPr>
          <w:p w14:paraId="3DC64A0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(0.230)</w:t>
            </w:r>
          </w:p>
        </w:tc>
        <w:tc>
          <w:tcPr>
            <w:tcW w:w="420" w:type="dxa"/>
            <w:tcBorders>
              <w:top w:val="nil"/>
              <w:left w:val="nil"/>
              <w:bottom w:val="nil"/>
              <w:right w:val="nil"/>
            </w:tcBorders>
            <w:shd w:val="clear" w:color="auto" w:fill="auto"/>
            <w:noWrap/>
            <w:textDirection w:val="btLr"/>
            <w:vAlign w:val="center"/>
            <w:hideMark/>
          </w:tcPr>
          <w:p w14:paraId="7B136CF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0.706</w:t>
            </w:r>
          </w:p>
        </w:tc>
        <w:tc>
          <w:tcPr>
            <w:tcW w:w="420" w:type="dxa"/>
            <w:tcBorders>
              <w:top w:val="nil"/>
              <w:left w:val="nil"/>
              <w:bottom w:val="nil"/>
              <w:right w:val="nil"/>
            </w:tcBorders>
            <w:shd w:val="clear" w:color="auto" w:fill="auto"/>
            <w:noWrap/>
            <w:textDirection w:val="btLr"/>
            <w:vAlign w:val="center"/>
            <w:hideMark/>
          </w:tcPr>
          <w:p w14:paraId="33496D2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(0.648)</w:t>
            </w:r>
          </w:p>
        </w:tc>
        <w:tc>
          <w:tcPr>
            <w:tcW w:w="420" w:type="dxa"/>
            <w:tcBorders>
              <w:top w:val="nil"/>
              <w:left w:val="nil"/>
              <w:bottom w:val="nil"/>
              <w:right w:val="nil"/>
            </w:tcBorders>
            <w:shd w:val="clear" w:color="auto" w:fill="auto"/>
            <w:noWrap/>
            <w:textDirection w:val="btLr"/>
            <w:vAlign w:val="center"/>
            <w:hideMark/>
          </w:tcPr>
          <w:p w14:paraId="22ECFDA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0.273</w:t>
            </w:r>
          </w:p>
        </w:tc>
        <w:tc>
          <w:tcPr>
            <w:tcW w:w="420" w:type="dxa"/>
            <w:tcBorders>
              <w:top w:val="nil"/>
              <w:left w:val="nil"/>
              <w:bottom w:val="nil"/>
              <w:right w:val="nil"/>
            </w:tcBorders>
            <w:shd w:val="clear" w:color="auto" w:fill="auto"/>
            <w:noWrap/>
            <w:textDirection w:val="btLr"/>
            <w:vAlign w:val="center"/>
            <w:hideMark/>
          </w:tcPr>
          <w:p w14:paraId="78CCE2D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(0.274)</w:t>
            </w:r>
          </w:p>
        </w:tc>
        <w:tc>
          <w:tcPr>
            <w:tcW w:w="420" w:type="dxa"/>
            <w:tcBorders>
              <w:top w:val="nil"/>
              <w:left w:val="nil"/>
              <w:bottom w:val="nil"/>
              <w:right w:val="nil"/>
            </w:tcBorders>
            <w:shd w:val="clear" w:color="auto" w:fill="auto"/>
            <w:noWrap/>
            <w:textDirection w:val="btLr"/>
            <w:vAlign w:val="center"/>
            <w:hideMark/>
          </w:tcPr>
          <w:p w14:paraId="67280C4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0.008</w:t>
            </w:r>
          </w:p>
        </w:tc>
        <w:tc>
          <w:tcPr>
            <w:tcW w:w="420" w:type="dxa"/>
            <w:tcBorders>
              <w:top w:val="nil"/>
              <w:left w:val="nil"/>
              <w:bottom w:val="nil"/>
              <w:right w:val="nil"/>
            </w:tcBorders>
            <w:shd w:val="clear" w:color="auto" w:fill="auto"/>
            <w:noWrap/>
            <w:textDirection w:val="btLr"/>
            <w:vAlign w:val="center"/>
            <w:hideMark/>
          </w:tcPr>
          <w:p w14:paraId="066BF17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(0.017)</w:t>
            </w:r>
          </w:p>
        </w:tc>
      </w:tr>
      <w:tr w:rsidR="00AE1490" w:rsidRPr="00AE1490" w14:paraId="2ADE595C" w14:textId="77777777" w:rsidTr="00AE1490">
        <w:trPr>
          <w:trHeight w:val="1180"/>
        </w:trPr>
        <w:tc>
          <w:tcPr>
            <w:tcW w:w="380" w:type="dxa"/>
            <w:vMerge/>
            <w:tcBorders>
              <w:top w:val="nil"/>
              <w:left w:val="nil"/>
              <w:bottom w:val="nil"/>
              <w:right w:val="single" w:sz="4" w:space="0" w:color="auto"/>
            </w:tcBorders>
            <w:vAlign w:val="center"/>
            <w:hideMark/>
          </w:tcPr>
          <w:p w14:paraId="0584904E" w14:textId="77777777" w:rsidR="00AE1490" w:rsidRPr="00AE1490" w:rsidRDefault="00AE1490" w:rsidP="00AE1490">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textDirection w:val="btLr"/>
            <w:vAlign w:val="center"/>
            <w:hideMark/>
          </w:tcPr>
          <w:p w14:paraId="49A0AC52"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(6)</w:t>
            </w:r>
          </w:p>
        </w:tc>
        <w:tc>
          <w:tcPr>
            <w:tcW w:w="420" w:type="dxa"/>
            <w:tcBorders>
              <w:top w:val="nil"/>
              <w:left w:val="nil"/>
              <w:bottom w:val="nil"/>
              <w:right w:val="nil"/>
            </w:tcBorders>
            <w:shd w:val="clear" w:color="auto" w:fill="auto"/>
            <w:noWrap/>
            <w:textDirection w:val="btLr"/>
            <w:vAlign w:val="center"/>
            <w:hideMark/>
          </w:tcPr>
          <w:p w14:paraId="33FF912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1.369***</w:t>
            </w:r>
          </w:p>
        </w:tc>
        <w:tc>
          <w:tcPr>
            <w:tcW w:w="420" w:type="dxa"/>
            <w:tcBorders>
              <w:top w:val="nil"/>
              <w:left w:val="nil"/>
              <w:bottom w:val="nil"/>
              <w:right w:val="nil"/>
            </w:tcBorders>
            <w:shd w:val="clear" w:color="auto" w:fill="auto"/>
            <w:noWrap/>
            <w:textDirection w:val="btLr"/>
            <w:vAlign w:val="center"/>
            <w:hideMark/>
          </w:tcPr>
          <w:p w14:paraId="6E70EE1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(0.144)</w:t>
            </w:r>
          </w:p>
        </w:tc>
        <w:tc>
          <w:tcPr>
            <w:tcW w:w="420" w:type="dxa"/>
            <w:tcBorders>
              <w:top w:val="nil"/>
              <w:left w:val="nil"/>
              <w:bottom w:val="nil"/>
              <w:right w:val="nil"/>
            </w:tcBorders>
            <w:shd w:val="clear" w:color="auto" w:fill="auto"/>
            <w:noWrap/>
            <w:textDirection w:val="btLr"/>
            <w:vAlign w:val="center"/>
            <w:hideMark/>
          </w:tcPr>
          <w:p w14:paraId="7D6BEA6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0.514***</w:t>
            </w:r>
          </w:p>
        </w:tc>
        <w:tc>
          <w:tcPr>
            <w:tcW w:w="420" w:type="dxa"/>
            <w:tcBorders>
              <w:top w:val="nil"/>
              <w:left w:val="nil"/>
              <w:bottom w:val="nil"/>
              <w:right w:val="nil"/>
            </w:tcBorders>
            <w:shd w:val="clear" w:color="auto" w:fill="auto"/>
            <w:noWrap/>
            <w:textDirection w:val="btLr"/>
            <w:vAlign w:val="center"/>
            <w:hideMark/>
          </w:tcPr>
          <w:p w14:paraId="300BAA9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(0.067)</w:t>
            </w:r>
          </w:p>
        </w:tc>
        <w:tc>
          <w:tcPr>
            <w:tcW w:w="420" w:type="dxa"/>
            <w:tcBorders>
              <w:top w:val="nil"/>
              <w:left w:val="nil"/>
              <w:bottom w:val="nil"/>
              <w:right w:val="nil"/>
            </w:tcBorders>
            <w:shd w:val="clear" w:color="auto" w:fill="auto"/>
            <w:noWrap/>
            <w:textDirection w:val="btLr"/>
            <w:vAlign w:val="center"/>
            <w:hideMark/>
          </w:tcPr>
          <w:p w14:paraId="4A9D09F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059567F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4FC2FB0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625E6A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70E991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612F97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0F83CF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E48A70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43D823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6B8CEB1" w14:textId="77777777" w:rsidR="00AE1490" w:rsidRPr="00AE1490" w:rsidRDefault="00AE1490" w:rsidP="00AE1490">
            <w:pPr>
              <w:spacing w:after="0"/>
              <w:rPr>
                <w:rFonts w:eastAsia="Times New Roman" w:cs="Times New Roman"/>
                <w:lang w:eastAsia="en-US"/>
              </w:rPr>
            </w:pPr>
          </w:p>
        </w:tc>
      </w:tr>
      <w:tr w:rsidR="00AE1490" w:rsidRPr="00AE1490" w14:paraId="5C60CEA2" w14:textId="77777777" w:rsidTr="00AE1490">
        <w:trPr>
          <w:trHeight w:val="1180"/>
        </w:trPr>
        <w:tc>
          <w:tcPr>
            <w:tcW w:w="380" w:type="dxa"/>
            <w:vMerge/>
            <w:tcBorders>
              <w:top w:val="nil"/>
              <w:left w:val="nil"/>
              <w:bottom w:val="nil"/>
              <w:right w:val="single" w:sz="4" w:space="0" w:color="auto"/>
            </w:tcBorders>
            <w:vAlign w:val="center"/>
            <w:hideMark/>
          </w:tcPr>
          <w:p w14:paraId="2F16D80B" w14:textId="77777777" w:rsidR="00AE1490" w:rsidRPr="00AE1490" w:rsidRDefault="00AE1490" w:rsidP="00AE1490">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textDirection w:val="btLr"/>
            <w:vAlign w:val="center"/>
            <w:hideMark/>
          </w:tcPr>
          <w:p w14:paraId="1A6AEBA0"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(5)</w:t>
            </w:r>
          </w:p>
        </w:tc>
        <w:tc>
          <w:tcPr>
            <w:tcW w:w="420" w:type="dxa"/>
            <w:tcBorders>
              <w:top w:val="nil"/>
              <w:left w:val="nil"/>
              <w:bottom w:val="nil"/>
              <w:right w:val="nil"/>
            </w:tcBorders>
            <w:shd w:val="clear" w:color="auto" w:fill="auto"/>
            <w:noWrap/>
            <w:textDirection w:val="btLr"/>
            <w:vAlign w:val="center"/>
            <w:hideMark/>
          </w:tcPr>
          <w:p w14:paraId="12DE137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1.103***</w:t>
            </w:r>
          </w:p>
        </w:tc>
        <w:tc>
          <w:tcPr>
            <w:tcW w:w="420" w:type="dxa"/>
            <w:tcBorders>
              <w:top w:val="nil"/>
              <w:left w:val="nil"/>
              <w:bottom w:val="nil"/>
              <w:right w:val="nil"/>
            </w:tcBorders>
            <w:shd w:val="clear" w:color="auto" w:fill="auto"/>
            <w:noWrap/>
            <w:textDirection w:val="btLr"/>
            <w:vAlign w:val="center"/>
            <w:hideMark/>
          </w:tcPr>
          <w:p w14:paraId="6C9EB5B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(0.148)</w:t>
            </w:r>
          </w:p>
        </w:tc>
        <w:tc>
          <w:tcPr>
            <w:tcW w:w="420" w:type="dxa"/>
            <w:tcBorders>
              <w:top w:val="nil"/>
              <w:left w:val="nil"/>
              <w:bottom w:val="nil"/>
              <w:right w:val="nil"/>
            </w:tcBorders>
            <w:shd w:val="clear" w:color="auto" w:fill="auto"/>
            <w:noWrap/>
            <w:textDirection w:val="btLr"/>
            <w:vAlign w:val="center"/>
            <w:hideMark/>
          </w:tcPr>
          <w:p w14:paraId="1FAE31B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8B69D5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0BED43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3E12CD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082C1B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34DB85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7A579A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23907A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0E6B76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E15E2C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8AA8EC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234BDC4" w14:textId="77777777" w:rsidR="00AE1490" w:rsidRPr="00AE1490" w:rsidRDefault="00AE1490" w:rsidP="00AE1490">
            <w:pPr>
              <w:spacing w:after="0"/>
              <w:rPr>
                <w:rFonts w:eastAsia="Times New Roman" w:cs="Times New Roman"/>
                <w:lang w:eastAsia="en-US"/>
              </w:rPr>
            </w:pPr>
          </w:p>
        </w:tc>
      </w:tr>
      <w:tr w:rsidR="00AE1490" w:rsidRPr="00AE1490" w14:paraId="22EC638F" w14:textId="77777777" w:rsidTr="00AE1490">
        <w:trPr>
          <w:trHeight w:val="1180"/>
        </w:trPr>
        <w:tc>
          <w:tcPr>
            <w:tcW w:w="380" w:type="dxa"/>
            <w:vMerge/>
            <w:tcBorders>
              <w:top w:val="nil"/>
              <w:left w:val="nil"/>
              <w:bottom w:val="nil"/>
              <w:right w:val="single" w:sz="4" w:space="0" w:color="auto"/>
            </w:tcBorders>
            <w:vAlign w:val="center"/>
            <w:hideMark/>
          </w:tcPr>
          <w:p w14:paraId="08E4132B" w14:textId="77777777" w:rsidR="00AE1490" w:rsidRPr="00AE1490" w:rsidRDefault="00AE1490" w:rsidP="00AE1490">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textDirection w:val="btLr"/>
            <w:vAlign w:val="center"/>
            <w:hideMark/>
          </w:tcPr>
          <w:p w14:paraId="30C004D4"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(4)</w:t>
            </w:r>
          </w:p>
        </w:tc>
        <w:tc>
          <w:tcPr>
            <w:tcW w:w="420" w:type="dxa"/>
            <w:tcBorders>
              <w:top w:val="nil"/>
              <w:left w:val="nil"/>
              <w:bottom w:val="nil"/>
              <w:right w:val="nil"/>
            </w:tcBorders>
            <w:shd w:val="clear" w:color="auto" w:fill="auto"/>
            <w:noWrap/>
            <w:textDirection w:val="btLr"/>
            <w:vAlign w:val="center"/>
            <w:hideMark/>
          </w:tcPr>
          <w:p w14:paraId="5186194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0.776***</w:t>
            </w:r>
          </w:p>
        </w:tc>
        <w:tc>
          <w:tcPr>
            <w:tcW w:w="420" w:type="dxa"/>
            <w:tcBorders>
              <w:top w:val="nil"/>
              <w:left w:val="nil"/>
              <w:bottom w:val="nil"/>
              <w:right w:val="nil"/>
            </w:tcBorders>
            <w:shd w:val="clear" w:color="auto" w:fill="auto"/>
            <w:noWrap/>
            <w:textDirection w:val="btLr"/>
            <w:vAlign w:val="center"/>
            <w:hideMark/>
          </w:tcPr>
          <w:p w14:paraId="2085621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(0.154)</w:t>
            </w:r>
          </w:p>
        </w:tc>
        <w:tc>
          <w:tcPr>
            <w:tcW w:w="420" w:type="dxa"/>
            <w:tcBorders>
              <w:top w:val="nil"/>
              <w:left w:val="nil"/>
              <w:bottom w:val="nil"/>
              <w:right w:val="nil"/>
            </w:tcBorders>
            <w:shd w:val="clear" w:color="auto" w:fill="auto"/>
            <w:noWrap/>
            <w:textDirection w:val="btLr"/>
            <w:vAlign w:val="center"/>
            <w:hideMark/>
          </w:tcPr>
          <w:p w14:paraId="38119C6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6AAA35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B482A3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A88B7B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9FC5CE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0.266</w:t>
            </w:r>
          </w:p>
        </w:tc>
        <w:tc>
          <w:tcPr>
            <w:tcW w:w="420" w:type="dxa"/>
            <w:tcBorders>
              <w:top w:val="nil"/>
              <w:left w:val="nil"/>
              <w:bottom w:val="nil"/>
              <w:right w:val="nil"/>
            </w:tcBorders>
            <w:shd w:val="clear" w:color="auto" w:fill="auto"/>
            <w:noWrap/>
            <w:textDirection w:val="btLr"/>
            <w:vAlign w:val="center"/>
            <w:hideMark/>
          </w:tcPr>
          <w:p w14:paraId="218565C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(0.241)</w:t>
            </w:r>
          </w:p>
        </w:tc>
        <w:tc>
          <w:tcPr>
            <w:tcW w:w="420" w:type="dxa"/>
            <w:tcBorders>
              <w:top w:val="nil"/>
              <w:left w:val="nil"/>
              <w:bottom w:val="nil"/>
              <w:right w:val="nil"/>
            </w:tcBorders>
            <w:shd w:val="clear" w:color="auto" w:fill="auto"/>
            <w:noWrap/>
            <w:textDirection w:val="btLr"/>
            <w:vAlign w:val="center"/>
            <w:hideMark/>
          </w:tcPr>
          <w:p w14:paraId="159D9AC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0.866</w:t>
            </w:r>
          </w:p>
        </w:tc>
        <w:tc>
          <w:tcPr>
            <w:tcW w:w="420" w:type="dxa"/>
            <w:tcBorders>
              <w:top w:val="nil"/>
              <w:left w:val="nil"/>
              <w:bottom w:val="nil"/>
              <w:right w:val="nil"/>
            </w:tcBorders>
            <w:shd w:val="clear" w:color="auto" w:fill="auto"/>
            <w:noWrap/>
            <w:textDirection w:val="btLr"/>
            <w:vAlign w:val="center"/>
            <w:hideMark/>
          </w:tcPr>
          <w:p w14:paraId="5A47427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(0.572)</w:t>
            </w:r>
          </w:p>
        </w:tc>
        <w:tc>
          <w:tcPr>
            <w:tcW w:w="420" w:type="dxa"/>
            <w:tcBorders>
              <w:top w:val="nil"/>
              <w:left w:val="nil"/>
              <w:bottom w:val="nil"/>
              <w:right w:val="nil"/>
            </w:tcBorders>
            <w:shd w:val="clear" w:color="auto" w:fill="auto"/>
            <w:noWrap/>
            <w:textDirection w:val="btLr"/>
            <w:vAlign w:val="center"/>
            <w:hideMark/>
          </w:tcPr>
          <w:p w14:paraId="7ACECE3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0.743**</w:t>
            </w:r>
          </w:p>
        </w:tc>
        <w:tc>
          <w:tcPr>
            <w:tcW w:w="420" w:type="dxa"/>
            <w:tcBorders>
              <w:top w:val="nil"/>
              <w:left w:val="nil"/>
              <w:bottom w:val="nil"/>
              <w:right w:val="nil"/>
            </w:tcBorders>
            <w:shd w:val="clear" w:color="auto" w:fill="auto"/>
            <w:noWrap/>
            <w:textDirection w:val="btLr"/>
            <w:vAlign w:val="center"/>
            <w:hideMark/>
          </w:tcPr>
          <w:p w14:paraId="6AC8EF4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(0.293)</w:t>
            </w:r>
          </w:p>
        </w:tc>
        <w:tc>
          <w:tcPr>
            <w:tcW w:w="420" w:type="dxa"/>
            <w:tcBorders>
              <w:top w:val="nil"/>
              <w:left w:val="nil"/>
              <w:bottom w:val="nil"/>
              <w:right w:val="nil"/>
            </w:tcBorders>
            <w:shd w:val="clear" w:color="auto" w:fill="auto"/>
            <w:noWrap/>
            <w:textDirection w:val="btLr"/>
            <w:vAlign w:val="center"/>
            <w:hideMark/>
          </w:tcPr>
          <w:p w14:paraId="3990BA6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-0.022</w:t>
            </w:r>
          </w:p>
        </w:tc>
        <w:tc>
          <w:tcPr>
            <w:tcW w:w="420" w:type="dxa"/>
            <w:tcBorders>
              <w:top w:val="nil"/>
              <w:left w:val="nil"/>
              <w:bottom w:val="nil"/>
              <w:right w:val="nil"/>
            </w:tcBorders>
            <w:shd w:val="clear" w:color="auto" w:fill="auto"/>
            <w:noWrap/>
            <w:textDirection w:val="btLr"/>
            <w:vAlign w:val="center"/>
            <w:hideMark/>
          </w:tcPr>
          <w:p w14:paraId="004CF1F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(0.018)</w:t>
            </w:r>
          </w:p>
        </w:tc>
      </w:tr>
      <w:tr w:rsidR="00AE1490" w:rsidRPr="00AE1490" w14:paraId="3B4EAB5A" w14:textId="77777777" w:rsidTr="00AE1490">
        <w:trPr>
          <w:trHeight w:val="1180"/>
        </w:trPr>
        <w:tc>
          <w:tcPr>
            <w:tcW w:w="380" w:type="dxa"/>
            <w:vMerge/>
            <w:tcBorders>
              <w:top w:val="nil"/>
              <w:left w:val="nil"/>
              <w:bottom w:val="nil"/>
              <w:right w:val="single" w:sz="4" w:space="0" w:color="auto"/>
            </w:tcBorders>
            <w:vAlign w:val="center"/>
            <w:hideMark/>
          </w:tcPr>
          <w:p w14:paraId="61B426F6" w14:textId="77777777" w:rsidR="00AE1490" w:rsidRPr="00AE1490" w:rsidRDefault="00AE1490" w:rsidP="00AE1490">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textDirection w:val="btLr"/>
            <w:vAlign w:val="center"/>
            <w:hideMark/>
          </w:tcPr>
          <w:p w14:paraId="57479491"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(3)</w:t>
            </w:r>
          </w:p>
        </w:tc>
        <w:tc>
          <w:tcPr>
            <w:tcW w:w="420" w:type="dxa"/>
            <w:tcBorders>
              <w:top w:val="nil"/>
              <w:left w:val="nil"/>
              <w:bottom w:val="nil"/>
              <w:right w:val="nil"/>
            </w:tcBorders>
            <w:shd w:val="clear" w:color="auto" w:fill="auto"/>
            <w:noWrap/>
            <w:textDirection w:val="btLr"/>
            <w:vAlign w:val="center"/>
            <w:hideMark/>
          </w:tcPr>
          <w:p w14:paraId="701B596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1.367***</w:t>
            </w:r>
          </w:p>
        </w:tc>
        <w:tc>
          <w:tcPr>
            <w:tcW w:w="420" w:type="dxa"/>
            <w:tcBorders>
              <w:top w:val="nil"/>
              <w:left w:val="nil"/>
              <w:bottom w:val="nil"/>
              <w:right w:val="nil"/>
            </w:tcBorders>
            <w:shd w:val="clear" w:color="auto" w:fill="auto"/>
            <w:noWrap/>
            <w:textDirection w:val="btLr"/>
            <w:vAlign w:val="center"/>
            <w:hideMark/>
          </w:tcPr>
          <w:p w14:paraId="6442101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(0.142)</w:t>
            </w:r>
          </w:p>
        </w:tc>
        <w:tc>
          <w:tcPr>
            <w:tcW w:w="420" w:type="dxa"/>
            <w:tcBorders>
              <w:top w:val="nil"/>
              <w:left w:val="nil"/>
              <w:bottom w:val="nil"/>
              <w:right w:val="nil"/>
            </w:tcBorders>
            <w:shd w:val="clear" w:color="auto" w:fill="auto"/>
            <w:noWrap/>
            <w:textDirection w:val="btLr"/>
            <w:vAlign w:val="center"/>
            <w:hideMark/>
          </w:tcPr>
          <w:p w14:paraId="556F775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0.533***</w:t>
            </w:r>
          </w:p>
        </w:tc>
        <w:tc>
          <w:tcPr>
            <w:tcW w:w="420" w:type="dxa"/>
            <w:tcBorders>
              <w:top w:val="nil"/>
              <w:left w:val="nil"/>
              <w:bottom w:val="nil"/>
              <w:right w:val="nil"/>
            </w:tcBorders>
            <w:shd w:val="clear" w:color="auto" w:fill="auto"/>
            <w:noWrap/>
            <w:textDirection w:val="btLr"/>
            <w:vAlign w:val="center"/>
            <w:hideMark/>
          </w:tcPr>
          <w:p w14:paraId="3042985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(0.051)</w:t>
            </w:r>
          </w:p>
        </w:tc>
        <w:tc>
          <w:tcPr>
            <w:tcW w:w="420" w:type="dxa"/>
            <w:tcBorders>
              <w:top w:val="nil"/>
              <w:left w:val="nil"/>
              <w:bottom w:val="nil"/>
              <w:right w:val="nil"/>
            </w:tcBorders>
            <w:shd w:val="clear" w:color="auto" w:fill="auto"/>
            <w:noWrap/>
            <w:textDirection w:val="btLr"/>
            <w:vAlign w:val="center"/>
            <w:hideMark/>
          </w:tcPr>
          <w:p w14:paraId="05DB9AA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54C99A7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55389DB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807CD1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E55155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11FDCC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E64BC8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9A0FD1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019C77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8074E2C" w14:textId="77777777" w:rsidR="00AE1490" w:rsidRPr="00AE1490" w:rsidRDefault="00AE1490" w:rsidP="00AE1490">
            <w:pPr>
              <w:spacing w:after="0"/>
              <w:rPr>
                <w:rFonts w:eastAsia="Times New Roman" w:cs="Times New Roman"/>
                <w:lang w:eastAsia="en-US"/>
              </w:rPr>
            </w:pPr>
          </w:p>
        </w:tc>
      </w:tr>
      <w:tr w:rsidR="00AE1490" w:rsidRPr="00AE1490" w14:paraId="166421AC" w14:textId="77777777" w:rsidTr="00AE1490">
        <w:trPr>
          <w:trHeight w:val="1180"/>
        </w:trPr>
        <w:tc>
          <w:tcPr>
            <w:tcW w:w="380" w:type="dxa"/>
            <w:vMerge/>
            <w:tcBorders>
              <w:top w:val="nil"/>
              <w:left w:val="nil"/>
              <w:bottom w:val="nil"/>
              <w:right w:val="single" w:sz="4" w:space="0" w:color="auto"/>
            </w:tcBorders>
            <w:vAlign w:val="center"/>
            <w:hideMark/>
          </w:tcPr>
          <w:p w14:paraId="54106C78" w14:textId="77777777" w:rsidR="00AE1490" w:rsidRPr="00AE1490" w:rsidRDefault="00AE1490" w:rsidP="00AE1490">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textDirection w:val="btLr"/>
            <w:vAlign w:val="center"/>
            <w:hideMark/>
          </w:tcPr>
          <w:p w14:paraId="151E0A18"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(2)</w:t>
            </w:r>
          </w:p>
        </w:tc>
        <w:tc>
          <w:tcPr>
            <w:tcW w:w="420" w:type="dxa"/>
            <w:tcBorders>
              <w:top w:val="nil"/>
              <w:left w:val="nil"/>
              <w:bottom w:val="nil"/>
              <w:right w:val="nil"/>
            </w:tcBorders>
            <w:shd w:val="clear" w:color="auto" w:fill="auto"/>
            <w:noWrap/>
            <w:textDirection w:val="btLr"/>
            <w:vAlign w:val="center"/>
            <w:hideMark/>
          </w:tcPr>
          <w:p w14:paraId="3C75EDA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1.331***</w:t>
            </w:r>
          </w:p>
        </w:tc>
        <w:tc>
          <w:tcPr>
            <w:tcW w:w="420" w:type="dxa"/>
            <w:tcBorders>
              <w:top w:val="nil"/>
              <w:left w:val="nil"/>
              <w:bottom w:val="nil"/>
              <w:right w:val="nil"/>
            </w:tcBorders>
            <w:shd w:val="clear" w:color="auto" w:fill="auto"/>
            <w:noWrap/>
            <w:textDirection w:val="btLr"/>
            <w:vAlign w:val="center"/>
            <w:hideMark/>
          </w:tcPr>
          <w:p w14:paraId="132BA6B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(0.139)</w:t>
            </w:r>
          </w:p>
        </w:tc>
        <w:tc>
          <w:tcPr>
            <w:tcW w:w="420" w:type="dxa"/>
            <w:tcBorders>
              <w:top w:val="nil"/>
              <w:left w:val="nil"/>
              <w:bottom w:val="nil"/>
              <w:right w:val="nil"/>
            </w:tcBorders>
            <w:shd w:val="clear" w:color="auto" w:fill="auto"/>
            <w:noWrap/>
            <w:textDirection w:val="btLr"/>
            <w:vAlign w:val="center"/>
            <w:hideMark/>
          </w:tcPr>
          <w:p w14:paraId="0CA896E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0.494***</w:t>
            </w:r>
          </w:p>
        </w:tc>
        <w:tc>
          <w:tcPr>
            <w:tcW w:w="420" w:type="dxa"/>
            <w:tcBorders>
              <w:top w:val="nil"/>
              <w:left w:val="nil"/>
              <w:bottom w:val="nil"/>
              <w:right w:val="nil"/>
            </w:tcBorders>
            <w:shd w:val="clear" w:color="auto" w:fill="auto"/>
            <w:noWrap/>
            <w:textDirection w:val="btLr"/>
            <w:vAlign w:val="center"/>
            <w:hideMark/>
          </w:tcPr>
          <w:p w14:paraId="3AB1C12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(0.043)</w:t>
            </w:r>
          </w:p>
        </w:tc>
        <w:tc>
          <w:tcPr>
            <w:tcW w:w="420" w:type="dxa"/>
            <w:tcBorders>
              <w:top w:val="nil"/>
              <w:left w:val="nil"/>
              <w:bottom w:val="nil"/>
              <w:right w:val="nil"/>
            </w:tcBorders>
            <w:shd w:val="clear" w:color="auto" w:fill="auto"/>
            <w:noWrap/>
            <w:textDirection w:val="btLr"/>
            <w:vAlign w:val="center"/>
            <w:hideMark/>
          </w:tcPr>
          <w:p w14:paraId="504BFFE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EA65CF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F48AA0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1B06B0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807794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1C4BBC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364044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F05DD5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F09CEA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64A2B18" w14:textId="77777777" w:rsidR="00AE1490" w:rsidRPr="00AE1490" w:rsidRDefault="00AE1490" w:rsidP="00AE1490">
            <w:pPr>
              <w:spacing w:after="0"/>
              <w:rPr>
                <w:rFonts w:eastAsia="Times New Roman" w:cs="Times New Roman"/>
                <w:lang w:eastAsia="en-US"/>
              </w:rPr>
            </w:pPr>
          </w:p>
        </w:tc>
      </w:tr>
      <w:tr w:rsidR="00AE1490" w:rsidRPr="00AE1490" w14:paraId="520C9333" w14:textId="77777777" w:rsidTr="00AE1490">
        <w:trPr>
          <w:trHeight w:val="1180"/>
        </w:trPr>
        <w:tc>
          <w:tcPr>
            <w:tcW w:w="380" w:type="dxa"/>
            <w:vMerge/>
            <w:tcBorders>
              <w:top w:val="nil"/>
              <w:left w:val="nil"/>
              <w:bottom w:val="nil"/>
              <w:right w:val="single" w:sz="4" w:space="0" w:color="auto"/>
            </w:tcBorders>
            <w:vAlign w:val="center"/>
            <w:hideMark/>
          </w:tcPr>
          <w:p w14:paraId="1A6C70F8" w14:textId="77777777" w:rsidR="00AE1490" w:rsidRPr="00AE1490" w:rsidRDefault="00AE1490" w:rsidP="00AE1490">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textDirection w:val="btLr"/>
            <w:vAlign w:val="center"/>
            <w:hideMark/>
          </w:tcPr>
          <w:p w14:paraId="4D369762"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(1)</w:t>
            </w:r>
          </w:p>
        </w:tc>
        <w:tc>
          <w:tcPr>
            <w:tcW w:w="420" w:type="dxa"/>
            <w:tcBorders>
              <w:top w:val="nil"/>
              <w:left w:val="nil"/>
              <w:bottom w:val="nil"/>
              <w:right w:val="nil"/>
            </w:tcBorders>
            <w:shd w:val="clear" w:color="auto" w:fill="auto"/>
            <w:noWrap/>
            <w:textDirection w:val="btLr"/>
            <w:vAlign w:val="center"/>
            <w:hideMark/>
          </w:tcPr>
          <w:p w14:paraId="425A7AC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0.527***</w:t>
            </w:r>
          </w:p>
        </w:tc>
        <w:tc>
          <w:tcPr>
            <w:tcW w:w="420" w:type="dxa"/>
            <w:tcBorders>
              <w:top w:val="nil"/>
              <w:left w:val="nil"/>
              <w:bottom w:val="nil"/>
              <w:right w:val="nil"/>
            </w:tcBorders>
            <w:shd w:val="clear" w:color="auto" w:fill="auto"/>
            <w:noWrap/>
            <w:textDirection w:val="btLr"/>
            <w:vAlign w:val="center"/>
            <w:hideMark/>
          </w:tcPr>
          <w:p w14:paraId="2424AE2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(0.126)</w:t>
            </w:r>
          </w:p>
        </w:tc>
        <w:tc>
          <w:tcPr>
            <w:tcW w:w="420" w:type="dxa"/>
            <w:tcBorders>
              <w:top w:val="nil"/>
              <w:left w:val="nil"/>
              <w:bottom w:val="nil"/>
              <w:right w:val="nil"/>
            </w:tcBorders>
            <w:shd w:val="clear" w:color="auto" w:fill="auto"/>
            <w:noWrap/>
            <w:textDirection w:val="btLr"/>
            <w:vAlign w:val="center"/>
            <w:hideMark/>
          </w:tcPr>
          <w:p w14:paraId="2E3B1A0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C61D63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06479E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9A5CFB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91F555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21894C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40FC73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C5B7D8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CEB5C0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C35D33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7F546E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7AD651A" w14:textId="77777777" w:rsidR="00AE1490" w:rsidRPr="00AE1490" w:rsidRDefault="00AE1490" w:rsidP="00AE1490">
            <w:pPr>
              <w:spacing w:after="0"/>
              <w:rPr>
                <w:rFonts w:eastAsia="Times New Roman" w:cs="Times New Roman"/>
                <w:lang w:eastAsia="en-US"/>
              </w:rPr>
            </w:pPr>
          </w:p>
        </w:tc>
      </w:tr>
      <w:tr w:rsidR="00AE1490" w:rsidRPr="00AE1490" w14:paraId="6B169B6E" w14:textId="77777777" w:rsidTr="00AE1490">
        <w:trPr>
          <w:trHeight w:val="2240"/>
        </w:trPr>
        <w:tc>
          <w:tcPr>
            <w:tcW w:w="380" w:type="dxa"/>
            <w:vMerge/>
            <w:tcBorders>
              <w:top w:val="nil"/>
              <w:left w:val="nil"/>
              <w:bottom w:val="nil"/>
              <w:right w:val="single" w:sz="4" w:space="0" w:color="auto"/>
            </w:tcBorders>
            <w:vAlign w:val="center"/>
            <w:hideMark/>
          </w:tcPr>
          <w:p w14:paraId="4777F600" w14:textId="77777777" w:rsidR="00AE1490" w:rsidRPr="00AE1490" w:rsidRDefault="00AE1490" w:rsidP="00AE1490">
            <w:pPr>
              <w:spacing w:after="0"/>
              <w:rPr>
                <w:rFonts w:eastAsia="Times New Roman" w:cs="Times New Roman"/>
                <w:color w:val="000000"/>
                <w:lang w:eastAsia="en-US"/>
              </w:rPr>
            </w:pPr>
          </w:p>
        </w:tc>
        <w:tc>
          <w:tcPr>
            <w:tcW w:w="440" w:type="dxa"/>
            <w:tcBorders>
              <w:top w:val="nil"/>
              <w:left w:val="nil"/>
              <w:bottom w:val="nil"/>
              <w:right w:val="nil"/>
            </w:tcBorders>
            <w:shd w:val="clear" w:color="auto" w:fill="auto"/>
            <w:noWrap/>
            <w:textDirection w:val="btLr"/>
            <w:vAlign w:val="bottom"/>
            <w:hideMark/>
          </w:tcPr>
          <w:p w14:paraId="60253C1C" w14:textId="77777777" w:rsidR="00AE1490" w:rsidRPr="00AE1490" w:rsidRDefault="00AE1490" w:rsidP="00AE1490">
            <w:pPr>
              <w:spacing w:after="0"/>
              <w:rPr>
                <w:rFonts w:eastAsia="Times New Roman" w:cs="Times New Roman"/>
                <w:color w:val="000000"/>
                <w:lang w:eastAsia="en-US"/>
              </w:rPr>
            </w:pPr>
          </w:p>
        </w:tc>
        <w:tc>
          <w:tcPr>
            <w:tcW w:w="420" w:type="dxa"/>
            <w:tcBorders>
              <w:top w:val="nil"/>
              <w:left w:val="nil"/>
              <w:bottom w:val="nil"/>
              <w:right w:val="nil"/>
            </w:tcBorders>
            <w:shd w:val="clear" w:color="auto" w:fill="auto"/>
            <w:textDirection w:val="btLr"/>
            <w:vAlign w:val="center"/>
            <w:hideMark/>
          </w:tcPr>
          <w:p w14:paraId="0F7FDD6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Frenchness</w:t>
            </w:r>
          </w:p>
        </w:tc>
        <w:tc>
          <w:tcPr>
            <w:tcW w:w="420" w:type="dxa"/>
            <w:tcBorders>
              <w:top w:val="nil"/>
              <w:left w:val="nil"/>
              <w:bottom w:val="nil"/>
              <w:right w:val="nil"/>
            </w:tcBorders>
            <w:shd w:val="clear" w:color="auto" w:fill="auto"/>
            <w:textDirection w:val="btLr"/>
            <w:vAlign w:val="center"/>
            <w:hideMark/>
          </w:tcPr>
          <w:p w14:paraId="375DB373" w14:textId="77777777" w:rsidR="00AE1490" w:rsidRPr="00AE1490" w:rsidRDefault="00AE1490" w:rsidP="00AE1490">
            <w:pPr>
              <w:spacing w:after="0"/>
              <w:rPr>
                <w:rFonts w:eastAsia="Times New Roman" w:cs="Times New Roman"/>
                <w:lang w:eastAsia="en-US"/>
              </w:rPr>
            </w:pPr>
          </w:p>
        </w:tc>
        <w:tc>
          <w:tcPr>
            <w:tcW w:w="840" w:type="dxa"/>
            <w:gridSpan w:val="2"/>
            <w:tcBorders>
              <w:top w:val="nil"/>
              <w:left w:val="nil"/>
              <w:bottom w:val="nil"/>
              <w:right w:val="nil"/>
            </w:tcBorders>
            <w:shd w:val="clear" w:color="auto" w:fill="auto"/>
            <w:textDirection w:val="btLr"/>
            <w:vAlign w:val="center"/>
            <w:hideMark/>
          </w:tcPr>
          <w:p w14:paraId="20BA265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Real GDP (ln)</w:t>
            </w:r>
          </w:p>
        </w:tc>
        <w:tc>
          <w:tcPr>
            <w:tcW w:w="420" w:type="dxa"/>
            <w:tcBorders>
              <w:top w:val="nil"/>
              <w:left w:val="nil"/>
              <w:bottom w:val="nil"/>
              <w:right w:val="nil"/>
            </w:tcBorders>
            <w:shd w:val="clear" w:color="auto" w:fill="auto"/>
            <w:textDirection w:val="btLr"/>
            <w:vAlign w:val="center"/>
            <w:hideMark/>
          </w:tcPr>
          <w:p w14:paraId="205E5A4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Trade Flows</w:t>
            </w:r>
          </w:p>
        </w:tc>
        <w:tc>
          <w:tcPr>
            <w:tcW w:w="420" w:type="dxa"/>
            <w:tcBorders>
              <w:top w:val="nil"/>
              <w:left w:val="nil"/>
              <w:bottom w:val="nil"/>
              <w:right w:val="nil"/>
            </w:tcBorders>
            <w:shd w:val="clear" w:color="auto" w:fill="auto"/>
            <w:textDirection w:val="btLr"/>
            <w:vAlign w:val="center"/>
            <w:hideMark/>
          </w:tcPr>
          <w:p w14:paraId="5EB970B7"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0B25F50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Recipient Civil War</w:t>
            </w:r>
          </w:p>
        </w:tc>
        <w:tc>
          <w:tcPr>
            <w:tcW w:w="420" w:type="dxa"/>
            <w:tcBorders>
              <w:top w:val="nil"/>
              <w:left w:val="nil"/>
              <w:bottom w:val="nil"/>
              <w:right w:val="nil"/>
            </w:tcBorders>
            <w:shd w:val="clear" w:color="auto" w:fill="auto"/>
            <w:textDirection w:val="btLr"/>
            <w:vAlign w:val="center"/>
            <w:hideMark/>
          </w:tcPr>
          <w:p w14:paraId="4A369BA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2BFE751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Recipient External War</w:t>
            </w:r>
          </w:p>
        </w:tc>
        <w:tc>
          <w:tcPr>
            <w:tcW w:w="420" w:type="dxa"/>
            <w:tcBorders>
              <w:top w:val="nil"/>
              <w:left w:val="nil"/>
              <w:bottom w:val="nil"/>
              <w:right w:val="nil"/>
            </w:tcBorders>
            <w:shd w:val="clear" w:color="auto" w:fill="auto"/>
            <w:textDirection w:val="btLr"/>
            <w:vAlign w:val="center"/>
            <w:hideMark/>
          </w:tcPr>
          <w:p w14:paraId="5BDFC7C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32FF185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Democracy (Dummy)</w:t>
            </w:r>
          </w:p>
        </w:tc>
        <w:tc>
          <w:tcPr>
            <w:tcW w:w="420" w:type="dxa"/>
            <w:tcBorders>
              <w:top w:val="nil"/>
              <w:left w:val="nil"/>
              <w:bottom w:val="nil"/>
              <w:right w:val="nil"/>
            </w:tcBorders>
            <w:shd w:val="clear" w:color="auto" w:fill="auto"/>
            <w:textDirection w:val="btLr"/>
            <w:vAlign w:val="center"/>
            <w:hideMark/>
          </w:tcPr>
          <w:p w14:paraId="7F56C58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3EE3F3A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Polity IV</w:t>
            </w:r>
          </w:p>
        </w:tc>
        <w:tc>
          <w:tcPr>
            <w:tcW w:w="420" w:type="dxa"/>
            <w:tcBorders>
              <w:top w:val="nil"/>
              <w:left w:val="nil"/>
              <w:bottom w:val="nil"/>
              <w:right w:val="nil"/>
            </w:tcBorders>
            <w:shd w:val="clear" w:color="auto" w:fill="auto"/>
            <w:textDirection w:val="btLr"/>
            <w:vAlign w:val="center"/>
            <w:hideMark/>
          </w:tcPr>
          <w:p w14:paraId="4A063470" w14:textId="77777777" w:rsidR="00AE1490" w:rsidRPr="00AE1490" w:rsidRDefault="00AE1490" w:rsidP="00AE1490">
            <w:pPr>
              <w:spacing w:after="0"/>
              <w:rPr>
                <w:rFonts w:eastAsia="Times New Roman" w:cs="Times New Roman"/>
                <w:lang w:eastAsia="en-US"/>
              </w:rPr>
            </w:pPr>
          </w:p>
        </w:tc>
      </w:tr>
    </w:tbl>
    <w:p w14:paraId="48572577" w14:textId="5EB86C83" w:rsidR="00FE1BEE" w:rsidRDefault="00FE1BEE">
      <w:pPr>
        <w:rPr>
          <w:b/>
        </w:rPr>
      </w:pPr>
    </w:p>
    <w:p w14:paraId="7F90DCC8" w14:textId="77777777" w:rsidR="00A07EBF" w:rsidRDefault="00A07EBF">
      <w:pPr>
        <w:rPr>
          <w:b/>
        </w:rPr>
      </w:pPr>
      <w:r>
        <w:rPr>
          <w:b/>
        </w:rPr>
        <w:br w:type="page"/>
      </w:r>
    </w:p>
    <w:tbl>
      <w:tblPr>
        <w:tblW w:w="6260" w:type="dxa"/>
        <w:tblInd w:w="93" w:type="dxa"/>
        <w:tblLook w:val="04A0" w:firstRow="1" w:lastRow="0" w:firstColumn="1" w:lastColumn="0" w:noHBand="0" w:noVBand="1"/>
      </w:tblPr>
      <w:tblGrid>
        <w:gridCol w:w="498"/>
        <w:gridCol w:w="498"/>
        <w:gridCol w:w="498"/>
        <w:gridCol w:w="498"/>
        <w:gridCol w:w="498"/>
        <w:gridCol w:w="498"/>
        <w:gridCol w:w="498"/>
        <w:gridCol w:w="498"/>
        <w:gridCol w:w="498"/>
        <w:gridCol w:w="498"/>
        <w:gridCol w:w="498"/>
        <w:gridCol w:w="498"/>
        <w:gridCol w:w="498"/>
        <w:gridCol w:w="498"/>
        <w:gridCol w:w="498"/>
      </w:tblGrid>
      <w:tr w:rsidR="00AE1490" w:rsidRPr="00AE1490" w14:paraId="2FB26E3E" w14:textId="77777777" w:rsidTr="00AE1490">
        <w:trPr>
          <w:trHeight w:val="1180"/>
        </w:trPr>
        <w:tc>
          <w:tcPr>
            <w:tcW w:w="420" w:type="dxa"/>
            <w:tcBorders>
              <w:top w:val="nil"/>
              <w:left w:val="nil"/>
              <w:bottom w:val="nil"/>
              <w:right w:val="nil"/>
            </w:tcBorders>
            <w:shd w:val="clear" w:color="auto" w:fill="auto"/>
            <w:noWrap/>
            <w:textDirection w:val="btLr"/>
            <w:vAlign w:val="center"/>
            <w:hideMark/>
          </w:tcPr>
          <w:p w14:paraId="7B5E21D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0.008</w:t>
            </w:r>
          </w:p>
        </w:tc>
        <w:tc>
          <w:tcPr>
            <w:tcW w:w="420" w:type="dxa"/>
            <w:tcBorders>
              <w:top w:val="nil"/>
              <w:left w:val="nil"/>
              <w:bottom w:val="nil"/>
              <w:right w:val="nil"/>
            </w:tcBorders>
            <w:shd w:val="clear" w:color="auto" w:fill="auto"/>
            <w:noWrap/>
            <w:textDirection w:val="btLr"/>
            <w:vAlign w:val="center"/>
            <w:hideMark/>
          </w:tcPr>
          <w:p w14:paraId="6544468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(0.009)</w:t>
            </w:r>
          </w:p>
        </w:tc>
        <w:tc>
          <w:tcPr>
            <w:tcW w:w="420" w:type="dxa"/>
            <w:tcBorders>
              <w:top w:val="nil"/>
              <w:left w:val="nil"/>
              <w:bottom w:val="nil"/>
              <w:right w:val="nil"/>
            </w:tcBorders>
            <w:shd w:val="clear" w:color="auto" w:fill="auto"/>
            <w:noWrap/>
            <w:textDirection w:val="btLr"/>
            <w:vAlign w:val="center"/>
            <w:hideMark/>
          </w:tcPr>
          <w:p w14:paraId="0751E58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-6.253***</w:t>
            </w:r>
          </w:p>
        </w:tc>
        <w:tc>
          <w:tcPr>
            <w:tcW w:w="420" w:type="dxa"/>
            <w:tcBorders>
              <w:top w:val="nil"/>
              <w:left w:val="nil"/>
              <w:bottom w:val="nil"/>
              <w:right w:val="nil"/>
            </w:tcBorders>
            <w:shd w:val="clear" w:color="auto" w:fill="auto"/>
            <w:noWrap/>
            <w:textDirection w:val="btLr"/>
            <w:vAlign w:val="center"/>
            <w:hideMark/>
          </w:tcPr>
          <w:p w14:paraId="6BDF795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(1.157)</w:t>
            </w:r>
          </w:p>
        </w:tc>
        <w:tc>
          <w:tcPr>
            <w:tcW w:w="420" w:type="dxa"/>
            <w:tcBorders>
              <w:top w:val="nil"/>
              <w:left w:val="nil"/>
              <w:bottom w:val="nil"/>
              <w:right w:val="nil"/>
            </w:tcBorders>
            <w:shd w:val="clear" w:color="auto" w:fill="auto"/>
            <w:noWrap/>
            <w:textDirection w:val="btLr"/>
            <w:vAlign w:val="center"/>
            <w:hideMark/>
          </w:tcPr>
          <w:p w14:paraId="773F87E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0.068</w:t>
            </w:r>
          </w:p>
        </w:tc>
        <w:tc>
          <w:tcPr>
            <w:tcW w:w="420" w:type="dxa"/>
            <w:tcBorders>
              <w:top w:val="nil"/>
              <w:left w:val="nil"/>
              <w:bottom w:val="nil"/>
              <w:right w:val="nil"/>
            </w:tcBorders>
            <w:shd w:val="clear" w:color="auto" w:fill="auto"/>
            <w:noWrap/>
            <w:textDirection w:val="btLr"/>
            <w:vAlign w:val="center"/>
            <w:hideMark/>
          </w:tcPr>
          <w:p w14:paraId="5B4E704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(0.168)</w:t>
            </w:r>
          </w:p>
        </w:tc>
        <w:tc>
          <w:tcPr>
            <w:tcW w:w="420" w:type="dxa"/>
            <w:tcBorders>
              <w:top w:val="nil"/>
              <w:left w:val="nil"/>
              <w:bottom w:val="nil"/>
              <w:right w:val="nil"/>
            </w:tcBorders>
            <w:shd w:val="clear" w:color="auto" w:fill="auto"/>
            <w:noWrap/>
            <w:textDirection w:val="btLr"/>
            <w:vAlign w:val="center"/>
            <w:hideMark/>
          </w:tcPr>
          <w:p w14:paraId="6B36444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1BE58A7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4FFDE60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5A6F4D0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AE9CF6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16.693***</w:t>
            </w:r>
          </w:p>
        </w:tc>
        <w:tc>
          <w:tcPr>
            <w:tcW w:w="420" w:type="dxa"/>
            <w:tcBorders>
              <w:top w:val="nil"/>
              <w:left w:val="nil"/>
              <w:bottom w:val="nil"/>
              <w:right w:val="nil"/>
            </w:tcBorders>
            <w:shd w:val="clear" w:color="auto" w:fill="auto"/>
            <w:noWrap/>
            <w:textDirection w:val="btLr"/>
            <w:vAlign w:val="center"/>
            <w:hideMark/>
          </w:tcPr>
          <w:p w14:paraId="76C619B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(0.937)</w:t>
            </w:r>
          </w:p>
        </w:tc>
        <w:tc>
          <w:tcPr>
            <w:tcW w:w="420" w:type="dxa"/>
            <w:tcBorders>
              <w:top w:val="nil"/>
              <w:left w:val="nil"/>
              <w:bottom w:val="nil"/>
              <w:right w:val="nil"/>
            </w:tcBorders>
            <w:shd w:val="clear" w:color="auto" w:fill="auto"/>
            <w:noWrap/>
            <w:textDirection w:val="btLr"/>
            <w:vAlign w:val="center"/>
            <w:hideMark/>
          </w:tcPr>
          <w:p w14:paraId="28D5CBB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428</w:t>
            </w:r>
          </w:p>
        </w:tc>
        <w:tc>
          <w:tcPr>
            <w:tcW w:w="420" w:type="dxa"/>
            <w:tcBorders>
              <w:top w:val="nil"/>
              <w:left w:val="nil"/>
              <w:bottom w:val="nil"/>
              <w:right w:val="nil"/>
            </w:tcBorders>
            <w:shd w:val="clear" w:color="auto" w:fill="auto"/>
            <w:noWrap/>
            <w:textDirection w:val="btLr"/>
            <w:vAlign w:val="center"/>
            <w:hideMark/>
          </w:tcPr>
          <w:p w14:paraId="2CF4E88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0.337</w:t>
            </w:r>
          </w:p>
        </w:tc>
        <w:tc>
          <w:tcPr>
            <w:tcW w:w="380" w:type="dxa"/>
            <w:vMerge w:val="restart"/>
            <w:tcBorders>
              <w:top w:val="nil"/>
              <w:left w:val="nil"/>
              <w:bottom w:val="nil"/>
              <w:right w:val="single" w:sz="4" w:space="0" w:color="auto"/>
            </w:tcBorders>
            <w:shd w:val="clear" w:color="auto" w:fill="auto"/>
            <w:noWrap/>
            <w:textDirection w:val="btLr"/>
            <w:vAlign w:val="center"/>
            <w:hideMark/>
          </w:tcPr>
          <w:p w14:paraId="4A8A1E1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note:  *** p&lt;0.01, ** p&lt;0.05, * p&lt;0.1</w:t>
            </w:r>
          </w:p>
        </w:tc>
      </w:tr>
      <w:tr w:rsidR="00AE1490" w:rsidRPr="00AE1490" w14:paraId="3A0E0CC4" w14:textId="77777777" w:rsidTr="00AE1490">
        <w:trPr>
          <w:trHeight w:val="1180"/>
        </w:trPr>
        <w:tc>
          <w:tcPr>
            <w:tcW w:w="420" w:type="dxa"/>
            <w:tcBorders>
              <w:top w:val="nil"/>
              <w:left w:val="nil"/>
              <w:bottom w:val="nil"/>
              <w:right w:val="nil"/>
            </w:tcBorders>
            <w:shd w:val="clear" w:color="auto" w:fill="auto"/>
            <w:noWrap/>
            <w:textDirection w:val="btLr"/>
            <w:vAlign w:val="center"/>
            <w:hideMark/>
          </w:tcPr>
          <w:p w14:paraId="6B3C185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0.010</w:t>
            </w:r>
          </w:p>
        </w:tc>
        <w:tc>
          <w:tcPr>
            <w:tcW w:w="420" w:type="dxa"/>
            <w:tcBorders>
              <w:top w:val="nil"/>
              <w:left w:val="nil"/>
              <w:bottom w:val="nil"/>
              <w:right w:val="nil"/>
            </w:tcBorders>
            <w:shd w:val="clear" w:color="auto" w:fill="auto"/>
            <w:noWrap/>
            <w:textDirection w:val="btLr"/>
            <w:vAlign w:val="center"/>
            <w:hideMark/>
          </w:tcPr>
          <w:p w14:paraId="7B7E96F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(0.008)</w:t>
            </w:r>
          </w:p>
        </w:tc>
        <w:tc>
          <w:tcPr>
            <w:tcW w:w="420" w:type="dxa"/>
            <w:tcBorders>
              <w:top w:val="nil"/>
              <w:left w:val="nil"/>
              <w:bottom w:val="nil"/>
              <w:right w:val="nil"/>
            </w:tcBorders>
            <w:shd w:val="clear" w:color="auto" w:fill="auto"/>
            <w:noWrap/>
            <w:textDirection w:val="btLr"/>
            <w:vAlign w:val="center"/>
            <w:hideMark/>
          </w:tcPr>
          <w:p w14:paraId="4271BDE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-6.210***</w:t>
            </w:r>
          </w:p>
        </w:tc>
        <w:tc>
          <w:tcPr>
            <w:tcW w:w="420" w:type="dxa"/>
            <w:tcBorders>
              <w:top w:val="nil"/>
              <w:left w:val="nil"/>
              <w:bottom w:val="nil"/>
              <w:right w:val="nil"/>
            </w:tcBorders>
            <w:shd w:val="clear" w:color="auto" w:fill="auto"/>
            <w:noWrap/>
            <w:textDirection w:val="btLr"/>
            <w:vAlign w:val="center"/>
            <w:hideMark/>
          </w:tcPr>
          <w:p w14:paraId="208FD1E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(1.141)</w:t>
            </w:r>
          </w:p>
        </w:tc>
        <w:tc>
          <w:tcPr>
            <w:tcW w:w="420" w:type="dxa"/>
            <w:tcBorders>
              <w:top w:val="nil"/>
              <w:left w:val="nil"/>
              <w:bottom w:val="nil"/>
              <w:right w:val="nil"/>
            </w:tcBorders>
            <w:shd w:val="clear" w:color="auto" w:fill="auto"/>
            <w:noWrap/>
            <w:textDirection w:val="btLr"/>
            <w:vAlign w:val="center"/>
            <w:hideMark/>
          </w:tcPr>
          <w:p w14:paraId="4873D26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E5C54B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72B0EB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9E0E76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419976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4D3485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88A918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16.912***</w:t>
            </w:r>
          </w:p>
        </w:tc>
        <w:tc>
          <w:tcPr>
            <w:tcW w:w="420" w:type="dxa"/>
            <w:tcBorders>
              <w:top w:val="nil"/>
              <w:left w:val="nil"/>
              <w:bottom w:val="nil"/>
              <w:right w:val="nil"/>
            </w:tcBorders>
            <w:shd w:val="clear" w:color="auto" w:fill="auto"/>
            <w:noWrap/>
            <w:textDirection w:val="btLr"/>
            <w:vAlign w:val="center"/>
            <w:hideMark/>
          </w:tcPr>
          <w:p w14:paraId="06FE188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(0.839)</w:t>
            </w:r>
          </w:p>
        </w:tc>
        <w:tc>
          <w:tcPr>
            <w:tcW w:w="420" w:type="dxa"/>
            <w:tcBorders>
              <w:top w:val="nil"/>
              <w:left w:val="nil"/>
              <w:bottom w:val="nil"/>
              <w:right w:val="nil"/>
            </w:tcBorders>
            <w:shd w:val="clear" w:color="auto" w:fill="auto"/>
            <w:noWrap/>
            <w:textDirection w:val="btLr"/>
            <w:vAlign w:val="center"/>
            <w:hideMark/>
          </w:tcPr>
          <w:p w14:paraId="5CFEB74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428</w:t>
            </w:r>
          </w:p>
        </w:tc>
        <w:tc>
          <w:tcPr>
            <w:tcW w:w="420" w:type="dxa"/>
            <w:tcBorders>
              <w:top w:val="nil"/>
              <w:left w:val="nil"/>
              <w:bottom w:val="nil"/>
              <w:right w:val="nil"/>
            </w:tcBorders>
            <w:shd w:val="clear" w:color="auto" w:fill="auto"/>
            <w:noWrap/>
            <w:textDirection w:val="btLr"/>
            <w:vAlign w:val="center"/>
            <w:hideMark/>
          </w:tcPr>
          <w:p w14:paraId="32C9CAE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0.335</w:t>
            </w:r>
          </w:p>
        </w:tc>
        <w:tc>
          <w:tcPr>
            <w:tcW w:w="380" w:type="dxa"/>
            <w:vMerge/>
            <w:tcBorders>
              <w:top w:val="nil"/>
              <w:left w:val="nil"/>
              <w:bottom w:val="nil"/>
              <w:right w:val="single" w:sz="4" w:space="0" w:color="auto"/>
            </w:tcBorders>
            <w:vAlign w:val="center"/>
            <w:hideMark/>
          </w:tcPr>
          <w:p w14:paraId="027ABF6B" w14:textId="77777777" w:rsidR="00AE1490" w:rsidRPr="00AE1490" w:rsidRDefault="00AE1490" w:rsidP="00AE1490">
            <w:pPr>
              <w:spacing w:after="0"/>
              <w:rPr>
                <w:rFonts w:eastAsia="Times New Roman" w:cs="Times New Roman"/>
                <w:lang w:eastAsia="en-US"/>
              </w:rPr>
            </w:pPr>
          </w:p>
        </w:tc>
      </w:tr>
      <w:tr w:rsidR="00AE1490" w:rsidRPr="00AE1490" w14:paraId="0A69828E" w14:textId="77777777" w:rsidTr="00AE1490">
        <w:trPr>
          <w:trHeight w:val="1180"/>
        </w:trPr>
        <w:tc>
          <w:tcPr>
            <w:tcW w:w="420" w:type="dxa"/>
            <w:tcBorders>
              <w:top w:val="nil"/>
              <w:left w:val="nil"/>
              <w:bottom w:val="nil"/>
              <w:right w:val="nil"/>
            </w:tcBorders>
            <w:shd w:val="clear" w:color="auto" w:fill="auto"/>
            <w:noWrap/>
            <w:textDirection w:val="btLr"/>
            <w:vAlign w:val="center"/>
            <w:hideMark/>
          </w:tcPr>
          <w:p w14:paraId="480C8B1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44060E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4D1265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6B90E47"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465B3D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-0.134</w:t>
            </w:r>
          </w:p>
        </w:tc>
        <w:tc>
          <w:tcPr>
            <w:tcW w:w="420" w:type="dxa"/>
            <w:tcBorders>
              <w:top w:val="nil"/>
              <w:left w:val="nil"/>
              <w:bottom w:val="nil"/>
              <w:right w:val="nil"/>
            </w:tcBorders>
            <w:shd w:val="clear" w:color="auto" w:fill="auto"/>
            <w:noWrap/>
            <w:textDirection w:val="btLr"/>
            <w:vAlign w:val="center"/>
            <w:hideMark/>
          </w:tcPr>
          <w:p w14:paraId="3CB187F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(0.164)</w:t>
            </w:r>
          </w:p>
        </w:tc>
        <w:tc>
          <w:tcPr>
            <w:tcW w:w="420" w:type="dxa"/>
            <w:tcBorders>
              <w:top w:val="nil"/>
              <w:left w:val="nil"/>
              <w:bottom w:val="nil"/>
              <w:right w:val="nil"/>
            </w:tcBorders>
            <w:shd w:val="clear" w:color="auto" w:fill="auto"/>
            <w:noWrap/>
            <w:textDirection w:val="btLr"/>
            <w:vAlign w:val="center"/>
            <w:hideMark/>
          </w:tcPr>
          <w:p w14:paraId="01BACDE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67ACED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605E14D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1451EA3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592708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13.828***</w:t>
            </w:r>
          </w:p>
        </w:tc>
        <w:tc>
          <w:tcPr>
            <w:tcW w:w="420" w:type="dxa"/>
            <w:tcBorders>
              <w:top w:val="nil"/>
              <w:left w:val="nil"/>
              <w:bottom w:val="nil"/>
              <w:right w:val="nil"/>
            </w:tcBorders>
            <w:shd w:val="clear" w:color="auto" w:fill="auto"/>
            <w:noWrap/>
            <w:textDirection w:val="btLr"/>
            <w:vAlign w:val="center"/>
            <w:hideMark/>
          </w:tcPr>
          <w:p w14:paraId="7DF4E31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(0.505)</w:t>
            </w:r>
          </w:p>
        </w:tc>
        <w:tc>
          <w:tcPr>
            <w:tcW w:w="420" w:type="dxa"/>
            <w:tcBorders>
              <w:top w:val="nil"/>
              <w:left w:val="nil"/>
              <w:bottom w:val="nil"/>
              <w:right w:val="nil"/>
            </w:tcBorders>
            <w:shd w:val="clear" w:color="auto" w:fill="auto"/>
            <w:noWrap/>
            <w:textDirection w:val="btLr"/>
            <w:vAlign w:val="center"/>
            <w:hideMark/>
          </w:tcPr>
          <w:p w14:paraId="36B975C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463</w:t>
            </w:r>
          </w:p>
        </w:tc>
        <w:tc>
          <w:tcPr>
            <w:tcW w:w="420" w:type="dxa"/>
            <w:tcBorders>
              <w:top w:val="nil"/>
              <w:left w:val="nil"/>
              <w:bottom w:val="nil"/>
              <w:right w:val="nil"/>
            </w:tcBorders>
            <w:shd w:val="clear" w:color="auto" w:fill="auto"/>
            <w:noWrap/>
            <w:textDirection w:val="btLr"/>
            <w:vAlign w:val="center"/>
            <w:hideMark/>
          </w:tcPr>
          <w:p w14:paraId="03E712C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0.282</w:t>
            </w:r>
          </w:p>
        </w:tc>
        <w:tc>
          <w:tcPr>
            <w:tcW w:w="380" w:type="dxa"/>
            <w:vMerge/>
            <w:tcBorders>
              <w:top w:val="nil"/>
              <w:left w:val="nil"/>
              <w:bottom w:val="nil"/>
              <w:right w:val="single" w:sz="4" w:space="0" w:color="auto"/>
            </w:tcBorders>
            <w:vAlign w:val="center"/>
            <w:hideMark/>
          </w:tcPr>
          <w:p w14:paraId="52C92A53" w14:textId="77777777" w:rsidR="00AE1490" w:rsidRPr="00AE1490" w:rsidRDefault="00AE1490" w:rsidP="00AE1490">
            <w:pPr>
              <w:spacing w:after="0"/>
              <w:rPr>
                <w:rFonts w:eastAsia="Times New Roman" w:cs="Times New Roman"/>
                <w:lang w:eastAsia="en-US"/>
              </w:rPr>
            </w:pPr>
          </w:p>
        </w:tc>
      </w:tr>
      <w:tr w:rsidR="00AE1490" w:rsidRPr="00AE1490" w14:paraId="7732E775" w14:textId="77777777" w:rsidTr="00AE1490">
        <w:trPr>
          <w:trHeight w:val="1180"/>
        </w:trPr>
        <w:tc>
          <w:tcPr>
            <w:tcW w:w="420" w:type="dxa"/>
            <w:tcBorders>
              <w:top w:val="nil"/>
              <w:left w:val="nil"/>
              <w:bottom w:val="nil"/>
              <w:right w:val="nil"/>
            </w:tcBorders>
            <w:shd w:val="clear" w:color="auto" w:fill="auto"/>
            <w:noWrap/>
            <w:textDirection w:val="btLr"/>
            <w:vAlign w:val="center"/>
            <w:hideMark/>
          </w:tcPr>
          <w:p w14:paraId="0CC2313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0E7DF1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A65EE0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368CA9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63028F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0.078</w:t>
            </w:r>
          </w:p>
        </w:tc>
        <w:tc>
          <w:tcPr>
            <w:tcW w:w="420" w:type="dxa"/>
            <w:tcBorders>
              <w:top w:val="nil"/>
              <w:left w:val="nil"/>
              <w:bottom w:val="nil"/>
              <w:right w:val="nil"/>
            </w:tcBorders>
            <w:shd w:val="clear" w:color="auto" w:fill="auto"/>
            <w:noWrap/>
            <w:textDirection w:val="btLr"/>
            <w:vAlign w:val="center"/>
            <w:hideMark/>
          </w:tcPr>
          <w:p w14:paraId="009F809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(0.171)</w:t>
            </w:r>
          </w:p>
        </w:tc>
        <w:tc>
          <w:tcPr>
            <w:tcW w:w="420" w:type="dxa"/>
            <w:tcBorders>
              <w:top w:val="nil"/>
              <w:left w:val="nil"/>
              <w:bottom w:val="nil"/>
              <w:right w:val="nil"/>
            </w:tcBorders>
            <w:shd w:val="clear" w:color="auto" w:fill="auto"/>
            <w:noWrap/>
            <w:textDirection w:val="btLr"/>
            <w:vAlign w:val="center"/>
            <w:hideMark/>
          </w:tcPr>
          <w:p w14:paraId="0214EEE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81F04A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5901E74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3913268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EB8D8D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16.594***</w:t>
            </w:r>
          </w:p>
        </w:tc>
        <w:tc>
          <w:tcPr>
            <w:tcW w:w="420" w:type="dxa"/>
            <w:tcBorders>
              <w:top w:val="nil"/>
              <w:left w:val="nil"/>
              <w:bottom w:val="nil"/>
              <w:right w:val="nil"/>
            </w:tcBorders>
            <w:shd w:val="clear" w:color="auto" w:fill="auto"/>
            <w:noWrap/>
            <w:textDirection w:val="btLr"/>
            <w:vAlign w:val="center"/>
            <w:hideMark/>
          </w:tcPr>
          <w:p w14:paraId="0462750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(0.382)</w:t>
            </w:r>
          </w:p>
        </w:tc>
        <w:tc>
          <w:tcPr>
            <w:tcW w:w="420" w:type="dxa"/>
            <w:tcBorders>
              <w:top w:val="nil"/>
              <w:left w:val="nil"/>
              <w:bottom w:val="nil"/>
              <w:right w:val="nil"/>
            </w:tcBorders>
            <w:shd w:val="clear" w:color="auto" w:fill="auto"/>
            <w:noWrap/>
            <w:textDirection w:val="btLr"/>
            <w:vAlign w:val="center"/>
            <w:hideMark/>
          </w:tcPr>
          <w:p w14:paraId="502FB89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464</w:t>
            </w:r>
          </w:p>
        </w:tc>
        <w:tc>
          <w:tcPr>
            <w:tcW w:w="420" w:type="dxa"/>
            <w:tcBorders>
              <w:top w:val="nil"/>
              <w:left w:val="nil"/>
              <w:bottom w:val="nil"/>
              <w:right w:val="nil"/>
            </w:tcBorders>
            <w:shd w:val="clear" w:color="auto" w:fill="auto"/>
            <w:noWrap/>
            <w:textDirection w:val="btLr"/>
            <w:vAlign w:val="center"/>
            <w:hideMark/>
          </w:tcPr>
          <w:p w14:paraId="51C8B9F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0.187</w:t>
            </w:r>
          </w:p>
        </w:tc>
        <w:tc>
          <w:tcPr>
            <w:tcW w:w="380" w:type="dxa"/>
            <w:vMerge/>
            <w:tcBorders>
              <w:top w:val="nil"/>
              <w:left w:val="nil"/>
              <w:bottom w:val="nil"/>
              <w:right w:val="single" w:sz="4" w:space="0" w:color="auto"/>
            </w:tcBorders>
            <w:vAlign w:val="center"/>
            <w:hideMark/>
          </w:tcPr>
          <w:p w14:paraId="1C940FE8" w14:textId="77777777" w:rsidR="00AE1490" w:rsidRPr="00AE1490" w:rsidRDefault="00AE1490" w:rsidP="00AE1490">
            <w:pPr>
              <w:spacing w:after="0"/>
              <w:rPr>
                <w:rFonts w:eastAsia="Times New Roman" w:cs="Times New Roman"/>
                <w:lang w:eastAsia="en-US"/>
              </w:rPr>
            </w:pPr>
          </w:p>
        </w:tc>
      </w:tr>
      <w:tr w:rsidR="00AE1490" w:rsidRPr="00AE1490" w14:paraId="45863ACD" w14:textId="77777777" w:rsidTr="00AE1490">
        <w:trPr>
          <w:trHeight w:val="1180"/>
        </w:trPr>
        <w:tc>
          <w:tcPr>
            <w:tcW w:w="420" w:type="dxa"/>
            <w:tcBorders>
              <w:top w:val="nil"/>
              <w:left w:val="nil"/>
              <w:bottom w:val="nil"/>
              <w:right w:val="nil"/>
            </w:tcBorders>
            <w:shd w:val="clear" w:color="auto" w:fill="auto"/>
            <w:noWrap/>
            <w:textDirection w:val="btLr"/>
            <w:vAlign w:val="center"/>
            <w:hideMark/>
          </w:tcPr>
          <w:p w14:paraId="76E66BD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0.051***</w:t>
            </w:r>
          </w:p>
        </w:tc>
        <w:tc>
          <w:tcPr>
            <w:tcW w:w="420" w:type="dxa"/>
            <w:tcBorders>
              <w:top w:val="nil"/>
              <w:left w:val="nil"/>
              <w:bottom w:val="nil"/>
              <w:right w:val="nil"/>
            </w:tcBorders>
            <w:shd w:val="clear" w:color="auto" w:fill="auto"/>
            <w:noWrap/>
            <w:textDirection w:val="btLr"/>
            <w:vAlign w:val="center"/>
            <w:hideMark/>
          </w:tcPr>
          <w:p w14:paraId="00C3E62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(0.007)</w:t>
            </w:r>
          </w:p>
        </w:tc>
        <w:tc>
          <w:tcPr>
            <w:tcW w:w="420" w:type="dxa"/>
            <w:tcBorders>
              <w:top w:val="nil"/>
              <w:left w:val="nil"/>
              <w:bottom w:val="nil"/>
              <w:right w:val="nil"/>
            </w:tcBorders>
            <w:shd w:val="clear" w:color="auto" w:fill="auto"/>
            <w:noWrap/>
            <w:textDirection w:val="btLr"/>
            <w:vAlign w:val="center"/>
            <w:hideMark/>
          </w:tcPr>
          <w:p w14:paraId="7661584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-6.060***</w:t>
            </w:r>
          </w:p>
        </w:tc>
        <w:tc>
          <w:tcPr>
            <w:tcW w:w="420" w:type="dxa"/>
            <w:tcBorders>
              <w:top w:val="nil"/>
              <w:left w:val="nil"/>
              <w:bottom w:val="nil"/>
              <w:right w:val="nil"/>
            </w:tcBorders>
            <w:shd w:val="clear" w:color="auto" w:fill="auto"/>
            <w:noWrap/>
            <w:textDirection w:val="btLr"/>
            <w:vAlign w:val="center"/>
            <w:hideMark/>
          </w:tcPr>
          <w:p w14:paraId="0F84B48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(1.230)</w:t>
            </w:r>
          </w:p>
        </w:tc>
        <w:tc>
          <w:tcPr>
            <w:tcW w:w="420" w:type="dxa"/>
            <w:tcBorders>
              <w:top w:val="nil"/>
              <w:left w:val="nil"/>
              <w:bottom w:val="nil"/>
              <w:right w:val="nil"/>
            </w:tcBorders>
            <w:shd w:val="clear" w:color="auto" w:fill="auto"/>
            <w:noWrap/>
            <w:textDirection w:val="btLr"/>
            <w:vAlign w:val="center"/>
            <w:hideMark/>
          </w:tcPr>
          <w:p w14:paraId="710D588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80B396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1A6A53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11C5B8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7EF7D18"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99EC6A7"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B37DE2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20.065***</w:t>
            </w:r>
          </w:p>
        </w:tc>
        <w:tc>
          <w:tcPr>
            <w:tcW w:w="420" w:type="dxa"/>
            <w:tcBorders>
              <w:top w:val="nil"/>
              <w:left w:val="nil"/>
              <w:bottom w:val="nil"/>
              <w:right w:val="nil"/>
            </w:tcBorders>
            <w:shd w:val="clear" w:color="auto" w:fill="auto"/>
            <w:noWrap/>
            <w:textDirection w:val="btLr"/>
            <w:vAlign w:val="center"/>
            <w:hideMark/>
          </w:tcPr>
          <w:p w14:paraId="0952E7D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(0.802)</w:t>
            </w:r>
          </w:p>
        </w:tc>
        <w:tc>
          <w:tcPr>
            <w:tcW w:w="420" w:type="dxa"/>
            <w:tcBorders>
              <w:top w:val="nil"/>
              <w:left w:val="nil"/>
              <w:bottom w:val="nil"/>
              <w:right w:val="nil"/>
            </w:tcBorders>
            <w:shd w:val="clear" w:color="auto" w:fill="auto"/>
            <w:noWrap/>
            <w:textDirection w:val="btLr"/>
            <w:vAlign w:val="center"/>
            <w:hideMark/>
          </w:tcPr>
          <w:p w14:paraId="4C961E1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443</w:t>
            </w:r>
          </w:p>
        </w:tc>
        <w:tc>
          <w:tcPr>
            <w:tcW w:w="420" w:type="dxa"/>
            <w:tcBorders>
              <w:top w:val="nil"/>
              <w:left w:val="nil"/>
              <w:bottom w:val="nil"/>
              <w:right w:val="nil"/>
            </w:tcBorders>
            <w:shd w:val="clear" w:color="auto" w:fill="auto"/>
            <w:noWrap/>
            <w:textDirection w:val="btLr"/>
            <w:vAlign w:val="center"/>
            <w:hideMark/>
          </w:tcPr>
          <w:p w14:paraId="360D4E8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0.196</w:t>
            </w:r>
          </w:p>
        </w:tc>
        <w:tc>
          <w:tcPr>
            <w:tcW w:w="380" w:type="dxa"/>
            <w:vMerge/>
            <w:tcBorders>
              <w:top w:val="nil"/>
              <w:left w:val="nil"/>
              <w:bottom w:val="nil"/>
              <w:right w:val="single" w:sz="4" w:space="0" w:color="auto"/>
            </w:tcBorders>
            <w:vAlign w:val="center"/>
            <w:hideMark/>
          </w:tcPr>
          <w:p w14:paraId="378A08F4" w14:textId="77777777" w:rsidR="00AE1490" w:rsidRPr="00AE1490" w:rsidRDefault="00AE1490" w:rsidP="00AE1490">
            <w:pPr>
              <w:spacing w:after="0"/>
              <w:rPr>
                <w:rFonts w:eastAsia="Times New Roman" w:cs="Times New Roman"/>
                <w:lang w:eastAsia="en-US"/>
              </w:rPr>
            </w:pPr>
          </w:p>
        </w:tc>
      </w:tr>
      <w:tr w:rsidR="00AE1490" w:rsidRPr="00AE1490" w14:paraId="5342D409" w14:textId="77777777" w:rsidTr="00AE1490">
        <w:trPr>
          <w:trHeight w:val="1180"/>
        </w:trPr>
        <w:tc>
          <w:tcPr>
            <w:tcW w:w="420" w:type="dxa"/>
            <w:tcBorders>
              <w:top w:val="nil"/>
              <w:left w:val="nil"/>
              <w:bottom w:val="nil"/>
              <w:right w:val="nil"/>
            </w:tcBorders>
            <w:shd w:val="clear" w:color="auto" w:fill="auto"/>
            <w:noWrap/>
            <w:textDirection w:val="btLr"/>
            <w:vAlign w:val="center"/>
            <w:hideMark/>
          </w:tcPr>
          <w:p w14:paraId="498AB33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90A68F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F6AEFE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483498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BA80E7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93ED57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A8F72C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C33C3A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8E63C8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3AC027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8E88F9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13.906***</w:t>
            </w:r>
          </w:p>
        </w:tc>
        <w:tc>
          <w:tcPr>
            <w:tcW w:w="420" w:type="dxa"/>
            <w:tcBorders>
              <w:top w:val="nil"/>
              <w:left w:val="nil"/>
              <w:bottom w:val="nil"/>
              <w:right w:val="nil"/>
            </w:tcBorders>
            <w:shd w:val="clear" w:color="auto" w:fill="auto"/>
            <w:noWrap/>
            <w:textDirection w:val="btLr"/>
            <w:vAlign w:val="center"/>
            <w:hideMark/>
          </w:tcPr>
          <w:p w14:paraId="6CDA4CD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(0.435)</w:t>
            </w:r>
          </w:p>
        </w:tc>
        <w:tc>
          <w:tcPr>
            <w:tcW w:w="420" w:type="dxa"/>
            <w:tcBorders>
              <w:top w:val="nil"/>
              <w:left w:val="nil"/>
              <w:bottom w:val="nil"/>
              <w:right w:val="nil"/>
            </w:tcBorders>
            <w:shd w:val="clear" w:color="auto" w:fill="auto"/>
            <w:noWrap/>
            <w:textDirection w:val="btLr"/>
            <w:vAlign w:val="center"/>
            <w:hideMark/>
          </w:tcPr>
          <w:p w14:paraId="0DC2563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463</w:t>
            </w:r>
          </w:p>
        </w:tc>
        <w:tc>
          <w:tcPr>
            <w:tcW w:w="420" w:type="dxa"/>
            <w:tcBorders>
              <w:top w:val="nil"/>
              <w:left w:val="nil"/>
              <w:bottom w:val="nil"/>
              <w:right w:val="nil"/>
            </w:tcBorders>
            <w:shd w:val="clear" w:color="auto" w:fill="auto"/>
            <w:noWrap/>
            <w:textDirection w:val="btLr"/>
            <w:vAlign w:val="center"/>
            <w:hideMark/>
          </w:tcPr>
          <w:p w14:paraId="7371E60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0.280</w:t>
            </w:r>
          </w:p>
        </w:tc>
        <w:tc>
          <w:tcPr>
            <w:tcW w:w="380" w:type="dxa"/>
            <w:vMerge/>
            <w:tcBorders>
              <w:top w:val="nil"/>
              <w:left w:val="nil"/>
              <w:bottom w:val="nil"/>
              <w:right w:val="single" w:sz="4" w:space="0" w:color="auto"/>
            </w:tcBorders>
            <w:vAlign w:val="center"/>
            <w:hideMark/>
          </w:tcPr>
          <w:p w14:paraId="73926BEA" w14:textId="77777777" w:rsidR="00AE1490" w:rsidRPr="00AE1490" w:rsidRDefault="00AE1490" w:rsidP="00AE1490">
            <w:pPr>
              <w:spacing w:after="0"/>
              <w:rPr>
                <w:rFonts w:eastAsia="Times New Roman" w:cs="Times New Roman"/>
                <w:lang w:eastAsia="en-US"/>
              </w:rPr>
            </w:pPr>
          </w:p>
        </w:tc>
      </w:tr>
      <w:tr w:rsidR="00AE1490" w:rsidRPr="00AE1490" w14:paraId="23237271" w14:textId="77777777" w:rsidTr="00AE1490">
        <w:trPr>
          <w:trHeight w:val="1180"/>
        </w:trPr>
        <w:tc>
          <w:tcPr>
            <w:tcW w:w="420" w:type="dxa"/>
            <w:tcBorders>
              <w:top w:val="nil"/>
              <w:left w:val="nil"/>
              <w:bottom w:val="nil"/>
              <w:right w:val="nil"/>
            </w:tcBorders>
            <w:shd w:val="clear" w:color="auto" w:fill="auto"/>
            <w:noWrap/>
            <w:textDirection w:val="btLr"/>
            <w:vAlign w:val="center"/>
            <w:hideMark/>
          </w:tcPr>
          <w:p w14:paraId="45CD49F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F9C5E4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CD8BA4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170225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5E1716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4C8D03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6E9AC9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D8E32F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346AE2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9933E38"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0C6CB7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14.124***</w:t>
            </w:r>
          </w:p>
        </w:tc>
        <w:tc>
          <w:tcPr>
            <w:tcW w:w="420" w:type="dxa"/>
            <w:tcBorders>
              <w:top w:val="nil"/>
              <w:left w:val="nil"/>
              <w:bottom w:val="nil"/>
              <w:right w:val="nil"/>
            </w:tcBorders>
            <w:shd w:val="clear" w:color="auto" w:fill="auto"/>
            <w:noWrap/>
            <w:textDirection w:val="btLr"/>
            <w:vAlign w:val="center"/>
            <w:hideMark/>
          </w:tcPr>
          <w:p w14:paraId="4577E43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(0.407)</w:t>
            </w:r>
          </w:p>
        </w:tc>
        <w:tc>
          <w:tcPr>
            <w:tcW w:w="420" w:type="dxa"/>
            <w:tcBorders>
              <w:top w:val="nil"/>
              <w:left w:val="nil"/>
              <w:bottom w:val="nil"/>
              <w:right w:val="nil"/>
            </w:tcBorders>
            <w:shd w:val="clear" w:color="auto" w:fill="auto"/>
            <w:noWrap/>
            <w:textDirection w:val="btLr"/>
            <w:vAlign w:val="center"/>
            <w:hideMark/>
          </w:tcPr>
          <w:p w14:paraId="237A682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464</w:t>
            </w:r>
          </w:p>
        </w:tc>
        <w:tc>
          <w:tcPr>
            <w:tcW w:w="420" w:type="dxa"/>
            <w:tcBorders>
              <w:top w:val="nil"/>
              <w:left w:val="nil"/>
              <w:bottom w:val="nil"/>
              <w:right w:val="nil"/>
            </w:tcBorders>
            <w:shd w:val="clear" w:color="auto" w:fill="auto"/>
            <w:noWrap/>
            <w:textDirection w:val="btLr"/>
            <w:vAlign w:val="center"/>
            <w:hideMark/>
          </w:tcPr>
          <w:p w14:paraId="29FB2C3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0.277</w:t>
            </w:r>
          </w:p>
        </w:tc>
        <w:tc>
          <w:tcPr>
            <w:tcW w:w="380" w:type="dxa"/>
            <w:vMerge/>
            <w:tcBorders>
              <w:top w:val="nil"/>
              <w:left w:val="nil"/>
              <w:bottom w:val="nil"/>
              <w:right w:val="single" w:sz="4" w:space="0" w:color="auto"/>
            </w:tcBorders>
            <w:vAlign w:val="center"/>
            <w:hideMark/>
          </w:tcPr>
          <w:p w14:paraId="23DAFCDD" w14:textId="77777777" w:rsidR="00AE1490" w:rsidRPr="00AE1490" w:rsidRDefault="00AE1490" w:rsidP="00AE1490">
            <w:pPr>
              <w:spacing w:after="0"/>
              <w:rPr>
                <w:rFonts w:eastAsia="Times New Roman" w:cs="Times New Roman"/>
                <w:lang w:eastAsia="en-US"/>
              </w:rPr>
            </w:pPr>
          </w:p>
        </w:tc>
      </w:tr>
      <w:tr w:rsidR="00AE1490" w:rsidRPr="00AE1490" w14:paraId="38B83936" w14:textId="77777777" w:rsidTr="00AE1490">
        <w:trPr>
          <w:trHeight w:val="1180"/>
        </w:trPr>
        <w:tc>
          <w:tcPr>
            <w:tcW w:w="420" w:type="dxa"/>
            <w:tcBorders>
              <w:top w:val="nil"/>
              <w:left w:val="nil"/>
              <w:bottom w:val="nil"/>
              <w:right w:val="nil"/>
            </w:tcBorders>
            <w:shd w:val="clear" w:color="auto" w:fill="auto"/>
            <w:noWrap/>
            <w:textDirection w:val="btLr"/>
            <w:vAlign w:val="center"/>
            <w:hideMark/>
          </w:tcPr>
          <w:p w14:paraId="21EA2FD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0394BC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11DE06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23581B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9BF18B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323CAE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F2C7A2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858044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3A8581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C48CE8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027551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16.765***</w:t>
            </w:r>
          </w:p>
        </w:tc>
        <w:tc>
          <w:tcPr>
            <w:tcW w:w="420" w:type="dxa"/>
            <w:tcBorders>
              <w:top w:val="nil"/>
              <w:left w:val="nil"/>
              <w:bottom w:val="nil"/>
              <w:right w:val="nil"/>
            </w:tcBorders>
            <w:shd w:val="clear" w:color="auto" w:fill="auto"/>
            <w:noWrap/>
            <w:textDirection w:val="btLr"/>
            <w:vAlign w:val="center"/>
            <w:hideMark/>
          </w:tcPr>
          <w:p w14:paraId="7FF8944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(0.247)</w:t>
            </w:r>
          </w:p>
        </w:tc>
        <w:tc>
          <w:tcPr>
            <w:tcW w:w="420" w:type="dxa"/>
            <w:tcBorders>
              <w:top w:val="nil"/>
              <w:left w:val="nil"/>
              <w:bottom w:val="nil"/>
              <w:right w:val="nil"/>
            </w:tcBorders>
            <w:shd w:val="clear" w:color="auto" w:fill="auto"/>
            <w:noWrap/>
            <w:textDirection w:val="btLr"/>
            <w:vAlign w:val="center"/>
            <w:hideMark/>
          </w:tcPr>
          <w:p w14:paraId="7E5DF6E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509</w:t>
            </w:r>
          </w:p>
        </w:tc>
        <w:tc>
          <w:tcPr>
            <w:tcW w:w="420" w:type="dxa"/>
            <w:tcBorders>
              <w:top w:val="nil"/>
              <w:left w:val="nil"/>
              <w:bottom w:val="nil"/>
              <w:right w:val="nil"/>
            </w:tcBorders>
            <w:shd w:val="clear" w:color="auto" w:fill="auto"/>
            <w:noWrap/>
            <w:textDirection w:val="btLr"/>
            <w:vAlign w:val="center"/>
            <w:hideMark/>
          </w:tcPr>
          <w:p w14:paraId="75D52B1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0.033</w:t>
            </w:r>
          </w:p>
        </w:tc>
        <w:tc>
          <w:tcPr>
            <w:tcW w:w="380" w:type="dxa"/>
            <w:vMerge/>
            <w:tcBorders>
              <w:top w:val="nil"/>
              <w:left w:val="nil"/>
              <w:bottom w:val="nil"/>
              <w:right w:val="single" w:sz="4" w:space="0" w:color="auto"/>
            </w:tcBorders>
            <w:vAlign w:val="center"/>
            <w:hideMark/>
          </w:tcPr>
          <w:p w14:paraId="0DE22BD5" w14:textId="77777777" w:rsidR="00AE1490" w:rsidRPr="00AE1490" w:rsidRDefault="00AE1490" w:rsidP="00AE1490">
            <w:pPr>
              <w:spacing w:after="0"/>
              <w:rPr>
                <w:rFonts w:eastAsia="Times New Roman" w:cs="Times New Roman"/>
                <w:lang w:eastAsia="en-US"/>
              </w:rPr>
            </w:pPr>
          </w:p>
        </w:tc>
      </w:tr>
      <w:tr w:rsidR="00AE1490" w:rsidRPr="00AE1490" w14:paraId="32C2512A" w14:textId="77777777" w:rsidTr="00AE1490">
        <w:trPr>
          <w:trHeight w:val="2240"/>
        </w:trPr>
        <w:tc>
          <w:tcPr>
            <w:tcW w:w="840" w:type="dxa"/>
            <w:gridSpan w:val="2"/>
            <w:tcBorders>
              <w:top w:val="nil"/>
              <w:left w:val="nil"/>
              <w:bottom w:val="nil"/>
              <w:right w:val="nil"/>
            </w:tcBorders>
            <w:shd w:val="clear" w:color="auto" w:fill="auto"/>
            <w:textDirection w:val="btLr"/>
            <w:vAlign w:val="center"/>
            <w:hideMark/>
          </w:tcPr>
          <w:p w14:paraId="0E77944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Age in years of current regimes</w:t>
            </w:r>
          </w:p>
        </w:tc>
        <w:tc>
          <w:tcPr>
            <w:tcW w:w="420" w:type="dxa"/>
            <w:tcBorders>
              <w:top w:val="nil"/>
              <w:left w:val="nil"/>
              <w:bottom w:val="nil"/>
              <w:right w:val="nil"/>
            </w:tcBorders>
            <w:shd w:val="clear" w:color="auto" w:fill="auto"/>
            <w:textDirection w:val="btLr"/>
            <w:vAlign w:val="center"/>
            <w:hideMark/>
          </w:tcPr>
          <w:p w14:paraId="1C7F279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UN voting affinity</w:t>
            </w:r>
          </w:p>
        </w:tc>
        <w:tc>
          <w:tcPr>
            <w:tcW w:w="420" w:type="dxa"/>
            <w:tcBorders>
              <w:top w:val="nil"/>
              <w:left w:val="nil"/>
              <w:bottom w:val="nil"/>
              <w:right w:val="nil"/>
            </w:tcBorders>
            <w:shd w:val="clear" w:color="auto" w:fill="auto"/>
            <w:textDirection w:val="btLr"/>
            <w:vAlign w:val="center"/>
            <w:hideMark/>
          </w:tcPr>
          <w:p w14:paraId="551F1C4E" w14:textId="77777777" w:rsidR="00AE1490" w:rsidRPr="00AE1490" w:rsidRDefault="00AE1490" w:rsidP="00AE1490">
            <w:pPr>
              <w:spacing w:after="0"/>
              <w:rPr>
                <w:rFonts w:eastAsia="Times New Roman" w:cs="Times New Roman"/>
                <w:lang w:eastAsia="en-US"/>
              </w:rPr>
            </w:pPr>
          </w:p>
        </w:tc>
        <w:tc>
          <w:tcPr>
            <w:tcW w:w="840" w:type="dxa"/>
            <w:gridSpan w:val="2"/>
            <w:tcBorders>
              <w:top w:val="nil"/>
              <w:left w:val="nil"/>
              <w:bottom w:val="nil"/>
              <w:right w:val="nil"/>
            </w:tcBorders>
            <w:shd w:val="clear" w:color="auto" w:fill="auto"/>
            <w:textDirection w:val="btLr"/>
            <w:vAlign w:val="center"/>
            <w:hideMark/>
          </w:tcPr>
          <w:p w14:paraId="258DC29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If recipient had any type of disaster</w:t>
            </w:r>
          </w:p>
        </w:tc>
        <w:tc>
          <w:tcPr>
            <w:tcW w:w="840" w:type="dxa"/>
            <w:gridSpan w:val="2"/>
            <w:tcBorders>
              <w:top w:val="nil"/>
              <w:left w:val="nil"/>
              <w:bottom w:val="nil"/>
              <w:right w:val="nil"/>
            </w:tcBorders>
            <w:shd w:val="clear" w:color="auto" w:fill="auto"/>
            <w:textDirection w:val="btLr"/>
            <w:vAlign w:val="center"/>
            <w:hideMark/>
          </w:tcPr>
          <w:p w14:paraId="4A6FD88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Population (in thousands)</w:t>
            </w:r>
          </w:p>
        </w:tc>
        <w:tc>
          <w:tcPr>
            <w:tcW w:w="840" w:type="dxa"/>
            <w:gridSpan w:val="2"/>
            <w:tcBorders>
              <w:top w:val="nil"/>
              <w:left w:val="nil"/>
              <w:bottom w:val="nil"/>
              <w:right w:val="nil"/>
            </w:tcBorders>
            <w:shd w:val="clear" w:color="auto" w:fill="auto"/>
            <w:textDirection w:val="btLr"/>
            <w:vAlign w:val="center"/>
            <w:hideMark/>
          </w:tcPr>
          <w:p w14:paraId="3FD3790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Distance between capitals (capitals, km)</w:t>
            </w:r>
          </w:p>
        </w:tc>
        <w:tc>
          <w:tcPr>
            <w:tcW w:w="420" w:type="dxa"/>
            <w:tcBorders>
              <w:top w:val="nil"/>
              <w:left w:val="nil"/>
              <w:bottom w:val="nil"/>
              <w:right w:val="nil"/>
            </w:tcBorders>
            <w:shd w:val="clear" w:color="auto" w:fill="auto"/>
            <w:textDirection w:val="btLr"/>
            <w:vAlign w:val="center"/>
            <w:hideMark/>
          </w:tcPr>
          <w:p w14:paraId="2ED7F42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Constant</w:t>
            </w:r>
          </w:p>
        </w:tc>
        <w:tc>
          <w:tcPr>
            <w:tcW w:w="420" w:type="dxa"/>
            <w:tcBorders>
              <w:top w:val="nil"/>
              <w:left w:val="nil"/>
              <w:bottom w:val="nil"/>
              <w:right w:val="nil"/>
            </w:tcBorders>
            <w:shd w:val="clear" w:color="auto" w:fill="auto"/>
            <w:textDirection w:val="btLr"/>
            <w:vAlign w:val="center"/>
            <w:hideMark/>
          </w:tcPr>
          <w:p w14:paraId="2DBDCBB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653C0B2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No. of observations</w:t>
            </w:r>
          </w:p>
        </w:tc>
        <w:tc>
          <w:tcPr>
            <w:tcW w:w="420" w:type="dxa"/>
            <w:tcBorders>
              <w:top w:val="nil"/>
              <w:left w:val="nil"/>
              <w:bottom w:val="nil"/>
              <w:right w:val="nil"/>
            </w:tcBorders>
            <w:shd w:val="clear" w:color="auto" w:fill="auto"/>
            <w:textDirection w:val="btLr"/>
            <w:vAlign w:val="center"/>
            <w:hideMark/>
          </w:tcPr>
          <w:p w14:paraId="4B83FC4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R2</w:t>
            </w:r>
          </w:p>
        </w:tc>
        <w:tc>
          <w:tcPr>
            <w:tcW w:w="380" w:type="dxa"/>
            <w:vMerge/>
            <w:tcBorders>
              <w:top w:val="nil"/>
              <w:left w:val="nil"/>
              <w:bottom w:val="nil"/>
              <w:right w:val="single" w:sz="4" w:space="0" w:color="auto"/>
            </w:tcBorders>
            <w:vAlign w:val="center"/>
            <w:hideMark/>
          </w:tcPr>
          <w:p w14:paraId="21722356" w14:textId="77777777" w:rsidR="00AE1490" w:rsidRPr="00AE1490" w:rsidRDefault="00AE1490" w:rsidP="00AE1490">
            <w:pPr>
              <w:spacing w:after="0"/>
              <w:rPr>
                <w:rFonts w:eastAsia="Times New Roman" w:cs="Times New Roman"/>
                <w:lang w:eastAsia="en-US"/>
              </w:rPr>
            </w:pPr>
          </w:p>
        </w:tc>
      </w:tr>
    </w:tbl>
    <w:p w14:paraId="72F0C9EE" w14:textId="247D8CD7" w:rsidR="00FE1BEE" w:rsidRDefault="00FE1BEE">
      <w:pPr>
        <w:rPr>
          <w:b/>
        </w:rPr>
      </w:pPr>
      <w:r>
        <w:rPr>
          <w:b/>
        </w:rPr>
        <w:br w:type="page"/>
      </w:r>
    </w:p>
    <w:tbl>
      <w:tblPr>
        <w:tblW w:w="6720" w:type="dxa"/>
        <w:tblInd w:w="93" w:type="dxa"/>
        <w:tblLook w:val="04A0" w:firstRow="1" w:lastRow="0" w:firstColumn="1" w:lastColumn="0" w:noHBand="0" w:noVBand="1"/>
      </w:tblPr>
      <w:tblGrid>
        <w:gridCol w:w="498"/>
        <w:gridCol w:w="498"/>
        <w:gridCol w:w="498"/>
        <w:gridCol w:w="498"/>
        <w:gridCol w:w="498"/>
        <w:gridCol w:w="498"/>
        <w:gridCol w:w="498"/>
        <w:gridCol w:w="498"/>
        <w:gridCol w:w="498"/>
        <w:gridCol w:w="498"/>
        <w:gridCol w:w="498"/>
        <w:gridCol w:w="498"/>
        <w:gridCol w:w="498"/>
        <w:gridCol w:w="498"/>
        <w:gridCol w:w="498"/>
        <w:gridCol w:w="498"/>
      </w:tblGrid>
      <w:tr w:rsidR="00AE1490" w:rsidRPr="00AE1490" w14:paraId="74808610" w14:textId="77777777" w:rsidTr="00AE1490">
        <w:trPr>
          <w:trHeight w:val="1120"/>
        </w:trPr>
        <w:tc>
          <w:tcPr>
            <w:tcW w:w="380" w:type="dxa"/>
            <w:vMerge w:val="restart"/>
            <w:tcBorders>
              <w:top w:val="nil"/>
              <w:left w:val="nil"/>
              <w:bottom w:val="nil"/>
              <w:right w:val="single" w:sz="4" w:space="0" w:color="auto"/>
            </w:tcBorders>
            <w:shd w:val="clear" w:color="auto" w:fill="auto"/>
            <w:noWrap/>
            <w:textDirection w:val="btLr"/>
            <w:vAlign w:val="bottom"/>
            <w:hideMark/>
          </w:tcPr>
          <w:p w14:paraId="619AE57A" w14:textId="77777777" w:rsidR="00AE1490" w:rsidRPr="00AE1490" w:rsidRDefault="00AE1490" w:rsidP="00AE1490">
            <w:pPr>
              <w:spacing w:after="0"/>
              <w:rPr>
                <w:rFonts w:eastAsia="Times New Roman" w:cs="Times New Roman"/>
                <w:color w:val="000000"/>
                <w:lang w:eastAsia="en-US"/>
              </w:rPr>
            </w:pPr>
            <w:r w:rsidRPr="00AE1490">
              <w:rPr>
                <w:rFonts w:eastAsia="Times New Roman" w:cs="Times New Roman"/>
                <w:color w:val="000000"/>
                <w:lang w:eastAsia="en-US"/>
              </w:rPr>
              <w:t>Table D.3. UN Voting Affinity, full sample</w:t>
            </w:r>
          </w:p>
        </w:tc>
        <w:tc>
          <w:tcPr>
            <w:tcW w:w="460" w:type="dxa"/>
            <w:tcBorders>
              <w:top w:val="nil"/>
              <w:left w:val="nil"/>
              <w:bottom w:val="nil"/>
              <w:right w:val="nil"/>
            </w:tcBorders>
            <w:shd w:val="clear" w:color="auto" w:fill="auto"/>
            <w:textDirection w:val="btLr"/>
            <w:vAlign w:val="center"/>
            <w:hideMark/>
          </w:tcPr>
          <w:p w14:paraId="0E62521D"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(8)</w:t>
            </w:r>
          </w:p>
        </w:tc>
        <w:tc>
          <w:tcPr>
            <w:tcW w:w="420" w:type="dxa"/>
            <w:tcBorders>
              <w:top w:val="nil"/>
              <w:left w:val="nil"/>
              <w:bottom w:val="nil"/>
              <w:right w:val="nil"/>
            </w:tcBorders>
            <w:shd w:val="clear" w:color="auto" w:fill="auto"/>
            <w:noWrap/>
            <w:textDirection w:val="btLr"/>
            <w:vAlign w:val="center"/>
            <w:hideMark/>
          </w:tcPr>
          <w:p w14:paraId="6CF4DF6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92A529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37AF80A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62E6CAE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4B01CF2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1F75454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0F0093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-0.024***</w:t>
            </w:r>
          </w:p>
        </w:tc>
        <w:tc>
          <w:tcPr>
            <w:tcW w:w="420" w:type="dxa"/>
            <w:tcBorders>
              <w:top w:val="nil"/>
              <w:left w:val="nil"/>
              <w:bottom w:val="nil"/>
              <w:right w:val="nil"/>
            </w:tcBorders>
            <w:shd w:val="clear" w:color="auto" w:fill="auto"/>
            <w:noWrap/>
            <w:textDirection w:val="btLr"/>
            <w:vAlign w:val="center"/>
            <w:hideMark/>
          </w:tcPr>
          <w:p w14:paraId="439E5AF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(0.008)</w:t>
            </w:r>
          </w:p>
        </w:tc>
        <w:tc>
          <w:tcPr>
            <w:tcW w:w="420" w:type="dxa"/>
            <w:tcBorders>
              <w:top w:val="nil"/>
              <w:left w:val="nil"/>
              <w:bottom w:val="nil"/>
              <w:right w:val="nil"/>
            </w:tcBorders>
            <w:shd w:val="clear" w:color="auto" w:fill="auto"/>
            <w:noWrap/>
            <w:textDirection w:val="btLr"/>
            <w:vAlign w:val="center"/>
            <w:hideMark/>
          </w:tcPr>
          <w:p w14:paraId="2D13D95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0.004</w:t>
            </w:r>
          </w:p>
        </w:tc>
        <w:tc>
          <w:tcPr>
            <w:tcW w:w="420" w:type="dxa"/>
            <w:tcBorders>
              <w:top w:val="nil"/>
              <w:left w:val="nil"/>
              <w:bottom w:val="nil"/>
              <w:right w:val="nil"/>
            </w:tcBorders>
            <w:shd w:val="clear" w:color="auto" w:fill="auto"/>
            <w:noWrap/>
            <w:textDirection w:val="btLr"/>
            <w:vAlign w:val="center"/>
            <w:hideMark/>
          </w:tcPr>
          <w:p w14:paraId="6D85E03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(0.021)</w:t>
            </w:r>
          </w:p>
        </w:tc>
        <w:tc>
          <w:tcPr>
            <w:tcW w:w="420" w:type="dxa"/>
            <w:tcBorders>
              <w:top w:val="nil"/>
              <w:left w:val="nil"/>
              <w:bottom w:val="nil"/>
              <w:right w:val="nil"/>
            </w:tcBorders>
            <w:shd w:val="clear" w:color="auto" w:fill="auto"/>
            <w:noWrap/>
            <w:textDirection w:val="btLr"/>
            <w:vAlign w:val="center"/>
            <w:hideMark/>
          </w:tcPr>
          <w:p w14:paraId="43F81A6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201A2C6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(0.009)</w:t>
            </w:r>
          </w:p>
        </w:tc>
        <w:tc>
          <w:tcPr>
            <w:tcW w:w="420" w:type="dxa"/>
            <w:tcBorders>
              <w:top w:val="nil"/>
              <w:left w:val="nil"/>
              <w:bottom w:val="nil"/>
              <w:right w:val="nil"/>
            </w:tcBorders>
            <w:shd w:val="clear" w:color="auto" w:fill="auto"/>
            <w:noWrap/>
            <w:textDirection w:val="btLr"/>
            <w:vAlign w:val="center"/>
            <w:hideMark/>
          </w:tcPr>
          <w:p w14:paraId="2726215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0.004***</w:t>
            </w:r>
          </w:p>
        </w:tc>
        <w:tc>
          <w:tcPr>
            <w:tcW w:w="420" w:type="dxa"/>
            <w:tcBorders>
              <w:top w:val="nil"/>
              <w:left w:val="nil"/>
              <w:bottom w:val="nil"/>
              <w:right w:val="nil"/>
            </w:tcBorders>
            <w:shd w:val="clear" w:color="auto" w:fill="auto"/>
            <w:noWrap/>
            <w:textDirection w:val="btLr"/>
            <w:vAlign w:val="center"/>
            <w:hideMark/>
          </w:tcPr>
          <w:p w14:paraId="7CDAE49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r>
      <w:tr w:rsidR="00AE1490" w:rsidRPr="00AE1490" w14:paraId="4A486A5D" w14:textId="77777777" w:rsidTr="00AE1490">
        <w:trPr>
          <w:trHeight w:val="1120"/>
        </w:trPr>
        <w:tc>
          <w:tcPr>
            <w:tcW w:w="380" w:type="dxa"/>
            <w:vMerge/>
            <w:tcBorders>
              <w:top w:val="nil"/>
              <w:left w:val="nil"/>
              <w:bottom w:val="nil"/>
              <w:right w:val="single" w:sz="4" w:space="0" w:color="auto"/>
            </w:tcBorders>
            <w:vAlign w:val="center"/>
            <w:hideMark/>
          </w:tcPr>
          <w:p w14:paraId="01A414EB"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0EC32DA7"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(7)</w:t>
            </w:r>
          </w:p>
        </w:tc>
        <w:tc>
          <w:tcPr>
            <w:tcW w:w="420" w:type="dxa"/>
            <w:tcBorders>
              <w:top w:val="nil"/>
              <w:left w:val="nil"/>
              <w:bottom w:val="nil"/>
              <w:right w:val="nil"/>
            </w:tcBorders>
            <w:shd w:val="clear" w:color="auto" w:fill="auto"/>
            <w:noWrap/>
            <w:textDirection w:val="btLr"/>
            <w:vAlign w:val="center"/>
            <w:hideMark/>
          </w:tcPr>
          <w:p w14:paraId="70BB0E9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532AF78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3265E6D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A5634F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83B375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2C7846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3B2F8EA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-0.024***</w:t>
            </w:r>
          </w:p>
        </w:tc>
        <w:tc>
          <w:tcPr>
            <w:tcW w:w="420" w:type="dxa"/>
            <w:tcBorders>
              <w:top w:val="nil"/>
              <w:left w:val="nil"/>
              <w:bottom w:val="nil"/>
              <w:right w:val="nil"/>
            </w:tcBorders>
            <w:shd w:val="clear" w:color="auto" w:fill="auto"/>
            <w:noWrap/>
            <w:textDirection w:val="btLr"/>
            <w:vAlign w:val="center"/>
            <w:hideMark/>
          </w:tcPr>
          <w:p w14:paraId="2A7F923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(0.008)</w:t>
            </w:r>
          </w:p>
        </w:tc>
        <w:tc>
          <w:tcPr>
            <w:tcW w:w="420" w:type="dxa"/>
            <w:tcBorders>
              <w:top w:val="nil"/>
              <w:left w:val="nil"/>
              <w:bottom w:val="nil"/>
              <w:right w:val="nil"/>
            </w:tcBorders>
            <w:shd w:val="clear" w:color="auto" w:fill="auto"/>
            <w:noWrap/>
            <w:textDirection w:val="btLr"/>
            <w:vAlign w:val="center"/>
            <w:hideMark/>
          </w:tcPr>
          <w:p w14:paraId="7B18ABF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0.009</w:t>
            </w:r>
          </w:p>
        </w:tc>
        <w:tc>
          <w:tcPr>
            <w:tcW w:w="420" w:type="dxa"/>
            <w:tcBorders>
              <w:top w:val="nil"/>
              <w:left w:val="nil"/>
              <w:bottom w:val="nil"/>
              <w:right w:val="nil"/>
            </w:tcBorders>
            <w:shd w:val="clear" w:color="auto" w:fill="auto"/>
            <w:noWrap/>
            <w:textDirection w:val="btLr"/>
            <w:vAlign w:val="center"/>
            <w:hideMark/>
          </w:tcPr>
          <w:p w14:paraId="7C89B26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(0.020)</w:t>
            </w:r>
          </w:p>
        </w:tc>
        <w:tc>
          <w:tcPr>
            <w:tcW w:w="420" w:type="dxa"/>
            <w:tcBorders>
              <w:top w:val="nil"/>
              <w:left w:val="nil"/>
              <w:bottom w:val="nil"/>
              <w:right w:val="nil"/>
            </w:tcBorders>
            <w:shd w:val="clear" w:color="auto" w:fill="auto"/>
            <w:noWrap/>
            <w:textDirection w:val="btLr"/>
            <w:vAlign w:val="center"/>
            <w:hideMark/>
          </w:tcPr>
          <w:p w14:paraId="498D7ED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544705B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(0.009)</w:t>
            </w:r>
          </w:p>
        </w:tc>
        <w:tc>
          <w:tcPr>
            <w:tcW w:w="420" w:type="dxa"/>
            <w:tcBorders>
              <w:top w:val="nil"/>
              <w:left w:val="nil"/>
              <w:bottom w:val="nil"/>
              <w:right w:val="nil"/>
            </w:tcBorders>
            <w:shd w:val="clear" w:color="auto" w:fill="auto"/>
            <w:noWrap/>
            <w:textDirection w:val="btLr"/>
            <w:vAlign w:val="center"/>
            <w:hideMark/>
          </w:tcPr>
          <w:p w14:paraId="43B25B7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0.004***</w:t>
            </w:r>
          </w:p>
        </w:tc>
        <w:tc>
          <w:tcPr>
            <w:tcW w:w="420" w:type="dxa"/>
            <w:tcBorders>
              <w:top w:val="nil"/>
              <w:left w:val="nil"/>
              <w:bottom w:val="nil"/>
              <w:right w:val="nil"/>
            </w:tcBorders>
            <w:shd w:val="clear" w:color="auto" w:fill="auto"/>
            <w:noWrap/>
            <w:textDirection w:val="btLr"/>
            <w:vAlign w:val="center"/>
            <w:hideMark/>
          </w:tcPr>
          <w:p w14:paraId="2C6C1AA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r>
      <w:tr w:rsidR="00AE1490" w:rsidRPr="00AE1490" w14:paraId="71D89C02" w14:textId="77777777" w:rsidTr="00AE1490">
        <w:trPr>
          <w:trHeight w:val="1060"/>
        </w:trPr>
        <w:tc>
          <w:tcPr>
            <w:tcW w:w="380" w:type="dxa"/>
            <w:vMerge/>
            <w:tcBorders>
              <w:top w:val="nil"/>
              <w:left w:val="nil"/>
              <w:bottom w:val="nil"/>
              <w:right w:val="single" w:sz="4" w:space="0" w:color="auto"/>
            </w:tcBorders>
            <w:vAlign w:val="center"/>
            <w:hideMark/>
          </w:tcPr>
          <w:p w14:paraId="572553DD"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4E0F3C92"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(6)</w:t>
            </w:r>
          </w:p>
        </w:tc>
        <w:tc>
          <w:tcPr>
            <w:tcW w:w="420" w:type="dxa"/>
            <w:tcBorders>
              <w:top w:val="nil"/>
              <w:left w:val="nil"/>
              <w:bottom w:val="nil"/>
              <w:right w:val="nil"/>
            </w:tcBorders>
            <w:shd w:val="clear" w:color="auto" w:fill="auto"/>
            <w:noWrap/>
            <w:textDirection w:val="btLr"/>
            <w:vAlign w:val="center"/>
            <w:hideMark/>
          </w:tcPr>
          <w:p w14:paraId="39938D7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6CA72C0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6450F6E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111D37E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8F6DBB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15878F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5A25620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72DF57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92EB10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F4AD288"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47B759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F5ACE9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9B43B3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24F9373" w14:textId="77777777" w:rsidR="00AE1490" w:rsidRPr="00AE1490" w:rsidRDefault="00AE1490" w:rsidP="00AE1490">
            <w:pPr>
              <w:spacing w:after="0"/>
              <w:rPr>
                <w:rFonts w:eastAsia="Times New Roman" w:cs="Times New Roman"/>
                <w:lang w:eastAsia="en-US"/>
              </w:rPr>
            </w:pPr>
          </w:p>
        </w:tc>
      </w:tr>
      <w:tr w:rsidR="00AE1490" w:rsidRPr="00AE1490" w14:paraId="0AA4BBC3" w14:textId="77777777" w:rsidTr="00AE1490">
        <w:trPr>
          <w:trHeight w:val="1060"/>
        </w:trPr>
        <w:tc>
          <w:tcPr>
            <w:tcW w:w="380" w:type="dxa"/>
            <w:vMerge/>
            <w:tcBorders>
              <w:top w:val="nil"/>
              <w:left w:val="nil"/>
              <w:bottom w:val="nil"/>
              <w:right w:val="single" w:sz="4" w:space="0" w:color="auto"/>
            </w:tcBorders>
            <w:vAlign w:val="center"/>
            <w:hideMark/>
          </w:tcPr>
          <w:p w14:paraId="1DE5F509"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19F61AEF"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(5)</w:t>
            </w:r>
          </w:p>
        </w:tc>
        <w:tc>
          <w:tcPr>
            <w:tcW w:w="420" w:type="dxa"/>
            <w:tcBorders>
              <w:top w:val="nil"/>
              <w:left w:val="nil"/>
              <w:bottom w:val="nil"/>
              <w:right w:val="nil"/>
            </w:tcBorders>
            <w:shd w:val="clear" w:color="auto" w:fill="auto"/>
            <w:noWrap/>
            <w:textDirection w:val="btLr"/>
            <w:vAlign w:val="center"/>
            <w:hideMark/>
          </w:tcPr>
          <w:p w14:paraId="1174134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2D15279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1F9CDC0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FB1719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55EF25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684AB1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AA4218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5A78DF8"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7FE06B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7534C2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19C5EB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6E95177"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FE71FA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0B6AA01" w14:textId="77777777" w:rsidR="00AE1490" w:rsidRPr="00AE1490" w:rsidRDefault="00AE1490" w:rsidP="00AE1490">
            <w:pPr>
              <w:spacing w:after="0"/>
              <w:rPr>
                <w:rFonts w:eastAsia="Times New Roman" w:cs="Times New Roman"/>
                <w:lang w:eastAsia="en-US"/>
              </w:rPr>
            </w:pPr>
          </w:p>
        </w:tc>
      </w:tr>
      <w:tr w:rsidR="00AE1490" w:rsidRPr="00AE1490" w14:paraId="5515E2BE" w14:textId="77777777" w:rsidTr="00AE1490">
        <w:trPr>
          <w:trHeight w:val="1120"/>
        </w:trPr>
        <w:tc>
          <w:tcPr>
            <w:tcW w:w="380" w:type="dxa"/>
            <w:vMerge/>
            <w:tcBorders>
              <w:top w:val="nil"/>
              <w:left w:val="nil"/>
              <w:bottom w:val="nil"/>
              <w:right w:val="single" w:sz="4" w:space="0" w:color="auto"/>
            </w:tcBorders>
            <w:vAlign w:val="center"/>
            <w:hideMark/>
          </w:tcPr>
          <w:p w14:paraId="6CC3E1AF"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31B5D91B"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(4)</w:t>
            </w:r>
          </w:p>
        </w:tc>
        <w:tc>
          <w:tcPr>
            <w:tcW w:w="420" w:type="dxa"/>
            <w:tcBorders>
              <w:top w:val="nil"/>
              <w:left w:val="nil"/>
              <w:bottom w:val="nil"/>
              <w:right w:val="nil"/>
            </w:tcBorders>
            <w:shd w:val="clear" w:color="auto" w:fill="auto"/>
            <w:noWrap/>
            <w:textDirection w:val="btLr"/>
            <w:vAlign w:val="center"/>
            <w:hideMark/>
          </w:tcPr>
          <w:p w14:paraId="2856B54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1744D4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05C5DF1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30C023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EBEE7A7"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CC9D76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65A175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-0.026***</w:t>
            </w:r>
          </w:p>
        </w:tc>
        <w:tc>
          <w:tcPr>
            <w:tcW w:w="420" w:type="dxa"/>
            <w:tcBorders>
              <w:top w:val="nil"/>
              <w:left w:val="nil"/>
              <w:bottom w:val="nil"/>
              <w:right w:val="nil"/>
            </w:tcBorders>
            <w:shd w:val="clear" w:color="auto" w:fill="auto"/>
            <w:noWrap/>
            <w:textDirection w:val="btLr"/>
            <w:vAlign w:val="center"/>
            <w:hideMark/>
          </w:tcPr>
          <w:p w14:paraId="393E148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(0.008)</w:t>
            </w:r>
          </w:p>
        </w:tc>
        <w:tc>
          <w:tcPr>
            <w:tcW w:w="420" w:type="dxa"/>
            <w:tcBorders>
              <w:top w:val="nil"/>
              <w:left w:val="nil"/>
              <w:bottom w:val="nil"/>
              <w:right w:val="nil"/>
            </w:tcBorders>
            <w:shd w:val="clear" w:color="auto" w:fill="auto"/>
            <w:noWrap/>
            <w:textDirection w:val="btLr"/>
            <w:vAlign w:val="center"/>
            <w:hideMark/>
          </w:tcPr>
          <w:p w14:paraId="1DA7956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0.026</w:t>
            </w:r>
          </w:p>
        </w:tc>
        <w:tc>
          <w:tcPr>
            <w:tcW w:w="420" w:type="dxa"/>
            <w:tcBorders>
              <w:top w:val="nil"/>
              <w:left w:val="nil"/>
              <w:bottom w:val="nil"/>
              <w:right w:val="nil"/>
            </w:tcBorders>
            <w:shd w:val="clear" w:color="auto" w:fill="auto"/>
            <w:noWrap/>
            <w:textDirection w:val="btLr"/>
            <w:vAlign w:val="center"/>
            <w:hideMark/>
          </w:tcPr>
          <w:p w14:paraId="411A858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(0.018)</w:t>
            </w:r>
          </w:p>
        </w:tc>
        <w:tc>
          <w:tcPr>
            <w:tcW w:w="420" w:type="dxa"/>
            <w:tcBorders>
              <w:top w:val="nil"/>
              <w:left w:val="nil"/>
              <w:bottom w:val="nil"/>
              <w:right w:val="nil"/>
            </w:tcBorders>
            <w:shd w:val="clear" w:color="auto" w:fill="auto"/>
            <w:noWrap/>
            <w:textDirection w:val="btLr"/>
            <w:vAlign w:val="center"/>
            <w:hideMark/>
          </w:tcPr>
          <w:p w14:paraId="3180627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0.002</w:t>
            </w:r>
          </w:p>
        </w:tc>
        <w:tc>
          <w:tcPr>
            <w:tcW w:w="420" w:type="dxa"/>
            <w:tcBorders>
              <w:top w:val="nil"/>
              <w:left w:val="nil"/>
              <w:bottom w:val="nil"/>
              <w:right w:val="nil"/>
            </w:tcBorders>
            <w:shd w:val="clear" w:color="auto" w:fill="auto"/>
            <w:noWrap/>
            <w:textDirection w:val="btLr"/>
            <w:vAlign w:val="center"/>
            <w:hideMark/>
          </w:tcPr>
          <w:p w14:paraId="254EE08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(0.009)</w:t>
            </w:r>
          </w:p>
        </w:tc>
        <w:tc>
          <w:tcPr>
            <w:tcW w:w="420" w:type="dxa"/>
            <w:tcBorders>
              <w:top w:val="nil"/>
              <w:left w:val="nil"/>
              <w:bottom w:val="nil"/>
              <w:right w:val="nil"/>
            </w:tcBorders>
            <w:shd w:val="clear" w:color="auto" w:fill="auto"/>
            <w:noWrap/>
            <w:textDirection w:val="btLr"/>
            <w:vAlign w:val="center"/>
            <w:hideMark/>
          </w:tcPr>
          <w:p w14:paraId="5E0763D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0.004***</w:t>
            </w:r>
          </w:p>
        </w:tc>
        <w:tc>
          <w:tcPr>
            <w:tcW w:w="420" w:type="dxa"/>
            <w:tcBorders>
              <w:top w:val="nil"/>
              <w:left w:val="nil"/>
              <w:bottom w:val="nil"/>
              <w:right w:val="nil"/>
            </w:tcBorders>
            <w:shd w:val="clear" w:color="auto" w:fill="auto"/>
            <w:noWrap/>
            <w:textDirection w:val="btLr"/>
            <w:vAlign w:val="center"/>
            <w:hideMark/>
          </w:tcPr>
          <w:p w14:paraId="5C8E2B0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r>
      <w:tr w:rsidR="00AE1490" w:rsidRPr="00AE1490" w14:paraId="6D8233E3" w14:textId="77777777" w:rsidTr="00AE1490">
        <w:trPr>
          <w:trHeight w:val="1060"/>
        </w:trPr>
        <w:tc>
          <w:tcPr>
            <w:tcW w:w="380" w:type="dxa"/>
            <w:vMerge/>
            <w:tcBorders>
              <w:top w:val="nil"/>
              <w:left w:val="nil"/>
              <w:bottom w:val="nil"/>
              <w:right w:val="single" w:sz="4" w:space="0" w:color="auto"/>
            </w:tcBorders>
            <w:vAlign w:val="center"/>
            <w:hideMark/>
          </w:tcPr>
          <w:p w14:paraId="43A87122"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30090496"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(3)</w:t>
            </w:r>
          </w:p>
        </w:tc>
        <w:tc>
          <w:tcPr>
            <w:tcW w:w="420" w:type="dxa"/>
            <w:tcBorders>
              <w:top w:val="nil"/>
              <w:left w:val="nil"/>
              <w:bottom w:val="nil"/>
              <w:right w:val="nil"/>
            </w:tcBorders>
            <w:shd w:val="clear" w:color="auto" w:fill="auto"/>
            <w:noWrap/>
            <w:textDirection w:val="btLr"/>
            <w:vAlign w:val="center"/>
            <w:hideMark/>
          </w:tcPr>
          <w:p w14:paraId="6501C32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FA8DF7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5C920E2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6A35EF4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322902A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6A56CF2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1F55DDE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C2E3BA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4B489D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D18816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0282747"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F779BB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A9EB6C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5D668E0" w14:textId="77777777" w:rsidR="00AE1490" w:rsidRPr="00AE1490" w:rsidRDefault="00AE1490" w:rsidP="00AE1490">
            <w:pPr>
              <w:spacing w:after="0"/>
              <w:rPr>
                <w:rFonts w:eastAsia="Times New Roman" w:cs="Times New Roman"/>
                <w:lang w:eastAsia="en-US"/>
              </w:rPr>
            </w:pPr>
          </w:p>
        </w:tc>
      </w:tr>
      <w:tr w:rsidR="00AE1490" w:rsidRPr="00AE1490" w14:paraId="349F8030" w14:textId="77777777" w:rsidTr="00AE1490">
        <w:trPr>
          <w:trHeight w:val="1060"/>
        </w:trPr>
        <w:tc>
          <w:tcPr>
            <w:tcW w:w="380" w:type="dxa"/>
            <w:vMerge/>
            <w:tcBorders>
              <w:top w:val="nil"/>
              <w:left w:val="nil"/>
              <w:bottom w:val="nil"/>
              <w:right w:val="single" w:sz="4" w:space="0" w:color="auto"/>
            </w:tcBorders>
            <w:vAlign w:val="center"/>
            <w:hideMark/>
          </w:tcPr>
          <w:p w14:paraId="370D757D"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1A611727"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(2)</w:t>
            </w:r>
          </w:p>
        </w:tc>
        <w:tc>
          <w:tcPr>
            <w:tcW w:w="420" w:type="dxa"/>
            <w:tcBorders>
              <w:top w:val="nil"/>
              <w:left w:val="nil"/>
              <w:bottom w:val="nil"/>
              <w:right w:val="nil"/>
            </w:tcBorders>
            <w:shd w:val="clear" w:color="auto" w:fill="auto"/>
            <w:noWrap/>
            <w:textDirection w:val="btLr"/>
            <w:vAlign w:val="center"/>
            <w:hideMark/>
          </w:tcPr>
          <w:p w14:paraId="19C1E55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3E893BD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31C86D4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115516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59DFB12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59B367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E869B7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D075C2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E6827C7"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CCAD9D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D13805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03074A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DF7469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25AE8BD" w14:textId="77777777" w:rsidR="00AE1490" w:rsidRPr="00AE1490" w:rsidRDefault="00AE1490" w:rsidP="00AE1490">
            <w:pPr>
              <w:spacing w:after="0"/>
              <w:rPr>
                <w:rFonts w:eastAsia="Times New Roman" w:cs="Times New Roman"/>
                <w:lang w:eastAsia="en-US"/>
              </w:rPr>
            </w:pPr>
          </w:p>
        </w:tc>
      </w:tr>
      <w:tr w:rsidR="00AE1490" w:rsidRPr="00AE1490" w14:paraId="424ACB09" w14:textId="77777777" w:rsidTr="00AE1490">
        <w:trPr>
          <w:trHeight w:val="1060"/>
        </w:trPr>
        <w:tc>
          <w:tcPr>
            <w:tcW w:w="380" w:type="dxa"/>
            <w:vMerge/>
            <w:tcBorders>
              <w:top w:val="nil"/>
              <w:left w:val="nil"/>
              <w:bottom w:val="nil"/>
              <w:right w:val="single" w:sz="4" w:space="0" w:color="auto"/>
            </w:tcBorders>
            <w:vAlign w:val="center"/>
            <w:hideMark/>
          </w:tcPr>
          <w:p w14:paraId="66058FFF"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7E720C50"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(1)</w:t>
            </w:r>
          </w:p>
        </w:tc>
        <w:tc>
          <w:tcPr>
            <w:tcW w:w="420" w:type="dxa"/>
            <w:tcBorders>
              <w:top w:val="nil"/>
              <w:left w:val="nil"/>
              <w:bottom w:val="nil"/>
              <w:right w:val="nil"/>
            </w:tcBorders>
            <w:shd w:val="clear" w:color="auto" w:fill="auto"/>
            <w:noWrap/>
            <w:textDirection w:val="btLr"/>
            <w:vAlign w:val="center"/>
            <w:hideMark/>
          </w:tcPr>
          <w:p w14:paraId="784F61B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186528C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7BD994F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53560B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BCC05F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D0D215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BC47C7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BE8B3A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942061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4F1293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2C773B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8AFA8B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5E8883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4BF8480" w14:textId="77777777" w:rsidR="00AE1490" w:rsidRPr="00AE1490" w:rsidRDefault="00AE1490" w:rsidP="00AE1490">
            <w:pPr>
              <w:spacing w:after="0"/>
              <w:rPr>
                <w:rFonts w:eastAsia="Times New Roman" w:cs="Times New Roman"/>
                <w:lang w:eastAsia="en-US"/>
              </w:rPr>
            </w:pPr>
          </w:p>
        </w:tc>
      </w:tr>
      <w:tr w:rsidR="00AE1490" w:rsidRPr="00AE1490" w14:paraId="4B3A3CEF" w14:textId="77777777" w:rsidTr="00AE1490">
        <w:trPr>
          <w:trHeight w:val="2080"/>
        </w:trPr>
        <w:tc>
          <w:tcPr>
            <w:tcW w:w="380" w:type="dxa"/>
            <w:vMerge/>
            <w:tcBorders>
              <w:top w:val="nil"/>
              <w:left w:val="nil"/>
              <w:bottom w:val="nil"/>
              <w:right w:val="single" w:sz="4" w:space="0" w:color="auto"/>
            </w:tcBorders>
            <w:vAlign w:val="center"/>
            <w:hideMark/>
          </w:tcPr>
          <w:p w14:paraId="4A5BFC60"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45EDBC2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4C56FBE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Frenchness</w:t>
            </w:r>
          </w:p>
        </w:tc>
        <w:tc>
          <w:tcPr>
            <w:tcW w:w="420" w:type="dxa"/>
            <w:tcBorders>
              <w:top w:val="nil"/>
              <w:left w:val="nil"/>
              <w:bottom w:val="nil"/>
              <w:right w:val="nil"/>
            </w:tcBorders>
            <w:shd w:val="clear" w:color="auto" w:fill="auto"/>
            <w:textDirection w:val="btLr"/>
            <w:vAlign w:val="center"/>
            <w:hideMark/>
          </w:tcPr>
          <w:p w14:paraId="4009C1ED" w14:textId="77777777" w:rsidR="00AE1490" w:rsidRPr="00AE1490" w:rsidRDefault="00AE1490" w:rsidP="00AE1490">
            <w:pPr>
              <w:spacing w:after="0"/>
              <w:rPr>
                <w:rFonts w:eastAsia="Times New Roman" w:cs="Times New Roman"/>
                <w:lang w:eastAsia="en-US"/>
              </w:rPr>
            </w:pPr>
          </w:p>
        </w:tc>
        <w:tc>
          <w:tcPr>
            <w:tcW w:w="840" w:type="dxa"/>
            <w:gridSpan w:val="2"/>
            <w:tcBorders>
              <w:top w:val="nil"/>
              <w:left w:val="nil"/>
              <w:bottom w:val="nil"/>
              <w:right w:val="nil"/>
            </w:tcBorders>
            <w:shd w:val="clear" w:color="auto" w:fill="auto"/>
            <w:textDirection w:val="btLr"/>
            <w:vAlign w:val="bottom"/>
            <w:hideMark/>
          </w:tcPr>
          <w:p w14:paraId="51617D1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Real GDP (ln)</w:t>
            </w:r>
          </w:p>
        </w:tc>
        <w:tc>
          <w:tcPr>
            <w:tcW w:w="420" w:type="dxa"/>
            <w:tcBorders>
              <w:top w:val="nil"/>
              <w:left w:val="nil"/>
              <w:bottom w:val="nil"/>
              <w:right w:val="nil"/>
            </w:tcBorders>
            <w:shd w:val="clear" w:color="auto" w:fill="auto"/>
            <w:textDirection w:val="btLr"/>
            <w:vAlign w:val="center"/>
            <w:hideMark/>
          </w:tcPr>
          <w:p w14:paraId="2409771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Trade Flows</w:t>
            </w:r>
          </w:p>
        </w:tc>
        <w:tc>
          <w:tcPr>
            <w:tcW w:w="420" w:type="dxa"/>
            <w:tcBorders>
              <w:top w:val="nil"/>
              <w:left w:val="nil"/>
              <w:bottom w:val="nil"/>
              <w:right w:val="nil"/>
            </w:tcBorders>
            <w:shd w:val="clear" w:color="auto" w:fill="auto"/>
            <w:textDirection w:val="btLr"/>
            <w:vAlign w:val="center"/>
            <w:hideMark/>
          </w:tcPr>
          <w:p w14:paraId="1A2B422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0895382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Recipient Civil War</w:t>
            </w:r>
          </w:p>
        </w:tc>
        <w:tc>
          <w:tcPr>
            <w:tcW w:w="420" w:type="dxa"/>
            <w:tcBorders>
              <w:top w:val="nil"/>
              <w:left w:val="nil"/>
              <w:bottom w:val="nil"/>
              <w:right w:val="nil"/>
            </w:tcBorders>
            <w:shd w:val="clear" w:color="auto" w:fill="auto"/>
            <w:textDirection w:val="btLr"/>
            <w:vAlign w:val="center"/>
            <w:hideMark/>
          </w:tcPr>
          <w:p w14:paraId="5F98A256" w14:textId="77777777" w:rsidR="00AE1490" w:rsidRPr="00AE1490" w:rsidRDefault="00AE1490" w:rsidP="00AE1490">
            <w:pPr>
              <w:spacing w:after="0"/>
              <w:rPr>
                <w:rFonts w:eastAsia="Times New Roman" w:cs="Times New Roman"/>
                <w:lang w:eastAsia="en-US"/>
              </w:rPr>
            </w:pPr>
          </w:p>
        </w:tc>
        <w:tc>
          <w:tcPr>
            <w:tcW w:w="840" w:type="dxa"/>
            <w:gridSpan w:val="2"/>
            <w:tcBorders>
              <w:top w:val="nil"/>
              <w:left w:val="nil"/>
              <w:bottom w:val="nil"/>
              <w:right w:val="nil"/>
            </w:tcBorders>
            <w:shd w:val="clear" w:color="auto" w:fill="auto"/>
            <w:textDirection w:val="btLr"/>
            <w:vAlign w:val="bottom"/>
            <w:hideMark/>
          </w:tcPr>
          <w:p w14:paraId="7D98997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Recipient External War</w:t>
            </w:r>
          </w:p>
        </w:tc>
        <w:tc>
          <w:tcPr>
            <w:tcW w:w="420" w:type="dxa"/>
            <w:tcBorders>
              <w:top w:val="nil"/>
              <w:left w:val="nil"/>
              <w:bottom w:val="nil"/>
              <w:right w:val="nil"/>
            </w:tcBorders>
            <w:shd w:val="clear" w:color="auto" w:fill="auto"/>
            <w:textDirection w:val="btLr"/>
            <w:vAlign w:val="center"/>
            <w:hideMark/>
          </w:tcPr>
          <w:p w14:paraId="6244CE2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Democracy (dummy)</w:t>
            </w:r>
          </w:p>
        </w:tc>
        <w:tc>
          <w:tcPr>
            <w:tcW w:w="420" w:type="dxa"/>
            <w:tcBorders>
              <w:top w:val="nil"/>
              <w:left w:val="nil"/>
              <w:bottom w:val="nil"/>
              <w:right w:val="nil"/>
            </w:tcBorders>
            <w:shd w:val="clear" w:color="auto" w:fill="auto"/>
            <w:textDirection w:val="btLr"/>
            <w:vAlign w:val="center"/>
            <w:hideMark/>
          </w:tcPr>
          <w:p w14:paraId="04A5EA0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6C0F5D3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Polity IV</w:t>
            </w:r>
          </w:p>
        </w:tc>
        <w:tc>
          <w:tcPr>
            <w:tcW w:w="420" w:type="dxa"/>
            <w:tcBorders>
              <w:top w:val="nil"/>
              <w:left w:val="nil"/>
              <w:bottom w:val="nil"/>
              <w:right w:val="nil"/>
            </w:tcBorders>
            <w:shd w:val="clear" w:color="auto" w:fill="auto"/>
            <w:textDirection w:val="btLr"/>
            <w:vAlign w:val="center"/>
            <w:hideMark/>
          </w:tcPr>
          <w:p w14:paraId="2478D96F" w14:textId="77777777" w:rsidR="00AE1490" w:rsidRPr="00AE1490" w:rsidRDefault="00AE1490" w:rsidP="00AE1490">
            <w:pPr>
              <w:spacing w:after="0"/>
              <w:rPr>
                <w:rFonts w:eastAsia="Times New Roman" w:cs="Times New Roman"/>
                <w:lang w:eastAsia="en-US"/>
              </w:rPr>
            </w:pPr>
          </w:p>
        </w:tc>
      </w:tr>
    </w:tbl>
    <w:p w14:paraId="754C4954" w14:textId="40DB0AAC" w:rsidR="00AE1490" w:rsidRDefault="00AE1490">
      <w:pPr>
        <w:rPr>
          <w:b/>
        </w:rPr>
      </w:pPr>
    </w:p>
    <w:p w14:paraId="2E35525C" w14:textId="77777777" w:rsidR="00AE1490" w:rsidRDefault="00AE1490">
      <w:pPr>
        <w:rPr>
          <w:b/>
        </w:rPr>
      </w:pPr>
      <w:r>
        <w:rPr>
          <w:b/>
        </w:rPr>
        <w:br w:type="page"/>
      </w:r>
    </w:p>
    <w:tbl>
      <w:tblPr>
        <w:tblW w:w="5420" w:type="dxa"/>
        <w:tblInd w:w="93" w:type="dxa"/>
        <w:tblLook w:val="04A0" w:firstRow="1" w:lastRow="0" w:firstColumn="1" w:lastColumn="0" w:noHBand="0" w:noVBand="1"/>
      </w:tblPr>
      <w:tblGrid>
        <w:gridCol w:w="498"/>
        <w:gridCol w:w="498"/>
        <w:gridCol w:w="498"/>
        <w:gridCol w:w="498"/>
        <w:gridCol w:w="498"/>
        <w:gridCol w:w="498"/>
        <w:gridCol w:w="498"/>
        <w:gridCol w:w="498"/>
        <w:gridCol w:w="498"/>
        <w:gridCol w:w="498"/>
        <w:gridCol w:w="498"/>
        <w:gridCol w:w="498"/>
        <w:gridCol w:w="498"/>
      </w:tblGrid>
      <w:tr w:rsidR="00AE1490" w:rsidRPr="00AE1490" w14:paraId="26243182" w14:textId="77777777" w:rsidTr="00AE1490">
        <w:trPr>
          <w:trHeight w:val="1120"/>
        </w:trPr>
        <w:tc>
          <w:tcPr>
            <w:tcW w:w="420" w:type="dxa"/>
            <w:tcBorders>
              <w:top w:val="nil"/>
              <w:left w:val="nil"/>
              <w:bottom w:val="nil"/>
              <w:right w:val="nil"/>
            </w:tcBorders>
            <w:shd w:val="clear" w:color="auto" w:fill="auto"/>
            <w:noWrap/>
            <w:textDirection w:val="btLr"/>
            <w:vAlign w:val="center"/>
            <w:hideMark/>
          </w:tcPr>
          <w:p w14:paraId="5A970F29"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702D7B2C"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1BDB3AAD"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0.014***</w:t>
            </w:r>
          </w:p>
        </w:tc>
        <w:tc>
          <w:tcPr>
            <w:tcW w:w="420" w:type="dxa"/>
            <w:tcBorders>
              <w:top w:val="nil"/>
              <w:left w:val="nil"/>
              <w:bottom w:val="nil"/>
              <w:right w:val="nil"/>
            </w:tcBorders>
            <w:shd w:val="clear" w:color="auto" w:fill="auto"/>
            <w:noWrap/>
            <w:textDirection w:val="btLr"/>
            <w:vAlign w:val="center"/>
            <w:hideMark/>
          </w:tcPr>
          <w:p w14:paraId="4466C3B5"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(0.004)</w:t>
            </w:r>
          </w:p>
        </w:tc>
        <w:tc>
          <w:tcPr>
            <w:tcW w:w="420" w:type="dxa"/>
            <w:tcBorders>
              <w:top w:val="nil"/>
              <w:left w:val="nil"/>
              <w:bottom w:val="nil"/>
              <w:right w:val="nil"/>
            </w:tcBorders>
            <w:shd w:val="clear" w:color="auto" w:fill="auto"/>
            <w:noWrap/>
            <w:textDirection w:val="btLr"/>
            <w:vAlign w:val="center"/>
            <w:hideMark/>
          </w:tcPr>
          <w:p w14:paraId="356ECDD2"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6DACDAC"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43113E43"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78E7712"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F7AA223"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0.613***</w:t>
            </w:r>
          </w:p>
        </w:tc>
        <w:tc>
          <w:tcPr>
            <w:tcW w:w="420" w:type="dxa"/>
            <w:tcBorders>
              <w:top w:val="nil"/>
              <w:left w:val="nil"/>
              <w:bottom w:val="nil"/>
              <w:right w:val="nil"/>
            </w:tcBorders>
            <w:shd w:val="clear" w:color="auto" w:fill="auto"/>
            <w:noWrap/>
            <w:textDirection w:val="btLr"/>
            <w:vAlign w:val="center"/>
            <w:hideMark/>
          </w:tcPr>
          <w:p w14:paraId="1EAB0630"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(0.009)</w:t>
            </w:r>
          </w:p>
        </w:tc>
        <w:tc>
          <w:tcPr>
            <w:tcW w:w="420" w:type="dxa"/>
            <w:tcBorders>
              <w:top w:val="nil"/>
              <w:left w:val="nil"/>
              <w:bottom w:val="nil"/>
              <w:right w:val="nil"/>
            </w:tcBorders>
            <w:shd w:val="clear" w:color="auto" w:fill="auto"/>
            <w:noWrap/>
            <w:textDirection w:val="btLr"/>
            <w:vAlign w:val="center"/>
            <w:hideMark/>
          </w:tcPr>
          <w:p w14:paraId="22192174"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902</w:t>
            </w:r>
          </w:p>
        </w:tc>
        <w:tc>
          <w:tcPr>
            <w:tcW w:w="420" w:type="dxa"/>
            <w:tcBorders>
              <w:top w:val="nil"/>
              <w:left w:val="nil"/>
              <w:bottom w:val="nil"/>
              <w:right w:val="nil"/>
            </w:tcBorders>
            <w:shd w:val="clear" w:color="auto" w:fill="auto"/>
            <w:noWrap/>
            <w:textDirection w:val="btLr"/>
            <w:vAlign w:val="center"/>
            <w:hideMark/>
          </w:tcPr>
          <w:p w14:paraId="39251397"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0.191</w:t>
            </w:r>
          </w:p>
        </w:tc>
        <w:tc>
          <w:tcPr>
            <w:tcW w:w="380" w:type="dxa"/>
            <w:vMerge w:val="restart"/>
            <w:tcBorders>
              <w:top w:val="nil"/>
              <w:left w:val="nil"/>
              <w:bottom w:val="nil"/>
              <w:right w:val="single" w:sz="4" w:space="0" w:color="auto"/>
            </w:tcBorders>
            <w:shd w:val="clear" w:color="auto" w:fill="auto"/>
            <w:noWrap/>
            <w:textDirection w:val="btLr"/>
            <w:vAlign w:val="center"/>
            <w:hideMark/>
          </w:tcPr>
          <w:p w14:paraId="5E6D6763"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note:  *** p&lt;0.01, ** p&lt;0.05, * p&lt;0.1</w:t>
            </w:r>
          </w:p>
        </w:tc>
      </w:tr>
      <w:tr w:rsidR="00AE1490" w:rsidRPr="00AE1490" w14:paraId="53737666" w14:textId="77777777" w:rsidTr="00AE1490">
        <w:trPr>
          <w:trHeight w:val="1120"/>
        </w:trPr>
        <w:tc>
          <w:tcPr>
            <w:tcW w:w="420" w:type="dxa"/>
            <w:tcBorders>
              <w:top w:val="nil"/>
              <w:left w:val="nil"/>
              <w:bottom w:val="nil"/>
              <w:right w:val="nil"/>
            </w:tcBorders>
            <w:shd w:val="clear" w:color="auto" w:fill="auto"/>
            <w:noWrap/>
            <w:textDirection w:val="btLr"/>
            <w:vAlign w:val="center"/>
            <w:hideMark/>
          </w:tcPr>
          <w:p w14:paraId="558C1B52"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7B01037C"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0EF9F0F"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3B5FBC2"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7881E50"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BFFBEEC"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D4C5819"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4DC945F"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D34B976"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0.611***</w:t>
            </w:r>
          </w:p>
        </w:tc>
        <w:tc>
          <w:tcPr>
            <w:tcW w:w="420" w:type="dxa"/>
            <w:tcBorders>
              <w:top w:val="nil"/>
              <w:left w:val="nil"/>
              <w:bottom w:val="nil"/>
              <w:right w:val="nil"/>
            </w:tcBorders>
            <w:shd w:val="clear" w:color="auto" w:fill="auto"/>
            <w:noWrap/>
            <w:textDirection w:val="btLr"/>
            <w:vAlign w:val="center"/>
            <w:hideMark/>
          </w:tcPr>
          <w:p w14:paraId="0ABB9925"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(0.005)</w:t>
            </w:r>
          </w:p>
        </w:tc>
        <w:tc>
          <w:tcPr>
            <w:tcW w:w="420" w:type="dxa"/>
            <w:tcBorders>
              <w:top w:val="nil"/>
              <w:left w:val="nil"/>
              <w:bottom w:val="nil"/>
              <w:right w:val="nil"/>
            </w:tcBorders>
            <w:shd w:val="clear" w:color="auto" w:fill="auto"/>
            <w:noWrap/>
            <w:textDirection w:val="btLr"/>
            <w:vAlign w:val="center"/>
            <w:hideMark/>
          </w:tcPr>
          <w:p w14:paraId="59EED989"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902</w:t>
            </w:r>
          </w:p>
        </w:tc>
        <w:tc>
          <w:tcPr>
            <w:tcW w:w="420" w:type="dxa"/>
            <w:tcBorders>
              <w:top w:val="nil"/>
              <w:left w:val="nil"/>
              <w:bottom w:val="nil"/>
              <w:right w:val="nil"/>
            </w:tcBorders>
            <w:shd w:val="clear" w:color="auto" w:fill="auto"/>
            <w:noWrap/>
            <w:textDirection w:val="btLr"/>
            <w:vAlign w:val="center"/>
            <w:hideMark/>
          </w:tcPr>
          <w:p w14:paraId="3B1C4658"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0.179</w:t>
            </w:r>
          </w:p>
        </w:tc>
        <w:tc>
          <w:tcPr>
            <w:tcW w:w="380" w:type="dxa"/>
            <w:vMerge/>
            <w:tcBorders>
              <w:top w:val="nil"/>
              <w:left w:val="nil"/>
              <w:bottom w:val="nil"/>
              <w:right w:val="single" w:sz="4" w:space="0" w:color="auto"/>
            </w:tcBorders>
            <w:vAlign w:val="center"/>
            <w:hideMark/>
          </w:tcPr>
          <w:p w14:paraId="46C3752F" w14:textId="77777777" w:rsidR="00AE1490" w:rsidRPr="00AE1490" w:rsidRDefault="00AE1490" w:rsidP="002F7E74">
            <w:pPr>
              <w:spacing w:after="0"/>
              <w:rPr>
                <w:rFonts w:eastAsia="Times New Roman" w:cs="Times New Roman"/>
                <w:lang w:eastAsia="en-US"/>
              </w:rPr>
            </w:pPr>
          </w:p>
        </w:tc>
      </w:tr>
      <w:tr w:rsidR="00AE1490" w:rsidRPr="00AE1490" w14:paraId="04801902" w14:textId="77777777" w:rsidTr="00AE1490">
        <w:trPr>
          <w:trHeight w:val="1060"/>
        </w:trPr>
        <w:tc>
          <w:tcPr>
            <w:tcW w:w="420" w:type="dxa"/>
            <w:tcBorders>
              <w:top w:val="nil"/>
              <w:left w:val="nil"/>
              <w:bottom w:val="nil"/>
              <w:right w:val="nil"/>
            </w:tcBorders>
            <w:shd w:val="clear" w:color="auto" w:fill="auto"/>
            <w:noWrap/>
            <w:textDirection w:val="btLr"/>
            <w:vAlign w:val="center"/>
            <w:hideMark/>
          </w:tcPr>
          <w:p w14:paraId="0F91F73B"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DC6538B"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C7FF5C7"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0.019***</w:t>
            </w:r>
          </w:p>
        </w:tc>
        <w:tc>
          <w:tcPr>
            <w:tcW w:w="420" w:type="dxa"/>
            <w:tcBorders>
              <w:top w:val="nil"/>
              <w:left w:val="nil"/>
              <w:bottom w:val="nil"/>
              <w:right w:val="nil"/>
            </w:tcBorders>
            <w:shd w:val="clear" w:color="auto" w:fill="auto"/>
            <w:noWrap/>
            <w:textDirection w:val="btLr"/>
            <w:vAlign w:val="center"/>
            <w:hideMark/>
          </w:tcPr>
          <w:p w14:paraId="0404BDEB"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(0.004)</w:t>
            </w:r>
          </w:p>
        </w:tc>
        <w:tc>
          <w:tcPr>
            <w:tcW w:w="420" w:type="dxa"/>
            <w:tcBorders>
              <w:top w:val="nil"/>
              <w:left w:val="nil"/>
              <w:bottom w:val="nil"/>
              <w:right w:val="nil"/>
            </w:tcBorders>
            <w:shd w:val="clear" w:color="auto" w:fill="auto"/>
            <w:noWrap/>
            <w:textDirection w:val="btLr"/>
            <w:vAlign w:val="center"/>
            <w:hideMark/>
          </w:tcPr>
          <w:p w14:paraId="44F6A621"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45501DF3"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D99C493"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F17184F"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340C97E5"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0.574***</w:t>
            </w:r>
          </w:p>
        </w:tc>
        <w:tc>
          <w:tcPr>
            <w:tcW w:w="420" w:type="dxa"/>
            <w:tcBorders>
              <w:top w:val="nil"/>
              <w:left w:val="nil"/>
              <w:bottom w:val="nil"/>
              <w:right w:val="nil"/>
            </w:tcBorders>
            <w:shd w:val="clear" w:color="auto" w:fill="auto"/>
            <w:noWrap/>
            <w:textDirection w:val="btLr"/>
            <w:vAlign w:val="center"/>
            <w:hideMark/>
          </w:tcPr>
          <w:p w14:paraId="622BF625"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(0.008)</w:t>
            </w:r>
          </w:p>
        </w:tc>
        <w:tc>
          <w:tcPr>
            <w:tcW w:w="420" w:type="dxa"/>
            <w:tcBorders>
              <w:top w:val="nil"/>
              <w:left w:val="nil"/>
              <w:bottom w:val="nil"/>
              <w:right w:val="nil"/>
            </w:tcBorders>
            <w:shd w:val="clear" w:color="auto" w:fill="auto"/>
            <w:noWrap/>
            <w:textDirection w:val="btLr"/>
            <w:vAlign w:val="center"/>
            <w:hideMark/>
          </w:tcPr>
          <w:p w14:paraId="4B8ECDFF"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917</w:t>
            </w:r>
          </w:p>
        </w:tc>
        <w:tc>
          <w:tcPr>
            <w:tcW w:w="420" w:type="dxa"/>
            <w:tcBorders>
              <w:top w:val="nil"/>
              <w:left w:val="nil"/>
              <w:bottom w:val="nil"/>
              <w:right w:val="nil"/>
            </w:tcBorders>
            <w:shd w:val="clear" w:color="auto" w:fill="auto"/>
            <w:noWrap/>
            <w:textDirection w:val="btLr"/>
            <w:vAlign w:val="center"/>
            <w:hideMark/>
          </w:tcPr>
          <w:p w14:paraId="40818056"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0.058</w:t>
            </w:r>
          </w:p>
        </w:tc>
        <w:tc>
          <w:tcPr>
            <w:tcW w:w="380" w:type="dxa"/>
            <w:vMerge/>
            <w:tcBorders>
              <w:top w:val="nil"/>
              <w:left w:val="nil"/>
              <w:bottom w:val="nil"/>
              <w:right w:val="single" w:sz="4" w:space="0" w:color="auto"/>
            </w:tcBorders>
            <w:vAlign w:val="center"/>
            <w:hideMark/>
          </w:tcPr>
          <w:p w14:paraId="43252EC5" w14:textId="77777777" w:rsidR="00AE1490" w:rsidRPr="00AE1490" w:rsidRDefault="00AE1490" w:rsidP="002F7E74">
            <w:pPr>
              <w:spacing w:after="0"/>
              <w:rPr>
                <w:rFonts w:eastAsia="Times New Roman" w:cs="Times New Roman"/>
                <w:lang w:eastAsia="en-US"/>
              </w:rPr>
            </w:pPr>
          </w:p>
        </w:tc>
      </w:tr>
      <w:tr w:rsidR="00AE1490" w:rsidRPr="00AE1490" w14:paraId="293C90EA" w14:textId="77777777" w:rsidTr="00AE1490">
        <w:trPr>
          <w:trHeight w:val="1060"/>
        </w:trPr>
        <w:tc>
          <w:tcPr>
            <w:tcW w:w="420" w:type="dxa"/>
            <w:tcBorders>
              <w:top w:val="nil"/>
              <w:left w:val="nil"/>
              <w:bottom w:val="nil"/>
              <w:right w:val="nil"/>
            </w:tcBorders>
            <w:shd w:val="clear" w:color="auto" w:fill="auto"/>
            <w:noWrap/>
            <w:textDirection w:val="btLr"/>
            <w:vAlign w:val="center"/>
            <w:hideMark/>
          </w:tcPr>
          <w:p w14:paraId="414C023F"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BFEFE49"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06DF05E"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0.019***</w:t>
            </w:r>
          </w:p>
        </w:tc>
        <w:tc>
          <w:tcPr>
            <w:tcW w:w="420" w:type="dxa"/>
            <w:tcBorders>
              <w:top w:val="nil"/>
              <w:left w:val="nil"/>
              <w:bottom w:val="nil"/>
              <w:right w:val="nil"/>
            </w:tcBorders>
            <w:shd w:val="clear" w:color="auto" w:fill="auto"/>
            <w:noWrap/>
            <w:textDirection w:val="btLr"/>
            <w:vAlign w:val="center"/>
            <w:hideMark/>
          </w:tcPr>
          <w:p w14:paraId="34AB0251"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(0.005)</w:t>
            </w:r>
          </w:p>
        </w:tc>
        <w:tc>
          <w:tcPr>
            <w:tcW w:w="420" w:type="dxa"/>
            <w:tcBorders>
              <w:top w:val="nil"/>
              <w:left w:val="nil"/>
              <w:bottom w:val="nil"/>
              <w:right w:val="nil"/>
            </w:tcBorders>
            <w:shd w:val="clear" w:color="auto" w:fill="auto"/>
            <w:noWrap/>
            <w:textDirection w:val="btLr"/>
            <w:vAlign w:val="center"/>
            <w:hideMark/>
          </w:tcPr>
          <w:p w14:paraId="1F84B1CC"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40A5A6D1"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DFD733F"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6F3B1120"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480CDF47"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0.581***</w:t>
            </w:r>
          </w:p>
        </w:tc>
        <w:tc>
          <w:tcPr>
            <w:tcW w:w="420" w:type="dxa"/>
            <w:tcBorders>
              <w:top w:val="nil"/>
              <w:left w:val="nil"/>
              <w:bottom w:val="nil"/>
              <w:right w:val="nil"/>
            </w:tcBorders>
            <w:shd w:val="clear" w:color="auto" w:fill="auto"/>
            <w:noWrap/>
            <w:textDirection w:val="btLr"/>
            <w:vAlign w:val="center"/>
            <w:hideMark/>
          </w:tcPr>
          <w:p w14:paraId="30DE7AF0"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(0.008)</w:t>
            </w:r>
          </w:p>
        </w:tc>
        <w:tc>
          <w:tcPr>
            <w:tcW w:w="420" w:type="dxa"/>
            <w:tcBorders>
              <w:top w:val="nil"/>
              <w:left w:val="nil"/>
              <w:bottom w:val="nil"/>
              <w:right w:val="nil"/>
            </w:tcBorders>
            <w:shd w:val="clear" w:color="auto" w:fill="auto"/>
            <w:noWrap/>
            <w:textDirection w:val="btLr"/>
            <w:vAlign w:val="center"/>
            <w:hideMark/>
          </w:tcPr>
          <w:p w14:paraId="621F225A"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917</w:t>
            </w:r>
          </w:p>
        </w:tc>
        <w:tc>
          <w:tcPr>
            <w:tcW w:w="420" w:type="dxa"/>
            <w:tcBorders>
              <w:top w:val="nil"/>
              <w:left w:val="nil"/>
              <w:bottom w:val="nil"/>
              <w:right w:val="nil"/>
            </w:tcBorders>
            <w:shd w:val="clear" w:color="auto" w:fill="auto"/>
            <w:noWrap/>
            <w:textDirection w:val="btLr"/>
            <w:vAlign w:val="center"/>
            <w:hideMark/>
          </w:tcPr>
          <w:p w14:paraId="5F75B661"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0.035</w:t>
            </w:r>
          </w:p>
        </w:tc>
        <w:tc>
          <w:tcPr>
            <w:tcW w:w="380" w:type="dxa"/>
            <w:vMerge/>
            <w:tcBorders>
              <w:top w:val="nil"/>
              <w:left w:val="nil"/>
              <w:bottom w:val="nil"/>
              <w:right w:val="single" w:sz="4" w:space="0" w:color="auto"/>
            </w:tcBorders>
            <w:vAlign w:val="center"/>
            <w:hideMark/>
          </w:tcPr>
          <w:p w14:paraId="41E27F5B" w14:textId="77777777" w:rsidR="00AE1490" w:rsidRPr="00AE1490" w:rsidRDefault="00AE1490" w:rsidP="002F7E74">
            <w:pPr>
              <w:spacing w:after="0"/>
              <w:rPr>
                <w:rFonts w:eastAsia="Times New Roman" w:cs="Times New Roman"/>
                <w:lang w:eastAsia="en-US"/>
              </w:rPr>
            </w:pPr>
          </w:p>
        </w:tc>
      </w:tr>
      <w:tr w:rsidR="00AE1490" w:rsidRPr="00AE1490" w14:paraId="248B53ED" w14:textId="77777777" w:rsidTr="00AE1490">
        <w:trPr>
          <w:trHeight w:val="1120"/>
        </w:trPr>
        <w:tc>
          <w:tcPr>
            <w:tcW w:w="420" w:type="dxa"/>
            <w:tcBorders>
              <w:top w:val="nil"/>
              <w:left w:val="nil"/>
              <w:bottom w:val="nil"/>
              <w:right w:val="nil"/>
            </w:tcBorders>
            <w:shd w:val="clear" w:color="auto" w:fill="auto"/>
            <w:noWrap/>
            <w:textDirection w:val="btLr"/>
            <w:vAlign w:val="center"/>
            <w:hideMark/>
          </w:tcPr>
          <w:p w14:paraId="13902618"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1C122C54"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03B628B"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14021AD"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4589FA7"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6F17531"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8299558"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E5321D2"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6452864"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0.611***</w:t>
            </w:r>
          </w:p>
        </w:tc>
        <w:tc>
          <w:tcPr>
            <w:tcW w:w="420" w:type="dxa"/>
            <w:tcBorders>
              <w:top w:val="nil"/>
              <w:left w:val="nil"/>
              <w:bottom w:val="nil"/>
              <w:right w:val="nil"/>
            </w:tcBorders>
            <w:shd w:val="clear" w:color="auto" w:fill="auto"/>
            <w:noWrap/>
            <w:textDirection w:val="btLr"/>
            <w:vAlign w:val="center"/>
            <w:hideMark/>
          </w:tcPr>
          <w:p w14:paraId="462B5986"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(0.005)</w:t>
            </w:r>
          </w:p>
        </w:tc>
        <w:tc>
          <w:tcPr>
            <w:tcW w:w="420" w:type="dxa"/>
            <w:tcBorders>
              <w:top w:val="nil"/>
              <w:left w:val="nil"/>
              <w:bottom w:val="nil"/>
              <w:right w:val="nil"/>
            </w:tcBorders>
            <w:shd w:val="clear" w:color="auto" w:fill="auto"/>
            <w:noWrap/>
            <w:textDirection w:val="btLr"/>
            <w:vAlign w:val="center"/>
            <w:hideMark/>
          </w:tcPr>
          <w:p w14:paraId="08163151"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938</w:t>
            </w:r>
          </w:p>
        </w:tc>
        <w:tc>
          <w:tcPr>
            <w:tcW w:w="420" w:type="dxa"/>
            <w:tcBorders>
              <w:top w:val="nil"/>
              <w:left w:val="nil"/>
              <w:bottom w:val="nil"/>
              <w:right w:val="nil"/>
            </w:tcBorders>
            <w:shd w:val="clear" w:color="auto" w:fill="auto"/>
            <w:noWrap/>
            <w:textDirection w:val="btLr"/>
            <w:vAlign w:val="center"/>
            <w:hideMark/>
          </w:tcPr>
          <w:p w14:paraId="566E966A"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0.170</w:t>
            </w:r>
          </w:p>
        </w:tc>
        <w:tc>
          <w:tcPr>
            <w:tcW w:w="380" w:type="dxa"/>
            <w:vMerge/>
            <w:tcBorders>
              <w:top w:val="nil"/>
              <w:left w:val="nil"/>
              <w:bottom w:val="nil"/>
              <w:right w:val="single" w:sz="4" w:space="0" w:color="auto"/>
            </w:tcBorders>
            <w:vAlign w:val="center"/>
            <w:hideMark/>
          </w:tcPr>
          <w:p w14:paraId="6B8D3DDE" w14:textId="77777777" w:rsidR="00AE1490" w:rsidRPr="00AE1490" w:rsidRDefault="00AE1490" w:rsidP="002F7E74">
            <w:pPr>
              <w:spacing w:after="0"/>
              <w:rPr>
                <w:rFonts w:eastAsia="Times New Roman" w:cs="Times New Roman"/>
                <w:lang w:eastAsia="en-US"/>
              </w:rPr>
            </w:pPr>
          </w:p>
        </w:tc>
      </w:tr>
      <w:tr w:rsidR="00AE1490" w:rsidRPr="00AE1490" w14:paraId="6ACB9225" w14:textId="77777777" w:rsidTr="00AE1490">
        <w:trPr>
          <w:trHeight w:val="1060"/>
        </w:trPr>
        <w:tc>
          <w:tcPr>
            <w:tcW w:w="420" w:type="dxa"/>
            <w:tcBorders>
              <w:top w:val="nil"/>
              <w:left w:val="nil"/>
              <w:bottom w:val="nil"/>
              <w:right w:val="nil"/>
            </w:tcBorders>
            <w:shd w:val="clear" w:color="auto" w:fill="auto"/>
            <w:noWrap/>
            <w:textDirection w:val="btLr"/>
            <w:vAlign w:val="center"/>
            <w:hideMark/>
          </w:tcPr>
          <w:p w14:paraId="101F82B1"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3E580BE"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688B498"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584EE35"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7B32991"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F4E7000"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F2B7F0D"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2B5E168"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694F16E"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0.604***</w:t>
            </w:r>
          </w:p>
        </w:tc>
        <w:tc>
          <w:tcPr>
            <w:tcW w:w="420" w:type="dxa"/>
            <w:tcBorders>
              <w:top w:val="nil"/>
              <w:left w:val="nil"/>
              <w:bottom w:val="nil"/>
              <w:right w:val="nil"/>
            </w:tcBorders>
            <w:shd w:val="clear" w:color="auto" w:fill="auto"/>
            <w:noWrap/>
            <w:textDirection w:val="btLr"/>
            <w:vAlign w:val="center"/>
            <w:hideMark/>
          </w:tcPr>
          <w:p w14:paraId="6AFEC79A"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(0.002)</w:t>
            </w:r>
          </w:p>
        </w:tc>
        <w:tc>
          <w:tcPr>
            <w:tcW w:w="420" w:type="dxa"/>
            <w:tcBorders>
              <w:top w:val="nil"/>
              <w:left w:val="nil"/>
              <w:bottom w:val="nil"/>
              <w:right w:val="nil"/>
            </w:tcBorders>
            <w:shd w:val="clear" w:color="auto" w:fill="auto"/>
            <w:noWrap/>
            <w:textDirection w:val="btLr"/>
            <w:vAlign w:val="center"/>
            <w:hideMark/>
          </w:tcPr>
          <w:p w14:paraId="4B3C4A18"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917</w:t>
            </w:r>
          </w:p>
        </w:tc>
        <w:tc>
          <w:tcPr>
            <w:tcW w:w="420" w:type="dxa"/>
            <w:tcBorders>
              <w:top w:val="nil"/>
              <w:left w:val="nil"/>
              <w:bottom w:val="nil"/>
              <w:right w:val="nil"/>
            </w:tcBorders>
            <w:shd w:val="clear" w:color="auto" w:fill="auto"/>
            <w:noWrap/>
            <w:textDirection w:val="btLr"/>
            <w:vAlign w:val="center"/>
            <w:hideMark/>
          </w:tcPr>
          <w:p w14:paraId="62F34AF7"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0.027</w:t>
            </w:r>
          </w:p>
        </w:tc>
        <w:tc>
          <w:tcPr>
            <w:tcW w:w="380" w:type="dxa"/>
            <w:vMerge/>
            <w:tcBorders>
              <w:top w:val="nil"/>
              <w:left w:val="nil"/>
              <w:bottom w:val="nil"/>
              <w:right w:val="single" w:sz="4" w:space="0" w:color="auto"/>
            </w:tcBorders>
            <w:vAlign w:val="center"/>
            <w:hideMark/>
          </w:tcPr>
          <w:p w14:paraId="2A8FD42D" w14:textId="77777777" w:rsidR="00AE1490" w:rsidRPr="00AE1490" w:rsidRDefault="00AE1490" w:rsidP="002F7E74">
            <w:pPr>
              <w:spacing w:after="0"/>
              <w:rPr>
                <w:rFonts w:eastAsia="Times New Roman" w:cs="Times New Roman"/>
                <w:lang w:eastAsia="en-US"/>
              </w:rPr>
            </w:pPr>
          </w:p>
        </w:tc>
      </w:tr>
      <w:tr w:rsidR="00AE1490" w:rsidRPr="00AE1490" w14:paraId="1E633C32" w14:textId="77777777" w:rsidTr="00AE1490">
        <w:trPr>
          <w:trHeight w:val="1060"/>
        </w:trPr>
        <w:tc>
          <w:tcPr>
            <w:tcW w:w="420" w:type="dxa"/>
            <w:tcBorders>
              <w:top w:val="nil"/>
              <w:left w:val="nil"/>
              <w:bottom w:val="nil"/>
              <w:right w:val="nil"/>
            </w:tcBorders>
            <w:shd w:val="clear" w:color="auto" w:fill="auto"/>
            <w:noWrap/>
            <w:textDirection w:val="btLr"/>
            <w:vAlign w:val="center"/>
            <w:hideMark/>
          </w:tcPr>
          <w:p w14:paraId="1EB28071"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0F63136"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FCACD5E"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2356670"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5A7C7FB"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0AFB43D"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FA249A5"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FF035B4"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D491C05"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0.605***</w:t>
            </w:r>
          </w:p>
        </w:tc>
        <w:tc>
          <w:tcPr>
            <w:tcW w:w="420" w:type="dxa"/>
            <w:tcBorders>
              <w:top w:val="nil"/>
              <w:left w:val="nil"/>
              <w:bottom w:val="nil"/>
              <w:right w:val="nil"/>
            </w:tcBorders>
            <w:shd w:val="clear" w:color="auto" w:fill="auto"/>
            <w:noWrap/>
            <w:textDirection w:val="btLr"/>
            <w:vAlign w:val="center"/>
            <w:hideMark/>
          </w:tcPr>
          <w:p w14:paraId="78C4DFA7"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(0.002)</w:t>
            </w:r>
          </w:p>
        </w:tc>
        <w:tc>
          <w:tcPr>
            <w:tcW w:w="420" w:type="dxa"/>
            <w:tcBorders>
              <w:top w:val="nil"/>
              <w:left w:val="nil"/>
              <w:bottom w:val="nil"/>
              <w:right w:val="nil"/>
            </w:tcBorders>
            <w:shd w:val="clear" w:color="auto" w:fill="auto"/>
            <w:noWrap/>
            <w:textDirection w:val="btLr"/>
            <w:vAlign w:val="center"/>
            <w:hideMark/>
          </w:tcPr>
          <w:p w14:paraId="33C502FA"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917</w:t>
            </w:r>
          </w:p>
        </w:tc>
        <w:tc>
          <w:tcPr>
            <w:tcW w:w="420" w:type="dxa"/>
            <w:tcBorders>
              <w:top w:val="nil"/>
              <w:left w:val="nil"/>
              <w:bottom w:val="nil"/>
              <w:right w:val="nil"/>
            </w:tcBorders>
            <w:shd w:val="clear" w:color="auto" w:fill="auto"/>
            <w:noWrap/>
            <w:textDirection w:val="btLr"/>
            <w:vAlign w:val="center"/>
            <w:hideMark/>
          </w:tcPr>
          <w:p w14:paraId="28100DA9"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0.023</w:t>
            </w:r>
          </w:p>
        </w:tc>
        <w:tc>
          <w:tcPr>
            <w:tcW w:w="380" w:type="dxa"/>
            <w:vMerge/>
            <w:tcBorders>
              <w:top w:val="nil"/>
              <w:left w:val="nil"/>
              <w:bottom w:val="nil"/>
              <w:right w:val="single" w:sz="4" w:space="0" w:color="auto"/>
            </w:tcBorders>
            <w:vAlign w:val="center"/>
            <w:hideMark/>
          </w:tcPr>
          <w:p w14:paraId="0AE8C1E6" w14:textId="77777777" w:rsidR="00AE1490" w:rsidRPr="00AE1490" w:rsidRDefault="00AE1490" w:rsidP="002F7E74">
            <w:pPr>
              <w:spacing w:after="0"/>
              <w:rPr>
                <w:rFonts w:eastAsia="Times New Roman" w:cs="Times New Roman"/>
                <w:lang w:eastAsia="en-US"/>
              </w:rPr>
            </w:pPr>
          </w:p>
        </w:tc>
      </w:tr>
      <w:tr w:rsidR="00AE1490" w:rsidRPr="00AE1490" w14:paraId="7DA1A3B0" w14:textId="77777777" w:rsidTr="00AE1490">
        <w:trPr>
          <w:trHeight w:val="1060"/>
        </w:trPr>
        <w:tc>
          <w:tcPr>
            <w:tcW w:w="420" w:type="dxa"/>
            <w:tcBorders>
              <w:top w:val="nil"/>
              <w:left w:val="nil"/>
              <w:bottom w:val="nil"/>
              <w:right w:val="nil"/>
            </w:tcBorders>
            <w:shd w:val="clear" w:color="auto" w:fill="auto"/>
            <w:noWrap/>
            <w:textDirection w:val="btLr"/>
            <w:vAlign w:val="center"/>
            <w:hideMark/>
          </w:tcPr>
          <w:p w14:paraId="60090103"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478A86E"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3E263B8"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F1868EE"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67E3932"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364F8A0"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3A2D435"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8B3FD66"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C0D0D8B"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0.610***</w:t>
            </w:r>
          </w:p>
        </w:tc>
        <w:tc>
          <w:tcPr>
            <w:tcW w:w="420" w:type="dxa"/>
            <w:tcBorders>
              <w:top w:val="nil"/>
              <w:left w:val="nil"/>
              <w:bottom w:val="nil"/>
              <w:right w:val="nil"/>
            </w:tcBorders>
            <w:shd w:val="clear" w:color="auto" w:fill="auto"/>
            <w:noWrap/>
            <w:textDirection w:val="btLr"/>
            <w:vAlign w:val="center"/>
            <w:hideMark/>
          </w:tcPr>
          <w:p w14:paraId="5BCD5F04"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(0.002)</w:t>
            </w:r>
          </w:p>
        </w:tc>
        <w:tc>
          <w:tcPr>
            <w:tcW w:w="420" w:type="dxa"/>
            <w:tcBorders>
              <w:top w:val="nil"/>
              <w:left w:val="nil"/>
              <w:bottom w:val="nil"/>
              <w:right w:val="nil"/>
            </w:tcBorders>
            <w:shd w:val="clear" w:color="auto" w:fill="auto"/>
            <w:noWrap/>
            <w:textDirection w:val="btLr"/>
            <w:vAlign w:val="center"/>
            <w:hideMark/>
          </w:tcPr>
          <w:p w14:paraId="70C30E44"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973</w:t>
            </w:r>
          </w:p>
        </w:tc>
        <w:tc>
          <w:tcPr>
            <w:tcW w:w="420" w:type="dxa"/>
            <w:tcBorders>
              <w:top w:val="nil"/>
              <w:left w:val="nil"/>
              <w:bottom w:val="nil"/>
              <w:right w:val="nil"/>
            </w:tcBorders>
            <w:shd w:val="clear" w:color="auto" w:fill="auto"/>
            <w:noWrap/>
            <w:textDirection w:val="btLr"/>
            <w:vAlign w:val="center"/>
            <w:hideMark/>
          </w:tcPr>
          <w:p w14:paraId="0607438A"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0.000</w:t>
            </w:r>
          </w:p>
        </w:tc>
        <w:tc>
          <w:tcPr>
            <w:tcW w:w="380" w:type="dxa"/>
            <w:vMerge/>
            <w:tcBorders>
              <w:top w:val="nil"/>
              <w:left w:val="nil"/>
              <w:bottom w:val="nil"/>
              <w:right w:val="single" w:sz="4" w:space="0" w:color="auto"/>
            </w:tcBorders>
            <w:vAlign w:val="center"/>
            <w:hideMark/>
          </w:tcPr>
          <w:p w14:paraId="5FB6A9EC" w14:textId="77777777" w:rsidR="00AE1490" w:rsidRPr="00AE1490" w:rsidRDefault="00AE1490" w:rsidP="002F7E74">
            <w:pPr>
              <w:spacing w:after="0"/>
              <w:rPr>
                <w:rFonts w:eastAsia="Times New Roman" w:cs="Times New Roman"/>
                <w:lang w:eastAsia="en-US"/>
              </w:rPr>
            </w:pPr>
          </w:p>
        </w:tc>
      </w:tr>
      <w:tr w:rsidR="00AE1490" w:rsidRPr="00AE1490" w14:paraId="6DD49379" w14:textId="77777777" w:rsidTr="00AE1490">
        <w:trPr>
          <w:trHeight w:val="2080"/>
        </w:trPr>
        <w:tc>
          <w:tcPr>
            <w:tcW w:w="840" w:type="dxa"/>
            <w:gridSpan w:val="2"/>
            <w:tcBorders>
              <w:top w:val="nil"/>
              <w:left w:val="nil"/>
              <w:bottom w:val="nil"/>
              <w:right w:val="nil"/>
            </w:tcBorders>
            <w:shd w:val="clear" w:color="auto" w:fill="auto"/>
            <w:textDirection w:val="btLr"/>
            <w:vAlign w:val="center"/>
            <w:hideMark/>
          </w:tcPr>
          <w:p w14:paraId="3D1198CA"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Age in years of current regime</w:t>
            </w:r>
          </w:p>
        </w:tc>
        <w:tc>
          <w:tcPr>
            <w:tcW w:w="840" w:type="dxa"/>
            <w:gridSpan w:val="2"/>
            <w:tcBorders>
              <w:top w:val="nil"/>
              <w:left w:val="nil"/>
              <w:bottom w:val="nil"/>
              <w:right w:val="nil"/>
            </w:tcBorders>
            <w:shd w:val="clear" w:color="auto" w:fill="auto"/>
            <w:textDirection w:val="btLr"/>
            <w:vAlign w:val="center"/>
            <w:hideMark/>
          </w:tcPr>
          <w:p w14:paraId="671F4EFA"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If recipient had any type of disaster</w:t>
            </w:r>
          </w:p>
        </w:tc>
        <w:tc>
          <w:tcPr>
            <w:tcW w:w="840" w:type="dxa"/>
            <w:gridSpan w:val="2"/>
            <w:tcBorders>
              <w:top w:val="nil"/>
              <w:left w:val="nil"/>
              <w:bottom w:val="nil"/>
              <w:right w:val="nil"/>
            </w:tcBorders>
            <w:shd w:val="clear" w:color="auto" w:fill="auto"/>
            <w:textDirection w:val="btLr"/>
            <w:vAlign w:val="center"/>
            <w:hideMark/>
          </w:tcPr>
          <w:p w14:paraId="3725C59B"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Population (in thousands)</w:t>
            </w:r>
          </w:p>
        </w:tc>
        <w:tc>
          <w:tcPr>
            <w:tcW w:w="840" w:type="dxa"/>
            <w:gridSpan w:val="2"/>
            <w:tcBorders>
              <w:top w:val="nil"/>
              <w:left w:val="nil"/>
              <w:bottom w:val="nil"/>
              <w:right w:val="nil"/>
            </w:tcBorders>
            <w:shd w:val="clear" w:color="auto" w:fill="auto"/>
            <w:textDirection w:val="btLr"/>
            <w:vAlign w:val="center"/>
            <w:hideMark/>
          </w:tcPr>
          <w:p w14:paraId="3F1A9DA8"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Distance between capitals (capitals, km)</w:t>
            </w:r>
          </w:p>
        </w:tc>
        <w:tc>
          <w:tcPr>
            <w:tcW w:w="420" w:type="dxa"/>
            <w:tcBorders>
              <w:top w:val="nil"/>
              <w:left w:val="nil"/>
              <w:bottom w:val="nil"/>
              <w:right w:val="nil"/>
            </w:tcBorders>
            <w:shd w:val="clear" w:color="auto" w:fill="auto"/>
            <w:textDirection w:val="btLr"/>
            <w:vAlign w:val="center"/>
            <w:hideMark/>
          </w:tcPr>
          <w:p w14:paraId="7B1F0168"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Constant</w:t>
            </w:r>
          </w:p>
        </w:tc>
        <w:tc>
          <w:tcPr>
            <w:tcW w:w="420" w:type="dxa"/>
            <w:tcBorders>
              <w:top w:val="nil"/>
              <w:left w:val="nil"/>
              <w:bottom w:val="nil"/>
              <w:right w:val="nil"/>
            </w:tcBorders>
            <w:shd w:val="clear" w:color="auto" w:fill="auto"/>
            <w:textDirection w:val="btLr"/>
            <w:vAlign w:val="center"/>
            <w:hideMark/>
          </w:tcPr>
          <w:p w14:paraId="6F85E8A4" w14:textId="77777777" w:rsidR="00AE1490" w:rsidRPr="00AE1490" w:rsidRDefault="00AE1490" w:rsidP="002F7E74">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7F3AD123"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No. of observations</w:t>
            </w:r>
          </w:p>
        </w:tc>
        <w:tc>
          <w:tcPr>
            <w:tcW w:w="420" w:type="dxa"/>
            <w:tcBorders>
              <w:top w:val="nil"/>
              <w:left w:val="nil"/>
              <w:bottom w:val="nil"/>
              <w:right w:val="nil"/>
            </w:tcBorders>
            <w:shd w:val="clear" w:color="auto" w:fill="auto"/>
            <w:textDirection w:val="btLr"/>
            <w:vAlign w:val="center"/>
            <w:hideMark/>
          </w:tcPr>
          <w:p w14:paraId="0E762BC5"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R2</w:t>
            </w:r>
          </w:p>
        </w:tc>
        <w:tc>
          <w:tcPr>
            <w:tcW w:w="380" w:type="dxa"/>
            <w:vMerge/>
            <w:tcBorders>
              <w:top w:val="nil"/>
              <w:left w:val="nil"/>
              <w:bottom w:val="nil"/>
              <w:right w:val="single" w:sz="4" w:space="0" w:color="auto"/>
            </w:tcBorders>
            <w:vAlign w:val="center"/>
            <w:hideMark/>
          </w:tcPr>
          <w:p w14:paraId="6679E860" w14:textId="77777777" w:rsidR="00AE1490" w:rsidRPr="00AE1490" w:rsidRDefault="00AE1490" w:rsidP="002F7E74">
            <w:pPr>
              <w:spacing w:after="0"/>
              <w:rPr>
                <w:rFonts w:eastAsia="Times New Roman" w:cs="Times New Roman"/>
                <w:lang w:eastAsia="en-US"/>
              </w:rPr>
            </w:pPr>
          </w:p>
        </w:tc>
      </w:tr>
    </w:tbl>
    <w:p w14:paraId="069C9A60" w14:textId="77777777" w:rsidR="00FE1BEE" w:rsidRDefault="00FE1BEE">
      <w:pPr>
        <w:rPr>
          <w:b/>
        </w:rPr>
      </w:pPr>
    </w:p>
    <w:p w14:paraId="5057007B" w14:textId="7CAD7351" w:rsidR="00FE1BEE" w:rsidRDefault="00FE1BEE">
      <w:pPr>
        <w:rPr>
          <w:b/>
        </w:rPr>
      </w:pPr>
      <w:r>
        <w:rPr>
          <w:b/>
        </w:rPr>
        <w:br w:type="page"/>
      </w:r>
    </w:p>
    <w:p w14:paraId="6B68983C" w14:textId="77777777" w:rsidR="00FE1BEE" w:rsidRDefault="00FE1BEE">
      <w:pPr>
        <w:rPr>
          <w:b/>
        </w:rPr>
      </w:pPr>
    </w:p>
    <w:tbl>
      <w:tblPr>
        <w:tblW w:w="6980" w:type="dxa"/>
        <w:tblInd w:w="93" w:type="dxa"/>
        <w:tblLook w:val="04A0" w:firstRow="1" w:lastRow="0" w:firstColumn="1" w:lastColumn="0" w:noHBand="0" w:noVBand="1"/>
      </w:tblPr>
      <w:tblGrid>
        <w:gridCol w:w="498"/>
        <w:gridCol w:w="498"/>
        <w:gridCol w:w="498"/>
        <w:gridCol w:w="498"/>
        <w:gridCol w:w="498"/>
        <w:gridCol w:w="498"/>
        <w:gridCol w:w="498"/>
        <w:gridCol w:w="498"/>
        <w:gridCol w:w="498"/>
        <w:gridCol w:w="498"/>
        <w:gridCol w:w="498"/>
        <w:gridCol w:w="498"/>
        <w:gridCol w:w="680"/>
        <w:gridCol w:w="498"/>
        <w:gridCol w:w="498"/>
        <w:gridCol w:w="498"/>
      </w:tblGrid>
      <w:tr w:rsidR="00AE1490" w:rsidRPr="00AE1490" w14:paraId="2156BC93" w14:textId="77777777" w:rsidTr="00AE1490">
        <w:trPr>
          <w:trHeight w:val="1120"/>
        </w:trPr>
        <w:tc>
          <w:tcPr>
            <w:tcW w:w="380" w:type="dxa"/>
            <w:vMerge w:val="restart"/>
            <w:tcBorders>
              <w:top w:val="nil"/>
              <w:left w:val="nil"/>
              <w:bottom w:val="nil"/>
              <w:right w:val="single" w:sz="4" w:space="0" w:color="auto"/>
            </w:tcBorders>
            <w:shd w:val="clear" w:color="auto" w:fill="auto"/>
            <w:noWrap/>
            <w:textDirection w:val="btLr"/>
            <w:vAlign w:val="bottom"/>
            <w:hideMark/>
          </w:tcPr>
          <w:p w14:paraId="50D91D1C" w14:textId="77777777" w:rsidR="00AE1490" w:rsidRPr="00AE1490" w:rsidRDefault="00AE1490" w:rsidP="00AE1490">
            <w:pPr>
              <w:spacing w:after="0"/>
              <w:rPr>
                <w:rFonts w:eastAsia="Times New Roman" w:cs="Times New Roman"/>
                <w:color w:val="000000"/>
                <w:lang w:eastAsia="en-US"/>
              </w:rPr>
            </w:pPr>
            <w:r w:rsidRPr="00AE1490">
              <w:rPr>
                <w:rFonts w:eastAsia="Times New Roman" w:cs="Times New Roman"/>
                <w:color w:val="000000"/>
                <w:lang w:eastAsia="en-US"/>
              </w:rPr>
              <w:t>Table D.4. UN Voting Affinity, former colonies only</w:t>
            </w:r>
          </w:p>
        </w:tc>
        <w:tc>
          <w:tcPr>
            <w:tcW w:w="460" w:type="dxa"/>
            <w:tcBorders>
              <w:top w:val="nil"/>
              <w:left w:val="nil"/>
              <w:bottom w:val="nil"/>
              <w:right w:val="nil"/>
            </w:tcBorders>
            <w:shd w:val="clear" w:color="auto" w:fill="auto"/>
            <w:textDirection w:val="btLr"/>
            <w:vAlign w:val="center"/>
            <w:hideMark/>
          </w:tcPr>
          <w:p w14:paraId="343EA4BF"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(8)</w:t>
            </w:r>
          </w:p>
        </w:tc>
        <w:tc>
          <w:tcPr>
            <w:tcW w:w="420" w:type="dxa"/>
            <w:tcBorders>
              <w:top w:val="nil"/>
              <w:left w:val="nil"/>
              <w:bottom w:val="nil"/>
              <w:right w:val="nil"/>
            </w:tcBorders>
            <w:shd w:val="clear" w:color="auto" w:fill="auto"/>
            <w:noWrap/>
            <w:textDirection w:val="btLr"/>
            <w:vAlign w:val="center"/>
            <w:hideMark/>
          </w:tcPr>
          <w:p w14:paraId="62430A9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-0.012*</w:t>
            </w:r>
          </w:p>
        </w:tc>
        <w:tc>
          <w:tcPr>
            <w:tcW w:w="420" w:type="dxa"/>
            <w:tcBorders>
              <w:top w:val="nil"/>
              <w:left w:val="nil"/>
              <w:bottom w:val="nil"/>
              <w:right w:val="nil"/>
            </w:tcBorders>
            <w:shd w:val="clear" w:color="auto" w:fill="auto"/>
            <w:noWrap/>
            <w:textDirection w:val="btLr"/>
            <w:vAlign w:val="center"/>
            <w:hideMark/>
          </w:tcPr>
          <w:p w14:paraId="40FAA04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(0.006)</w:t>
            </w:r>
          </w:p>
        </w:tc>
        <w:tc>
          <w:tcPr>
            <w:tcW w:w="420" w:type="dxa"/>
            <w:tcBorders>
              <w:top w:val="nil"/>
              <w:left w:val="nil"/>
              <w:bottom w:val="nil"/>
              <w:right w:val="nil"/>
            </w:tcBorders>
            <w:shd w:val="clear" w:color="auto" w:fill="auto"/>
            <w:noWrap/>
            <w:textDirection w:val="btLr"/>
            <w:vAlign w:val="center"/>
            <w:hideMark/>
          </w:tcPr>
          <w:p w14:paraId="69E3473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4F30D6A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1FA6FF2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6496A5F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26A2D8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-0.028***</w:t>
            </w:r>
          </w:p>
        </w:tc>
        <w:tc>
          <w:tcPr>
            <w:tcW w:w="420" w:type="dxa"/>
            <w:tcBorders>
              <w:top w:val="nil"/>
              <w:left w:val="nil"/>
              <w:bottom w:val="nil"/>
              <w:right w:val="nil"/>
            </w:tcBorders>
            <w:shd w:val="clear" w:color="auto" w:fill="auto"/>
            <w:noWrap/>
            <w:textDirection w:val="btLr"/>
            <w:vAlign w:val="center"/>
            <w:hideMark/>
          </w:tcPr>
          <w:p w14:paraId="3E6084D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(0.010)</w:t>
            </w:r>
          </w:p>
        </w:tc>
        <w:tc>
          <w:tcPr>
            <w:tcW w:w="420" w:type="dxa"/>
            <w:tcBorders>
              <w:top w:val="nil"/>
              <w:left w:val="nil"/>
              <w:bottom w:val="nil"/>
              <w:right w:val="nil"/>
            </w:tcBorders>
            <w:shd w:val="clear" w:color="auto" w:fill="auto"/>
            <w:noWrap/>
            <w:textDirection w:val="btLr"/>
            <w:vAlign w:val="center"/>
            <w:hideMark/>
          </w:tcPr>
          <w:p w14:paraId="17D59AF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0.008</w:t>
            </w:r>
          </w:p>
        </w:tc>
        <w:tc>
          <w:tcPr>
            <w:tcW w:w="420" w:type="dxa"/>
            <w:tcBorders>
              <w:top w:val="nil"/>
              <w:left w:val="nil"/>
              <w:bottom w:val="nil"/>
              <w:right w:val="nil"/>
            </w:tcBorders>
            <w:shd w:val="clear" w:color="auto" w:fill="auto"/>
            <w:noWrap/>
            <w:textDirection w:val="btLr"/>
            <w:vAlign w:val="center"/>
            <w:hideMark/>
          </w:tcPr>
          <w:p w14:paraId="78A75C5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(0.028)</w:t>
            </w:r>
          </w:p>
        </w:tc>
        <w:tc>
          <w:tcPr>
            <w:tcW w:w="680" w:type="dxa"/>
            <w:tcBorders>
              <w:top w:val="nil"/>
              <w:left w:val="nil"/>
              <w:bottom w:val="nil"/>
              <w:right w:val="nil"/>
            </w:tcBorders>
            <w:shd w:val="clear" w:color="auto" w:fill="auto"/>
            <w:noWrap/>
            <w:textDirection w:val="btLr"/>
            <w:vAlign w:val="center"/>
            <w:hideMark/>
          </w:tcPr>
          <w:p w14:paraId="478F12B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0.004</w:t>
            </w:r>
          </w:p>
        </w:tc>
        <w:tc>
          <w:tcPr>
            <w:tcW w:w="420" w:type="dxa"/>
            <w:tcBorders>
              <w:top w:val="nil"/>
              <w:left w:val="nil"/>
              <w:bottom w:val="nil"/>
              <w:right w:val="nil"/>
            </w:tcBorders>
            <w:shd w:val="clear" w:color="auto" w:fill="auto"/>
            <w:noWrap/>
            <w:textDirection w:val="btLr"/>
            <w:vAlign w:val="center"/>
            <w:hideMark/>
          </w:tcPr>
          <w:p w14:paraId="56CD892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(0.012)</w:t>
            </w:r>
          </w:p>
        </w:tc>
        <w:tc>
          <w:tcPr>
            <w:tcW w:w="420" w:type="dxa"/>
            <w:tcBorders>
              <w:top w:val="nil"/>
              <w:left w:val="nil"/>
              <w:bottom w:val="nil"/>
              <w:right w:val="nil"/>
            </w:tcBorders>
            <w:shd w:val="clear" w:color="auto" w:fill="auto"/>
            <w:noWrap/>
            <w:textDirection w:val="btLr"/>
            <w:vAlign w:val="center"/>
            <w:hideMark/>
          </w:tcPr>
          <w:p w14:paraId="2612E65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0.003***</w:t>
            </w:r>
          </w:p>
        </w:tc>
        <w:tc>
          <w:tcPr>
            <w:tcW w:w="420" w:type="dxa"/>
            <w:tcBorders>
              <w:top w:val="nil"/>
              <w:left w:val="nil"/>
              <w:bottom w:val="nil"/>
              <w:right w:val="nil"/>
            </w:tcBorders>
            <w:shd w:val="clear" w:color="auto" w:fill="auto"/>
            <w:noWrap/>
            <w:textDirection w:val="btLr"/>
            <w:vAlign w:val="center"/>
            <w:hideMark/>
          </w:tcPr>
          <w:p w14:paraId="3E1AB32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r>
      <w:tr w:rsidR="00AE1490" w:rsidRPr="00AE1490" w14:paraId="6DD61688" w14:textId="77777777" w:rsidTr="00AE1490">
        <w:trPr>
          <w:trHeight w:val="1120"/>
        </w:trPr>
        <w:tc>
          <w:tcPr>
            <w:tcW w:w="380" w:type="dxa"/>
            <w:vMerge/>
            <w:tcBorders>
              <w:top w:val="nil"/>
              <w:left w:val="nil"/>
              <w:bottom w:val="nil"/>
              <w:right w:val="single" w:sz="4" w:space="0" w:color="auto"/>
            </w:tcBorders>
            <w:vAlign w:val="center"/>
            <w:hideMark/>
          </w:tcPr>
          <w:p w14:paraId="178D271A"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1D21BFCD"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(7)</w:t>
            </w:r>
          </w:p>
        </w:tc>
        <w:tc>
          <w:tcPr>
            <w:tcW w:w="420" w:type="dxa"/>
            <w:tcBorders>
              <w:top w:val="nil"/>
              <w:left w:val="nil"/>
              <w:bottom w:val="nil"/>
              <w:right w:val="nil"/>
            </w:tcBorders>
            <w:shd w:val="clear" w:color="auto" w:fill="auto"/>
            <w:noWrap/>
            <w:textDirection w:val="btLr"/>
            <w:vAlign w:val="center"/>
            <w:hideMark/>
          </w:tcPr>
          <w:p w14:paraId="32C7ED8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-0.014**</w:t>
            </w:r>
          </w:p>
        </w:tc>
        <w:tc>
          <w:tcPr>
            <w:tcW w:w="420" w:type="dxa"/>
            <w:tcBorders>
              <w:top w:val="nil"/>
              <w:left w:val="nil"/>
              <w:bottom w:val="nil"/>
              <w:right w:val="nil"/>
            </w:tcBorders>
            <w:shd w:val="clear" w:color="auto" w:fill="auto"/>
            <w:noWrap/>
            <w:textDirection w:val="btLr"/>
            <w:vAlign w:val="center"/>
            <w:hideMark/>
          </w:tcPr>
          <w:p w14:paraId="3AEFDD2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(0.006)</w:t>
            </w:r>
          </w:p>
        </w:tc>
        <w:tc>
          <w:tcPr>
            <w:tcW w:w="420" w:type="dxa"/>
            <w:tcBorders>
              <w:top w:val="nil"/>
              <w:left w:val="nil"/>
              <w:bottom w:val="nil"/>
              <w:right w:val="nil"/>
            </w:tcBorders>
            <w:shd w:val="clear" w:color="auto" w:fill="auto"/>
            <w:noWrap/>
            <w:textDirection w:val="btLr"/>
            <w:vAlign w:val="center"/>
            <w:hideMark/>
          </w:tcPr>
          <w:p w14:paraId="1F05340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5AAF11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9EF46A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5B75A1C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4ACCECF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-0.025***</w:t>
            </w:r>
          </w:p>
        </w:tc>
        <w:tc>
          <w:tcPr>
            <w:tcW w:w="420" w:type="dxa"/>
            <w:tcBorders>
              <w:top w:val="nil"/>
              <w:left w:val="nil"/>
              <w:bottom w:val="nil"/>
              <w:right w:val="nil"/>
            </w:tcBorders>
            <w:shd w:val="clear" w:color="auto" w:fill="auto"/>
            <w:noWrap/>
            <w:textDirection w:val="btLr"/>
            <w:vAlign w:val="center"/>
            <w:hideMark/>
          </w:tcPr>
          <w:p w14:paraId="32ACBCF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(0.010)</w:t>
            </w:r>
          </w:p>
        </w:tc>
        <w:tc>
          <w:tcPr>
            <w:tcW w:w="420" w:type="dxa"/>
            <w:tcBorders>
              <w:top w:val="nil"/>
              <w:left w:val="nil"/>
              <w:bottom w:val="nil"/>
              <w:right w:val="nil"/>
            </w:tcBorders>
            <w:shd w:val="clear" w:color="auto" w:fill="auto"/>
            <w:noWrap/>
            <w:textDirection w:val="btLr"/>
            <w:vAlign w:val="center"/>
            <w:hideMark/>
          </w:tcPr>
          <w:p w14:paraId="27DA30C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0.009</w:t>
            </w:r>
          </w:p>
        </w:tc>
        <w:tc>
          <w:tcPr>
            <w:tcW w:w="420" w:type="dxa"/>
            <w:tcBorders>
              <w:top w:val="nil"/>
              <w:left w:val="nil"/>
              <w:bottom w:val="nil"/>
              <w:right w:val="nil"/>
            </w:tcBorders>
            <w:shd w:val="clear" w:color="auto" w:fill="auto"/>
            <w:noWrap/>
            <w:textDirection w:val="btLr"/>
            <w:vAlign w:val="center"/>
            <w:hideMark/>
          </w:tcPr>
          <w:p w14:paraId="788D8B4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(0.027)</w:t>
            </w:r>
          </w:p>
        </w:tc>
        <w:tc>
          <w:tcPr>
            <w:tcW w:w="680" w:type="dxa"/>
            <w:tcBorders>
              <w:top w:val="nil"/>
              <w:left w:val="nil"/>
              <w:bottom w:val="nil"/>
              <w:right w:val="nil"/>
            </w:tcBorders>
            <w:shd w:val="clear" w:color="auto" w:fill="auto"/>
            <w:noWrap/>
            <w:textDirection w:val="btLr"/>
            <w:vAlign w:val="center"/>
            <w:hideMark/>
          </w:tcPr>
          <w:p w14:paraId="6925B00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0.006</w:t>
            </w:r>
          </w:p>
        </w:tc>
        <w:tc>
          <w:tcPr>
            <w:tcW w:w="420" w:type="dxa"/>
            <w:tcBorders>
              <w:top w:val="nil"/>
              <w:left w:val="nil"/>
              <w:bottom w:val="nil"/>
              <w:right w:val="nil"/>
            </w:tcBorders>
            <w:shd w:val="clear" w:color="auto" w:fill="auto"/>
            <w:noWrap/>
            <w:textDirection w:val="btLr"/>
            <w:vAlign w:val="center"/>
            <w:hideMark/>
          </w:tcPr>
          <w:p w14:paraId="65DE2EF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(0.012)</w:t>
            </w:r>
          </w:p>
        </w:tc>
        <w:tc>
          <w:tcPr>
            <w:tcW w:w="420" w:type="dxa"/>
            <w:tcBorders>
              <w:top w:val="nil"/>
              <w:left w:val="nil"/>
              <w:bottom w:val="nil"/>
              <w:right w:val="nil"/>
            </w:tcBorders>
            <w:shd w:val="clear" w:color="auto" w:fill="auto"/>
            <w:noWrap/>
            <w:textDirection w:val="btLr"/>
            <w:vAlign w:val="center"/>
            <w:hideMark/>
          </w:tcPr>
          <w:p w14:paraId="17BDA03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0.003***</w:t>
            </w:r>
          </w:p>
        </w:tc>
        <w:tc>
          <w:tcPr>
            <w:tcW w:w="420" w:type="dxa"/>
            <w:tcBorders>
              <w:top w:val="nil"/>
              <w:left w:val="nil"/>
              <w:bottom w:val="nil"/>
              <w:right w:val="nil"/>
            </w:tcBorders>
            <w:shd w:val="clear" w:color="auto" w:fill="auto"/>
            <w:noWrap/>
            <w:textDirection w:val="btLr"/>
            <w:vAlign w:val="center"/>
            <w:hideMark/>
          </w:tcPr>
          <w:p w14:paraId="60B72A1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r>
      <w:tr w:rsidR="00AE1490" w:rsidRPr="00AE1490" w14:paraId="0B1A5011" w14:textId="77777777" w:rsidTr="00AE1490">
        <w:trPr>
          <w:trHeight w:val="1060"/>
        </w:trPr>
        <w:tc>
          <w:tcPr>
            <w:tcW w:w="380" w:type="dxa"/>
            <w:vMerge/>
            <w:tcBorders>
              <w:top w:val="nil"/>
              <w:left w:val="nil"/>
              <w:bottom w:val="nil"/>
              <w:right w:val="single" w:sz="4" w:space="0" w:color="auto"/>
            </w:tcBorders>
            <w:vAlign w:val="center"/>
            <w:hideMark/>
          </w:tcPr>
          <w:p w14:paraId="492B545E"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1E5088D2"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(6)</w:t>
            </w:r>
          </w:p>
        </w:tc>
        <w:tc>
          <w:tcPr>
            <w:tcW w:w="420" w:type="dxa"/>
            <w:tcBorders>
              <w:top w:val="nil"/>
              <w:left w:val="nil"/>
              <w:bottom w:val="nil"/>
              <w:right w:val="nil"/>
            </w:tcBorders>
            <w:shd w:val="clear" w:color="auto" w:fill="auto"/>
            <w:noWrap/>
            <w:textDirection w:val="btLr"/>
            <w:vAlign w:val="center"/>
            <w:hideMark/>
          </w:tcPr>
          <w:p w14:paraId="129D9EA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-0.012*</w:t>
            </w:r>
          </w:p>
        </w:tc>
        <w:tc>
          <w:tcPr>
            <w:tcW w:w="420" w:type="dxa"/>
            <w:tcBorders>
              <w:top w:val="nil"/>
              <w:left w:val="nil"/>
              <w:bottom w:val="nil"/>
              <w:right w:val="nil"/>
            </w:tcBorders>
            <w:shd w:val="clear" w:color="auto" w:fill="auto"/>
            <w:noWrap/>
            <w:textDirection w:val="btLr"/>
            <w:vAlign w:val="center"/>
            <w:hideMark/>
          </w:tcPr>
          <w:p w14:paraId="43DB651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(0.006)</w:t>
            </w:r>
          </w:p>
        </w:tc>
        <w:tc>
          <w:tcPr>
            <w:tcW w:w="420" w:type="dxa"/>
            <w:tcBorders>
              <w:top w:val="nil"/>
              <w:left w:val="nil"/>
              <w:bottom w:val="nil"/>
              <w:right w:val="nil"/>
            </w:tcBorders>
            <w:shd w:val="clear" w:color="auto" w:fill="auto"/>
            <w:noWrap/>
            <w:textDirection w:val="btLr"/>
            <w:vAlign w:val="center"/>
            <w:hideMark/>
          </w:tcPr>
          <w:p w14:paraId="52C33FE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777ABD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3507CA3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6E596E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30DA8CC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B57BA5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F943B5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4B6AC50" w14:textId="77777777" w:rsidR="00AE1490" w:rsidRPr="00AE1490" w:rsidRDefault="00AE1490" w:rsidP="00AE1490">
            <w:pPr>
              <w:spacing w:after="0"/>
              <w:rPr>
                <w:rFonts w:eastAsia="Times New Roman" w:cs="Times New Roman"/>
                <w:lang w:eastAsia="en-US"/>
              </w:rPr>
            </w:pPr>
          </w:p>
        </w:tc>
        <w:tc>
          <w:tcPr>
            <w:tcW w:w="680" w:type="dxa"/>
            <w:tcBorders>
              <w:top w:val="nil"/>
              <w:left w:val="nil"/>
              <w:bottom w:val="nil"/>
              <w:right w:val="nil"/>
            </w:tcBorders>
            <w:shd w:val="clear" w:color="auto" w:fill="auto"/>
            <w:noWrap/>
            <w:textDirection w:val="btLr"/>
            <w:vAlign w:val="center"/>
            <w:hideMark/>
          </w:tcPr>
          <w:p w14:paraId="1EFD5C3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8C6A9A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866598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986954D" w14:textId="77777777" w:rsidR="00AE1490" w:rsidRPr="00AE1490" w:rsidRDefault="00AE1490" w:rsidP="00AE1490">
            <w:pPr>
              <w:spacing w:after="0"/>
              <w:rPr>
                <w:rFonts w:eastAsia="Times New Roman" w:cs="Times New Roman"/>
                <w:lang w:eastAsia="en-US"/>
              </w:rPr>
            </w:pPr>
          </w:p>
        </w:tc>
      </w:tr>
      <w:tr w:rsidR="00AE1490" w:rsidRPr="00AE1490" w14:paraId="19AEF639" w14:textId="77777777" w:rsidTr="00AE1490">
        <w:trPr>
          <w:trHeight w:val="1060"/>
        </w:trPr>
        <w:tc>
          <w:tcPr>
            <w:tcW w:w="380" w:type="dxa"/>
            <w:vMerge/>
            <w:tcBorders>
              <w:top w:val="nil"/>
              <w:left w:val="nil"/>
              <w:bottom w:val="nil"/>
              <w:right w:val="single" w:sz="4" w:space="0" w:color="auto"/>
            </w:tcBorders>
            <w:vAlign w:val="center"/>
            <w:hideMark/>
          </w:tcPr>
          <w:p w14:paraId="0B7E4C49"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0741312A"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(5)</w:t>
            </w:r>
          </w:p>
        </w:tc>
        <w:tc>
          <w:tcPr>
            <w:tcW w:w="420" w:type="dxa"/>
            <w:tcBorders>
              <w:top w:val="nil"/>
              <w:left w:val="nil"/>
              <w:bottom w:val="nil"/>
              <w:right w:val="nil"/>
            </w:tcBorders>
            <w:shd w:val="clear" w:color="auto" w:fill="auto"/>
            <w:noWrap/>
            <w:textDirection w:val="btLr"/>
            <w:vAlign w:val="center"/>
            <w:hideMark/>
          </w:tcPr>
          <w:p w14:paraId="6B07C4E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-0.010</w:t>
            </w:r>
          </w:p>
        </w:tc>
        <w:tc>
          <w:tcPr>
            <w:tcW w:w="420" w:type="dxa"/>
            <w:tcBorders>
              <w:top w:val="nil"/>
              <w:left w:val="nil"/>
              <w:bottom w:val="nil"/>
              <w:right w:val="nil"/>
            </w:tcBorders>
            <w:shd w:val="clear" w:color="auto" w:fill="auto"/>
            <w:noWrap/>
            <w:textDirection w:val="btLr"/>
            <w:vAlign w:val="center"/>
            <w:hideMark/>
          </w:tcPr>
          <w:p w14:paraId="241A28B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(0.006)</w:t>
            </w:r>
          </w:p>
        </w:tc>
        <w:tc>
          <w:tcPr>
            <w:tcW w:w="420" w:type="dxa"/>
            <w:tcBorders>
              <w:top w:val="nil"/>
              <w:left w:val="nil"/>
              <w:bottom w:val="nil"/>
              <w:right w:val="nil"/>
            </w:tcBorders>
            <w:shd w:val="clear" w:color="auto" w:fill="auto"/>
            <w:noWrap/>
            <w:textDirection w:val="btLr"/>
            <w:vAlign w:val="center"/>
            <w:hideMark/>
          </w:tcPr>
          <w:p w14:paraId="1A99AB83"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45573B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D44227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9EC29C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40B36E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D46B2B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C43963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7E66D23" w14:textId="77777777" w:rsidR="00AE1490" w:rsidRPr="00AE1490" w:rsidRDefault="00AE1490" w:rsidP="00AE1490">
            <w:pPr>
              <w:spacing w:after="0"/>
              <w:rPr>
                <w:rFonts w:eastAsia="Times New Roman" w:cs="Times New Roman"/>
                <w:lang w:eastAsia="en-US"/>
              </w:rPr>
            </w:pPr>
          </w:p>
        </w:tc>
        <w:tc>
          <w:tcPr>
            <w:tcW w:w="680" w:type="dxa"/>
            <w:tcBorders>
              <w:top w:val="nil"/>
              <w:left w:val="nil"/>
              <w:bottom w:val="nil"/>
              <w:right w:val="nil"/>
            </w:tcBorders>
            <w:shd w:val="clear" w:color="auto" w:fill="auto"/>
            <w:noWrap/>
            <w:textDirection w:val="btLr"/>
            <w:vAlign w:val="center"/>
            <w:hideMark/>
          </w:tcPr>
          <w:p w14:paraId="2DF5913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0CF9E2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7F21A9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DF34BC8" w14:textId="77777777" w:rsidR="00AE1490" w:rsidRPr="00AE1490" w:rsidRDefault="00AE1490" w:rsidP="00AE1490">
            <w:pPr>
              <w:spacing w:after="0"/>
              <w:rPr>
                <w:rFonts w:eastAsia="Times New Roman" w:cs="Times New Roman"/>
                <w:lang w:eastAsia="en-US"/>
              </w:rPr>
            </w:pPr>
          </w:p>
        </w:tc>
      </w:tr>
      <w:tr w:rsidR="00AE1490" w:rsidRPr="00AE1490" w14:paraId="25E49A16" w14:textId="77777777" w:rsidTr="00AE1490">
        <w:trPr>
          <w:trHeight w:val="1120"/>
        </w:trPr>
        <w:tc>
          <w:tcPr>
            <w:tcW w:w="380" w:type="dxa"/>
            <w:vMerge/>
            <w:tcBorders>
              <w:top w:val="nil"/>
              <w:left w:val="nil"/>
              <w:bottom w:val="nil"/>
              <w:right w:val="single" w:sz="4" w:space="0" w:color="auto"/>
            </w:tcBorders>
            <w:vAlign w:val="center"/>
            <w:hideMark/>
          </w:tcPr>
          <w:p w14:paraId="6828B5E2"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7CD67C62"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(4)</w:t>
            </w:r>
          </w:p>
        </w:tc>
        <w:tc>
          <w:tcPr>
            <w:tcW w:w="420" w:type="dxa"/>
            <w:tcBorders>
              <w:top w:val="nil"/>
              <w:left w:val="nil"/>
              <w:bottom w:val="nil"/>
              <w:right w:val="nil"/>
            </w:tcBorders>
            <w:shd w:val="clear" w:color="auto" w:fill="auto"/>
            <w:noWrap/>
            <w:textDirection w:val="btLr"/>
            <w:vAlign w:val="center"/>
            <w:hideMark/>
          </w:tcPr>
          <w:p w14:paraId="4B6EC14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-0.014**</w:t>
            </w:r>
          </w:p>
        </w:tc>
        <w:tc>
          <w:tcPr>
            <w:tcW w:w="420" w:type="dxa"/>
            <w:tcBorders>
              <w:top w:val="nil"/>
              <w:left w:val="nil"/>
              <w:bottom w:val="nil"/>
              <w:right w:val="nil"/>
            </w:tcBorders>
            <w:shd w:val="clear" w:color="auto" w:fill="auto"/>
            <w:noWrap/>
            <w:textDirection w:val="btLr"/>
            <w:vAlign w:val="center"/>
            <w:hideMark/>
          </w:tcPr>
          <w:p w14:paraId="72F9761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(0.006)</w:t>
            </w:r>
          </w:p>
        </w:tc>
        <w:tc>
          <w:tcPr>
            <w:tcW w:w="420" w:type="dxa"/>
            <w:tcBorders>
              <w:top w:val="nil"/>
              <w:left w:val="nil"/>
              <w:bottom w:val="nil"/>
              <w:right w:val="nil"/>
            </w:tcBorders>
            <w:shd w:val="clear" w:color="auto" w:fill="auto"/>
            <w:noWrap/>
            <w:textDirection w:val="btLr"/>
            <w:vAlign w:val="center"/>
            <w:hideMark/>
          </w:tcPr>
          <w:p w14:paraId="673349A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59CB59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7EEAD8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A8502A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BC42B0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-0.028***</w:t>
            </w:r>
          </w:p>
        </w:tc>
        <w:tc>
          <w:tcPr>
            <w:tcW w:w="420" w:type="dxa"/>
            <w:tcBorders>
              <w:top w:val="nil"/>
              <w:left w:val="nil"/>
              <w:bottom w:val="nil"/>
              <w:right w:val="nil"/>
            </w:tcBorders>
            <w:shd w:val="clear" w:color="auto" w:fill="auto"/>
            <w:noWrap/>
            <w:textDirection w:val="btLr"/>
            <w:vAlign w:val="center"/>
            <w:hideMark/>
          </w:tcPr>
          <w:p w14:paraId="0FB4256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(0.009)</w:t>
            </w:r>
          </w:p>
        </w:tc>
        <w:tc>
          <w:tcPr>
            <w:tcW w:w="420" w:type="dxa"/>
            <w:tcBorders>
              <w:top w:val="nil"/>
              <w:left w:val="nil"/>
              <w:bottom w:val="nil"/>
              <w:right w:val="nil"/>
            </w:tcBorders>
            <w:shd w:val="clear" w:color="auto" w:fill="auto"/>
            <w:noWrap/>
            <w:textDirection w:val="btLr"/>
            <w:vAlign w:val="center"/>
            <w:hideMark/>
          </w:tcPr>
          <w:p w14:paraId="0D0CBE0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0.029</w:t>
            </w:r>
          </w:p>
        </w:tc>
        <w:tc>
          <w:tcPr>
            <w:tcW w:w="420" w:type="dxa"/>
            <w:tcBorders>
              <w:top w:val="nil"/>
              <w:left w:val="nil"/>
              <w:bottom w:val="nil"/>
              <w:right w:val="nil"/>
            </w:tcBorders>
            <w:shd w:val="clear" w:color="auto" w:fill="auto"/>
            <w:noWrap/>
            <w:textDirection w:val="btLr"/>
            <w:vAlign w:val="center"/>
            <w:hideMark/>
          </w:tcPr>
          <w:p w14:paraId="3CE3274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(0.022)</w:t>
            </w:r>
          </w:p>
        </w:tc>
        <w:tc>
          <w:tcPr>
            <w:tcW w:w="680" w:type="dxa"/>
            <w:tcBorders>
              <w:top w:val="nil"/>
              <w:left w:val="nil"/>
              <w:bottom w:val="nil"/>
              <w:right w:val="nil"/>
            </w:tcBorders>
            <w:shd w:val="clear" w:color="auto" w:fill="auto"/>
            <w:noWrap/>
            <w:textDirection w:val="btLr"/>
            <w:vAlign w:val="center"/>
            <w:hideMark/>
          </w:tcPr>
          <w:p w14:paraId="7166979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0.006</w:t>
            </w:r>
          </w:p>
        </w:tc>
        <w:tc>
          <w:tcPr>
            <w:tcW w:w="420" w:type="dxa"/>
            <w:tcBorders>
              <w:top w:val="nil"/>
              <w:left w:val="nil"/>
              <w:bottom w:val="nil"/>
              <w:right w:val="nil"/>
            </w:tcBorders>
            <w:shd w:val="clear" w:color="auto" w:fill="auto"/>
            <w:noWrap/>
            <w:textDirection w:val="btLr"/>
            <w:vAlign w:val="center"/>
            <w:hideMark/>
          </w:tcPr>
          <w:p w14:paraId="07D39DE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(0.011)</w:t>
            </w:r>
          </w:p>
        </w:tc>
        <w:tc>
          <w:tcPr>
            <w:tcW w:w="420" w:type="dxa"/>
            <w:tcBorders>
              <w:top w:val="nil"/>
              <w:left w:val="nil"/>
              <w:bottom w:val="nil"/>
              <w:right w:val="nil"/>
            </w:tcBorders>
            <w:shd w:val="clear" w:color="auto" w:fill="auto"/>
            <w:noWrap/>
            <w:textDirection w:val="btLr"/>
            <w:vAlign w:val="center"/>
            <w:hideMark/>
          </w:tcPr>
          <w:p w14:paraId="5C5CA8F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0.003***</w:t>
            </w:r>
          </w:p>
        </w:tc>
        <w:tc>
          <w:tcPr>
            <w:tcW w:w="420" w:type="dxa"/>
            <w:tcBorders>
              <w:top w:val="nil"/>
              <w:left w:val="nil"/>
              <w:bottom w:val="nil"/>
              <w:right w:val="nil"/>
            </w:tcBorders>
            <w:shd w:val="clear" w:color="auto" w:fill="auto"/>
            <w:noWrap/>
            <w:textDirection w:val="btLr"/>
            <w:vAlign w:val="center"/>
            <w:hideMark/>
          </w:tcPr>
          <w:p w14:paraId="69CAD89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r>
      <w:tr w:rsidR="00AE1490" w:rsidRPr="00AE1490" w14:paraId="22CCA7EF" w14:textId="77777777" w:rsidTr="00AE1490">
        <w:trPr>
          <w:trHeight w:val="1120"/>
        </w:trPr>
        <w:tc>
          <w:tcPr>
            <w:tcW w:w="380" w:type="dxa"/>
            <w:vMerge/>
            <w:tcBorders>
              <w:top w:val="nil"/>
              <w:left w:val="nil"/>
              <w:bottom w:val="nil"/>
              <w:right w:val="single" w:sz="4" w:space="0" w:color="auto"/>
            </w:tcBorders>
            <w:vAlign w:val="center"/>
            <w:hideMark/>
          </w:tcPr>
          <w:p w14:paraId="4DF8076C"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3F419460"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(3)</w:t>
            </w:r>
          </w:p>
        </w:tc>
        <w:tc>
          <w:tcPr>
            <w:tcW w:w="420" w:type="dxa"/>
            <w:tcBorders>
              <w:top w:val="nil"/>
              <w:left w:val="nil"/>
              <w:bottom w:val="nil"/>
              <w:right w:val="nil"/>
            </w:tcBorders>
            <w:shd w:val="clear" w:color="auto" w:fill="auto"/>
            <w:noWrap/>
            <w:textDirection w:val="btLr"/>
            <w:vAlign w:val="center"/>
            <w:hideMark/>
          </w:tcPr>
          <w:p w14:paraId="51E5EE0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-0.016***</w:t>
            </w:r>
          </w:p>
        </w:tc>
        <w:tc>
          <w:tcPr>
            <w:tcW w:w="420" w:type="dxa"/>
            <w:tcBorders>
              <w:top w:val="nil"/>
              <w:left w:val="nil"/>
              <w:bottom w:val="nil"/>
              <w:right w:val="nil"/>
            </w:tcBorders>
            <w:shd w:val="clear" w:color="auto" w:fill="auto"/>
            <w:noWrap/>
            <w:textDirection w:val="btLr"/>
            <w:vAlign w:val="center"/>
            <w:hideMark/>
          </w:tcPr>
          <w:p w14:paraId="7CEA7E5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(0.006)</w:t>
            </w:r>
          </w:p>
        </w:tc>
        <w:tc>
          <w:tcPr>
            <w:tcW w:w="420" w:type="dxa"/>
            <w:tcBorders>
              <w:top w:val="nil"/>
              <w:left w:val="nil"/>
              <w:bottom w:val="nil"/>
              <w:right w:val="nil"/>
            </w:tcBorders>
            <w:shd w:val="clear" w:color="auto" w:fill="auto"/>
            <w:noWrap/>
            <w:textDirection w:val="btLr"/>
            <w:vAlign w:val="center"/>
            <w:hideMark/>
          </w:tcPr>
          <w:p w14:paraId="4AFE38C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15D534B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F530A3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1FBBEEB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7C1E3A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447839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68F1BD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B2C73A8" w14:textId="77777777" w:rsidR="00AE1490" w:rsidRPr="00AE1490" w:rsidRDefault="00AE1490" w:rsidP="00AE1490">
            <w:pPr>
              <w:spacing w:after="0"/>
              <w:rPr>
                <w:rFonts w:eastAsia="Times New Roman" w:cs="Times New Roman"/>
                <w:lang w:eastAsia="en-US"/>
              </w:rPr>
            </w:pPr>
          </w:p>
        </w:tc>
        <w:tc>
          <w:tcPr>
            <w:tcW w:w="680" w:type="dxa"/>
            <w:tcBorders>
              <w:top w:val="nil"/>
              <w:left w:val="nil"/>
              <w:bottom w:val="nil"/>
              <w:right w:val="nil"/>
            </w:tcBorders>
            <w:shd w:val="clear" w:color="auto" w:fill="auto"/>
            <w:noWrap/>
            <w:textDirection w:val="btLr"/>
            <w:vAlign w:val="center"/>
            <w:hideMark/>
          </w:tcPr>
          <w:p w14:paraId="635DB85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D76BAC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EE91D57"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0178EC4" w14:textId="77777777" w:rsidR="00AE1490" w:rsidRPr="00AE1490" w:rsidRDefault="00AE1490" w:rsidP="00AE1490">
            <w:pPr>
              <w:spacing w:after="0"/>
              <w:rPr>
                <w:rFonts w:eastAsia="Times New Roman" w:cs="Times New Roman"/>
                <w:lang w:eastAsia="en-US"/>
              </w:rPr>
            </w:pPr>
          </w:p>
        </w:tc>
      </w:tr>
      <w:tr w:rsidR="00AE1490" w:rsidRPr="00AE1490" w14:paraId="7869EDE5" w14:textId="77777777" w:rsidTr="00AE1490">
        <w:trPr>
          <w:trHeight w:val="1060"/>
        </w:trPr>
        <w:tc>
          <w:tcPr>
            <w:tcW w:w="380" w:type="dxa"/>
            <w:vMerge/>
            <w:tcBorders>
              <w:top w:val="nil"/>
              <w:left w:val="nil"/>
              <w:bottom w:val="nil"/>
              <w:right w:val="single" w:sz="4" w:space="0" w:color="auto"/>
            </w:tcBorders>
            <w:vAlign w:val="center"/>
            <w:hideMark/>
          </w:tcPr>
          <w:p w14:paraId="20532E2E"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321F5E39"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(2)</w:t>
            </w:r>
          </w:p>
        </w:tc>
        <w:tc>
          <w:tcPr>
            <w:tcW w:w="420" w:type="dxa"/>
            <w:tcBorders>
              <w:top w:val="nil"/>
              <w:left w:val="nil"/>
              <w:bottom w:val="nil"/>
              <w:right w:val="nil"/>
            </w:tcBorders>
            <w:shd w:val="clear" w:color="auto" w:fill="auto"/>
            <w:noWrap/>
            <w:textDirection w:val="btLr"/>
            <w:vAlign w:val="center"/>
            <w:hideMark/>
          </w:tcPr>
          <w:p w14:paraId="786E7D6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-0.015**</w:t>
            </w:r>
          </w:p>
        </w:tc>
        <w:tc>
          <w:tcPr>
            <w:tcW w:w="420" w:type="dxa"/>
            <w:tcBorders>
              <w:top w:val="nil"/>
              <w:left w:val="nil"/>
              <w:bottom w:val="nil"/>
              <w:right w:val="nil"/>
            </w:tcBorders>
            <w:shd w:val="clear" w:color="auto" w:fill="auto"/>
            <w:noWrap/>
            <w:textDirection w:val="btLr"/>
            <w:vAlign w:val="center"/>
            <w:hideMark/>
          </w:tcPr>
          <w:p w14:paraId="41CEE52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(0.006)</w:t>
            </w:r>
          </w:p>
        </w:tc>
        <w:tc>
          <w:tcPr>
            <w:tcW w:w="420" w:type="dxa"/>
            <w:tcBorders>
              <w:top w:val="nil"/>
              <w:left w:val="nil"/>
              <w:bottom w:val="nil"/>
              <w:right w:val="nil"/>
            </w:tcBorders>
            <w:shd w:val="clear" w:color="auto" w:fill="auto"/>
            <w:noWrap/>
            <w:textDirection w:val="btLr"/>
            <w:vAlign w:val="center"/>
            <w:hideMark/>
          </w:tcPr>
          <w:p w14:paraId="393A4E0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CCF5CB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A24EF5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5FD9C3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D5DCC4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271CC4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2B5B00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F2E00C3" w14:textId="77777777" w:rsidR="00AE1490" w:rsidRPr="00AE1490" w:rsidRDefault="00AE1490" w:rsidP="00AE1490">
            <w:pPr>
              <w:spacing w:after="0"/>
              <w:rPr>
                <w:rFonts w:eastAsia="Times New Roman" w:cs="Times New Roman"/>
                <w:lang w:eastAsia="en-US"/>
              </w:rPr>
            </w:pPr>
          </w:p>
        </w:tc>
        <w:tc>
          <w:tcPr>
            <w:tcW w:w="680" w:type="dxa"/>
            <w:tcBorders>
              <w:top w:val="nil"/>
              <w:left w:val="nil"/>
              <w:bottom w:val="nil"/>
              <w:right w:val="nil"/>
            </w:tcBorders>
            <w:shd w:val="clear" w:color="auto" w:fill="auto"/>
            <w:noWrap/>
            <w:textDirection w:val="btLr"/>
            <w:vAlign w:val="center"/>
            <w:hideMark/>
          </w:tcPr>
          <w:p w14:paraId="52E026F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C446BF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7EF859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AE543E1" w14:textId="77777777" w:rsidR="00AE1490" w:rsidRPr="00AE1490" w:rsidRDefault="00AE1490" w:rsidP="00AE1490">
            <w:pPr>
              <w:spacing w:after="0"/>
              <w:rPr>
                <w:rFonts w:eastAsia="Times New Roman" w:cs="Times New Roman"/>
                <w:lang w:eastAsia="en-US"/>
              </w:rPr>
            </w:pPr>
          </w:p>
        </w:tc>
      </w:tr>
      <w:tr w:rsidR="00AE1490" w:rsidRPr="00AE1490" w14:paraId="2FDE92DE" w14:textId="77777777" w:rsidTr="00AE1490">
        <w:trPr>
          <w:trHeight w:val="1060"/>
        </w:trPr>
        <w:tc>
          <w:tcPr>
            <w:tcW w:w="380" w:type="dxa"/>
            <w:vMerge/>
            <w:tcBorders>
              <w:top w:val="nil"/>
              <w:left w:val="nil"/>
              <w:bottom w:val="nil"/>
              <w:right w:val="single" w:sz="4" w:space="0" w:color="auto"/>
            </w:tcBorders>
            <w:vAlign w:val="center"/>
            <w:hideMark/>
          </w:tcPr>
          <w:p w14:paraId="12D85E69"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11AA8B22" w14:textId="77777777" w:rsidR="00AE1490" w:rsidRPr="00AE1490" w:rsidRDefault="00AE1490" w:rsidP="00AE1490">
            <w:pPr>
              <w:spacing w:after="0"/>
              <w:rPr>
                <w:rFonts w:eastAsia="Times New Roman" w:cs="Times New Roman"/>
                <w:b/>
                <w:bCs/>
                <w:lang w:eastAsia="en-US"/>
              </w:rPr>
            </w:pPr>
            <w:r w:rsidRPr="00AE1490">
              <w:rPr>
                <w:rFonts w:eastAsia="Times New Roman" w:cs="Times New Roman"/>
                <w:b/>
                <w:bCs/>
                <w:lang w:eastAsia="en-US"/>
              </w:rPr>
              <w:t>(1)</w:t>
            </w:r>
          </w:p>
        </w:tc>
        <w:tc>
          <w:tcPr>
            <w:tcW w:w="420" w:type="dxa"/>
            <w:tcBorders>
              <w:top w:val="nil"/>
              <w:left w:val="nil"/>
              <w:bottom w:val="nil"/>
              <w:right w:val="nil"/>
            </w:tcBorders>
            <w:shd w:val="clear" w:color="auto" w:fill="auto"/>
            <w:noWrap/>
            <w:textDirection w:val="btLr"/>
            <w:vAlign w:val="center"/>
            <w:hideMark/>
          </w:tcPr>
          <w:p w14:paraId="56A8588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-0.014**</w:t>
            </w:r>
          </w:p>
        </w:tc>
        <w:tc>
          <w:tcPr>
            <w:tcW w:w="420" w:type="dxa"/>
            <w:tcBorders>
              <w:top w:val="nil"/>
              <w:left w:val="nil"/>
              <w:bottom w:val="nil"/>
              <w:right w:val="nil"/>
            </w:tcBorders>
            <w:shd w:val="clear" w:color="auto" w:fill="auto"/>
            <w:noWrap/>
            <w:textDirection w:val="btLr"/>
            <w:vAlign w:val="center"/>
            <w:hideMark/>
          </w:tcPr>
          <w:p w14:paraId="1359810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(0.006)</w:t>
            </w:r>
          </w:p>
        </w:tc>
        <w:tc>
          <w:tcPr>
            <w:tcW w:w="420" w:type="dxa"/>
            <w:tcBorders>
              <w:top w:val="nil"/>
              <w:left w:val="nil"/>
              <w:bottom w:val="nil"/>
              <w:right w:val="nil"/>
            </w:tcBorders>
            <w:shd w:val="clear" w:color="auto" w:fill="auto"/>
            <w:noWrap/>
            <w:textDirection w:val="btLr"/>
            <w:vAlign w:val="center"/>
            <w:hideMark/>
          </w:tcPr>
          <w:p w14:paraId="6BB7835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A35A6D8"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74EA66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F519F1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9513D0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C9FF3B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F548A37"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94753AB" w14:textId="77777777" w:rsidR="00AE1490" w:rsidRPr="00AE1490" w:rsidRDefault="00AE1490" w:rsidP="00AE1490">
            <w:pPr>
              <w:spacing w:after="0"/>
              <w:rPr>
                <w:rFonts w:eastAsia="Times New Roman" w:cs="Times New Roman"/>
                <w:lang w:eastAsia="en-US"/>
              </w:rPr>
            </w:pPr>
          </w:p>
        </w:tc>
        <w:tc>
          <w:tcPr>
            <w:tcW w:w="680" w:type="dxa"/>
            <w:tcBorders>
              <w:top w:val="nil"/>
              <w:left w:val="nil"/>
              <w:bottom w:val="nil"/>
              <w:right w:val="nil"/>
            </w:tcBorders>
            <w:shd w:val="clear" w:color="auto" w:fill="auto"/>
            <w:noWrap/>
            <w:textDirection w:val="btLr"/>
            <w:vAlign w:val="center"/>
            <w:hideMark/>
          </w:tcPr>
          <w:p w14:paraId="7061B257"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F03B108"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BAB82C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DC5FF42" w14:textId="77777777" w:rsidR="00AE1490" w:rsidRPr="00AE1490" w:rsidRDefault="00AE1490" w:rsidP="00AE1490">
            <w:pPr>
              <w:spacing w:after="0"/>
              <w:rPr>
                <w:rFonts w:eastAsia="Times New Roman" w:cs="Times New Roman"/>
                <w:lang w:eastAsia="en-US"/>
              </w:rPr>
            </w:pPr>
          </w:p>
        </w:tc>
      </w:tr>
      <w:tr w:rsidR="00AE1490" w:rsidRPr="00AE1490" w14:paraId="4243F5E3" w14:textId="77777777" w:rsidTr="002F7E74">
        <w:trPr>
          <w:trHeight w:val="1960"/>
        </w:trPr>
        <w:tc>
          <w:tcPr>
            <w:tcW w:w="380" w:type="dxa"/>
            <w:vMerge/>
            <w:tcBorders>
              <w:top w:val="nil"/>
              <w:left w:val="nil"/>
              <w:bottom w:val="nil"/>
              <w:right w:val="single" w:sz="4" w:space="0" w:color="auto"/>
            </w:tcBorders>
            <w:vAlign w:val="center"/>
            <w:hideMark/>
          </w:tcPr>
          <w:p w14:paraId="08B52D49" w14:textId="77777777" w:rsidR="00AE1490" w:rsidRPr="00AE1490" w:rsidRDefault="00AE1490" w:rsidP="00AE1490">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29970CC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22D3190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Frenchness</w:t>
            </w:r>
          </w:p>
        </w:tc>
        <w:tc>
          <w:tcPr>
            <w:tcW w:w="420" w:type="dxa"/>
            <w:tcBorders>
              <w:top w:val="nil"/>
              <w:left w:val="nil"/>
              <w:bottom w:val="nil"/>
              <w:right w:val="nil"/>
            </w:tcBorders>
            <w:shd w:val="clear" w:color="auto" w:fill="auto"/>
            <w:textDirection w:val="btLr"/>
            <w:vAlign w:val="center"/>
            <w:hideMark/>
          </w:tcPr>
          <w:p w14:paraId="1773BB05" w14:textId="77777777" w:rsidR="00AE1490" w:rsidRPr="00AE1490" w:rsidRDefault="00AE1490" w:rsidP="00AE1490">
            <w:pPr>
              <w:spacing w:after="0"/>
              <w:rPr>
                <w:rFonts w:eastAsia="Times New Roman" w:cs="Times New Roman"/>
                <w:lang w:eastAsia="en-US"/>
              </w:rPr>
            </w:pPr>
          </w:p>
        </w:tc>
        <w:tc>
          <w:tcPr>
            <w:tcW w:w="840" w:type="dxa"/>
            <w:gridSpan w:val="2"/>
            <w:tcBorders>
              <w:top w:val="nil"/>
              <w:left w:val="nil"/>
              <w:bottom w:val="nil"/>
              <w:right w:val="nil"/>
            </w:tcBorders>
            <w:shd w:val="clear" w:color="auto" w:fill="auto"/>
            <w:textDirection w:val="btLr"/>
            <w:hideMark/>
          </w:tcPr>
          <w:p w14:paraId="4DDA7F5D" w14:textId="77777777" w:rsidR="00AE1490" w:rsidRPr="00AE1490" w:rsidRDefault="00AE1490" w:rsidP="002F7E74">
            <w:pPr>
              <w:spacing w:after="0"/>
              <w:rPr>
                <w:rFonts w:eastAsia="Times New Roman" w:cs="Times New Roman"/>
                <w:lang w:eastAsia="en-US"/>
              </w:rPr>
            </w:pPr>
            <w:r w:rsidRPr="00AE1490">
              <w:rPr>
                <w:rFonts w:eastAsia="Times New Roman" w:cs="Times New Roman"/>
                <w:lang w:eastAsia="en-US"/>
              </w:rPr>
              <w:t>Real GDP (ln)</w:t>
            </w:r>
          </w:p>
        </w:tc>
        <w:tc>
          <w:tcPr>
            <w:tcW w:w="420" w:type="dxa"/>
            <w:tcBorders>
              <w:top w:val="nil"/>
              <w:left w:val="nil"/>
              <w:bottom w:val="nil"/>
              <w:right w:val="nil"/>
            </w:tcBorders>
            <w:shd w:val="clear" w:color="auto" w:fill="auto"/>
            <w:textDirection w:val="btLr"/>
            <w:vAlign w:val="center"/>
            <w:hideMark/>
          </w:tcPr>
          <w:p w14:paraId="5254F6B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Trade Flows</w:t>
            </w:r>
          </w:p>
        </w:tc>
        <w:tc>
          <w:tcPr>
            <w:tcW w:w="420" w:type="dxa"/>
            <w:tcBorders>
              <w:top w:val="nil"/>
              <w:left w:val="nil"/>
              <w:bottom w:val="nil"/>
              <w:right w:val="nil"/>
            </w:tcBorders>
            <w:shd w:val="clear" w:color="auto" w:fill="auto"/>
            <w:textDirection w:val="btLr"/>
            <w:vAlign w:val="center"/>
            <w:hideMark/>
          </w:tcPr>
          <w:p w14:paraId="208A9657"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7FB64DB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Recipient Civil War</w:t>
            </w:r>
          </w:p>
        </w:tc>
        <w:tc>
          <w:tcPr>
            <w:tcW w:w="420" w:type="dxa"/>
            <w:tcBorders>
              <w:top w:val="nil"/>
              <w:left w:val="nil"/>
              <w:bottom w:val="nil"/>
              <w:right w:val="nil"/>
            </w:tcBorders>
            <w:shd w:val="clear" w:color="auto" w:fill="auto"/>
            <w:textDirection w:val="btLr"/>
            <w:vAlign w:val="center"/>
            <w:hideMark/>
          </w:tcPr>
          <w:p w14:paraId="0FD1261A" w14:textId="77777777" w:rsidR="00AE1490" w:rsidRPr="00AE1490" w:rsidRDefault="00AE1490" w:rsidP="00AE1490">
            <w:pPr>
              <w:spacing w:after="0"/>
              <w:rPr>
                <w:rFonts w:eastAsia="Times New Roman" w:cs="Times New Roman"/>
                <w:lang w:eastAsia="en-US"/>
              </w:rPr>
            </w:pPr>
          </w:p>
        </w:tc>
        <w:tc>
          <w:tcPr>
            <w:tcW w:w="840" w:type="dxa"/>
            <w:gridSpan w:val="2"/>
            <w:tcBorders>
              <w:top w:val="nil"/>
              <w:left w:val="nil"/>
              <w:bottom w:val="nil"/>
              <w:right w:val="nil"/>
            </w:tcBorders>
            <w:shd w:val="clear" w:color="auto" w:fill="auto"/>
            <w:textDirection w:val="btLr"/>
            <w:vAlign w:val="bottom"/>
            <w:hideMark/>
          </w:tcPr>
          <w:p w14:paraId="65AF703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Recipient External War</w:t>
            </w:r>
          </w:p>
        </w:tc>
        <w:tc>
          <w:tcPr>
            <w:tcW w:w="680" w:type="dxa"/>
            <w:tcBorders>
              <w:top w:val="nil"/>
              <w:left w:val="nil"/>
              <w:bottom w:val="nil"/>
              <w:right w:val="nil"/>
            </w:tcBorders>
            <w:shd w:val="clear" w:color="auto" w:fill="auto"/>
            <w:textDirection w:val="btLr"/>
            <w:vAlign w:val="center"/>
            <w:hideMark/>
          </w:tcPr>
          <w:p w14:paraId="1670AD5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Democracy (dummy)</w:t>
            </w:r>
          </w:p>
        </w:tc>
        <w:tc>
          <w:tcPr>
            <w:tcW w:w="420" w:type="dxa"/>
            <w:tcBorders>
              <w:top w:val="nil"/>
              <w:left w:val="nil"/>
              <w:bottom w:val="nil"/>
              <w:right w:val="nil"/>
            </w:tcBorders>
            <w:shd w:val="clear" w:color="auto" w:fill="auto"/>
            <w:textDirection w:val="btLr"/>
            <w:vAlign w:val="center"/>
            <w:hideMark/>
          </w:tcPr>
          <w:p w14:paraId="7BB7E29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587D775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Polity IV</w:t>
            </w:r>
          </w:p>
        </w:tc>
        <w:tc>
          <w:tcPr>
            <w:tcW w:w="420" w:type="dxa"/>
            <w:tcBorders>
              <w:top w:val="nil"/>
              <w:left w:val="nil"/>
              <w:bottom w:val="nil"/>
              <w:right w:val="nil"/>
            </w:tcBorders>
            <w:shd w:val="clear" w:color="auto" w:fill="auto"/>
            <w:textDirection w:val="btLr"/>
            <w:vAlign w:val="center"/>
            <w:hideMark/>
          </w:tcPr>
          <w:p w14:paraId="60589B20" w14:textId="77777777" w:rsidR="00AE1490" w:rsidRPr="00AE1490" w:rsidRDefault="00AE1490" w:rsidP="00AE1490">
            <w:pPr>
              <w:spacing w:after="0"/>
              <w:rPr>
                <w:rFonts w:eastAsia="Times New Roman" w:cs="Times New Roman"/>
                <w:lang w:eastAsia="en-US"/>
              </w:rPr>
            </w:pPr>
          </w:p>
        </w:tc>
      </w:tr>
    </w:tbl>
    <w:p w14:paraId="39E5989B" w14:textId="77777777" w:rsidR="00ED7AA0" w:rsidRDefault="00ED7AA0">
      <w:pPr>
        <w:rPr>
          <w:b/>
        </w:rPr>
      </w:pPr>
      <w:r>
        <w:rPr>
          <w:b/>
        </w:rPr>
        <w:br w:type="page"/>
      </w:r>
    </w:p>
    <w:tbl>
      <w:tblPr>
        <w:tblW w:w="5420" w:type="dxa"/>
        <w:tblInd w:w="93" w:type="dxa"/>
        <w:tblLook w:val="04A0" w:firstRow="1" w:lastRow="0" w:firstColumn="1" w:lastColumn="0" w:noHBand="0" w:noVBand="1"/>
      </w:tblPr>
      <w:tblGrid>
        <w:gridCol w:w="498"/>
        <w:gridCol w:w="498"/>
        <w:gridCol w:w="498"/>
        <w:gridCol w:w="498"/>
        <w:gridCol w:w="498"/>
        <w:gridCol w:w="498"/>
        <w:gridCol w:w="498"/>
        <w:gridCol w:w="498"/>
        <w:gridCol w:w="498"/>
        <w:gridCol w:w="498"/>
        <w:gridCol w:w="498"/>
        <w:gridCol w:w="498"/>
        <w:gridCol w:w="498"/>
      </w:tblGrid>
      <w:tr w:rsidR="00AE1490" w:rsidRPr="00AE1490" w14:paraId="53D4A8C9" w14:textId="77777777" w:rsidTr="00AE1490">
        <w:trPr>
          <w:trHeight w:val="1120"/>
        </w:trPr>
        <w:tc>
          <w:tcPr>
            <w:tcW w:w="420" w:type="dxa"/>
            <w:tcBorders>
              <w:top w:val="nil"/>
              <w:left w:val="nil"/>
              <w:bottom w:val="nil"/>
              <w:right w:val="nil"/>
            </w:tcBorders>
            <w:shd w:val="clear" w:color="auto" w:fill="auto"/>
            <w:noWrap/>
            <w:textDirection w:val="btLr"/>
            <w:vAlign w:val="center"/>
            <w:hideMark/>
          </w:tcPr>
          <w:p w14:paraId="1C1F222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716ECF1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430CA9A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0.021***</w:t>
            </w:r>
          </w:p>
        </w:tc>
        <w:tc>
          <w:tcPr>
            <w:tcW w:w="420" w:type="dxa"/>
            <w:tcBorders>
              <w:top w:val="nil"/>
              <w:left w:val="nil"/>
              <w:bottom w:val="nil"/>
              <w:right w:val="nil"/>
            </w:tcBorders>
            <w:shd w:val="clear" w:color="auto" w:fill="auto"/>
            <w:noWrap/>
            <w:textDirection w:val="btLr"/>
            <w:vAlign w:val="center"/>
            <w:hideMark/>
          </w:tcPr>
          <w:p w14:paraId="57D48FE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(0.007)</w:t>
            </w:r>
          </w:p>
        </w:tc>
        <w:tc>
          <w:tcPr>
            <w:tcW w:w="420" w:type="dxa"/>
            <w:tcBorders>
              <w:top w:val="nil"/>
              <w:left w:val="nil"/>
              <w:bottom w:val="nil"/>
              <w:right w:val="nil"/>
            </w:tcBorders>
            <w:shd w:val="clear" w:color="auto" w:fill="auto"/>
            <w:noWrap/>
            <w:textDirection w:val="btLr"/>
            <w:vAlign w:val="center"/>
            <w:hideMark/>
          </w:tcPr>
          <w:p w14:paraId="10A0976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7BDC72F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5333BBA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2B2156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4EB412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0.577***</w:t>
            </w:r>
          </w:p>
        </w:tc>
        <w:tc>
          <w:tcPr>
            <w:tcW w:w="420" w:type="dxa"/>
            <w:tcBorders>
              <w:top w:val="nil"/>
              <w:left w:val="nil"/>
              <w:bottom w:val="nil"/>
              <w:right w:val="nil"/>
            </w:tcBorders>
            <w:shd w:val="clear" w:color="auto" w:fill="auto"/>
            <w:noWrap/>
            <w:textDirection w:val="btLr"/>
            <w:vAlign w:val="center"/>
            <w:hideMark/>
          </w:tcPr>
          <w:p w14:paraId="502EFB8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(0.018)</w:t>
            </w:r>
          </w:p>
        </w:tc>
        <w:tc>
          <w:tcPr>
            <w:tcW w:w="420" w:type="dxa"/>
            <w:tcBorders>
              <w:top w:val="nil"/>
              <w:left w:val="nil"/>
              <w:bottom w:val="nil"/>
              <w:right w:val="nil"/>
            </w:tcBorders>
            <w:shd w:val="clear" w:color="auto" w:fill="auto"/>
            <w:noWrap/>
            <w:textDirection w:val="btLr"/>
            <w:vAlign w:val="center"/>
            <w:hideMark/>
          </w:tcPr>
          <w:p w14:paraId="3574B87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428</w:t>
            </w:r>
          </w:p>
        </w:tc>
        <w:tc>
          <w:tcPr>
            <w:tcW w:w="420" w:type="dxa"/>
            <w:tcBorders>
              <w:top w:val="nil"/>
              <w:left w:val="nil"/>
              <w:bottom w:val="nil"/>
              <w:right w:val="nil"/>
            </w:tcBorders>
            <w:shd w:val="clear" w:color="auto" w:fill="auto"/>
            <w:noWrap/>
            <w:textDirection w:val="btLr"/>
            <w:vAlign w:val="center"/>
            <w:hideMark/>
          </w:tcPr>
          <w:p w14:paraId="59D5618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0.190</w:t>
            </w:r>
          </w:p>
        </w:tc>
        <w:tc>
          <w:tcPr>
            <w:tcW w:w="380" w:type="dxa"/>
            <w:vMerge w:val="restart"/>
            <w:tcBorders>
              <w:top w:val="nil"/>
              <w:left w:val="nil"/>
              <w:bottom w:val="nil"/>
              <w:right w:val="single" w:sz="4" w:space="0" w:color="auto"/>
            </w:tcBorders>
            <w:shd w:val="clear" w:color="auto" w:fill="auto"/>
            <w:noWrap/>
            <w:textDirection w:val="btLr"/>
            <w:vAlign w:val="center"/>
            <w:hideMark/>
          </w:tcPr>
          <w:p w14:paraId="6A0B700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note:  *** p&lt;0.01, ** p&lt;0.05, * p&lt;0.1</w:t>
            </w:r>
          </w:p>
        </w:tc>
      </w:tr>
      <w:tr w:rsidR="00AE1490" w:rsidRPr="00AE1490" w14:paraId="2FA11E3C" w14:textId="77777777" w:rsidTr="00AE1490">
        <w:trPr>
          <w:trHeight w:val="1120"/>
        </w:trPr>
        <w:tc>
          <w:tcPr>
            <w:tcW w:w="420" w:type="dxa"/>
            <w:tcBorders>
              <w:top w:val="nil"/>
              <w:left w:val="nil"/>
              <w:bottom w:val="nil"/>
              <w:right w:val="nil"/>
            </w:tcBorders>
            <w:shd w:val="clear" w:color="auto" w:fill="auto"/>
            <w:noWrap/>
            <w:textDirection w:val="btLr"/>
            <w:vAlign w:val="center"/>
            <w:hideMark/>
          </w:tcPr>
          <w:p w14:paraId="205BF95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037A568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756488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429CBA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275656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CC02E0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3B2CE4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DA0972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4D32B0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0.578***</w:t>
            </w:r>
          </w:p>
        </w:tc>
        <w:tc>
          <w:tcPr>
            <w:tcW w:w="420" w:type="dxa"/>
            <w:tcBorders>
              <w:top w:val="nil"/>
              <w:left w:val="nil"/>
              <w:bottom w:val="nil"/>
              <w:right w:val="nil"/>
            </w:tcBorders>
            <w:shd w:val="clear" w:color="auto" w:fill="auto"/>
            <w:noWrap/>
            <w:textDirection w:val="btLr"/>
            <w:vAlign w:val="center"/>
            <w:hideMark/>
          </w:tcPr>
          <w:p w14:paraId="4425808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(0.015)</w:t>
            </w:r>
          </w:p>
        </w:tc>
        <w:tc>
          <w:tcPr>
            <w:tcW w:w="420" w:type="dxa"/>
            <w:tcBorders>
              <w:top w:val="nil"/>
              <w:left w:val="nil"/>
              <w:bottom w:val="nil"/>
              <w:right w:val="nil"/>
            </w:tcBorders>
            <w:shd w:val="clear" w:color="auto" w:fill="auto"/>
            <w:noWrap/>
            <w:textDirection w:val="btLr"/>
            <w:vAlign w:val="center"/>
            <w:hideMark/>
          </w:tcPr>
          <w:p w14:paraId="6DC1B47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428</w:t>
            </w:r>
          </w:p>
        </w:tc>
        <w:tc>
          <w:tcPr>
            <w:tcW w:w="420" w:type="dxa"/>
            <w:tcBorders>
              <w:top w:val="nil"/>
              <w:left w:val="nil"/>
              <w:bottom w:val="nil"/>
              <w:right w:val="nil"/>
            </w:tcBorders>
            <w:shd w:val="clear" w:color="auto" w:fill="auto"/>
            <w:noWrap/>
            <w:textDirection w:val="btLr"/>
            <w:vAlign w:val="center"/>
            <w:hideMark/>
          </w:tcPr>
          <w:p w14:paraId="3B34C36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0.173</w:t>
            </w:r>
          </w:p>
        </w:tc>
        <w:tc>
          <w:tcPr>
            <w:tcW w:w="380" w:type="dxa"/>
            <w:vMerge/>
            <w:tcBorders>
              <w:top w:val="nil"/>
              <w:left w:val="nil"/>
              <w:bottom w:val="nil"/>
              <w:right w:val="single" w:sz="4" w:space="0" w:color="auto"/>
            </w:tcBorders>
            <w:vAlign w:val="center"/>
            <w:hideMark/>
          </w:tcPr>
          <w:p w14:paraId="7239D4AE" w14:textId="77777777" w:rsidR="00AE1490" w:rsidRPr="00AE1490" w:rsidRDefault="00AE1490" w:rsidP="00AE1490">
            <w:pPr>
              <w:spacing w:after="0"/>
              <w:rPr>
                <w:rFonts w:eastAsia="Times New Roman" w:cs="Times New Roman"/>
                <w:lang w:eastAsia="en-US"/>
              </w:rPr>
            </w:pPr>
          </w:p>
        </w:tc>
      </w:tr>
      <w:tr w:rsidR="00AE1490" w:rsidRPr="00AE1490" w14:paraId="1E91AF59" w14:textId="77777777" w:rsidTr="00AE1490">
        <w:trPr>
          <w:trHeight w:val="1060"/>
        </w:trPr>
        <w:tc>
          <w:tcPr>
            <w:tcW w:w="420" w:type="dxa"/>
            <w:tcBorders>
              <w:top w:val="nil"/>
              <w:left w:val="nil"/>
              <w:bottom w:val="nil"/>
              <w:right w:val="nil"/>
            </w:tcBorders>
            <w:shd w:val="clear" w:color="auto" w:fill="auto"/>
            <w:noWrap/>
            <w:textDirection w:val="btLr"/>
            <w:vAlign w:val="center"/>
            <w:hideMark/>
          </w:tcPr>
          <w:p w14:paraId="5311A38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6BC94E4"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BA8D6E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0.021***</w:t>
            </w:r>
          </w:p>
        </w:tc>
        <w:tc>
          <w:tcPr>
            <w:tcW w:w="420" w:type="dxa"/>
            <w:tcBorders>
              <w:top w:val="nil"/>
              <w:left w:val="nil"/>
              <w:bottom w:val="nil"/>
              <w:right w:val="nil"/>
            </w:tcBorders>
            <w:shd w:val="clear" w:color="auto" w:fill="auto"/>
            <w:noWrap/>
            <w:textDirection w:val="btLr"/>
            <w:vAlign w:val="center"/>
            <w:hideMark/>
          </w:tcPr>
          <w:p w14:paraId="4749413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(0.007)</w:t>
            </w:r>
          </w:p>
        </w:tc>
        <w:tc>
          <w:tcPr>
            <w:tcW w:w="420" w:type="dxa"/>
            <w:tcBorders>
              <w:top w:val="nil"/>
              <w:left w:val="nil"/>
              <w:bottom w:val="nil"/>
              <w:right w:val="nil"/>
            </w:tcBorders>
            <w:shd w:val="clear" w:color="auto" w:fill="auto"/>
            <w:noWrap/>
            <w:textDirection w:val="btLr"/>
            <w:vAlign w:val="center"/>
            <w:hideMark/>
          </w:tcPr>
          <w:p w14:paraId="6057F15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28D3457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4C1CC76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71AF78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30972E4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0.549***</w:t>
            </w:r>
          </w:p>
        </w:tc>
        <w:tc>
          <w:tcPr>
            <w:tcW w:w="420" w:type="dxa"/>
            <w:tcBorders>
              <w:top w:val="nil"/>
              <w:left w:val="nil"/>
              <w:bottom w:val="nil"/>
              <w:right w:val="nil"/>
            </w:tcBorders>
            <w:shd w:val="clear" w:color="auto" w:fill="auto"/>
            <w:noWrap/>
            <w:textDirection w:val="btLr"/>
            <w:vAlign w:val="center"/>
            <w:hideMark/>
          </w:tcPr>
          <w:p w14:paraId="32D7BFD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(0.017)</w:t>
            </w:r>
          </w:p>
        </w:tc>
        <w:tc>
          <w:tcPr>
            <w:tcW w:w="420" w:type="dxa"/>
            <w:tcBorders>
              <w:top w:val="nil"/>
              <w:left w:val="nil"/>
              <w:bottom w:val="nil"/>
              <w:right w:val="nil"/>
            </w:tcBorders>
            <w:shd w:val="clear" w:color="auto" w:fill="auto"/>
            <w:noWrap/>
            <w:textDirection w:val="btLr"/>
            <w:vAlign w:val="center"/>
            <w:hideMark/>
          </w:tcPr>
          <w:p w14:paraId="19E6CD8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443</w:t>
            </w:r>
          </w:p>
        </w:tc>
        <w:tc>
          <w:tcPr>
            <w:tcW w:w="420" w:type="dxa"/>
            <w:tcBorders>
              <w:top w:val="nil"/>
              <w:left w:val="nil"/>
              <w:bottom w:val="nil"/>
              <w:right w:val="nil"/>
            </w:tcBorders>
            <w:shd w:val="clear" w:color="auto" w:fill="auto"/>
            <w:noWrap/>
            <w:textDirection w:val="btLr"/>
            <w:vAlign w:val="center"/>
            <w:hideMark/>
          </w:tcPr>
          <w:p w14:paraId="46689A8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0.086</w:t>
            </w:r>
          </w:p>
        </w:tc>
        <w:tc>
          <w:tcPr>
            <w:tcW w:w="380" w:type="dxa"/>
            <w:vMerge/>
            <w:tcBorders>
              <w:top w:val="nil"/>
              <w:left w:val="nil"/>
              <w:bottom w:val="nil"/>
              <w:right w:val="single" w:sz="4" w:space="0" w:color="auto"/>
            </w:tcBorders>
            <w:vAlign w:val="center"/>
            <w:hideMark/>
          </w:tcPr>
          <w:p w14:paraId="35FBF924" w14:textId="77777777" w:rsidR="00AE1490" w:rsidRPr="00AE1490" w:rsidRDefault="00AE1490" w:rsidP="00AE1490">
            <w:pPr>
              <w:spacing w:after="0"/>
              <w:rPr>
                <w:rFonts w:eastAsia="Times New Roman" w:cs="Times New Roman"/>
                <w:lang w:eastAsia="en-US"/>
              </w:rPr>
            </w:pPr>
          </w:p>
        </w:tc>
      </w:tr>
      <w:tr w:rsidR="00AE1490" w:rsidRPr="00AE1490" w14:paraId="7879681B" w14:textId="77777777" w:rsidTr="00AE1490">
        <w:trPr>
          <w:trHeight w:val="1060"/>
        </w:trPr>
        <w:tc>
          <w:tcPr>
            <w:tcW w:w="420" w:type="dxa"/>
            <w:tcBorders>
              <w:top w:val="nil"/>
              <w:left w:val="nil"/>
              <w:bottom w:val="nil"/>
              <w:right w:val="nil"/>
            </w:tcBorders>
            <w:shd w:val="clear" w:color="auto" w:fill="auto"/>
            <w:noWrap/>
            <w:textDirection w:val="btLr"/>
            <w:vAlign w:val="center"/>
            <w:hideMark/>
          </w:tcPr>
          <w:p w14:paraId="5600B7E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49D140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9173AD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0.021***</w:t>
            </w:r>
          </w:p>
        </w:tc>
        <w:tc>
          <w:tcPr>
            <w:tcW w:w="420" w:type="dxa"/>
            <w:tcBorders>
              <w:top w:val="nil"/>
              <w:left w:val="nil"/>
              <w:bottom w:val="nil"/>
              <w:right w:val="nil"/>
            </w:tcBorders>
            <w:shd w:val="clear" w:color="auto" w:fill="auto"/>
            <w:noWrap/>
            <w:textDirection w:val="btLr"/>
            <w:vAlign w:val="center"/>
            <w:hideMark/>
          </w:tcPr>
          <w:p w14:paraId="1B386D1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(0.007)</w:t>
            </w:r>
          </w:p>
        </w:tc>
        <w:tc>
          <w:tcPr>
            <w:tcW w:w="420" w:type="dxa"/>
            <w:tcBorders>
              <w:top w:val="nil"/>
              <w:left w:val="nil"/>
              <w:bottom w:val="nil"/>
              <w:right w:val="nil"/>
            </w:tcBorders>
            <w:shd w:val="clear" w:color="auto" w:fill="auto"/>
            <w:noWrap/>
            <w:textDirection w:val="btLr"/>
            <w:vAlign w:val="center"/>
            <w:hideMark/>
          </w:tcPr>
          <w:p w14:paraId="5EBF082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61A82AA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0B79909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51AC48E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5976405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0.545***</w:t>
            </w:r>
          </w:p>
        </w:tc>
        <w:tc>
          <w:tcPr>
            <w:tcW w:w="420" w:type="dxa"/>
            <w:tcBorders>
              <w:top w:val="nil"/>
              <w:left w:val="nil"/>
              <w:bottom w:val="nil"/>
              <w:right w:val="nil"/>
            </w:tcBorders>
            <w:shd w:val="clear" w:color="auto" w:fill="auto"/>
            <w:noWrap/>
            <w:textDirection w:val="btLr"/>
            <w:vAlign w:val="center"/>
            <w:hideMark/>
          </w:tcPr>
          <w:p w14:paraId="288EB20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(0.017)</w:t>
            </w:r>
          </w:p>
        </w:tc>
        <w:tc>
          <w:tcPr>
            <w:tcW w:w="420" w:type="dxa"/>
            <w:tcBorders>
              <w:top w:val="nil"/>
              <w:left w:val="nil"/>
              <w:bottom w:val="nil"/>
              <w:right w:val="nil"/>
            </w:tcBorders>
            <w:shd w:val="clear" w:color="auto" w:fill="auto"/>
            <w:noWrap/>
            <w:textDirection w:val="btLr"/>
            <w:vAlign w:val="center"/>
            <w:hideMark/>
          </w:tcPr>
          <w:p w14:paraId="054FA1E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443</w:t>
            </w:r>
          </w:p>
        </w:tc>
        <w:tc>
          <w:tcPr>
            <w:tcW w:w="420" w:type="dxa"/>
            <w:tcBorders>
              <w:top w:val="nil"/>
              <w:left w:val="nil"/>
              <w:bottom w:val="nil"/>
              <w:right w:val="nil"/>
            </w:tcBorders>
            <w:shd w:val="clear" w:color="auto" w:fill="auto"/>
            <w:noWrap/>
            <w:textDirection w:val="btLr"/>
            <w:vAlign w:val="center"/>
            <w:hideMark/>
          </w:tcPr>
          <w:p w14:paraId="5B024CE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0.058</w:t>
            </w:r>
          </w:p>
        </w:tc>
        <w:tc>
          <w:tcPr>
            <w:tcW w:w="380" w:type="dxa"/>
            <w:vMerge/>
            <w:tcBorders>
              <w:top w:val="nil"/>
              <w:left w:val="nil"/>
              <w:bottom w:val="nil"/>
              <w:right w:val="single" w:sz="4" w:space="0" w:color="auto"/>
            </w:tcBorders>
            <w:vAlign w:val="center"/>
            <w:hideMark/>
          </w:tcPr>
          <w:p w14:paraId="024DA9D8" w14:textId="77777777" w:rsidR="00AE1490" w:rsidRPr="00AE1490" w:rsidRDefault="00AE1490" w:rsidP="00AE1490">
            <w:pPr>
              <w:spacing w:after="0"/>
              <w:rPr>
                <w:rFonts w:eastAsia="Times New Roman" w:cs="Times New Roman"/>
                <w:lang w:eastAsia="en-US"/>
              </w:rPr>
            </w:pPr>
          </w:p>
        </w:tc>
      </w:tr>
      <w:tr w:rsidR="00AE1490" w:rsidRPr="00AE1490" w14:paraId="06C2B75D" w14:textId="77777777" w:rsidTr="00AE1490">
        <w:trPr>
          <w:trHeight w:val="1120"/>
        </w:trPr>
        <w:tc>
          <w:tcPr>
            <w:tcW w:w="420" w:type="dxa"/>
            <w:tcBorders>
              <w:top w:val="nil"/>
              <w:left w:val="nil"/>
              <w:bottom w:val="nil"/>
              <w:right w:val="nil"/>
            </w:tcBorders>
            <w:shd w:val="clear" w:color="auto" w:fill="auto"/>
            <w:noWrap/>
            <w:textDirection w:val="btLr"/>
            <w:vAlign w:val="center"/>
            <w:hideMark/>
          </w:tcPr>
          <w:p w14:paraId="649BCD3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0.001***</w:t>
            </w:r>
          </w:p>
        </w:tc>
        <w:tc>
          <w:tcPr>
            <w:tcW w:w="420" w:type="dxa"/>
            <w:tcBorders>
              <w:top w:val="nil"/>
              <w:left w:val="nil"/>
              <w:bottom w:val="nil"/>
              <w:right w:val="nil"/>
            </w:tcBorders>
            <w:shd w:val="clear" w:color="auto" w:fill="auto"/>
            <w:noWrap/>
            <w:textDirection w:val="btLr"/>
            <w:vAlign w:val="center"/>
            <w:hideMark/>
          </w:tcPr>
          <w:p w14:paraId="481BCB9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(0.000)</w:t>
            </w:r>
          </w:p>
        </w:tc>
        <w:tc>
          <w:tcPr>
            <w:tcW w:w="420" w:type="dxa"/>
            <w:tcBorders>
              <w:top w:val="nil"/>
              <w:left w:val="nil"/>
              <w:bottom w:val="nil"/>
              <w:right w:val="nil"/>
            </w:tcBorders>
            <w:shd w:val="clear" w:color="auto" w:fill="auto"/>
            <w:noWrap/>
            <w:textDirection w:val="btLr"/>
            <w:vAlign w:val="center"/>
            <w:hideMark/>
          </w:tcPr>
          <w:p w14:paraId="6D5EEE58"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DEA9B87"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C5D8A18"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B87A4E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DCDA76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59CF05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0BC26A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0.579***</w:t>
            </w:r>
          </w:p>
        </w:tc>
        <w:tc>
          <w:tcPr>
            <w:tcW w:w="420" w:type="dxa"/>
            <w:tcBorders>
              <w:top w:val="nil"/>
              <w:left w:val="nil"/>
              <w:bottom w:val="nil"/>
              <w:right w:val="nil"/>
            </w:tcBorders>
            <w:shd w:val="clear" w:color="auto" w:fill="auto"/>
            <w:noWrap/>
            <w:textDirection w:val="btLr"/>
            <w:vAlign w:val="center"/>
            <w:hideMark/>
          </w:tcPr>
          <w:p w14:paraId="7D2466C1"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(0.014)</w:t>
            </w:r>
          </w:p>
        </w:tc>
        <w:tc>
          <w:tcPr>
            <w:tcW w:w="420" w:type="dxa"/>
            <w:tcBorders>
              <w:top w:val="nil"/>
              <w:left w:val="nil"/>
              <w:bottom w:val="nil"/>
              <w:right w:val="nil"/>
            </w:tcBorders>
            <w:shd w:val="clear" w:color="auto" w:fill="auto"/>
            <w:noWrap/>
            <w:textDirection w:val="btLr"/>
            <w:vAlign w:val="center"/>
            <w:hideMark/>
          </w:tcPr>
          <w:p w14:paraId="7886E50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443</w:t>
            </w:r>
          </w:p>
        </w:tc>
        <w:tc>
          <w:tcPr>
            <w:tcW w:w="420" w:type="dxa"/>
            <w:tcBorders>
              <w:top w:val="nil"/>
              <w:left w:val="nil"/>
              <w:bottom w:val="nil"/>
              <w:right w:val="nil"/>
            </w:tcBorders>
            <w:shd w:val="clear" w:color="auto" w:fill="auto"/>
            <w:noWrap/>
            <w:textDirection w:val="btLr"/>
            <w:vAlign w:val="center"/>
            <w:hideMark/>
          </w:tcPr>
          <w:p w14:paraId="6A0D6BE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0.163</w:t>
            </w:r>
          </w:p>
        </w:tc>
        <w:tc>
          <w:tcPr>
            <w:tcW w:w="380" w:type="dxa"/>
            <w:vMerge/>
            <w:tcBorders>
              <w:top w:val="nil"/>
              <w:left w:val="nil"/>
              <w:bottom w:val="nil"/>
              <w:right w:val="single" w:sz="4" w:space="0" w:color="auto"/>
            </w:tcBorders>
            <w:vAlign w:val="center"/>
            <w:hideMark/>
          </w:tcPr>
          <w:p w14:paraId="1FF14A79" w14:textId="77777777" w:rsidR="00AE1490" w:rsidRPr="00AE1490" w:rsidRDefault="00AE1490" w:rsidP="00AE1490">
            <w:pPr>
              <w:spacing w:after="0"/>
              <w:rPr>
                <w:rFonts w:eastAsia="Times New Roman" w:cs="Times New Roman"/>
                <w:lang w:eastAsia="en-US"/>
              </w:rPr>
            </w:pPr>
          </w:p>
        </w:tc>
      </w:tr>
      <w:tr w:rsidR="00AE1490" w:rsidRPr="00AE1490" w14:paraId="5DE318BD" w14:textId="77777777" w:rsidTr="00AE1490">
        <w:trPr>
          <w:trHeight w:val="1120"/>
        </w:trPr>
        <w:tc>
          <w:tcPr>
            <w:tcW w:w="420" w:type="dxa"/>
            <w:tcBorders>
              <w:top w:val="nil"/>
              <w:left w:val="nil"/>
              <w:bottom w:val="nil"/>
              <w:right w:val="nil"/>
            </w:tcBorders>
            <w:shd w:val="clear" w:color="auto" w:fill="auto"/>
            <w:noWrap/>
            <w:textDirection w:val="btLr"/>
            <w:vAlign w:val="center"/>
            <w:hideMark/>
          </w:tcPr>
          <w:p w14:paraId="77010F1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EAE1C2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87A389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3D8E207"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263E7C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DC0ABB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38787AF"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16D0B02"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F4C1BAC"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0.574***</w:t>
            </w:r>
          </w:p>
        </w:tc>
        <w:tc>
          <w:tcPr>
            <w:tcW w:w="420" w:type="dxa"/>
            <w:tcBorders>
              <w:top w:val="nil"/>
              <w:left w:val="nil"/>
              <w:bottom w:val="nil"/>
              <w:right w:val="nil"/>
            </w:tcBorders>
            <w:shd w:val="clear" w:color="auto" w:fill="auto"/>
            <w:noWrap/>
            <w:textDirection w:val="btLr"/>
            <w:vAlign w:val="center"/>
            <w:hideMark/>
          </w:tcPr>
          <w:p w14:paraId="55CE8E6B"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(0.013)</w:t>
            </w:r>
          </w:p>
        </w:tc>
        <w:tc>
          <w:tcPr>
            <w:tcW w:w="420" w:type="dxa"/>
            <w:tcBorders>
              <w:top w:val="nil"/>
              <w:left w:val="nil"/>
              <w:bottom w:val="nil"/>
              <w:right w:val="nil"/>
            </w:tcBorders>
            <w:shd w:val="clear" w:color="auto" w:fill="auto"/>
            <w:noWrap/>
            <w:textDirection w:val="btLr"/>
            <w:vAlign w:val="center"/>
            <w:hideMark/>
          </w:tcPr>
          <w:p w14:paraId="703A7F4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443</w:t>
            </w:r>
          </w:p>
        </w:tc>
        <w:tc>
          <w:tcPr>
            <w:tcW w:w="420" w:type="dxa"/>
            <w:tcBorders>
              <w:top w:val="nil"/>
              <w:left w:val="nil"/>
              <w:bottom w:val="nil"/>
              <w:right w:val="nil"/>
            </w:tcBorders>
            <w:shd w:val="clear" w:color="auto" w:fill="auto"/>
            <w:noWrap/>
            <w:textDirection w:val="btLr"/>
            <w:vAlign w:val="center"/>
            <w:hideMark/>
          </w:tcPr>
          <w:p w14:paraId="0F32A469"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0.049</w:t>
            </w:r>
          </w:p>
        </w:tc>
        <w:tc>
          <w:tcPr>
            <w:tcW w:w="380" w:type="dxa"/>
            <w:vMerge/>
            <w:tcBorders>
              <w:top w:val="nil"/>
              <w:left w:val="nil"/>
              <w:bottom w:val="nil"/>
              <w:right w:val="single" w:sz="4" w:space="0" w:color="auto"/>
            </w:tcBorders>
            <w:vAlign w:val="center"/>
            <w:hideMark/>
          </w:tcPr>
          <w:p w14:paraId="24DA184D" w14:textId="77777777" w:rsidR="00AE1490" w:rsidRPr="00AE1490" w:rsidRDefault="00AE1490" w:rsidP="00AE1490">
            <w:pPr>
              <w:spacing w:after="0"/>
              <w:rPr>
                <w:rFonts w:eastAsia="Times New Roman" w:cs="Times New Roman"/>
                <w:lang w:eastAsia="en-US"/>
              </w:rPr>
            </w:pPr>
          </w:p>
        </w:tc>
      </w:tr>
      <w:tr w:rsidR="00AE1490" w:rsidRPr="00AE1490" w14:paraId="398628F0" w14:textId="77777777" w:rsidTr="00AE1490">
        <w:trPr>
          <w:trHeight w:val="1060"/>
        </w:trPr>
        <w:tc>
          <w:tcPr>
            <w:tcW w:w="420" w:type="dxa"/>
            <w:tcBorders>
              <w:top w:val="nil"/>
              <w:left w:val="nil"/>
              <w:bottom w:val="nil"/>
              <w:right w:val="nil"/>
            </w:tcBorders>
            <w:shd w:val="clear" w:color="auto" w:fill="auto"/>
            <w:noWrap/>
            <w:textDirection w:val="btLr"/>
            <w:vAlign w:val="center"/>
            <w:hideMark/>
          </w:tcPr>
          <w:p w14:paraId="6C38F189"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F96FDA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E8E6E5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92C3561"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008BD68"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A56F94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5A6D37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C0C5E6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18EF9F4"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0.576***</w:t>
            </w:r>
          </w:p>
        </w:tc>
        <w:tc>
          <w:tcPr>
            <w:tcW w:w="420" w:type="dxa"/>
            <w:tcBorders>
              <w:top w:val="nil"/>
              <w:left w:val="nil"/>
              <w:bottom w:val="nil"/>
              <w:right w:val="nil"/>
            </w:tcBorders>
            <w:shd w:val="clear" w:color="auto" w:fill="auto"/>
            <w:noWrap/>
            <w:textDirection w:val="btLr"/>
            <w:vAlign w:val="center"/>
            <w:hideMark/>
          </w:tcPr>
          <w:p w14:paraId="6517B96A"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(0.013)</w:t>
            </w:r>
          </w:p>
        </w:tc>
        <w:tc>
          <w:tcPr>
            <w:tcW w:w="420" w:type="dxa"/>
            <w:tcBorders>
              <w:top w:val="nil"/>
              <w:left w:val="nil"/>
              <w:bottom w:val="nil"/>
              <w:right w:val="nil"/>
            </w:tcBorders>
            <w:shd w:val="clear" w:color="auto" w:fill="auto"/>
            <w:noWrap/>
            <w:textDirection w:val="btLr"/>
            <w:vAlign w:val="center"/>
            <w:hideMark/>
          </w:tcPr>
          <w:p w14:paraId="5A31050E"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443</w:t>
            </w:r>
          </w:p>
        </w:tc>
        <w:tc>
          <w:tcPr>
            <w:tcW w:w="420" w:type="dxa"/>
            <w:tcBorders>
              <w:top w:val="nil"/>
              <w:left w:val="nil"/>
              <w:bottom w:val="nil"/>
              <w:right w:val="nil"/>
            </w:tcBorders>
            <w:shd w:val="clear" w:color="auto" w:fill="auto"/>
            <w:noWrap/>
            <w:textDirection w:val="btLr"/>
            <w:vAlign w:val="center"/>
            <w:hideMark/>
          </w:tcPr>
          <w:p w14:paraId="259BBE7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0.043</w:t>
            </w:r>
          </w:p>
        </w:tc>
        <w:tc>
          <w:tcPr>
            <w:tcW w:w="380" w:type="dxa"/>
            <w:vMerge/>
            <w:tcBorders>
              <w:top w:val="nil"/>
              <w:left w:val="nil"/>
              <w:bottom w:val="nil"/>
              <w:right w:val="single" w:sz="4" w:space="0" w:color="auto"/>
            </w:tcBorders>
            <w:vAlign w:val="center"/>
            <w:hideMark/>
          </w:tcPr>
          <w:p w14:paraId="62E65635" w14:textId="77777777" w:rsidR="00AE1490" w:rsidRPr="00AE1490" w:rsidRDefault="00AE1490" w:rsidP="00AE1490">
            <w:pPr>
              <w:spacing w:after="0"/>
              <w:rPr>
                <w:rFonts w:eastAsia="Times New Roman" w:cs="Times New Roman"/>
                <w:lang w:eastAsia="en-US"/>
              </w:rPr>
            </w:pPr>
          </w:p>
        </w:tc>
      </w:tr>
      <w:tr w:rsidR="00AE1490" w:rsidRPr="00AE1490" w14:paraId="3581D329" w14:textId="77777777" w:rsidTr="00AE1490">
        <w:trPr>
          <w:trHeight w:val="1060"/>
        </w:trPr>
        <w:tc>
          <w:tcPr>
            <w:tcW w:w="420" w:type="dxa"/>
            <w:tcBorders>
              <w:top w:val="nil"/>
              <w:left w:val="nil"/>
              <w:bottom w:val="nil"/>
              <w:right w:val="nil"/>
            </w:tcBorders>
            <w:shd w:val="clear" w:color="auto" w:fill="auto"/>
            <w:noWrap/>
            <w:textDirection w:val="btLr"/>
            <w:vAlign w:val="center"/>
            <w:hideMark/>
          </w:tcPr>
          <w:p w14:paraId="6ADD586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8963440"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55F4F65"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475AEDA"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1C1E73E"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6D10DB6"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D07F74C"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5A72C4D"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95B4C0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0.586***</w:t>
            </w:r>
          </w:p>
        </w:tc>
        <w:tc>
          <w:tcPr>
            <w:tcW w:w="420" w:type="dxa"/>
            <w:tcBorders>
              <w:top w:val="nil"/>
              <w:left w:val="nil"/>
              <w:bottom w:val="nil"/>
              <w:right w:val="nil"/>
            </w:tcBorders>
            <w:shd w:val="clear" w:color="auto" w:fill="auto"/>
            <w:noWrap/>
            <w:textDirection w:val="btLr"/>
            <w:vAlign w:val="center"/>
            <w:hideMark/>
          </w:tcPr>
          <w:p w14:paraId="6E80A260"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(0.011)</w:t>
            </w:r>
          </w:p>
        </w:tc>
        <w:tc>
          <w:tcPr>
            <w:tcW w:w="420" w:type="dxa"/>
            <w:tcBorders>
              <w:top w:val="nil"/>
              <w:left w:val="nil"/>
              <w:bottom w:val="nil"/>
              <w:right w:val="nil"/>
            </w:tcBorders>
            <w:shd w:val="clear" w:color="auto" w:fill="auto"/>
            <w:noWrap/>
            <w:textDirection w:val="btLr"/>
            <w:vAlign w:val="center"/>
            <w:hideMark/>
          </w:tcPr>
          <w:p w14:paraId="57E2240D"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478</w:t>
            </w:r>
          </w:p>
        </w:tc>
        <w:tc>
          <w:tcPr>
            <w:tcW w:w="420" w:type="dxa"/>
            <w:tcBorders>
              <w:top w:val="nil"/>
              <w:left w:val="nil"/>
              <w:bottom w:val="nil"/>
              <w:right w:val="nil"/>
            </w:tcBorders>
            <w:shd w:val="clear" w:color="auto" w:fill="auto"/>
            <w:noWrap/>
            <w:textDirection w:val="btLr"/>
            <w:vAlign w:val="center"/>
            <w:hideMark/>
          </w:tcPr>
          <w:p w14:paraId="198DE536"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0.013</w:t>
            </w:r>
          </w:p>
        </w:tc>
        <w:tc>
          <w:tcPr>
            <w:tcW w:w="380" w:type="dxa"/>
            <w:vMerge/>
            <w:tcBorders>
              <w:top w:val="nil"/>
              <w:left w:val="nil"/>
              <w:bottom w:val="nil"/>
              <w:right w:val="single" w:sz="4" w:space="0" w:color="auto"/>
            </w:tcBorders>
            <w:vAlign w:val="center"/>
            <w:hideMark/>
          </w:tcPr>
          <w:p w14:paraId="739EFDF7" w14:textId="77777777" w:rsidR="00AE1490" w:rsidRPr="00AE1490" w:rsidRDefault="00AE1490" w:rsidP="00AE1490">
            <w:pPr>
              <w:spacing w:after="0"/>
              <w:rPr>
                <w:rFonts w:eastAsia="Times New Roman" w:cs="Times New Roman"/>
                <w:lang w:eastAsia="en-US"/>
              </w:rPr>
            </w:pPr>
          </w:p>
        </w:tc>
      </w:tr>
      <w:tr w:rsidR="00AE1490" w:rsidRPr="00AE1490" w14:paraId="2098883B" w14:textId="77777777" w:rsidTr="00AE1490">
        <w:trPr>
          <w:trHeight w:val="1960"/>
        </w:trPr>
        <w:tc>
          <w:tcPr>
            <w:tcW w:w="840" w:type="dxa"/>
            <w:gridSpan w:val="2"/>
            <w:tcBorders>
              <w:top w:val="nil"/>
              <w:left w:val="nil"/>
              <w:bottom w:val="nil"/>
              <w:right w:val="nil"/>
            </w:tcBorders>
            <w:shd w:val="clear" w:color="auto" w:fill="auto"/>
            <w:textDirection w:val="btLr"/>
            <w:vAlign w:val="center"/>
            <w:hideMark/>
          </w:tcPr>
          <w:p w14:paraId="508E8B0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Age in years of current regime</w:t>
            </w:r>
          </w:p>
        </w:tc>
        <w:tc>
          <w:tcPr>
            <w:tcW w:w="840" w:type="dxa"/>
            <w:gridSpan w:val="2"/>
            <w:tcBorders>
              <w:top w:val="nil"/>
              <w:left w:val="nil"/>
              <w:bottom w:val="nil"/>
              <w:right w:val="nil"/>
            </w:tcBorders>
            <w:shd w:val="clear" w:color="auto" w:fill="auto"/>
            <w:textDirection w:val="btLr"/>
            <w:vAlign w:val="center"/>
            <w:hideMark/>
          </w:tcPr>
          <w:p w14:paraId="07799D03"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If recipient had any type of disaster</w:t>
            </w:r>
          </w:p>
        </w:tc>
        <w:tc>
          <w:tcPr>
            <w:tcW w:w="840" w:type="dxa"/>
            <w:gridSpan w:val="2"/>
            <w:tcBorders>
              <w:top w:val="nil"/>
              <w:left w:val="nil"/>
              <w:bottom w:val="nil"/>
              <w:right w:val="nil"/>
            </w:tcBorders>
            <w:shd w:val="clear" w:color="auto" w:fill="auto"/>
            <w:textDirection w:val="btLr"/>
            <w:vAlign w:val="center"/>
            <w:hideMark/>
          </w:tcPr>
          <w:p w14:paraId="5F893868"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Population (in thousands)</w:t>
            </w:r>
          </w:p>
        </w:tc>
        <w:tc>
          <w:tcPr>
            <w:tcW w:w="840" w:type="dxa"/>
            <w:gridSpan w:val="2"/>
            <w:tcBorders>
              <w:top w:val="nil"/>
              <w:left w:val="nil"/>
              <w:bottom w:val="nil"/>
              <w:right w:val="nil"/>
            </w:tcBorders>
            <w:shd w:val="clear" w:color="auto" w:fill="auto"/>
            <w:textDirection w:val="btLr"/>
            <w:vAlign w:val="center"/>
            <w:hideMark/>
          </w:tcPr>
          <w:p w14:paraId="2E45D017"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Distance between capitals (capitals, km)</w:t>
            </w:r>
          </w:p>
        </w:tc>
        <w:tc>
          <w:tcPr>
            <w:tcW w:w="420" w:type="dxa"/>
            <w:tcBorders>
              <w:top w:val="nil"/>
              <w:left w:val="nil"/>
              <w:bottom w:val="nil"/>
              <w:right w:val="nil"/>
            </w:tcBorders>
            <w:shd w:val="clear" w:color="auto" w:fill="auto"/>
            <w:textDirection w:val="btLr"/>
            <w:vAlign w:val="center"/>
            <w:hideMark/>
          </w:tcPr>
          <w:p w14:paraId="474CC1D2"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Constant</w:t>
            </w:r>
          </w:p>
        </w:tc>
        <w:tc>
          <w:tcPr>
            <w:tcW w:w="420" w:type="dxa"/>
            <w:tcBorders>
              <w:top w:val="nil"/>
              <w:left w:val="nil"/>
              <w:bottom w:val="nil"/>
              <w:right w:val="nil"/>
            </w:tcBorders>
            <w:shd w:val="clear" w:color="auto" w:fill="auto"/>
            <w:textDirection w:val="btLr"/>
            <w:vAlign w:val="center"/>
            <w:hideMark/>
          </w:tcPr>
          <w:p w14:paraId="66B4695B" w14:textId="77777777" w:rsidR="00AE1490" w:rsidRPr="00AE1490" w:rsidRDefault="00AE1490" w:rsidP="00AE1490">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center"/>
            <w:hideMark/>
          </w:tcPr>
          <w:p w14:paraId="323AC09F"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No. of observations</w:t>
            </w:r>
          </w:p>
        </w:tc>
        <w:tc>
          <w:tcPr>
            <w:tcW w:w="420" w:type="dxa"/>
            <w:tcBorders>
              <w:top w:val="nil"/>
              <w:left w:val="nil"/>
              <w:bottom w:val="nil"/>
              <w:right w:val="nil"/>
            </w:tcBorders>
            <w:shd w:val="clear" w:color="auto" w:fill="auto"/>
            <w:textDirection w:val="btLr"/>
            <w:vAlign w:val="center"/>
            <w:hideMark/>
          </w:tcPr>
          <w:p w14:paraId="12FC5135" w14:textId="77777777" w:rsidR="00AE1490" w:rsidRPr="00AE1490" w:rsidRDefault="00AE1490" w:rsidP="00AE1490">
            <w:pPr>
              <w:spacing w:after="0"/>
              <w:rPr>
                <w:rFonts w:eastAsia="Times New Roman" w:cs="Times New Roman"/>
                <w:lang w:eastAsia="en-US"/>
              </w:rPr>
            </w:pPr>
            <w:r w:rsidRPr="00AE1490">
              <w:rPr>
                <w:rFonts w:eastAsia="Times New Roman" w:cs="Times New Roman"/>
                <w:lang w:eastAsia="en-US"/>
              </w:rPr>
              <w:t>R2</w:t>
            </w:r>
          </w:p>
        </w:tc>
        <w:tc>
          <w:tcPr>
            <w:tcW w:w="380" w:type="dxa"/>
            <w:vMerge/>
            <w:tcBorders>
              <w:top w:val="nil"/>
              <w:left w:val="nil"/>
              <w:bottom w:val="nil"/>
              <w:right w:val="single" w:sz="4" w:space="0" w:color="auto"/>
            </w:tcBorders>
            <w:vAlign w:val="center"/>
            <w:hideMark/>
          </w:tcPr>
          <w:p w14:paraId="74C40FA1" w14:textId="77777777" w:rsidR="00AE1490" w:rsidRPr="00AE1490" w:rsidRDefault="00AE1490" w:rsidP="00AE1490">
            <w:pPr>
              <w:spacing w:after="0"/>
              <w:rPr>
                <w:rFonts w:eastAsia="Times New Roman" w:cs="Times New Roman"/>
                <w:lang w:eastAsia="en-US"/>
              </w:rPr>
            </w:pPr>
          </w:p>
        </w:tc>
      </w:tr>
    </w:tbl>
    <w:p w14:paraId="73BFACD3" w14:textId="43694E17" w:rsidR="00ED7AA0" w:rsidRDefault="00ED7AA0">
      <w:pPr>
        <w:rPr>
          <w:b/>
        </w:rPr>
      </w:pPr>
      <w:r>
        <w:rPr>
          <w:b/>
        </w:rPr>
        <w:br w:type="page"/>
      </w:r>
    </w:p>
    <w:p w14:paraId="7AA5BDA5" w14:textId="77777777" w:rsidR="008F23CC" w:rsidRDefault="008F23CC">
      <w:pPr>
        <w:rPr>
          <w:b/>
        </w:rPr>
        <w:sectPr w:rsidR="008F23CC" w:rsidSect="00D0314C">
          <w:pgSz w:w="12240" w:h="15840"/>
          <w:pgMar w:top="1440" w:right="1440" w:bottom="1440" w:left="2520" w:header="720" w:footer="720" w:gutter="0"/>
          <w:cols w:space="720"/>
        </w:sectPr>
      </w:pPr>
    </w:p>
    <w:p w14:paraId="3C9692A2" w14:textId="27ADE1E0" w:rsidR="00A85FFD" w:rsidRPr="00272641" w:rsidRDefault="00950556" w:rsidP="00272641">
      <w:pPr>
        <w:jc w:val="center"/>
      </w:pPr>
      <w:r w:rsidRPr="00272641">
        <w:t>Individual</w:t>
      </w:r>
      <w:r w:rsidR="00A85FFD" w:rsidRPr="00272641">
        <w:t xml:space="preserve"> Components of “Frenchness,” </w:t>
      </w:r>
      <w:r w:rsidR="005061A7" w:rsidRPr="00272641">
        <w:t>Former Colony Only</w:t>
      </w:r>
    </w:p>
    <w:p w14:paraId="7632A47F" w14:textId="149E6617" w:rsidR="008F23CC" w:rsidRDefault="008F1E79" w:rsidP="00272641">
      <w:pPr>
        <w:spacing w:line="480" w:lineRule="auto"/>
        <w:jc w:val="both"/>
        <w:sectPr w:rsidR="008F23CC" w:rsidSect="00D0314C">
          <w:pgSz w:w="12240" w:h="15840"/>
          <w:pgMar w:top="1440" w:right="1440" w:bottom="1440" w:left="2520" w:header="720" w:footer="720" w:gutter="0"/>
          <w:cols w:space="720"/>
        </w:sectPr>
      </w:pPr>
      <w:r>
        <w:rPr>
          <w:b/>
        </w:rPr>
        <w:tab/>
      </w:r>
      <w:r>
        <w:t>The following section was mentioned in Chapter 3 but not included due to issues of collinearity. However, I wanted to illustrate that many variables were dropped—most likely due to the coding of regional statuse</w:t>
      </w:r>
      <w:r w:rsidR="00950556">
        <w:t>s—and therefore not included in the overall analysis.</w:t>
      </w:r>
      <w:r w:rsidR="009503B1">
        <w:t xml:space="preserve"> See the results in Table </w:t>
      </w:r>
      <w:r w:rsidR="00A83691">
        <w:t>D</w:t>
      </w:r>
      <w:r w:rsidR="009503B1">
        <w:t>.</w:t>
      </w:r>
      <w:r w:rsidR="008F23CC">
        <w:t>5</w:t>
      </w:r>
      <w:r w:rsidR="009503B1">
        <w:t>.</w:t>
      </w:r>
      <w:r w:rsidR="008F23CC">
        <w:t xml:space="preserve"> below. </w:t>
      </w:r>
    </w:p>
    <w:p w14:paraId="188A1D25" w14:textId="134C6E5D" w:rsidR="008F23CC" w:rsidRDefault="008F23CC" w:rsidP="008F1E79">
      <w:pPr>
        <w:spacing w:line="480" w:lineRule="auto"/>
      </w:pPr>
    </w:p>
    <w:tbl>
      <w:tblPr>
        <w:tblW w:w="6820" w:type="dxa"/>
        <w:tblInd w:w="93" w:type="dxa"/>
        <w:tblLook w:val="04A0" w:firstRow="1" w:lastRow="0" w:firstColumn="1" w:lastColumn="0" w:noHBand="0" w:noVBand="1"/>
      </w:tblPr>
      <w:tblGrid>
        <w:gridCol w:w="498"/>
        <w:gridCol w:w="498"/>
        <w:gridCol w:w="498"/>
        <w:gridCol w:w="440"/>
        <w:gridCol w:w="498"/>
        <w:gridCol w:w="420"/>
        <w:gridCol w:w="498"/>
        <w:gridCol w:w="498"/>
        <w:gridCol w:w="498"/>
        <w:gridCol w:w="498"/>
        <w:gridCol w:w="498"/>
        <w:gridCol w:w="498"/>
        <w:gridCol w:w="498"/>
        <w:gridCol w:w="498"/>
        <w:gridCol w:w="498"/>
        <w:gridCol w:w="420"/>
      </w:tblGrid>
      <w:tr w:rsidR="00B62E8E" w:rsidRPr="00B62E8E" w14:paraId="796C3864" w14:textId="77777777" w:rsidTr="00B62E8E">
        <w:trPr>
          <w:trHeight w:val="1180"/>
        </w:trPr>
        <w:tc>
          <w:tcPr>
            <w:tcW w:w="420" w:type="dxa"/>
            <w:vMerge w:val="restart"/>
            <w:tcBorders>
              <w:top w:val="nil"/>
              <w:left w:val="nil"/>
              <w:bottom w:val="nil"/>
              <w:right w:val="single" w:sz="4" w:space="0" w:color="auto"/>
            </w:tcBorders>
            <w:shd w:val="clear" w:color="auto" w:fill="auto"/>
            <w:noWrap/>
            <w:textDirection w:val="btLr"/>
            <w:vAlign w:val="center"/>
            <w:hideMark/>
          </w:tcPr>
          <w:p w14:paraId="6144C9EE" w14:textId="77777777" w:rsidR="00B62E8E" w:rsidRPr="00B62E8E" w:rsidRDefault="00B62E8E" w:rsidP="00B62E8E">
            <w:pPr>
              <w:spacing w:after="0"/>
              <w:rPr>
                <w:rFonts w:eastAsia="Times New Roman" w:cs="Times New Roman"/>
                <w:color w:val="000000"/>
                <w:lang w:eastAsia="en-US"/>
              </w:rPr>
            </w:pPr>
            <w:r w:rsidRPr="00B62E8E">
              <w:rPr>
                <w:rFonts w:eastAsia="Times New Roman" w:cs="Times New Roman"/>
                <w:color w:val="000000"/>
                <w:lang w:eastAsia="en-US"/>
              </w:rPr>
              <w:t>Table D.5. Bilateral aid committed, individual components of Françafrique, former French colonies only</w:t>
            </w:r>
          </w:p>
        </w:tc>
        <w:tc>
          <w:tcPr>
            <w:tcW w:w="460" w:type="dxa"/>
            <w:tcBorders>
              <w:top w:val="nil"/>
              <w:left w:val="nil"/>
              <w:bottom w:val="nil"/>
              <w:right w:val="nil"/>
            </w:tcBorders>
            <w:shd w:val="clear" w:color="auto" w:fill="auto"/>
            <w:textDirection w:val="btLr"/>
            <w:vAlign w:val="center"/>
            <w:hideMark/>
          </w:tcPr>
          <w:p w14:paraId="2703AB18" w14:textId="77777777" w:rsidR="00B62E8E" w:rsidRPr="00B62E8E" w:rsidRDefault="00B62E8E" w:rsidP="00B62E8E">
            <w:pPr>
              <w:spacing w:after="0"/>
              <w:rPr>
                <w:rFonts w:eastAsia="Times New Roman" w:cs="Times New Roman"/>
                <w:b/>
                <w:bCs/>
                <w:lang w:eastAsia="en-US"/>
              </w:rPr>
            </w:pPr>
            <w:r w:rsidRPr="00B62E8E">
              <w:rPr>
                <w:rFonts w:eastAsia="Times New Roman" w:cs="Times New Roman"/>
                <w:b/>
                <w:bCs/>
                <w:lang w:eastAsia="en-US"/>
              </w:rPr>
              <w:t>(8)</w:t>
            </w:r>
          </w:p>
        </w:tc>
        <w:tc>
          <w:tcPr>
            <w:tcW w:w="420" w:type="dxa"/>
            <w:tcBorders>
              <w:top w:val="nil"/>
              <w:left w:val="nil"/>
              <w:bottom w:val="nil"/>
              <w:right w:val="nil"/>
            </w:tcBorders>
            <w:shd w:val="clear" w:color="auto" w:fill="auto"/>
            <w:noWrap/>
            <w:textDirection w:val="btLr"/>
            <w:vAlign w:val="center"/>
            <w:hideMark/>
          </w:tcPr>
          <w:p w14:paraId="52C78651"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40" w:type="dxa"/>
            <w:tcBorders>
              <w:top w:val="nil"/>
              <w:left w:val="nil"/>
              <w:bottom w:val="nil"/>
              <w:right w:val="nil"/>
            </w:tcBorders>
            <w:shd w:val="clear" w:color="auto" w:fill="auto"/>
            <w:noWrap/>
            <w:textDirection w:val="btLr"/>
            <w:vAlign w:val="center"/>
            <w:hideMark/>
          </w:tcPr>
          <w:p w14:paraId="4B78C005" w14:textId="77777777" w:rsidR="00B62E8E" w:rsidRPr="00B62E8E" w:rsidRDefault="00B62E8E" w:rsidP="00B62E8E">
            <w:pPr>
              <w:spacing w:after="0"/>
              <w:rPr>
                <w:rFonts w:eastAsia="Times New Roman" w:cs="Times New Roman"/>
                <w:lang w:eastAsia="en-US"/>
              </w:rPr>
            </w:pPr>
          </w:p>
        </w:tc>
        <w:tc>
          <w:tcPr>
            <w:tcW w:w="380" w:type="dxa"/>
            <w:tcBorders>
              <w:top w:val="nil"/>
              <w:left w:val="nil"/>
              <w:bottom w:val="nil"/>
              <w:right w:val="nil"/>
            </w:tcBorders>
            <w:shd w:val="clear" w:color="auto" w:fill="auto"/>
            <w:noWrap/>
            <w:textDirection w:val="btLr"/>
            <w:vAlign w:val="center"/>
            <w:hideMark/>
          </w:tcPr>
          <w:p w14:paraId="726B5D8D"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1BF0CCFB"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7FF47C3E"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-1.215***</w:t>
            </w:r>
          </w:p>
        </w:tc>
        <w:tc>
          <w:tcPr>
            <w:tcW w:w="420" w:type="dxa"/>
            <w:tcBorders>
              <w:top w:val="nil"/>
              <w:left w:val="nil"/>
              <w:bottom w:val="nil"/>
              <w:right w:val="nil"/>
            </w:tcBorders>
            <w:shd w:val="clear" w:color="auto" w:fill="auto"/>
            <w:noWrap/>
            <w:textDirection w:val="btLr"/>
            <w:vAlign w:val="center"/>
            <w:hideMark/>
          </w:tcPr>
          <w:p w14:paraId="614F462A"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(0.408)</w:t>
            </w:r>
          </w:p>
        </w:tc>
        <w:tc>
          <w:tcPr>
            <w:tcW w:w="420" w:type="dxa"/>
            <w:tcBorders>
              <w:top w:val="nil"/>
              <w:left w:val="nil"/>
              <w:bottom w:val="nil"/>
              <w:right w:val="nil"/>
            </w:tcBorders>
            <w:shd w:val="clear" w:color="auto" w:fill="auto"/>
            <w:noWrap/>
            <w:textDirection w:val="btLr"/>
            <w:vAlign w:val="center"/>
            <w:hideMark/>
          </w:tcPr>
          <w:p w14:paraId="3943ABF9"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-0.017***</w:t>
            </w:r>
          </w:p>
        </w:tc>
        <w:tc>
          <w:tcPr>
            <w:tcW w:w="420" w:type="dxa"/>
            <w:tcBorders>
              <w:top w:val="nil"/>
              <w:left w:val="nil"/>
              <w:bottom w:val="nil"/>
              <w:right w:val="nil"/>
            </w:tcBorders>
            <w:shd w:val="clear" w:color="auto" w:fill="auto"/>
            <w:noWrap/>
            <w:textDirection w:val="btLr"/>
            <w:vAlign w:val="center"/>
            <w:hideMark/>
          </w:tcPr>
          <w:p w14:paraId="74294CD1"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(0.004)</w:t>
            </w:r>
          </w:p>
        </w:tc>
        <w:tc>
          <w:tcPr>
            <w:tcW w:w="460" w:type="dxa"/>
            <w:tcBorders>
              <w:top w:val="nil"/>
              <w:left w:val="nil"/>
              <w:bottom w:val="nil"/>
              <w:right w:val="nil"/>
            </w:tcBorders>
            <w:shd w:val="clear" w:color="auto" w:fill="auto"/>
            <w:noWrap/>
            <w:textDirection w:val="btLr"/>
            <w:vAlign w:val="center"/>
            <w:hideMark/>
          </w:tcPr>
          <w:p w14:paraId="6F74D433"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0.841***</w:t>
            </w:r>
          </w:p>
        </w:tc>
        <w:tc>
          <w:tcPr>
            <w:tcW w:w="420" w:type="dxa"/>
            <w:tcBorders>
              <w:top w:val="nil"/>
              <w:left w:val="nil"/>
              <w:bottom w:val="nil"/>
              <w:right w:val="nil"/>
            </w:tcBorders>
            <w:shd w:val="clear" w:color="auto" w:fill="auto"/>
            <w:noWrap/>
            <w:textDirection w:val="btLr"/>
            <w:vAlign w:val="center"/>
            <w:hideMark/>
          </w:tcPr>
          <w:p w14:paraId="6FFDA67B"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(0.225)</w:t>
            </w:r>
          </w:p>
        </w:tc>
        <w:tc>
          <w:tcPr>
            <w:tcW w:w="460" w:type="dxa"/>
            <w:tcBorders>
              <w:top w:val="nil"/>
              <w:left w:val="nil"/>
              <w:bottom w:val="nil"/>
              <w:right w:val="nil"/>
            </w:tcBorders>
            <w:shd w:val="clear" w:color="auto" w:fill="auto"/>
            <w:noWrap/>
            <w:textDirection w:val="btLr"/>
            <w:vAlign w:val="center"/>
            <w:hideMark/>
          </w:tcPr>
          <w:p w14:paraId="70E8A38F"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-0.373</w:t>
            </w:r>
          </w:p>
        </w:tc>
        <w:tc>
          <w:tcPr>
            <w:tcW w:w="420" w:type="dxa"/>
            <w:tcBorders>
              <w:top w:val="nil"/>
              <w:left w:val="nil"/>
              <w:bottom w:val="nil"/>
              <w:right w:val="nil"/>
            </w:tcBorders>
            <w:shd w:val="clear" w:color="auto" w:fill="auto"/>
            <w:noWrap/>
            <w:textDirection w:val="btLr"/>
            <w:vAlign w:val="center"/>
            <w:hideMark/>
          </w:tcPr>
          <w:p w14:paraId="27D78DED"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(0.487)</w:t>
            </w:r>
          </w:p>
        </w:tc>
        <w:tc>
          <w:tcPr>
            <w:tcW w:w="380" w:type="dxa"/>
            <w:tcBorders>
              <w:top w:val="nil"/>
              <w:left w:val="nil"/>
              <w:bottom w:val="nil"/>
              <w:right w:val="nil"/>
            </w:tcBorders>
            <w:shd w:val="clear" w:color="auto" w:fill="auto"/>
            <w:noWrap/>
            <w:textDirection w:val="btLr"/>
            <w:vAlign w:val="center"/>
            <w:hideMark/>
          </w:tcPr>
          <w:p w14:paraId="136C8302"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44EAA943" w14:textId="77777777" w:rsidR="00B62E8E" w:rsidRPr="00B62E8E" w:rsidRDefault="00B62E8E" w:rsidP="00B62E8E">
            <w:pPr>
              <w:spacing w:after="0"/>
              <w:rPr>
                <w:rFonts w:eastAsia="Times New Roman" w:cs="Times New Roman"/>
                <w:lang w:eastAsia="en-US"/>
              </w:rPr>
            </w:pPr>
          </w:p>
        </w:tc>
      </w:tr>
      <w:tr w:rsidR="00B62E8E" w:rsidRPr="00B62E8E" w14:paraId="13A3D349" w14:textId="77777777" w:rsidTr="00B62E8E">
        <w:trPr>
          <w:trHeight w:val="1180"/>
        </w:trPr>
        <w:tc>
          <w:tcPr>
            <w:tcW w:w="420" w:type="dxa"/>
            <w:vMerge/>
            <w:tcBorders>
              <w:top w:val="nil"/>
              <w:left w:val="nil"/>
              <w:bottom w:val="nil"/>
              <w:right w:val="single" w:sz="4" w:space="0" w:color="auto"/>
            </w:tcBorders>
            <w:vAlign w:val="center"/>
            <w:hideMark/>
          </w:tcPr>
          <w:p w14:paraId="47BC585A" w14:textId="77777777" w:rsidR="00B62E8E" w:rsidRPr="00B62E8E" w:rsidRDefault="00B62E8E" w:rsidP="00B62E8E">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1F9650A2" w14:textId="77777777" w:rsidR="00B62E8E" w:rsidRPr="00B62E8E" w:rsidRDefault="00B62E8E" w:rsidP="00B62E8E">
            <w:pPr>
              <w:spacing w:after="0"/>
              <w:rPr>
                <w:rFonts w:eastAsia="Times New Roman" w:cs="Times New Roman"/>
                <w:b/>
                <w:bCs/>
                <w:lang w:eastAsia="en-US"/>
              </w:rPr>
            </w:pPr>
            <w:r w:rsidRPr="00B62E8E">
              <w:rPr>
                <w:rFonts w:eastAsia="Times New Roman" w:cs="Times New Roman"/>
                <w:b/>
                <w:bCs/>
                <w:lang w:eastAsia="en-US"/>
              </w:rPr>
              <w:t>(7)</w:t>
            </w:r>
          </w:p>
        </w:tc>
        <w:tc>
          <w:tcPr>
            <w:tcW w:w="420" w:type="dxa"/>
            <w:tcBorders>
              <w:top w:val="nil"/>
              <w:left w:val="nil"/>
              <w:bottom w:val="nil"/>
              <w:right w:val="nil"/>
            </w:tcBorders>
            <w:shd w:val="clear" w:color="auto" w:fill="auto"/>
            <w:noWrap/>
            <w:textDirection w:val="btLr"/>
            <w:vAlign w:val="center"/>
            <w:hideMark/>
          </w:tcPr>
          <w:p w14:paraId="64A02BD1"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40" w:type="dxa"/>
            <w:tcBorders>
              <w:top w:val="nil"/>
              <w:left w:val="nil"/>
              <w:bottom w:val="nil"/>
              <w:right w:val="nil"/>
            </w:tcBorders>
            <w:shd w:val="clear" w:color="auto" w:fill="auto"/>
            <w:noWrap/>
            <w:textDirection w:val="btLr"/>
            <w:vAlign w:val="center"/>
            <w:hideMark/>
          </w:tcPr>
          <w:p w14:paraId="6FBDF060" w14:textId="77777777" w:rsidR="00B62E8E" w:rsidRPr="00B62E8E" w:rsidRDefault="00B62E8E" w:rsidP="00B62E8E">
            <w:pPr>
              <w:spacing w:after="0"/>
              <w:rPr>
                <w:rFonts w:eastAsia="Times New Roman" w:cs="Times New Roman"/>
                <w:lang w:eastAsia="en-US"/>
              </w:rPr>
            </w:pPr>
          </w:p>
        </w:tc>
        <w:tc>
          <w:tcPr>
            <w:tcW w:w="380" w:type="dxa"/>
            <w:tcBorders>
              <w:top w:val="nil"/>
              <w:left w:val="nil"/>
              <w:bottom w:val="nil"/>
              <w:right w:val="nil"/>
            </w:tcBorders>
            <w:shd w:val="clear" w:color="auto" w:fill="auto"/>
            <w:noWrap/>
            <w:textDirection w:val="btLr"/>
            <w:vAlign w:val="center"/>
            <w:hideMark/>
          </w:tcPr>
          <w:p w14:paraId="64BB91F4"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0ADB19E2"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127C9738"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-1.215***</w:t>
            </w:r>
          </w:p>
        </w:tc>
        <w:tc>
          <w:tcPr>
            <w:tcW w:w="420" w:type="dxa"/>
            <w:tcBorders>
              <w:top w:val="nil"/>
              <w:left w:val="nil"/>
              <w:bottom w:val="nil"/>
              <w:right w:val="nil"/>
            </w:tcBorders>
            <w:shd w:val="clear" w:color="auto" w:fill="auto"/>
            <w:noWrap/>
            <w:textDirection w:val="btLr"/>
            <w:vAlign w:val="center"/>
            <w:hideMark/>
          </w:tcPr>
          <w:p w14:paraId="50C207F3"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(0.408)</w:t>
            </w:r>
          </w:p>
        </w:tc>
        <w:tc>
          <w:tcPr>
            <w:tcW w:w="420" w:type="dxa"/>
            <w:tcBorders>
              <w:top w:val="nil"/>
              <w:left w:val="nil"/>
              <w:bottom w:val="nil"/>
              <w:right w:val="nil"/>
            </w:tcBorders>
            <w:shd w:val="clear" w:color="auto" w:fill="auto"/>
            <w:noWrap/>
            <w:textDirection w:val="btLr"/>
            <w:vAlign w:val="center"/>
            <w:hideMark/>
          </w:tcPr>
          <w:p w14:paraId="3EB7CF7E"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-0.017***</w:t>
            </w:r>
          </w:p>
        </w:tc>
        <w:tc>
          <w:tcPr>
            <w:tcW w:w="420" w:type="dxa"/>
            <w:tcBorders>
              <w:top w:val="nil"/>
              <w:left w:val="nil"/>
              <w:bottom w:val="nil"/>
              <w:right w:val="nil"/>
            </w:tcBorders>
            <w:shd w:val="clear" w:color="auto" w:fill="auto"/>
            <w:noWrap/>
            <w:textDirection w:val="btLr"/>
            <w:vAlign w:val="center"/>
            <w:hideMark/>
          </w:tcPr>
          <w:p w14:paraId="2C9FE2ED"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(0.004)</w:t>
            </w:r>
          </w:p>
        </w:tc>
        <w:tc>
          <w:tcPr>
            <w:tcW w:w="460" w:type="dxa"/>
            <w:tcBorders>
              <w:top w:val="nil"/>
              <w:left w:val="nil"/>
              <w:bottom w:val="nil"/>
              <w:right w:val="nil"/>
            </w:tcBorders>
            <w:shd w:val="clear" w:color="auto" w:fill="auto"/>
            <w:noWrap/>
            <w:textDirection w:val="btLr"/>
            <w:vAlign w:val="center"/>
            <w:hideMark/>
          </w:tcPr>
          <w:p w14:paraId="0CD162E3"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0.840***</w:t>
            </w:r>
          </w:p>
        </w:tc>
        <w:tc>
          <w:tcPr>
            <w:tcW w:w="420" w:type="dxa"/>
            <w:tcBorders>
              <w:top w:val="nil"/>
              <w:left w:val="nil"/>
              <w:bottom w:val="nil"/>
              <w:right w:val="nil"/>
            </w:tcBorders>
            <w:shd w:val="clear" w:color="auto" w:fill="auto"/>
            <w:noWrap/>
            <w:textDirection w:val="btLr"/>
            <w:vAlign w:val="center"/>
            <w:hideMark/>
          </w:tcPr>
          <w:p w14:paraId="57CB4833"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(0.225)</w:t>
            </w:r>
          </w:p>
        </w:tc>
        <w:tc>
          <w:tcPr>
            <w:tcW w:w="460" w:type="dxa"/>
            <w:tcBorders>
              <w:top w:val="nil"/>
              <w:left w:val="nil"/>
              <w:bottom w:val="nil"/>
              <w:right w:val="nil"/>
            </w:tcBorders>
            <w:shd w:val="clear" w:color="auto" w:fill="auto"/>
            <w:noWrap/>
            <w:textDirection w:val="btLr"/>
            <w:vAlign w:val="center"/>
            <w:hideMark/>
          </w:tcPr>
          <w:p w14:paraId="2C9DAD09"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-0.394</w:t>
            </w:r>
          </w:p>
        </w:tc>
        <w:tc>
          <w:tcPr>
            <w:tcW w:w="420" w:type="dxa"/>
            <w:tcBorders>
              <w:top w:val="nil"/>
              <w:left w:val="nil"/>
              <w:bottom w:val="nil"/>
              <w:right w:val="nil"/>
            </w:tcBorders>
            <w:shd w:val="clear" w:color="auto" w:fill="auto"/>
            <w:noWrap/>
            <w:textDirection w:val="btLr"/>
            <w:vAlign w:val="center"/>
            <w:hideMark/>
          </w:tcPr>
          <w:p w14:paraId="38040A50"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(0.487)</w:t>
            </w:r>
          </w:p>
        </w:tc>
        <w:tc>
          <w:tcPr>
            <w:tcW w:w="380" w:type="dxa"/>
            <w:tcBorders>
              <w:top w:val="nil"/>
              <w:left w:val="nil"/>
              <w:bottom w:val="nil"/>
              <w:right w:val="nil"/>
            </w:tcBorders>
            <w:shd w:val="clear" w:color="auto" w:fill="auto"/>
            <w:noWrap/>
            <w:textDirection w:val="btLr"/>
            <w:vAlign w:val="center"/>
            <w:hideMark/>
          </w:tcPr>
          <w:p w14:paraId="0E0C62F3"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0C3CCD7C" w14:textId="77777777" w:rsidR="00B62E8E" w:rsidRPr="00B62E8E" w:rsidRDefault="00B62E8E" w:rsidP="00B62E8E">
            <w:pPr>
              <w:spacing w:after="0"/>
              <w:rPr>
                <w:rFonts w:eastAsia="Times New Roman" w:cs="Times New Roman"/>
                <w:lang w:eastAsia="en-US"/>
              </w:rPr>
            </w:pPr>
          </w:p>
        </w:tc>
      </w:tr>
      <w:tr w:rsidR="00B62E8E" w:rsidRPr="00B62E8E" w14:paraId="0C532F8B" w14:textId="77777777" w:rsidTr="00B62E8E">
        <w:trPr>
          <w:trHeight w:val="1180"/>
        </w:trPr>
        <w:tc>
          <w:tcPr>
            <w:tcW w:w="420" w:type="dxa"/>
            <w:vMerge/>
            <w:tcBorders>
              <w:top w:val="nil"/>
              <w:left w:val="nil"/>
              <w:bottom w:val="nil"/>
              <w:right w:val="single" w:sz="4" w:space="0" w:color="auto"/>
            </w:tcBorders>
            <w:vAlign w:val="center"/>
            <w:hideMark/>
          </w:tcPr>
          <w:p w14:paraId="0EED44B4" w14:textId="77777777" w:rsidR="00B62E8E" w:rsidRPr="00B62E8E" w:rsidRDefault="00B62E8E" w:rsidP="00B62E8E">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3F71752C" w14:textId="77777777" w:rsidR="00B62E8E" w:rsidRPr="00B62E8E" w:rsidRDefault="00B62E8E" w:rsidP="00B62E8E">
            <w:pPr>
              <w:spacing w:after="0"/>
              <w:rPr>
                <w:rFonts w:eastAsia="Times New Roman" w:cs="Times New Roman"/>
                <w:b/>
                <w:bCs/>
                <w:lang w:eastAsia="en-US"/>
              </w:rPr>
            </w:pPr>
            <w:r w:rsidRPr="00B62E8E">
              <w:rPr>
                <w:rFonts w:eastAsia="Times New Roman" w:cs="Times New Roman"/>
                <w:b/>
                <w:bCs/>
                <w:lang w:eastAsia="en-US"/>
              </w:rPr>
              <w:t>(6)</w:t>
            </w:r>
          </w:p>
        </w:tc>
        <w:tc>
          <w:tcPr>
            <w:tcW w:w="420" w:type="dxa"/>
            <w:tcBorders>
              <w:top w:val="nil"/>
              <w:left w:val="nil"/>
              <w:bottom w:val="nil"/>
              <w:right w:val="nil"/>
            </w:tcBorders>
            <w:shd w:val="clear" w:color="auto" w:fill="auto"/>
            <w:noWrap/>
            <w:textDirection w:val="btLr"/>
            <w:vAlign w:val="center"/>
            <w:hideMark/>
          </w:tcPr>
          <w:p w14:paraId="7EA8F345"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40" w:type="dxa"/>
            <w:tcBorders>
              <w:top w:val="nil"/>
              <w:left w:val="nil"/>
              <w:bottom w:val="nil"/>
              <w:right w:val="nil"/>
            </w:tcBorders>
            <w:shd w:val="clear" w:color="auto" w:fill="auto"/>
            <w:noWrap/>
            <w:textDirection w:val="btLr"/>
            <w:vAlign w:val="center"/>
            <w:hideMark/>
          </w:tcPr>
          <w:p w14:paraId="3289998D" w14:textId="77777777" w:rsidR="00B62E8E" w:rsidRPr="00B62E8E" w:rsidRDefault="00B62E8E" w:rsidP="00B62E8E">
            <w:pPr>
              <w:spacing w:after="0"/>
              <w:rPr>
                <w:rFonts w:eastAsia="Times New Roman" w:cs="Times New Roman"/>
                <w:lang w:eastAsia="en-US"/>
              </w:rPr>
            </w:pPr>
          </w:p>
        </w:tc>
        <w:tc>
          <w:tcPr>
            <w:tcW w:w="380" w:type="dxa"/>
            <w:tcBorders>
              <w:top w:val="nil"/>
              <w:left w:val="nil"/>
              <w:bottom w:val="nil"/>
              <w:right w:val="nil"/>
            </w:tcBorders>
            <w:shd w:val="clear" w:color="auto" w:fill="auto"/>
            <w:noWrap/>
            <w:textDirection w:val="btLr"/>
            <w:vAlign w:val="center"/>
            <w:hideMark/>
          </w:tcPr>
          <w:p w14:paraId="63D476E2"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68E1B2F0"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359A7E2D"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-1.326***</w:t>
            </w:r>
          </w:p>
        </w:tc>
        <w:tc>
          <w:tcPr>
            <w:tcW w:w="420" w:type="dxa"/>
            <w:tcBorders>
              <w:top w:val="nil"/>
              <w:left w:val="nil"/>
              <w:bottom w:val="nil"/>
              <w:right w:val="nil"/>
            </w:tcBorders>
            <w:shd w:val="clear" w:color="auto" w:fill="auto"/>
            <w:noWrap/>
            <w:textDirection w:val="btLr"/>
            <w:vAlign w:val="center"/>
            <w:hideMark/>
          </w:tcPr>
          <w:p w14:paraId="02E747CA"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(0.302)</w:t>
            </w:r>
          </w:p>
        </w:tc>
        <w:tc>
          <w:tcPr>
            <w:tcW w:w="420" w:type="dxa"/>
            <w:tcBorders>
              <w:top w:val="nil"/>
              <w:left w:val="nil"/>
              <w:bottom w:val="nil"/>
              <w:right w:val="nil"/>
            </w:tcBorders>
            <w:shd w:val="clear" w:color="auto" w:fill="auto"/>
            <w:noWrap/>
            <w:textDirection w:val="btLr"/>
            <w:vAlign w:val="center"/>
            <w:hideMark/>
          </w:tcPr>
          <w:p w14:paraId="7DB9AFC6"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-0.019***</w:t>
            </w:r>
          </w:p>
        </w:tc>
        <w:tc>
          <w:tcPr>
            <w:tcW w:w="420" w:type="dxa"/>
            <w:tcBorders>
              <w:top w:val="nil"/>
              <w:left w:val="nil"/>
              <w:bottom w:val="nil"/>
              <w:right w:val="nil"/>
            </w:tcBorders>
            <w:shd w:val="clear" w:color="auto" w:fill="auto"/>
            <w:noWrap/>
            <w:textDirection w:val="btLr"/>
            <w:vAlign w:val="center"/>
            <w:hideMark/>
          </w:tcPr>
          <w:p w14:paraId="57994341"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(0.004)</w:t>
            </w:r>
          </w:p>
        </w:tc>
        <w:tc>
          <w:tcPr>
            <w:tcW w:w="460" w:type="dxa"/>
            <w:tcBorders>
              <w:top w:val="nil"/>
              <w:left w:val="nil"/>
              <w:bottom w:val="nil"/>
              <w:right w:val="nil"/>
            </w:tcBorders>
            <w:shd w:val="clear" w:color="auto" w:fill="auto"/>
            <w:noWrap/>
            <w:textDirection w:val="btLr"/>
            <w:vAlign w:val="center"/>
            <w:hideMark/>
          </w:tcPr>
          <w:p w14:paraId="2DB5FCFD"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1.394***</w:t>
            </w:r>
          </w:p>
        </w:tc>
        <w:tc>
          <w:tcPr>
            <w:tcW w:w="420" w:type="dxa"/>
            <w:tcBorders>
              <w:top w:val="nil"/>
              <w:left w:val="nil"/>
              <w:bottom w:val="nil"/>
              <w:right w:val="nil"/>
            </w:tcBorders>
            <w:shd w:val="clear" w:color="auto" w:fill="auto"/>
            <w:noWrap/>
            <w:textDirection w:val="btLr"/>
            <w:vAlign w:val="center"/>
            <w:hideMark/>
          </w:tcPr>
          <w:p w14:paraId="39B750B9"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(0.152)</w:t>
            </w:r>
          </w:p>
        </w:tc>
        <w:tc>
          <w:tcPr>
            <w:tcW w:w="460" w:type="dxa"/>
            <w:tcBorders>
              <w:top w:val="nil"/>
              <w:left w:val="nil"/>
              <w:bottom w:val="nil"/>
              <w:right w:val="nil"/>
            </w:tcBorders>
            <w:shd w:val="clear" w:color="auto" w:fill="auto"/>
            <w:noWrap/>
            <w:textDirection w:val="btLr"/>
            <w:vAlign w:val="center"/>
            <w:hideMark/>
          </w:tcPr>
          <w:p w14:paraId="48A0A8BE"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-0.687**</w:t>
            </w:r>
          </w:p>
        </w:tc>
        <w:tc>
          <w:tcPr>
            <w:tcW w:w="420" w:type="dxa"/>
            <w:tcBorders>
              <w:top w:val="nil"/>
              <w:left w:val="nil"/>
              <w:bottom w:val="nil"/>
              <w:right w:val="nil"/>
            </w:tcBorders>
            <w:shd w:val="clear" w:color="auto" w:fill="auto"/>
            <w:noWrap/>
            <w:textDirection w:val="btLr"/>
            <w:vAlign w:val="center"/>
            <w:hideMark/>
          </w:tcPr>
          <w:p w14:paraId="56764B34"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(0.337)</w:t>
            </w:r>
          </w:p>
        </w:tc>
        <w:tc>
          <w:tcPr>
            <w:tcW w:w="380" w:type="dxa"/>
            <w:tcBorders>
              <w:top w:val="nil"/>
              <w:left w:val="nil"/>
              <w:bottom w:val="nil"/>
              <w:right w:val="nil"/>
            </w:tcBorders>
            <w:shd w:val="clear" w:color="auto" w:fill="auto"/>
            <w:noWrap/>
            <w:textDirection w:val="btLr"/>
            <w:vAlign w:val="center"/>
            <w:hideMark/>
          </w:tcPr>
          <w:p w14:paraId="132FDCFD"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2E3D9A3F" w14:textId="77777777" w:rsidR="00B62E8E" w:rsidRPr="00B62E8E" w:rsidRDefault="00B62E8E" w:rsidP="00B62E8E">
            <w:pPr>
              <w:spacing w:after="0"/>
              <w:rPr>
                <w:rFonts w:eastAsia="Times New Roman" w:cs="Times New Roman"/>
                <w:lang w:eastAsia="en-US"/>
              </w:rPr>
            </w:pPr>
          </w:p>
        </w:tc>
      </w:tr>
      <w:tr w:rsidR="00B62E8E" w:rsidRPr="00B62E8E" w14:paraId="540AD260" w14:textId="77777777" w:rsidTr="00B62E8E">
        <w:trPr>
          <w:trHeight w:val="1180"/>
        </w:trPr>
        <w:tc>
          <w:tcPr>
            <w:tcW w:w="420" w:type="dxa"/>
            <w:vMerge/>
            <w:tcBorders>
              <w:top w:val="nil"/>
              <w:left w:val="nil"/>
              <w:bottom w:val="nil"/>
              <w:right w:val="single" w:sz="4" w:space="0" w:color="auto"/>
            </w:tcBorders>
            <w:vAlign w:val="center"/>
            <w:hideMark/>
          </w:tcPr>
          <w:p w14:paraId="6E539400" w14:textId="77777777" w:rsidR="00B62E8E" w:rsidRPr="00B62E8E" w:rsidRDefault="00B62E8E" w:rsidP="00B62E8E">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1761C029" w14:textId="77777777" w:rsidR="00B62E8E" w:rsidRPr="00B62E8E" w:rsidRDefault="00B62E8E" w:rsidP="00B62E8E">
            <w:pPr>
              <w:spacing w:after="0"/>
              <w:rPr>
                <w:rFonts w:eastAsia="Times New Roman" w:cs="Times New Roman"/>
                <w:b/>
                <w:bCs/>
                <w:lang w:eastAsia="en-US"/>
              </w:rPr>
            </w:pPr>
            <w:r w:rsidRPr="00B62E8E">
              <w:rPr>
                <w:rFonts w:eastAsia="Times New Roman" w:cs="Times New Roman"/>
                <w:b/>
                <w:bCs/>
                <w:lang w:eastAsia="en-US"/>
              </w:rPr>
              <w:t>(5)</w:t>
            </w:r>
          </w:p>
        </w:tc>
        <w:tc>
          <w:tcPr>
            <w:tcW w:w="420" w:type="dxa"/>
            <w:tcBorders>
              <w:top w:val="nil"/>
              <w:left w:val="nil"/>
              <w:bottom w:val="nil"/>
              <w:right w:val="nil"/>
            </w:tcBorders>
            <w:shd w:val="clear" w:color="auto" w:fill="auto"/>
            <w:noWrap/>
            <w:textDirection w:val="btLr"/>
            <w:vAlign w:val="center"/>
            <w:hideMark/>
          </w:tcPr>
          <w:p w14:paraId="1C1597A0" w14:textId="77777777" w:rsidR="00B62E8E" w:rsidRPr="00B62E8E" w:rsidRDefault="00B62E8E" w:rsidP="00B62E8E">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0366877B" w14:textId="77777777" w:rsidR="00B62E8E" w:rsidRPr="00B62E8E" w:rsidRDefault="00B62E8E" w:rsidP="00B62E8E">
            <w:pPr>
              <w:spacing w:after="0"/>
              <w:rPr>
                <w:rFonts w:eastAsia="Times New Roman" w:cs="Times New Roman"/>
                <w:lang w:eastAsia="en-US"/>
              </w:rPr>
            </w:pPr>
          </w:p>
        </w:tc>
        <w:tc>
          <w:tcPr>
            <w:tcW w:w="380" w:type="dxa"/>
            <w:tcBorders>
              <w:top w:val="nil"/>
              <w:left w:val="nil"/>
              <w:bottom w:val="nil"/>
              <w:right w:val="nil"/>
            </w:tcBorders>
            <w:shd w:val="clear" w:color="auto" w:fill="auto"/>
            <w:noWrap/>
            <w:textDirection w:val="btLr"/>
            <w:vAlign w:val="center"/>
            <w:hideMark/>
          </w:tcPr>
          <w:p w14:paraId="0F682F8F"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AF54B6E"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1F5B8392"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4D32BE4"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44797FB"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99E3CF8"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5695C631"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AE1264F"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3A877CBE"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-0.965***</w:t>
            </w:r>
          </w:p>
        </w:tc>
        <w:tc>
          <w:tcPr>
            <w:tcW w:w="420" w:type="dxa"/>
            <w:tcBorders>
              <w:top w:val="nil"/>
              <w:left w:val="nil"/>
              <w:bottom w:val="nil"/>
              <w:right w:val="nil"/>
            </w:tcBorders>
            <w:shd w:val="clear" w:color="auto" w:fill="auto"/>
            <w:noWrap/>
            <w:textDirection w:val="btLr"/>
            <w:vAlign w:val="center"/>
            <w:hideMark/>
          </w:tcPr>
          <w:p w14:paraId="7AC948E8"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(0.350)</w:t>
            </w:r>
          </w:p>
        </w:tc>
        <w:tc>
          <w:tcPr>
            <w:tcW w:w="380" w:type="dxa"/>
            <w:tcBorders>
              <w:top w:val="nil"/>
              <w:left w:val="nil"/>
              <w:bottom w:val="nil"/>
              <w:right w:val="nil"/>
            </w:tcBorders>
            <w:shd w:val="clear" w:color="auto" w:fill="auto"/>
            <w:noWrap/>
            <w:textDirection w:val="btLr"/>
            <w:vAlign w:val="center"/>
            <w:hideMark/>
          </w:tcPr>
          <w:p w14:paraId="16FEDBDA"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4A44FF81" w14:textId="77777777" w:rsidR="00B62E8E" w:rsidRPr="00B62E8E" w:rsidRDefault="00B62E8E" w:rsidP="00B62E8E">
            <w:pPr>
              <w:spacing w:after="0"/>
              <w:rPr>
                <w:rFonts w:eastAsia="Times New Roman" w:cs="Times New Roman"/>
                <w:lang w:eastAsia="en-US"/>
              </w:rPr>
            </w:pPr>
          </w:p>
        </w:tc>
      </w:tr>
      <w:tr w:rsidR="00B62E8E" w:rsidRPr="00B62E8E" w14:paraId="51612C0B" w14:textId="77777777" w:rsidTr="00B62E8E">
        <w:trPr>
          <w:trHeight w:val="1180"/>
        </w:trPr>
        <w:tc>
          <w:tcPr>
            <w:tcW w:w="420" w:type="dxa"/>
            <w:vMerge/>
            <w:tcBorders>
              <w:top w:val="nil"/>
              <w:left w:val="nil"/>
              <w:bottom w:val="nil"/>
              <w:right w:val="single" w:sz="4" w:space="0" w:color="auto"/>
            </w:tcBorders>
            <w:vAlign w:val="center"/>
            <w:hideMark/>
          </w:tcPr>
          <w:p w14:paraId="3E3596E6" w14:textId="77777777" w:rsidR="00B62E8E" w:rsidRPr="00B62E8E" w:rsidRDefault="00B62E8E" w:rsidP="00B62E8E">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28EAD038" w14:textId="77777777" w:rsidR="00B62E8E" w:rsidRPr="00B62E8E" w:rsidRDefault="00B62E8E" w:rsidP="00B62E8E">
            <w:pPr>
              <w:spacing w:after="0"/>
              <w:rPr>
                <w:rFonts w:eastAsia="Times New Roman" w:cs="Times New Roman"/>
                <w:b/>
                <w:bCs/>
                <w:lang w:eastAsia="en-US"/>
              </w:rPr>
            </w:pPr>
            <w:r w:rsidRPr="00B62E8E">
              <w:rPr>
                <w:rFonts w:eastAsia="Times New Roman" w:cs="Times New Roman"/>
                <w:b/>
                <w:bCs/>
                <w:lang w:eastAsia="en-US"/>
              </w:rPr>
              <w:t>(4)</w:t>
            </w:r>
          </w:p>
        </w:tc>
        <w:tc>
          <w:tcPr>
            <w:tcW w:w="420" w:type="dxa"/>
            <w:tcBorders>
              <w:top w:val="nil"/>
              <w:left w:val="nil"/>
              <w:bottom w:val="nil"/>
              <w:right w:val="nil"/>
            </w:tcBorders>
            <w:shd w:val="clear" w:color="auto" w:fill="auto"/>
            <w:noWrap/>
            <w:textDirection w:val="btLr"/>
            <w:vAlign w:val="center"/>
            <w:hideMark/>
          </w:tcPr>
          <w:p w14:paraId="5342C5F1" w14:textId="77777777" w:rsidR="00B62E8E" w:rsidRPr="00B62E8E" w:rsidRDefault="00B62E8E" w:rsidP="00B62E8E">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43B080F9" w14:textId="77777777" w:rsidR="00B62E8E" w:rsidRPr="00B62E8E" w:rsidRDefault="00B62E8E" w:rsidP="00B62E8E">
            <w:pPr>
              <w:spacing w:after="0"/>
              <w:rPr>
                <w:rFonts w:eastAsia="Times New Roman" w:cs="Times New Roman"/>
                <w:lang w:eastAsia="en-US"/>
              </w:rPr>
            </w:pPr>
          </w:p>
        </w:tc>
        <w:tc>
          <w:tcPr>
            <w:tcW w:w="380" w:type="dxa"/>
            <w:tcBorders>
              <w:top w:val="nil"/>
              <w:left w:val="nil"/>
              <w:bottom w:val="nil"/>
              <w:right w:val="nil"/>
            </w:tcBorders>
            <w:shd w:val="clear" w:color="auto" w:fill="auto"/>
            <w:noWrap/>
            <w:textDirection w:val="btLr"/>
            <w:vAlign w:val="center"/>
            <w:hideMark/>
          </w:tcPr>
          <w:p w14:paraId="6550A2CD"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1828436"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6717017A"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8A09ACE"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45FC9D8"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-0.016***</w:t>
            </w:r>
          </w:p>
        </w:tc>
        <w:tc>
          <w:tcPr>
            <w:tcW w:w="420" w:type="dxa"/>
            <w:tcBorders>
              <w:top w:val="nil"/>
              <w:left w:val="nil"/>
              <w:bottom w:val="nil"/>
              <w:right w:val="nil"/>
            </w:tcBorders>
            <w:shd w:val="clear" w:color="auto" w:fill="auto"/>
            <w:noWrap/>
            <w:textDirection w:val="btLr"/>
            <w:vAlign w:val="center"/>
            <w:hideMark/>
          </w:tcPr>
          <w:p w14:paraId="29CF4ACC"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(0.004)</w:t>
            </w:r>
          </w:p>
        </w:tc>
        <w:tc>
          <w:tcPr>
            <w:tcW w:w="460" w:type="dxa"/>
            <w:tcBorders>
              <w:top w:val="nil"/>
              <w:left w:val="nil"/>
              <w:bottom w:val="nil"/>
              <w:right w:val="nil"/>
            </w:tcBorders>
            <w:shd w:val="clear" w:color="auto" w:fill="auto"/>
            <w:noWrap/>
            <w:textDirection w:val="btLr"/>
            <w:vAlign w:val="center"/>
            <w:hideMark/>
          </w:tcPr>
          <w:p w14:paraId="10753A18"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1.214***</w:t>
            </w:r>
          </w:p>
        </w:tc>
        <w:tc>
          <w:tcPr>
            <w:tcW w:w="420" w:type="dxa"/>
            <w:tcBorders>
              <w:top w:val="nil"/>
              <w:left w:val="nil"/>
              <w:bottom w:val="nil"/>
              <w:right w:val="nil"/>
            </w:tcBorders>
            <w:shd w:val="clear" w:color="auto" w:fill="auto"/>
            <w:noWrap/>
            <w:textDirection w:val="btLr"/>
            <w:vAlign w:val="center"/>
            <w:hideMark/>
          </w:tcPr>
          <w:p w14:paraId="7C427738"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(0.145)</w:t>
            </w:r>
          </w:p>
        </w:tc>
        <w:tc>
          <w:tcPr>
            <w:tcW w:w="460" w:type="dxa"/>
            <w:tcBorders>
              <w:top w:val="nil"/>
              <w:left w:val="nil"/>
              <w:bottom w:val="nil"/>
              <w:right w:val="nil"/>
            </w:tcBorders>
            <w:shd w:val="clear" w:color="auto" w:fill="auto"/>
            <w:noWrap/>
            <w:textDirection w:val="btLr"/>
            <w:vAlign w:val="center"/>
            <w:hideMark/>
          </w:tcPr>
          <w:p w14:paraId="1CE48AA5"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6A7939E" w14:textId="77777777" w:rsidR="00B62E8E" w:rsidRPr="00B62E8E" w:rsidRDefault="00B62E8E" w:rsidP="00B62E8E">
            <w:pPr>
              <w:spacing w:after="0"/>
              <w:rPr>
                <w:rFonts w:eastAsia="Times New Roman" w:cs="Times New Roman"/>
                <w:lang w:eastAsia="en-US"/>
              </w:rPr>
            </w:pPr>
          </w:p>
        </w:tc>
        <w:tc>
          <w:tcPr>
            <w:tcW w:w="380" w:type="dxa"/>
            <w:tcBorders>
              <w:top w:val="nil"/>
              <w:left w:val="nil"/>
              <w:bottom w:val="nil"/>
              <w:right w:val="nil"/>
            </w:tcBorders>
            <w:shd w:val="clear" w:color="auto" w:fill="auto"/>
            <w:noWrap/>
            <w:textDirection w:val="btLr"/>
            <w:vAlign w:val="center"/>
            <w:hideMark/>
          </w:tcPr>
          <w:p w14:paraId="65D6C64C"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B8250C2" w14:textId="77777777" w:rsidR="00B62E8E" w:rsidRPr="00B62E8E" w:rsidRDefault="00B62E8E" w:rsidP="00B62E8E">
            <w:pPr>
              <w:spacing w:after="0"/>
              <w:rPr>
                <w:rFonts w:eastAsia="Times New Roman" w:cs="Times New Roman"/>
                <w:lang w:eastAsia="en-US"/>
              </w:rPr>
            </w:pPr>
          </w:p>
        </w:tc>
      </w:tr>
      <w:tr w:rsidR="00B62E8E" w:rsidRPr="00B62E8E" w14:paraId="1236036E" w14:textId="77777777" w:rsidTr="00B62E8E">
        <w:trPr>
          <w:trHeight w:val="1180"/>
        </w:trPr>
        <w:tc>
          <w:tcPr>
            <w:tcW w:w="420" w:type="dxa"/>
            <w:vMerge/>
            <w:tcBorders>
              <w:top w:val="nil"/>
              <w:left w:val="nil"/>
              <w:bottom w:val="nil"/>
              <w:right w:val="single" w:sz="4" w:space="0" w:color="auto"/>
            </w:tcBorders>
            <w:vAlign w:val="center"/>
            <w:hideMark/>
          </w:tcPr>
          <w:p w14:paraId="17E38EB8" w14:textId="77777777" w:rsidR="00B62E8E" w:rsidRPr="00B62E8E" w:rsidRDefault="00B62E8E" w:rsidP="00B62E8E">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0FE6F1D4" w14:textId="77777777" w:rsidR="00B62E8E" w:rsidRPr="00B62E8E" w:rsidRDefault="00B62E8E" w:rsidP="00B62E8E">
            <w:pPr>
              <w:spacing w:after="0"/>
              <w:rPr>
                <w:rFonts w:eastAsia="Times New Roman" w:cs="Times New Roman"/>
                <w:b/>
                <w:bCs/>
                <w:lang w:eastAsia="en-US"/>
              </w:rPr>
            </w:pPr>
            <w:r w:rsidRPr="00B62E8E">
              <w:rPr>
                <w:rFonts w:eastAsia="Times New Roman" w:cs="Times New Roman"/>
                <w:b/>
                <w:bCs/>
                <w:lang w:eastAsia="en-US"/>
              </w:rPr>
              <w:t>(3)</w:t>
            </w:r>
          </w:p>
        </w:tc>
        <w:tc>
          <w:tcPr>
            <w:tcW w:w="420" w:type="dxa"/>
            <w:tcBorders>
              <w:top w:val="nil"/>
              <w:left w:val="nil"/>
              <w:bottom w:val="nil"/>
              <w:right w:val="nil"/>
            </w:tcBorders>
            <w:shd w:val="clear" w:color="auto" w:fill="auto"/>
            <w:noWrap/>
            <w:textDirection w:val="btLr"/>
            <w:vAlign w:val="center"/>
            <w:hideMark/>
          </w:tcPr>
          <w:p w14:paraId="29D80259"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40" w:type="dxa"/>
            <w:tcBorders>
              <w:top w:val="nil"/>
              <w:left w:val="nil"/>
              <w:bottom w:val="nil"/>
              <w:right w:val="nil"/>
            </w:tcBorders>
            <w:shd w:val="clear" w:color="auto" w:fill="auto"/>
            <w:noWrap/>
            <w:textDirection w:val="btLr"/>
            <w:vAlign w:val="center"/>
            <w:hideMark/>
          </w:tcPr>
          <w:p w14:paraId="5EDEC9E0" w14:textId="77777777" w:rsidR="00B62E8E" w:rsidRPr="00B62E8E" w:rsidRDefault="00B62E8E" w:rsidP="00B62E8E">
            <w:pPr>
              <w:spacing w:after="0"/>
              <w:rPr>
                <w:rFonts w:eastAsia="Times New Roman" w:cs="Times New Roman"/>
                <w:lang w:eastAsia="en-US"/>
              </w:rPr>
            </w:pPr>
          </w:p>
        </w:tc>
        <w:tc>
          <w:tcPr>
            <w:tcW w:w="380" w:type="dxa"/>
            <w:tcBorders>
              <w:top w:val="nil"/>
              <w:left w:val="nil"/>
              <w:bottom w:val="nil"/>
              <w:right w:val="nil"/>
            </w:tcBorders>
            <w:shd w:val="clear" w:color="auto" w:fill="auto"/>
            <w:noWrap/>
            <w:textDirection w:val="btLr"/>
            <w:vAlign w:val="center"/>
            <w:hideMark/>
          </w:tcPr>
          <w:p w14:paraId="23F38366"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50049E8B"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5C432711"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-0.403</w:t>
            </w:r>
          </w:p>
        </w:tc>
        <w:tc>
          <w:tcPr>
            <w:tcW w:w="420" w:type="dxa"/>
            <w:tcBorders>
              <w:top w:val="nil"/>
              <w:left w:val="nil"/>
              <w:bottom w:val="nil"/>
              <w:right w:val="nil"/>
            </w:tcBorders>
            <w:shd w:val="clear" w:color="auto" w:fill="auto"/>
            <w:noWrap/>
            <w:textDirection w:val="btLr"/>
            <w:vAlign w:val="center"/>
            <w:hideMark/>
          </w:tcPr>
          <w:p w14:paraId="173E9896"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(0.301)</w:t>
            </w:r>
          </w:p>
        </w:tc>
        <w:tc>
          <w:tcPr>
            <w:tcW w:w="420" w:type="dxa"/>
            <w:tcBorders>
              <w:top w:val="nil"/>
              <w:left w:val="nil"/>
              <w:bottom w:val="nil"/>
              <w:right w:val="nil"/>
            </w:tcBorders>
            <w:shd w:val="clear" w:color="auto" w:fill="auto"/>
            <w:noWrap/>
            <w:textDirection w:val="btLr"/>
            <w:vAlign w:val="center"/>
            <w:hideMark/>
          </w:tcPr>
          <w:p w14:paraId="57706B10"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EC823FA"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2F18D529"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6B6473B"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79D78B41"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D06413C" w14:textId="77777777" w:rsidR="00B62E8E" w:rsidRPr="00B62E8E" w:rsidRDefault="00B62E8E" w:rsidP="00B62E8E">
            <w:pPr>
              <w:spacing w:after="0"/>
              <w:rPr>
                <w:rFonts w:eastAsia="Times New Roman" w:cs="Times New Roman"/>
                <w:lang w:eastAsia="en-US"/>
              </w:rPr>
            </w:pPr>
          </w:p>
        </w:tc>
        <w:tc>
          <w:tcPr>
            <w:tcW w:w="380" w:type="dxa"/>
            <w:tcBorders>
              <w:top w:val="nil"/>
              <w:left w:val="nil"/>
              <w:bottom w:val="nil"/>
              <w:right w:val="nil"/>
            </w:tcBorders>
            <w:shd w:val="clear" w:color="auto" w:fill="auto"/>
            <w:noWrap/>
            <w:textDirection w:val="btLr"/>
            <w:vAlign w:val="center"/>
            <w:hideMark/>
          </w:tcPr>
          <w:p w14:paraId="5401881E"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9CFC143" w14:textId="77777777" w:rsidR="00B62E8E" w:rsidRPr="00B62E8E" w:rsidRDefault="00B62E8E" w:rsidP="00B62E8E">
            <w:pPr>
              <w:spacing w:after="0"/>
              <w:rPr>
                <w:rFonts w:eastAsia="Times New Roman" w:cs="Times New Roman"/>
                <w:lang w:eastAsia="en-US"/>
              </w:rPr>
            </w:pPr>
          </w:p>
        </w:tc>
      </w:tr>
      <w:tr w:rsidR="00B62E8E" w:rsidRPr="00B62E8E" w14:paraId="6342AD0A" w14:textId="77777777" w:rsidTr="00B62E8E">
        <w:trPr>
          <w:trHeight w:val="1180"/>
        </w:trPr>
        <w:tc>
          <w:tcPr>
            <w:tcW w:w="420" w:type="dxa"/>
            <w:vMerge/>
            <w:tcBorders>
              <w:top w:val="nil"/>
              <w:left w:val="nil"/>
              <w:bottom w:val="nil"/>
              <w:right w:val="single" w:sz="4" w:space="0" w:color="auto"/>
            </w:tcBorders>
            <w:vAlign w:val="center"/>
            <w:hideMark/>
          </w:tcPr>
          <w:p w14:paraId="3D2E4F81" w14:textId="77777777" w:rsidR="00B62E8E" w:rsidRPr="00B62E8E" w:rsidRDefault="00B62E8E" w:rsidP="00B62E8E">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34ACD8B6" w14:textId="77777777" w:rsidR="00B62E8E" w:rsidRPr="00B62E8E" w:rsidRDefault="00B62E8E" w:rsidP="00B62E8E">
            <w:pPr>
              <w:spacing w:after="0"/>
              <w:rPr>
                <w:rFonts w:eastAsia="Times New Roman" w:cs="Times New Roman"/>
                <w:b/>
                <w:bCs/>
                <w:lang w:eastAsia="en-US"/>
              </w:rPr>
            </w:pPr>
            <w:r w:rsidRPr="00B62E8E">
              <w:rPr>
                <w:rFonts w:eastAsia="Times New Roman" w:cs="Times New Roman"/>
                <w:b/>
                <w:bCs/>
                <w:lang w:eastAsia="en-US"/>
              </w:rPr>
              <w:t>(2)</w:t>
            </w:r>
          </w:p>
        </w:tc>
        <w:tc>
          <w:tcPr>
            <w:tcW w:w="420" w:type="dxa"/>
            <w:tcBorders>
              <w:top w:val="nil"/>
              <w:left w:val="nil"/>
              <w:bottom w:val="nil"/>
              <w:right w:val="nil"/>
            </w:tcBorders>
            <w:shd w:val="clear" w:color="auto" w:fill="auto"/>
            <w:noWrap/>
            <w:textDirection w:val="btLr"/>
            <w:vAlign w:val="center"/>
            <w:hideMark/>
          </w:tcPr>
          <w:p w14:paraId="66029794"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40" w:type="dxa"/>
            <w:tcBorders>
              <w:top w:val="nil"/>
              <w:left w:val="nil"/>
              <w:bottom w:val="nil"/>
              <w:right w:val="nil"/>
            </w:tcBorders>
            <w:shd w:val="clear" w:color="auto" w:fill="auto"/>
            <w:noWrap/>
            <w:textDirection w:val="btLr"/>
            <w:vAlign w:val="center"/>
            <w:hideMark/>
          </w:tcPr>
          <w:p w14:paraId="0C7E0453" w14:textId="77777777" w:rsidR="00B62E8E" w:rsidRPr="00B62E8E" w:rsidRDefault="00B62E8E" w:rsidP="00B62E8E">
            <w:pPr>
              <w:spacing w:after="0"/>
              <w:rPr>
                <w:rFonts w:eastAsia="Times New Roman" w:cs="Times New Roman"/>
                <w:lang w:eastAsia="en-US"/>
              </w:rPr>
            </w:pPr>
          </w:p>
        </w:tc>
        <w:tc>
          <w:tcPr>
            <w:tcW w:w="380" w:type="dxa"/>
            <w:tcBorders>
              <w:top w:val="nil"/>
              <w:left w:val="nil"/>
              <w:bottom w:val="nil"/>
              <w:right w:val="nil"/>
            </w:tcBorders>
            <w:shd w:val="clear" w:color="auto" w:fill="auto"/>
            <w:noWrap/>
            <w:textDirection w:val="btLr"/>
            <w:vAlign w:val="center"/>
            <w:hideMark/>
          </w:tcPr>
          <w:p w14:paraId="5978ABC8"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05630A60"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4391BBDF"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8E1404A"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46C2E67"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53CDEE3"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4B3F9084"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09800ED"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4268704B"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BA8D22D" w14:textId="77777777" w:rsidR="00B62E8E" w:rsidRPr="00B62E8E" w:rsidRDefault="00B62E8E" w:rsidP="00B62E8E">
            <w:pPr>
              <w:spacing w:after="0"/>
              <w:rPr>
                <w:rFonts w:eastAsia="Times New Roman" w:cs="Times New Roman"/>
                <w:lang w:eastAsia="en-US"/>
              </w:rPr>
            </w:pPr>
          </w:p>
        </w:tc>
        <w:tc>
          <w:tcPr>
            <w:tcW w:w="380" w:type="dxa"/>
            <w:tcBorders>
              <w:top w:val="nil"/>
              <w:left w:val="nil"/>
              <w:bottom w:val="nil"/>
              <w:right w:val="nil"/>
            </w:tcBorders>
            <w:shd w:val="clear" w:color="auto" w:fill="auto"/>
            <w:noWrap/>
            <w:textDirection w:val="btLr"/>
            <w:vAlign w:val="center"/>
            <w:hideMark/>
          </w:tcPr>
          <w:p w14:paraId="5693D586"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07352F8" w14:textId="77777777" w:rsidR="00B62E8E" w:rsidRPr="00B62E8E" w:rsidRDefault="00B62E8E" w:rsidP="00B62E8E">
            <w:pPr>
              <w:spacing w:after="0"/>
              <w:rPr>
                <w:rFonts w:eastAsia="Times New Roman" w:cs="Times New Roman"/>
                <w:lang w:eastAsia="en-US"/>
              </w:rPr>
            </w:pPr>
          </w:p>
        </w:tc>
      </w:tr>
      <w:tr w:rsidR="00B62E8E" w:rsidRPr="00B62E8E" w14:paraId="02B95A35" w14:textId="77777777" w:rsidTr="00B62E8E">
        <w:trPr>
          <w:trHeight w:val="1180"/>
        </w:trPr>
        <w:tc>
          <w:tcPr>
            <w:tcW w:w="420" w:type="dxa"/>
            <w:vMerge/>
            <w:tcBorders>
              <w:top w:val="nil"/>
              <w:left w:val="nil"/>
              <w:bottom w:val="nil"/>
              <w:right w:val="single" w:sz="4" w:space="0" w:color="auto"/>
            </w:tcBorders>
            <w:vAlign w:val="center"/>
            <w:hideMark/>
          </w:tcPr>
          <w:p w14:paraId="0FF53446" w14:textId="77777777" w:rsidR="00B62E8E" w:rsidRPr="00B62E8E" w:rsidRDefault="00B62E8E" w:rsidP="00B62E8E">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center"/>
            <w:hideMark/>
          </w:tcPr>
          <w:p w14:paraId="4CE325FD" w14:textId="77777777" w:rsidR="00B62E8E" w:rsidRPr="00B62E8E" w:rsidRDefault="00B62E8E" w:rsidP="00B62E8E">
            <w:pPr>
              <w:spacing w:after="0"/>
              <w:rPr>
                <w:rFonts w:eastAsia="Times New Roman" w:cs="Times New Roman"/>
                <w:b/>
                <w:bCs/>
                <w:lang w:eastAsia="en-US"/>
              </w:rPr>
            </w:pPr>
            <w:r w:rsidRPr="00B62E8E">
              <w:rPr>
                <w:rFonts w:eastAsia="Times New Roman" w:cs="Times New Roman"/>
                <w:b/>
                <w:bCs/>
                <w:lang w:eastAsia="en-US"/>
              </w:rPr>
              <w:t>(1)</w:t>
            </w:r>
          </w:p>
        </w:tc>
        <w:tc>
          <w:tcPr>
            <w:tcW w:w="420" w:type="dxa"/>
            <w:tcBorders>
              <w:top w:val="nil"/>
              <w:left w:val="nil"/>
              <w:bottom w:val="nil"/>
              <w:right w:val="nil"/>
            </w:tcBorders>
            <w:shd w:val="clear" w:color="auto" w:fill="auto"/>
            <w:noWrap/>
            <w:textDirection w:val="btLr"/>
            <w:vAlign w:val="center"/>
            <w:hideMark/>
          </w:tcPr>
          <w:p w14:paraId="41353C78"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40" w:type="dxa"/>
            <w:tcBorders>
              <w:top w:val="nil"/>
              <w:left w:val="nil"/>
              <w:bottom w:val="nil"/>
              <w:right w:val="nil"/>
            </w:tcBorders>
            <w:shd w:val="clear" w:color="auto" w:fill="auto"/>
            <w:noWrap/>
            <w:textDirection w:val="btLr"/>
            <w:vAlign w:val="center"/>
            <w:hideMark/>
          </w:tcPr>
          <w:p w14:paraId="325D8E1A" w14:textId="77777777" w:rsidR="00B62E8E" w:rsidRPr="00B62E8E" w:rsidRDefault="00B62E8E" w:rsidP="00B62E8E">
            <w:pPr>
              <w:spacing w:after="0"/>
              <w:rPr>
                <w:rFonts w:eastAsia="Times New Roman" w:cs="Times New Roman"/>
                <w:lang w:eastAsia="en-US"/>
              </w:rPr>
            </w:pPr>
          </w:p>
        </w:tc>
        <w:tc>
          <w:tcPr>
            <w:tcW w:w="380" w:type="dxa"/>
            <w:tcBorders>
              <w:top w:val="nil"/>
              <w:left w:val="nil"/>
              <w:bottom w:val="nil"/>
              <w:right w:val="nil"/>
            </w:tcBorders>
            <w:shd w:val="clear" w:color="auto" w:fill="auto"/>
            <w:noWrap/>
            <w:textDirection w:val="btLr"/>
            <w:vAlign w:val="center"/>
            <w:hideMark/>
          </w:tcPr>
          <w:p w14:paraId="4A21525D"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B61883B"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67B44674"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9FFB646"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2003EA6"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E702804"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3FBC06C2"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B5C0A22"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04FD8309"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C98AB17" w14:textId="77777777" w:rsidR="00B62E8E" w:rsidRPr="00B62E8E" w:rsidRDefault="00B62E8E" w:rsidP="00B62E8E">
            <w:pPr>
              <w:spacing w:after="0"/>
              <w:rPr>
                <w:rFonts w:eastAsia="Times New Roman" w:cs="Times New Roman"/>
                <w:lang w:eastAsia="en-US"/>
              </w:rPr>
            </w:pPr>
          </w:p>
        </w:tc>
        <w:tc>
          <w:tcPr>
            <w:tcW w:w="380" w:type="dxa"/>
            <w:tcBorders>
              <w:top w:val="nil"/>
              <w:left w:val="nil"/>
              <w:bottom w:val="nil"/>
              <w:right w:val="nil"/>
            </w:tcBorders>
            <w:shd w:val="clear" w:color="auto" w:fill="auto"/>
            <w:noWrap/>
            <w:textDirection w:val="btLr"/>
            <w:vAlign w:val="center"/>
            <w:hideMark/>
          </w:tcPr>
          <w:p w14:paraId="57E85B62"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806AA21" w14:textId="77777777" w:rsidR="00B62E8E" w:rsidRPr="00B62E8E" w:rsidRDefault="00B62E8E" w:rsidP="00B62E8E">
            <w:pPr>
              <w:spacing w:after="0"/>
              <w:rPr>
                <w:rFonts w:eastAsia="Times New Roman" w:cs="Times New Roman"/>
                <w:lang w:eastAsia="en-US"/>
              </w:rPr>
            </w:pPr>
          </w:p>
        </w:tc>
      </w:tr>
      <w:tr w:rsidR="00B62E8E" w:rsidRPr="00B62E8E" w14:paraId="2EA62446" w14:textId="77777777" w:rsidTr="00B62E8E">
        <w:trPr>
          <w:trHeight w:val="2340"/>
        </w:trPr>
        <w:tc>
          <w:tcPr>
            <w:tcW w:w="420" w:type="dxa"/>
            <w:vMerge/>
            <w:tcBorders>
              <w:top w:val="nil"/>
              <w:left w:val="nil"/>
              <w:bottom w:val="nil"/>
              <w:right w:val="single" w:sz="4" w:space="0" w:color="auto"/>
            </w:tcBorders>
            <w:vAlign w:val="center"/>
            <w:hideMark/>
          </w:tcPr>
          <w:p w14:paraId="1BC648CC" w14:textId="77777777" w:rsidR="00B62E8E" w:rsidRPr="00B62E8E" w:rsidRDefault="00B62E8E" w:rsidP="00B62E8E">
            <w:pPr>
              <w:spacing w:after="0"/>
              <w:rPr>
                <w:rFonts w:eastAsia="Times New Roman" w:cs="Times New Roman"/>
                <w:color w:val="000000"/>
                <w:lang w:eastAsia="en-US"/>
              </w:rPr>
            </w:pPr>
          </w:p>
        </w:tc>
        <w:tc>
          <w:tcPr>
            <w:tcW w:w="460" w:type="dxa"/>
            <w:tcBorders>
              <w:top w:val="nil"/>
              <w:left w:val="nil"/>
              <w:bottom w:val="nil"/>
              <w:right w:val="nil"/>
            </w:tcBorders>
            <w:shd w:val="clear" w:color="auto" w:fill="auto"/>
            <w:textDirection w:val="btLr"/>
            <w:vAlign w:val="bottom"/>
            <w:hideMark/>
          </w:tcPr>
          <w:p w14:paraId="20E36DAA" w14:textId="77777777" w:rsidR="00B62E8E" w:rsidRPr="00B62E8E" w:rsidRDefault="00B62E8E" w:rsidP="00B62E8E">
            <w:pPr>
              <w:spacing w:after="0"/>
              <w:rPr>
                <w:rFonts w:eastAsia="Times New Roman" w:cs="Times New Roman"/>
                <w:lang w:eastAsia="en-US"/>
              </w:rPr>
            </w:pPr>
          </w:p>
        </w:tc>
        <w:tc>
          <w:tcPr>
            <w:tcW w:w="860" w:type="dxa"/>
            <w:gridSpan w:val="2"/>
            <w:tcBorders>
              <w:top w:val="nil"/>
              <w:left w:val="nil"/>
              <w:bottom w:val="nil"/>
              <w:right w:val="nil"/>
            </w:tcBorders>
            <w:shd w:val="clear" w:color="auto" w:fill="auto"/>
            <w:textDirection w:val="btLr"/>
            <w:vAlign w:val="bottom"/>
            <w:hideMark/>
          </w:tcPr>
          <w:p w14:paraId="4FF2DC09"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Years under French rule</w:t>
            </w:r>
          </w:p>
        </w:tc>
        <w:tc>
          <w:tcPr>
            <w:tcW w:w="800" w:type="dxa"/>
            <w:gridSpan w:val="2"/>
            <w:tcBorders>
              <w:top w:val="nil"/>
              <w:left w:val="nil"/>
              <w:bottom w:val="nil"/>
              <w:right w:val="nil"/>
            </w:tcBorders>
            <w:shd w:val="clear" w:color="auto" w:fill="auto"/>
            <w:textDirection w:val="btLr"/>
            <w:vAlign w:val="bottom"/>
            <w:hideMark/>
          </w:tcPr>
          <w:p w14:paraId="32F037D6"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If president served on French Assembly</w:t>
            </w:r>
          </w:p>
        </w:tc>
        <w:tc>
          <w:tcPr>
            <w:tcW w:w="460" w:type="dxa"/>
            <w:tcBorders>
              <w:top w:val="nil"/>
              <w:left w:val="nil"/>
              <w:bottom w:val="nil"/>
              <w:right w:val="nil"/>
            </w:tcBorders>
            <w:shd w:val="clear" w:color="auto" w:fill="auto"/>
            <w:textDirection w:val="btLr"/>
            <w:vAlign w:val="bottom"/>
            <w:hideMark/>
          </w:tcPr>
          <w:p w14:paraId="449ADC2B"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CFA franc</w:t>
            </w:r>
          </w:p>
        </w:tc>
        <w:tc>
          <w:tcPr>
            <w:tcW w:w="420" w:type="dxa"/>
            <w:tcBorders>
              <w:top w:val="nil"/>
              <w:left w:val="nil"/>
              <w:bottom w:val="nil"/>
              <w:right w:val="nil"/>
            </w:tcBorders>
            <w:shd w:val="clear" w:color="auto" w:fill="auto"/>
            <w:textDirection w:val="btLr"/>
            <w:vAlign w:val="bottom"/>
            <w:hideMark/>
          </w:tcPr>
          <w:p w14:paraId="03FD25C8" w14:textId="77777777" w:rsidR="00B62E8E" w:rsidRPr="00B62E8E" w:rsidRDefault="00B62E8E" w:rsidP="00B62E8E">
            <w:pPr>
              <w:spacing w:after="0"/>
              <w:rPr>
                <w:rFonts w:eastAsia="Times New Roman" w:cs="Times New Roman"/>
                <w:lang w:eastAsia="en-US"/>
              </w:rPr>
            </w:pPr>
          </w:p>
        </w:tc>
        <w:tc>
          <w:tcPr>
            <w:tcW w:w="840" w:type="dxa"/>
            <w:gridSpan w:val="2"/>
            <w:tcBorders>
              <w:top w:val="nil"/>
              <w:left w:val="nil"/>
              <w:bottom w:val="nil"/>
              <w:right w:val="nil"/>
            </w:tcBorders>
            <w:shd w:val="clear" w:color="auto" w:fill="auto"/>
            <w:textDirection w:val="btLr"/>
            <w:vAlign w:val="bottom"/>
            <w:hideMark/>
          </w:tcPr>
          <w:p w14:paraId="219F1A10"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Percent of population that speaks French</w:t>
            </w:r>
          </w:p>
        </w:tc>
        <w:tc>
          <w:tcPr>
            <w:tcW w:w="460" w:type="dxa"/>
            <w:tcBorders>
              <w:top w:val="nil"/>
              <w:left w:val="nil"/>
              <w:bottom w:val="nil"/>
              <w:right w:val="nil"/>
            </w:tcBorders>
            <w:shd w:val="clear" w:color="auto" w:fill="auto"/>
            <w:textDirection w:val="btLr"/>
            <w:vAlign w:val="bottom"/>
            <w:hideMark/>
          </w:tcPr>
          <w:p w14:paraId="6FB79853"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La Francophonie</w:t>
            </w:r>
          </w:p>
        </w:tc>
        <w:tc>
          <w:tcPr>
            <w:tcW w:w="420" w:type="dxa"/>
            <w:tcBorders>
              <w:top w:val="nil"/>
              <w:left w:val="nil"/>
              <w:bottom w:val="nil"/>
              <w:right w:val="nil"/>
            </w:tcBorders>
            <w:shd w:val="clear" w:color="auto" w:fill="auto"/>
            <w:textDirection w:val="btLr"/>
            <w:vAlign w:val="bottom"/>
            <w:hideMark/>
          </w:tcPr>
          <w:p w14:paraId="715B910D"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textDirection w:val="btLr"/>
            <w:vAlign w:val="bottom"/>
            <w:hideMark/>
          </w:tcPr>
          <w:p w14:paraId="60D884F3"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Interventions</w:t>
            </w:r>
          </w:p>
        </w:tc>
        <w:tc>
          <w:tcPr>
            <w:tcW w:w="420" w:type="dxa"/>
            <w:tcBorders>
              <w:top w:val="nil"/>
              <w:left w:val="nil"/>
              <w:bottom w:val="nil"/>
              <w:right w:val="nil"/>
            </w:tcBorders>
            <w:shd w:val="clear" w:color="auto" w:fill="auto"/>
            <w:textDirection w:val="btLr"/>
            <w:vAlign w:val="bottom"/>
            <w:hideMark/>
          </w:tcPr>
          <w:p w14:paraId="6D714766" w14:textId="77777777" w:rsidR="00B62E8E" w:rsidRPr="00B62E8E" w:rsidRDefault="00B62E8E" w:rsidP="00B62E8E">
            <w:pPr>
              <w:spacing w:after="0"/>
              <w:rPr>
                <w:rFonts w:eastAsia="Times New Roman" w:cs="Times New Roman"/>
                <w:lang w:eastAsia="en-US"/>
              </w:rPr>
            </w:pPr>
          </w:p>
        </w:tc>
        <w:tc>
          <w:tcPr>
            <w:tcW w:w="800" w:type="dxa"/>
            <w:gridSpan w:val="2"/>
            <w:tcBorders>
              <w:top w:val="nil"/>
              <w:left w:val="nil"/>
              <w:bottom w:val="nil"/>
              <w:right w:val="nil"/>
            </w:tcBorders>
            <w:shd w:val="clear" w:color="auto" w:fill="auto"/>
            <w:textDirection w:val="btLr"/>
            <w:vAlign w:val="bottom"/>
            <w:hideMark/>
          </w:tcPr>
          <w:p w14:paraId="2DCD0E30"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Presence of military base</w:t>
            </w:r>
          </w:p>
        </w:tc>
      </w:tr>
    </w:tbl>
    <w:p w14:paraId="14DAE523" w14:textId="767ACC71" w:rsidR="006325BE" w:rsidRDefault="006325BE" w:rsidP="008F1E79">
      <w:pPr>
        <w:spacing w:line="480" w:lineRule="auto"/>
      </w:pPr>
    </w:p>
    <w:tbl>
      <w:tblPr>
        <w:tblW w:w="6820" w:type="dxa"/>
        <w:tblInd w:w="93" w:type="dxa"/>
        <w:tblLook w:val="04A0" w:firstRow="1" w:lastRow="0" w:firstColumn="1" w:lastColumn="0" w:noHBand="0" w:noVBand="1"/>
      </w:tblPr>
      <w:tblGrid>
        <w:gridCol w:w="498"/>
        <w:gridCol w:w="440"/>
        <w:gridCol w:w="498"/>
        <w:gridCol w:w="420"/>
        <w:gridCol w:w="498"/>
        <w:gridCol w:w="420"/>
        <w:gridCol w:w="498"/>
        <w:gridCol w:w="420"/>
        <w:gridCol w:w="498"/>
        <w:gridCol w:w="420"/>
        <w:gridCol w:w="498"/>
        <w:gridCol w:w="420"/>
        <w:gridCol w:w="498"/>
        <w:gridCol w:w="498"/>
        <w:gridCol w:w="498"/>
        <w:gridCol w:w="498"/>
      </w:tblGrid>
      <w:tr w:rsidR="00B62E8E" w:rsidRPr="00B62E8E" w14:paraId="79B11909" w14:textId="77777777" w:rsidTr="00B62E8E">
        <w:trPr>
          <w:trHeight w:val="1180"/>
        </w:trPr>
        <w:tc>
          <w:tcPr>
            <w:tcW w:w="420" w:type="dxa"/>
            <w:tcBorders>
              <w:top w:val="nil"/>
              <w:left w:val="nil"/>
              <w:bottom w:val="nil"/>
              <w:right w:val="nil"/>
            </w:tcBorders>
            <w:shd w:val="clear" w:color="auto" w:fill="auto"/>
            <w:noWrap/>
            <w:textDirection w:val="btLr"/>
            <w:vAlign w:val="center"/>
            <w:hideMark/>
          </w:tcPr>
          <w:p w14:paraId="2714B074"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40" w:type="dxa"/>
            <w:tcBorders>
              <w:top w:val="nil"/>
              <w:left w:val="nil"/>
              <w:bottom w:val="nil"/>
              <w:right w:val="nil"/>
            </w:tcBorders>
            <w:shd w:val="clear" w:color="auto" w:fill="auto"/>
            <w:noWrap/>
            <w:textDirection w:val="btLr"/>
            <w:vAlign w:val="center"/>
            <w:hideMark/>
          </w:tcPr>
          <w:p w14:paraId="5FC220BD"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56EE141"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79C45858"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C7E3116"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102E026B"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01F8C3A"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6553603D"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A9FF5D3"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75A68E8B"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1B7641C"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43883228"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5AF8F3E8"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0.595</w:t>
            </w:r>
          </w:p>
        </w:tc>
        <w:tc>
          <w:tcPr>
            <w:tcW w:w="420" w:type="dxa"/>
            <w:tcBorders>
              <w:top w:val="nil"/>
              <w:left w:val="nil"/>
              <w:bottom w:val="nil"/>
              <w:right w:val="nil"/>
            </w:tcBorders>
            <w:shd w:val="clear" w:color="auto" w:fill="auto"/>
            <w:noWrap/>
            <w:textDirection w:val="btLr"/>
            <w:vAlign w:val="center"/>
            <w:hideMark/>
          </w:tcPr>
          <w:p w14:paraId="1BB20125"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(0.585)</w:t>
            </w:r>
          </w:p>
        </w:tc>
        <w:tc>
          <w:tcPr>
            <w:tcW w:w="460" w:type="dxa"/>
            <w:tcBorders>
              <w:top w:val="nil"/>
              <w:left w:val="nil"/>
              <w:bottom w:val="nil"/>
              <w:right w:val="nil"/>
            </w:tcBorders>
            <w:shd w:val="clear" w:color="auto" w:fill="auto"/>
            <w:noWrap/>
            <w:textDirection w:val="btLr"/>
            <w:vAlign w:val="center"/>
            <w:hideMark/>
          </w:tcPr>
          <w:p w14:paraId="16E2B792"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0.766***</w:t>
            </w:r>
          </w:p>
        </w:tc>
        <w:tc>
          <w:tcPr>
            <w:tcW w:w="420" w:type="dxa"/>
            <w:tcBorders>
              <w:top w:val="nil"/>
              <w:left w:val="nil"/>
              <w:bottom w:val="nil"/>
              <w:right w:val="nil"/>
            </w:tcBorders>
            <w:shd w:val="clear" w:color="auto" w:fill="auto"/>
            <w:noWrap/>
            <w:textDirection w:val="btLr"/>
            <w:vAlign w:val="center"/>
            <w:hideMark/>
          </w:tcPr>
          <w:p w14:paraId="12A90853"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(0.192)</w:t>
            </w:r>
          </w:p>
        </w:tc>
      </w:tr>
      <w:tr w:rsidR="00B62E8E" w:rsidRPr="00B62E8E" w14:paraId="39E3E201" w14:textId="77777777" w:rsidTr="00B62E8E">
        <w:trPr>
          <w:trHeight w:val="1180"/>
        </w:trPr>
        <w:tc>
          <w:tcPr>
            <w:tcW w:w="420" w:type="dxa"/>
            <w:tcBorders>
              <w:top w:val="nil"/>
              <w:left w:val="nil"/>
              <w:bottom w:val="nil"/>
              <w:right w:val="nil"/>
            </w:tcBorders>
            <w:shd w:val="clear" w:color="auto" w:fill="auto"/>
            <w:noWrap/>
            <w:textDirection w:val="btLr"/>
            <w:vAlign w:val="center"/>
            <w:hideMark/>
          </w:tcPr>
          <w:p w14:paraId="1A1A7A03"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40" w:type="dxa"/>
            <w:tcBorders>
              <w:top w:val="nil"/>
              <w:left w:val="nil"/>
              <w:bottom w:val="nil"/>
              <w:right w:val="nil"/>
            </w:tcBorders>
            <w:shd w:val="clear" w:color="auto" w:fill="auto"/>
            <w:noWrap/>
            <w:textDirection w:val="btLr"/>
            <w:vAlign w:val="center"/>
            <w:hideMark/>
          </w:tcPr>
          <w:p w14:paraId="04C795CB"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7CA31E8"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22E99515"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6090D95"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545B0DDB"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42F66CC"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(dropped)</w:t>
            </w:r>
          </w:p>
        </w:tc>
        <w:tc>
          <w:tcPr>
            <w:tcW w:w="420" w:type="dxa"/>
            <w:tcBorders>
              <w:top w:val="nil"/>
              <w:left w:val="nil"/>
              <w:bottom w:val="nil"/>
              <w:right w:val="nil"/>
            </w:tcBorders>
            <w:shd w:val="clear" w:color="auto" w:fill="auto"/>
            <w:noWrap/>
            <w:textDirection w:val="btLr"/>
            <w:vAlign w:val="center"/>
            <w:hideMark/>
          </w:tcPr>
          <w:p w14:paraId="69876A96"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B10EB77"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325E815"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0453BC9"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B132C70"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299CBB27"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CC48FC5"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1BCC7925"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0.742***</w:t>
            </w:r>
          </w:p>
        </w:tc>
        <w:tc>
          <w:tcPr>
            <w:tcW w:w="420" w:type="dxa"/>
            <w:tcBorders>
              <w:top w:val="nil"/>
              <w:left w:val="nil"/>
              <w:bottom w:val="nil"/>
              <w:right w:val="nil"/>
            </w:tcBorders>
            <w:shd w:val="clear" w:color="auto" w:fill="auto"/>
            <w:noWrap/>
            <w:textDirection w:val="btLr"/>
            <w:vAlign w:val="center"/>
            <w:hideMark/>
          </w:tcPr>
          <w:p w14:paraId="0E504E98"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(0.190)</w:t>
            </w:r>
          </w:p>
        </w:tc>
      </w:tr>
      <w:tr w:rsidR="00B62E8E" w:rsidRPr="00B62E8E" w14:paraId="616C0984" w14:textId="77777777" w:rsidTr="00B62E8E">
        <w:trPr>
          <w:trHeight w:val="1180"/>
        </w:trPr>
        <w:tc>
          <w:tcPr>
            <w:tcW w:w="420" w:type="dxa"/>
            <w:tcBorders>
              <w:top w:val="nil"/>
              <w:left w:val="nil"/>
              <w:bottom w:val="nil"/>
              <w:right w:val="nil"/>
            </w:tcBorders>
            <w:shd w:val="clear" w:color="auto" w:fill="auto"/>
            <w:noWrap/>
            <w:textDirection w:val="btLr"/>
            <w:vAlign w:val="center"/>
            <w:hideMark/>
          </w:tcPr>
          <w:p w14:paraId="76621075" w14:textId="77777777" w:rsidR="00B62E8E" w:rsidRPr="00B62E8E" w:rsidRDefault="00B62E8E" w:rsidP="00B62E8E">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2B1E5F60"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73DBDEA"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6ABA442"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1C9412F"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0D66D4F"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D2C433E"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61C8FAC"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0C06D90"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137EA01"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9190726"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0340E08"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380AF87D"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7EB9400"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43998D81"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4D66EF8" w14:textId="77777777" w:rsidR="00B62E8E" w:rsidRPr="00B62E8E" w:rsidRDefault="00B62E8E" w:rsidP="00B62E8E">
            <w:pPr>
              <w:spacing w:after="0"/>
              <w:rPr>
                <w:rFonts w:eastAsia="Times New Roman" w:cs="Times New Roman"/>
                <w:lang w:eastAsia="en-US"/>
              </w:rPr>
            </w:pPr>
          </w:p>
        </w:tc>
      </w:tr>
      <w:tr w:rsidR="00B62E8E" w:rsidRPr="00B62E8E" w14:paraId="09FCFFA8" w14:textId="77777777" w:rsidTr="00B62E8E">
        <w:trPr>
          <w:trHeight w:val="1180"/>
        </w:trPr>
        <w:tc>
          <w:tcPr>
            <w:tcW w:w="420" w:type="dxa"/>
            <w:tcBorders>
              <w:top w:val="nil"/>
              <w:left w:val="nil"/>
              <w:bottom w:val="nil"/>
              <w:right w:val="nil"/>
            </w:tcBorders>
            <w:shd w:val="clear" w:color="auto" w:fill="auto"/>
            <w:noWrap/>
            <w:textDirection w:val="btLr"/>
            <w:vAlign w:val="center"/>
            <w:hideMark/>
          </w:tcPr>
          <w:p w14:paraId="08B5FCAD" w14:textId="77777777" w:rsidR="00B62E8E" w:rsidRPr="00B62E8E" w:rsidRDefault="00B62E8E" w:rsidP="00B62E8E">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48AB25A8"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8D06955"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E65D0C6"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3070F2D"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0DE03A0"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03DAF2B"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975FE9B"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EB55A85"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E5E94D5"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D80743D"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3F81F3B"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00D2D076"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293F0EC"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708E4E19"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E56FB8D" w14:textId="77777777" w:rsidR="00B62E8E" w:rsidRPr="00B62E8E" w:rsidRDefault="00B62E8E" w:rsidP="00B62E8E">
            <w:pPr>
              <w:spacing w:after="0"/>
              <w:rPr>
                <w:rFonts w:eastAsia="Times New Roman" w:cs="Times New Roman"/>
                <w:lang w:eastAsia="en-US"/>
              </w:rPr>
            </w:pPr>
          </w:p>
        </w:tc>
      </w:tr>
      <w:tr w:rsidR="00B62E8E" w:rsidRPr="00B62E8E" w14:paraId="009224F4" w14:textId="77777777" w:rsidTr="00B62E8E">
        <w:trPr>
          <w:trHeight w:val="1180"/>
        </w:trPr>
        <w:tc>
          <w:tcPr>
            <w:tcW w:w="420" w:type="dxa"/>
            <w:tcBorders>
              <w:top w:val="nil"/>
              <w:left w:val="nil"/>
              <w:bottom w:val="nil"/>
              <w:right w:val="nil"/>
            </w:tcBorders>
            <w:shd w:val="clear" w:color="auto" w:fill="auto"/>
            <w:noWrap/>
            <w:textDirection w:val="btLr"/>
            <w:vAlign w:val="center"/>
            <w:hideMark/>
          </w:tcPr>
          <w:p w14:paraId="49E882AF" w14:textId="77777777" w:rsidR="00B62E8E" w:rsidRPr="00B62E8E" w:rsidRDefault="00B62E8E" w:rsidP="00B62E8E">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77EA4551"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1723B25"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653EB0F"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C6D7897"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EB8000A"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3E64889"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479A5DC"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9DCA697"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0EFB523"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704E817"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248952C"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558F7227"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B1B32B5"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5D754336"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6A05963" w14:textId="77777777" w:rsidR="00B62E8E" w:rsidRPr="00B62E8E" w:rsidRDefault="00B62E8E" w:rsidP="00B62E8E">
            <w:pPr>
              <w:spacing w:after="0"/>
              <w:rPr>
                <w:rFonts w:eastAsia="Times New Roman" w:cs="Times New Roman"/>
                <w:lang w:eastAsia="en-US"/>
              </w:rPr>
            </w:pPr>
          </w:p>
        </w:tc>
      </w:tr>
      <w:tr w:rsidR="00B62E8E" w:rsidRPr="00B62E8E" w14:paraId="788AC541" w14:textId="77777777" w:rsidTr="00B62E8E">
        <w:trPr>
          <w:trHeight w:val="1180"/>
        </w:trPr>
        <w:tc>
          <w:tcPr>
            <w:tcW w:w="420" w:type="dxa"/>
            <w:tcBorders>
              <w:top w:val="nil"/>
              <w:left w:val="nil"/>
              <w:bottom w:val="nil"/>
              <w:right w:val="nil"/>
            </w:tcBorders>
            <w:shd w:val="clear" w:color="auto" w:fill="auto"/>
            <w:noWrap/>
            <w:textDirection w:val="btLr"/>
            <w:vAlign w:val="center"/>
            <w:hideMark/>
          </w:tcPr>
          <w:p w14:paraId="01A04D08" w14:textId="77777777" w:rsidR="00B62E8E" w:rsidRPr="00B62E8E" w:rsidRDefault="00B62E8E" w:rsidP="00B62E8E">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7DB7DBB5"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174B61D"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57B2B5C"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13B4470"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9BD3242"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A3E094E"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8F7F4F0"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B7C81D8"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28DE91A"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93455AC"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7C78F69"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4DD58683"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396217D"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018F8058"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93B71D4" w14:textId="77777777" w:rsidR="00B62E8E" w:rsidRPr="00B62E8E" w:rsidRDefault="00B62E8E" w:rsidP="00B62E8E">
            <w:pPr>
              <w:spacing w:after="0"/>
              <w:rPr>
                <w:rFonts w:eastAsia="Times New Roman" w:cs="Times New Roman"/>
                <w:lang w:eastAsia="en-US"/>
              </w:rPr>
            </w:pPr>
          </w:p>
        </w:tc>
      </w:tr>
      <w:tr w:rsidR="00B62E8E" w:rsidRPr="00B62E8E" w14:paraId="585841D0" w14:textId="77777777" w:rsidTr="00B62E8E">
        <w:trPr>
          <w:trHeight w:val="1180"/>
        </w:trPr>
        <w:tc>
          <w:tcPr>
            <w:tcW w:w="420" w:type="dxa"/>
            <w:tcBorders>
              <w:top w:val="nil"/>
              <w:left w:val="nil"/>
              <w:bottom w:val="nil"/>
              <w:right w:val="nil"/>
            </w:tcBorders>
            <w:shd w:val="clear" w:color="auto" w:fill="auto"/>
            <w:noWrap/>
            <w:textDirection w:val="btLr"/>
            <w:vAlign w:val="center"/>
            <w:hideMark/>
          </w:tcPr>
          <w:p w14:paraId="7EBE41ED" w14:textId="77777777" w:rsidR="00B62E8E" w:rsidRPr="00B62E8E" w:rsidRDefault="00B62E8E" w:rsidP="00B62E8E">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63F40FEA"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51376BA"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6BE7491"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38AC4F5"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DB29C3A"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48206A3C"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E9861BB"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6EA05EB"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AF1F10B"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EB929AE"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080EDA1"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6D28DECD"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3F849D8"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7735D415"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7162A0E" w14:textId="77777777" w:rsidR="00B62E8E" w:rsidRPr="00B62E8E" w:rsidRDefault="00B62E8E" w:rsidP="00B62E8E">
            <w:pPr>
              <w:spacing w:after="0"/>
              <w:rPr>
                <w:rFonts w:eastAsia="Times New Roman" w:cs="Times New Roman"/>
                <w:lang w:eastAsia="en-US"/>
              </w:rPr>
            </w:pPr>
          </w:p>
        </w:tc>
      </w:tr>
      <w:tr w:rsidR="00B62E8E" w:rsidRPr="00B62E8E" w14:paraId="27C98D45" w14:textId="77777777" w:rsidTr="00B62E8E">
        <w:trPr>
          <w:trHeight w:val="1180"/>
        </w:trPr>
        <w:tc>
          <w:tcPr>
            <w:tcW w:w="420" w:type="dxa"/>
            <w:tcBorders>
              <w:top w:val="nil"/>
              <w:left w:val="nil"/>
              <w:bottom w:val="nil"/>
              <w:right w:val="nil"/>
            </w:tcBorders>
            <w:shd w:val="clear" w:color="auto" w:fill="auto"/>
            <w:noWrap/>
            <w:textDirection w:val="btLr"/>
            <w:vAlign w:val="center"/>
            <w:hideMark/>
          </w:tcPr>
          <w:p w14:paraId="4CE1A386" w14:textId="77777777" w:rsidR="00B62E8E" w:rsidRPr="00B62E8E" w:rsidRDefault="00B62E8E" w:rsidP="00B62E8E">
            <w:pPr>
              <w:spacing w:after="0"/>
              <w:rPr>
                <w:rFonts w:eastAsia="Times New Roman" w:cs="Times New Roman"/>
                <w:lang w:eastAsia="en-US"/>
              </w:rPr>
            </w:pPr>
          </w:p>
        </w:tc>
        <w:tc>
          <w:tcPr>
            <w:tcW w:w="440" w:type="dxa"/>
            <w:tcBorders>
              <w:top w:val="nil"/>
              <w:left w:val="nil"/>
              <w:bottom w:val="nil"/>
              <w:right w:val="nil"/>
            </w:tcBorders>
            <w:shd w:val="clear" w:color="auto" w:fill="auto"/>
            <w:noWrap/>
            <w:textDirection w:val="btLr"/>
            <w:vAlign w:val="center"/>
            <w:hideMark/>
          </w:tcPr>
          <w:p w14:paraId="074B3927"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BDC4F1A"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7DD392A6"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38ADF466"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485BDE8"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9D32063"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38E24CB"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0F266DBE"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504CDE60"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2FFBE63D"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6DBC7212"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71711A6A"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B0F5AB5"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noWrap/>
            <w:textDirection w:val="btLr"/>
            <w:vAlign w:val="center"/>
            <w:hideMark/>
          </w:tcPr>
          <w:p w14:paraId="37179185"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noWrap/>
            <w:textDirection w:val="btLr"/>
            <w:vAlign w:val="center"/>
            <w:hideMark/>
          </w:tcPr>
          <w:p w14:paraId="1E3664E6" w14:textId="77777777" w:rsidR="00B62E8E" w:rsidRPr="00B62E8E" w:rsidRDefault="00B62E8E" w:rsidP="00B62E8E">
            <w:pPr>
              <w:spacing w:after="0"/>
              <w:rPr>
                <w:rFonts w:eastAsia="Times New Roman" w:cs="Times New Roman"/>
                <w:lang w:eastAsia="en-US"/>
              </w:rPr>
            </w:pPr>
          </w:p>
        </w:tc>
      </w:tr>
      <w:tr w:rsidR="00B62E8E" w:rsidRPr="00B62E8E" w14:paraId="1270D0D7" w14:textId="77777777" w:rsidTr="00B62E8E">
        <w:trPr>
          <w:trHeight w:val="2340"/>
        </w:trPr>
        <w:tc>
          <w:tcPr>
            <w:tcW w:w="420" w:type="dxa"/>
            <w:tcBorders>
              <w:top w:val="nil"/>
              <w:left w:val="nil"/>
              <w:bottom w:val="nil"/>
              <w:right w:val="nil"/>
            </w:tcBorders>
            <w:shd w:val="clear" w:color="auto" w:fill="auto"/>
            <w:textDirection w:val="btLr"/>
            <w:vAlign w:val="bottom"/>
            <w:hideMark/>
          </w:tcPr>
          <w:p w14:paraId="7A3D4F01"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Colony</w:t>
            </w:r>
          </w:p>
        </w:tc>
        <w:tc>
          <w:tcPr>
            <w:tcW w:w="440" w:type="dxa"/>
            <w:tcBorders>
              <w:top w:val="nil"/>
              <w:left w:val="nil"/>
              <w:bottom w:val="nil"/>
              <w:right w:val="nil"/>
            </w:tcBorders>
            <w:shd w:val="clear" w:color="auto" w:fill="auto"/>
            <w:textDirection w:val="btLr"/>
            <w:vAlign w:val="bottom"/>
            <w:hideMark/>
          </w:tcPr>
          <w:p w14:paraId="1D0CC962"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bottom"/>
            <w:hideMark/>
          </w:tcPr>
          <w:p w14:paraId="0E967D5C"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Department</w:t>
            </w:r>
          </w:p>
        </w:tc>
        <w:tc>
          <w:tcPr>
            <w:tcW w:w="420" w:type="dxa"/>
            <w:tcBorders>
              <w:top w:val="nil"/>
              <w:left w:val="nil"/>
              <w:bottom w:val="nil"/>
              <w:right w:val="nil"/>
            </w:tcBorders>
            <w:shd w:val="clear" w:color="auto" w:fill="auto"/>
            <w:textDirection w:val="btLr"/>
            <w:vAlign w:val="bottom"/>
            <w:hideMark/>
          </w:tcPr>
          <w:p w14:paraId="3E53F436"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bottom"/>
            <w:hideMark/>
          </w:tcPr>
          <w:p w14:paraId="35CC8187"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Protectorate</w:t>
            </w:r>
          </w:p>
        </w:tc>
        <w:tc>
          <w:tcPr>
            <w:tcW w:w="420" w:type="dxa"/>
            <w:tcBorders>
              <w:top w:val="nil"/>
              <w:left w:val="nil"/>
              <w:bottom w:val="nil"/>
              <w:right w:val="nil"/>
            </w:tcBorders>
            <w:shd w:val="clear" w:color="auto" w:fill="auto"/>
            <w:textDirection w:val="btLr"/>
            <w:vAlign w:val="bottom"/>
            <w:hideMark/>
          </w:tcPr>
          <w:p w14:paraId="0191DD95"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bottom"/>
            <w:hideMark/>
          </w:tcPr>
          <w:p w14:paraId="53EE3FD2"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 xml:space="preserve">Mandate </w:t>
            </w:r>
          </w:p>
        </w:tc>
        <w:tc>
          <w:tcPr>
            <w:tcW w:w="420" w:type="dxa"/>
            <w:tcBorders>
              <w:top w:val="nil"/>
              <w:left w:val="nil"/>
              <w:bottom w:val="nil"/>
              <w:right w:val="nil"/>
            </w:tcBorders>
            <w:shd w:val="clear" w:color="auto" w:fill="auto"/>
            <w:textDirection w:val="btLr"/>
            <w:vAlign w:val="bottom"/>
            <w:hideMark/>
          </w:tcPr>
          <w:p w14:paraId="761338F3"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bottom"/>
            <w:hideMark/>
          </w:tcPr>
          <w:p w14:paraId="5A7CA987" w14:textId="77777777" w:rsidR="00B62E8E" w:rsidRPr="00B62E8E" w:rsidRDefault="00B62E8E" w:rsidP="00B62E8E">
            <w:pPr>
              <w:spacing w:after="0"/>
              <w:rPr>
                <w:rFonts w:eastAsia="Times New Roman" w:cs="Times New Roman"/>
                <w:i/>
                <w:iCs/>
                <w:lang w:eastAsia="en-US"/>
              </w:rPr>
            </w:pPr>
            <w:r w:rsidRPr="00B62E8E">
              <w:rPr>
                <w:rFonts w:eastAsia="Times New Roman" w:cs="Times New Roman"/>
                <w:i/>
                <w:iCs/>
                <w:lang w:eastAsia="en-US"/>
              </w:rPr>
              <w:t xml:space="preserve">Originaires </w:t>
            </w:r>
          </w:p>
        </w:tc>
        <w:tc>
          <w:tcPr>
            <w:tcW w:w="420" w:type="dxa"/>
            <w:tcBorders>
              <w:top w:val="nil"/>
              <w:left w:val="nil"/>
              <w:bottom w:val="nil"/>
              <w:right w:val="nil"/>
            </w:tcBorders>
            <w:shd w:val="clear" w:color="auto" w:fill="auto"/>
            <w:textDirection w:val="btLr"/>
            <w:vAlign w:val="bottom"/>
            <w:hideMark/>
          </w:tcPr>
          <w:p w14:paraId="7B808591" w14:textId="77777777" w:rsidR="00B62E8E" w:rsidRPr="00B62E8E" w:rsidRDefault="00B62E8E" w:rsidP="00B62E8E">
            <w:pPr>
              <w:spacing w:after="0"/>
              <w:rPr>
                <w:rFonts w:eastAsia="Times New Roman" w:cs="Times New Roman"/>
                <w:lang w:eastAsia="en-US"/>
              </w:rPr>
            </w:pPr>
          </w:p>
        </w:tc>
        <w:tc>
          <w:tcPr>
            <w:tcW w:w="420" w:type="dxa"/>
            <w:tcBorders>
              <w:top w:val="nil"/>
              <w:left w:val="nil"/>
              <w:bottom w:val="nil"/>
              <w:right w:val="nil"/>
            </w:tcBorders>
            <w:shd w:val="clear" w:color="auto" w:fill="auto"/>
            <w:textDirection w:val="btLr"/>
            <w:vAlign w:val="bottom"/>
            <w:hideMark/>
          </w:tcPr>
          <w:p w14:paraId="0C91109A" w14:textId="77777777" w:rsidR="00B62E8E" w:rsidRPr="00B62E8E" w:rsidRDefault="00B62E8E" w:rsidP="00B62E8E">
            <w:pPr>
              <w:spacing w:after="0"/>
              <w:rPr>
                <w:rFonts w:eastAsia="Times New Roman" w:cs="Times New Roman"/>
                <w:i/>
                <w:iCs/>
                <w:lang w:eastAsia="en-US"/>
              </w:rPr>
            </w:pPr>
            <w:r w:rsidRPr="00B62E8E">
              <w:rPr>
                <w:rFonts w:eastAsia="Times New Roman" w:cs="Times New Roman"/>
                <w:i/>
                <w:iCs/>
                <w:lang w:eastAsia="en-US"/>
              </w:rPr>
              <w:t>Métis</w:t>
            </w:r>
          </w:p>
        </w:tc>
        <w:tc>
          <w:tcPr>
            <w:tcW w:w="420" w:type="dxa"/>
            <w:tcBorders>
              <w:top w:val="nil"/>
              <w:left w:val="nil"/>
              <w:bottom w:val="nil"/>
              <w:right w:val="nil"/>
            </w:tcBorders>
            <w:shd w:val="clear" w:color="auto" w:fill="auto"/>
            <w:textDirection w:val="btLr"/>
            <w:vAlign w:val="bottom"/>
            <w:hideMark/>
          </w:tcPr>
          <w:p w14:paraId="3436A06A"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textDirection w:val="btLr"/>
            <w:vAlign w:val="bottom"/>
            <w:hideMark/>
          </w:tcPr>
          <w:p w14:paraId="2EB4CC63" w14:textId="77777777" w:rsidR="00B62E8E" w:rsidRPr="00B62E8E" w:rsidRDefault="00B62E8E" w:rsidP="00B62E8E">
            <w:pPr>
              <w:spacing w:after="0"/>
              <w:rPr>
                <w:rFonts w:eastAsia="Times New Roman" w:cs="Times New Roman"/>
                <w:i/>
                <w:iCs/>
                <w:lang w:eastAsia="en-US"/>
              </w:rPr>
            </w:pPr>
            <w:r w:rsidRPr="00B62E8E">
              <w:rPr>
                <w:rFonts w:eastAsia="Times New Roman" w:cs="Times New Roman"/>
                <w:i/>
                <w:iCs/>
                <w:lang w:eastAsia="en-US"/>
              </w:rPr>
              <w:t>Tirailleurs</w:t>
            </w:r>
          </w:p>
        </w:tc>
        <w:tc>
          <w:tcPr>
            <w:tcW w:w="420" w:type="dxa"/>
            <w:tcBorders>
              <w:top w:val="nil"/>
              <w:left w:val="nil"/>
              <w:bottom w:val="nil"/>
              <w:right w:val="nil"/>
            </w:tcBorders>
            <w:shd w:val="clear" w:color="auto" w:fill="auto"/>
            <w:textDirection w:val="btLr"/>
            <w:vAlign w:val="bottom"/>
            <w:hideMark/>
          </w:tcPr>
          <w:p w14:paraId="6911CF8C"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textDirection w:val="btLr"/>
            <w:vAlign w:val="bottom"/>
            <w:hideMark/>
          </w:tcPr>
          <w:p w14:paraId="6B54290A"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Legal Origin: French</w:t>
            </w:r>
          </w:p>
        </w:tc>
        <w:tc>
          <w:tcPr>
            <w:tcW w:w="420" w:type="dxa"/>
            <w:tcBorders>
              <w:top w:val="nil"/>
              <w:left w:val="nil"/>
              <w:bottom w:val="nil"/>
              <w:right w:val="nil"/>
            </w:tcBorders>
            <w:shd w:val="clear" w:color="auto" w:fill="auto"/>
            <w:textDirection w:val="btLr"/>
            <w:vAlign w:val="bottom"/>
            <w:hideMark/>
          </w:tcPr>
          <w:p w14:paraId="16B75627" w14:textId="77777777" w:rsidR="00B62E8E" w:rsidRPr="00B62E8E" w:rsidRDefault="00B62E8E" w:rsidP="00B62E8E">
            <w:pPr>
              <w:spacing w:after="0"/>
              <w:rPr>
                <w:rFonts w:eastAsia="Times New Roman" w:cs="Times New Roman"/>
                <w:lang w:eastAsia="en-US"/>
              </w:rPr>
            </w:pPr>
          </w:p>
        </w:tc>
      </w:tr>
    </w:tbl>
    <w:p w14:paraId="6002021C" w14:textId="77777777" w:rsidR="006325BE" w:rsidRDefault="006325BE">
      <w:r>
        <w:br w:type="page"/>
      </w:r>
    </w:p>
    <w:tbl>
      <w:tblPr>
        <w:tblW w:w="2180" w:type="dxa"/>
        <w:tblInd w:w="93" w:type="dxa"/>
        <w:tblLook w:val="04A0" w:firstRow="1" w:lastRow="0" w:firstColumn="1" w:lastColumn="0" w:noHBand="0" w:noVBand="1"/>
      </w:tblPr>
      <w:tblGrid>
        <w:gridCol w:w="498"/>
        <w:gridCol w:w="498"/>
        <w:gridCol w:w="498"/>
        <w:gridCol w:w="498"/>
        <w:gridCol w:w="498"/>
      </w:tblGrid>
      <w:tr w:rsidR="00B62E8E" w:rsidRPr="00B62E8E" w14:paraId="4A21E525" w14:textId="77777777" w:rsidTr="00B62E8E">
        <w:trPr>
          <w:trHeight w:val="1180"/>
        </w:trPr>
        <w:tc>
          <w:tcPr>
            <w:tcW w:w="460" w:type="dxa"/>
            <w:tcBorders>
              <w:top w:val="nil"/>
              <w:left w:val="nil"/>
              <w:bottom w:val="nil"/>
              <w:right w:val="nil"/>
            </w:tcBorders>
            <w:shd w:val="clear" w:color="auto" w:fill="auto"/>
            <w:noWrap/>
            <w:textDirection w:val="btLr"/>
            <w:vAlign w:val="center"/>
            <w:hideMark/>
          </w:tcPr>
          <w:p w14:paraId="522ECC4A" w14:textId="77777777" w:rsidR="00B62E8E" w:rsidRPr="00B62E8E" w:rsidRDefault="00B62E8E" w:rsidP="00B62E8E">
            <w:pPr>
              <w:spacing w:after="0"/>
              <w:jc w:val="right"/>
              <w:rPr>
                <w:rFonts w:eastAsia="Times New Roman" w:cs="Times New Roman"/>
                <w:lang w:eastAsia="en-US"/>
              </w:rPr>
            </w:pPr>
            <w:r w:rsidRPr="00B62E8E">
              <w:rPr>
                <w:rFonts w:eastAsia="Times New Roman" w:cs="Times New Roman"/>
                <w:lang w:eastAsia="en-US"/>
              </w:rPr>
              <w:t>15.259***</w:t>
            </w:r>
          </w:p>
        </w:tc>
        <w:tc>
          <w:tcPr>
            <w:tcW w:w="420" w:type="dxa"/>
            <w:tcBorders>
              <w:top w:val="nil"/>
              <w:left w:val="nil"/>
              <w:bottom w:val="nil"/>
              <w:right w:val="nil"/>
            </w:tcBorders>
            <w:shd w:val="clear" w:color="auto" w:fill="auto"/>
            <w:noWrap/>
            <w:textDirection w:val="btLr"/>
            <w:vAlign w:val="center"/>
            <w:hideMark/>
          </w:tcPr>
          <w:p w14:paraId="686026CB" w14:textId="77777777" w:rsidR="00B62E8E" w:rsidRPr="00B62E8E" w:rsidRDefault="00B62E8E" w:rsidP="00B62E8E">
            <w:pPr>
              <w:spacing w:after="0"/>
              <w:jc w:val="right"/>
              <w:rPr>
                <w:rFonts w:eastAsia="Times New Roman" w:cs="Times New Roman"/>
                <w:lang w:eastAsia="en-US"/>
              </w:rPr>
            </w:pPr>
            <w:r w:rsidRPr="00B62E8E">
              <w:rPr>
                <w:rFonts w:eastAsia="Times New Roman" w:cs="Times New Roman"/>
                <w:lang w:eastAsia="en-US"/>
              </w:rPr>
              <w:t>(0.119)</w:t>
            </w:r>
          </w:p>
        </w:tc>
        <w:tc>
          <w:tcPr>
            <w:tcW w:w="460" w:type="dxa"/>
            <w:tcBorders>
              <w:top w:val="nil"/>
              <w:left w:val="nil"/>
              <w:bottom w:val="nil"/>
              <w:right w:val="nil"/>
            </w:tcBorders>
            <w:shd w:val="clear" w:color="auto" w:fill="auto"/>
            <w:noWrap/>
            <w:textDirection w:val="btLr"/>
            <w:vAlign w:val="center"/>
            <w:hideMark/>
          </w:tcPr>
          <w:p w14:paraId="4BBD39E0" w14:textId="77777777" w:rsidR="00B62E8E" w:rsidRPr="00B62E8E" w:rsidRDefault="00B62E8E" w:rsidP="00B62E8E">
            <w:pPr>
              <w:spacing w:after="0"/>
              <w:jc w:val="center"/>
              <w:rPr>
                <w:rFonts w:eastAsia="Times New Roman" w:cs="Times New Roman"/>
                <w:lang w:eastAsia="en-US"/>
              </w:rPr>
            </w:pPr>
            <w:r w:rsidRPr="00B62E8E">
              <w:rPr>
                <w:rFonts w:eastAsia="Times New Roman" w:cs="Times New Roman"/>
                <w:lang w:eastAsia="en-US"/>
              </w:rPr>
              <w:t>509</w:t>
            </w:r>
          </w:p>
        </w:tc>
        <w:tc>
          <w:tcPr>
            <w:tcW w:w="460" w:type="dxa"/>
            <w:tcBorders>
              <w:top w:val="nil"/>
              <w:left w:val="nil"/>
              <w:bottom w:val="nil"/>
              <w:right w:val="nil"/>
            </w:tcBorders>
            <w:shd w:val="clear" w:color="auto" w:fill="auto"/>
            <w:noWrap/>
            <w:textDirection w:val="btLr"/>
            <w:vAlign w:val="center"/>
            <w:hideMark/>
          </w:tcPr>
          <w:p w14:paraId="35621114" w14:textId="77777777" w:rsidR="00B62E8E" w:rsidRPr="00B62E8E" w:rsidRDefault="00B62E8E" w:rsidP="00B62E8E">
            <w:pPr>
              <w:spacing w:after="0"/>
              <w:jc w:val="center"/>
              <w:rPr>
                <w:rFonts w:eastAsia="Times New Roman" w:cs="Times New Roman"/>
                <w:lang w:eastAsia="en-US"/>
              </w:rPr>
            </w:pPr>
            <w:r w:rsidRPr="00B62E8E">
              <w:rPr>
                <w:rFonts w:eastAsia="Times New Roman" w:cs="Times New Roman"/>
                <w:lang w:eastAsia="en-US"/>
              </w:rPr>
              <w:t>0.115</w:t>
            </w:r>
          </w:p>
        </w:tc>
        <w:tc>
          <w:tcPr>
            <w:tcW w:w="380" w:type="dxa"/>
            <w:vMerge w:val="restart"/>
            <w:tcBorders>
              <w:top w:val="nil"/>
              <w:left w:val="nil"/>
              <w:bottom w:val="nil"/>
              <w:right w:val="single" w:sz="4" w:space="0" w:color="auto"/>
            </w:tcBorders>
            <w:shd w:val="clear" w:color="auto" w:fill="auto"/>
            <w:noWrap/>
            <w:textDirection w:val="btLr"/>
            <w:vAlign w:val="center"/>
            <w:hideMark/>
          </w:tcPr>
          <w:p w14:paraId="0E3609C8" w14:textId="77777777" w:rsidR="00B62E8E" w:rsidRPr="00B62E8E" w:rsidRDefault="00B62E8E" w:rsidP="002F7E74">
            <w:pPr>
              <w:spacing w:after="0"/>
              <w:rPr>
                <w:rFonts w:eastAsia="Times New Roman" w:cs="Times New Roman"/>
                <w:lang w:eastAsia="en-US"/>
              </w:rPr>
            </w:pPr>
            <w:r w:rsidRPr="00B62E8E">
              <w:rPr>
                <w:rFonts w:eastAsia="Times New Roman" w:cs="Times New Roman"/>
                <w:lang w:eastAsia="en-US"/>
              </w:rPr>
              <w:t>note:  *** p&lt;0.01, ** p&lt;0.05, * p&lt;0.1</w:t>
            </w:r>
          </w:p>
        </w:tc>
      </w:tr>
      <w:tr w:rsidR="00B62E8E" w:rsidRPr="00B62E8E" w14:paraId="6EC11BDA" w14:textId="77777777" w:rsidTr="00B62E8E">
        <w:trPr>
          <w:trHeight w:val="1180"/>
        </w:trPr>
        <w:tc>
          <w:tcPr>
            <w:tcW w:w="460" w:type="dxa"/>
            <w:tcBorders>
              <w:top w:val="nil"/>
              <w:left w:val="nil"/>
              <w:bottom w:val="nil"/>
              <w:right w:val="nil"/>
            </w:tcBorders>
            <w:shd w:val="clear" w:color="auto" w:fill="auto"/>
            <w:noWrap/>
            <w:textDirection w:val="btLr"/>
            <w:vAlign w:val="center"/>
            <w:hideMark/>
          </w:tcPr>
          <w:p w14:paraId="11608BB8" w14:textId="77777777" w:rsidR="00B62E8E" w:rsidRPr="00B62E8E" w:rsidRDefault="00B62E8E" w:rsidP="00B62E8E">
            <w:pPr>
              <w:spacing w:after="0"/>
              <w:jc w:val="right"/>
              <w:rPr>
                <w:rFonts w:eastAsia="Times New Roman" w:cs="Times New Roman"/>
                <w:lang w:eastAsia="en-US"/>
              </w:rPr>
            </w:pPr>
            <w:r w:rsidRPr="00B62E8E">
              <w:rPr>
                <w:rFonts w:eastAsia="Times New Roman" w:cs="Times New Roman"/>
                <w:lang w:eastAsia="en-US"/>
              </w:rPr>
              <w:t>15.284***</w:t>
            </w:r>
          </w:p>
        </w:tc>
        <w:tc>
          <w:tcPr>
            <w:tcW w:w="420" w:type="dxa"/>
            <w:tcBorders>
              <w:top w:val="nil"/>
              <w:left w:val="nil"/>
              <w:bottom w:val="nil"/>
              <w:right w:val="nil"/>
            </w:tcBorders>
            <w:shd w:val="clear" w:color="auto" w:fill="auto"/>
            <w:noWrap/>
            <w:textDirection w:val="btLr"/>
            <w:vAlign w:val="center"/>
            <w:hideMark/>
          </w:tcPr>
          <w:p w14:paraId="3FDCCC10" w14:textId="77777777" w:rsidR="00B62E8E" w:rsidRPr="00B62E8E" w:rsidRDefault="00B62E8E" w:rsidP="00B62E8E">
            <w:pPr>
              <w:spacing w:after="0"/>
              <w:jc w:val="right"/>
              <w:rPr>
                <w:rFonts w:eastAsia="Times New Roman" w:cs="Times New Roman"/>
                <w:lang w:eastAsia="en-US"/>
              </w:rPr>
            </w:pPr>
            <w:r w:rsidRPr="00B62E8E">
              <w:rPr>
                <w:rFonts w:eastAsia="Times New Roman" w:cs="Times New Roman"/>
                <w:lang w:eastAsia="en-US"/>
              </w:rPr>
              <w:t>(0.116)</w:t>
            </w:r>
          </w:p>
        </w:tc>
        <w:tc>
          <w:tcPr>
            <w:tcW w:w="460" w:type="dxa"/>
            <w:tcBorders>
              <w:top w:val="nil"/>
              <w:left w:val="nil"/>
              <w:bottom w:val="nil"/>
              <w:right w:val="nil"/>
            </w:tcBorders>
            <w:shd w:val="clear" w:color="auto" w:fill="auto"/>
            <w:noWrap/>
            <w:textDirection w:val="btLr"/>
            <w:vAlign w:val="center"/>
            <w:hideMark/>
          </w:tcPr>
          <w:p w14:paraId="148D60D3" w14:textId="77777777" w:rsidR="00B62E8E" w:rsidRPr="00B62E8E" w:rsidRDefault="00B62E8E" w:rsidP="00B62E8E">
            <w:pPr>
              <w:spacing w:after="0"/>
              <w:jc w:val="center"/>
              <w:rPr>
                <w:rFonts w:eastAsia="Times New Roman" w:cs="Times New Roman"/>
                <w:lang w:eastAsia="en-US"/>
              </w:rPr>
            </w:pPr>
            <w:r w:rsidRPr="00B62E8E">
              <w:rPr>
                <w:rFonts w:eastAsia="Times New Roman" w:cs="Times New Roman"/>
                <w:lang w:eastAsia="en-US"/>
              </w:rPr>
              <w:t>509</w:t>
            </w:r>
          </w:p>
        </w:tc>
        <w:tc>
          <w:tcPr>
            <w:tcW w:w="460" w:type="dxa"/>
            <w:tcBorders>
              <w:top w:val="nil"/>
              <w:left w:val="nil"/>
              <w:bottom w:val="nil"/>
              <w:right w:val="nil"/>
            </w:tcBorders>
            <w:shd w:val="clear" w:color="auto" w:fill="auto"/>
            <w:noWrap/>
            <w:textDirection w:val="btLr"/>
            <w:vAlign w:val="center"/>
            <w:hideMark/>
          </w:tcPr>
          <w:p w14:paraId="0EC83E6B" w14:textId="77777777" w:rsidR="00B62E8E" w:rsidRPr="00B62E8E" w:rsidRDefault="00B62E8E" w:rsidP="00B62E8E">
            <w:pPr>
              <w:spacing w:after="0"/>
              <w:jc w:val="center"/>
              <w:rPr>
                <w:rFonts w:eastAsia="Times New Roman" w:cs="Times New Roman"/>
                <w:lang w:eastAsia="en-US"/>
              </w:rPr>
            </w:pPr>
            <w:r w:rsidRPr="00B62E8E">
              <w:rPr>
                <w:rFonts w:eastAsia="Times New Roman" w:cs="Times New Roman"/>
                <w:lang w:eastAsia="en-US"/>
              </w:rPr>
              <w:t>0.114</w:t>
            </w:r>
          </w:p>
        </w:tc>
        <w:tc>
          <w:tcPr>
            <w:tcW w:w="380" w:type="dxa"/>
            <w:vMerge/>
            <w:tcBorders>
              <w:top w:val="nil"/>
              <w:left w:val="nil"/>
              <w:bottom w:val="nil"/>
              <w:right w:val="single" w:sz="4" w:space="0" w:color="auto"/>
            </w:tcBorders>
            <w:vAlign w:val="center"/>
            <w:hideMark/>
          </w:tcPr>
          <w:p w14:paraId="330F5874" w14:textId="77777777" w:rsidR="00B62E8E" w:rsidRPr="00B62E8E" w:rsidRDefault="00B62E8E" w:rsidP="00B62E8E">
            <w:pPr>
              <w:spacing w:after="0"/>
              <w:rPr>
                <w:rFonts w:eastAsia="Times New Roman" w:cs="Times New Roman"/>
                <w:lang w:eastAsia="en-US"/>
              </w:rPr>
            </w:pPr>
          </w:p>
        </w:tc>
      </w:tr>
      <w:tr w:rsidR="00B62E8E" w:rsidRPr="00B62E8E" w14:paraId="144FA35F" w14:textId="77777777" w:rsidTr="00B62E8E">
        <w:trPr>
          <w:trHeight w:val="1180"/>
        </w:trPr>
        <w:tc>
          <w:tcPr>
            <w:tcW w:w="460" w:type="dxa"/>
            <w:tcBorders>
              <w:top w:val="nil"/>
              <w:left w:val="nil"/>
              <w:bottom w:val="nil"/>
              <w:right w:val="nil"/>
            </w:tcBorders>
            <w:shd w:val="clear" w:color="auto" w:fill="auto"/>
            <w:noWrap/>
            <w:textDirection w:val="btLr"/>
            <w:vAlign w:val="center"/>
            <w:hideMark/>
          </w:tcPr>
          <w:p w14:paraId="01565F81" w14:textId="77777777" w:rsidR="00B62E8E" w:rsidRPr="00B62E8E" w:rsidRDefault="00B62E8E" w:rsidP="00B62E8E">
            <w:pPr>
              <w:spacing w:after="0"/>
              <w:jc w:val="right"/>
              <w:rPr>
                <w:rFonts w:eastAsia="Times New Roman" w:cs="Times New Roman"/>
                <w:lang w:eastAsia="en-US"/>
              </w:rPr>
            </w:pPr>
            <w:r w:rsidRPr="00B62E8E">
              <w:rPr>
                <w:rFonts w:eastAsia="Times New Roman" w:cs="Times New Roman"/>
                <w:lang w:eastAsia="en-US"/>
              </w:rPr>
              <w:t>15.630***</w:t>
            </w:r>
          </w:p>
        </w:tc>
        <w:tc>
          <w:tcPr>
            <w:tcW w:w="420" w:type="dxa"/>
            <w:tcBorders>
              <w:top w:val="nil"/>
              <w:left w:val="nil"/>
              <w:bottom w:val="nil"/>
              <w:right w:val="nil"/>
            </w:tcBorders>
            <w:shd w:val="clear" w:color="auto" w:fill="auto"/>
            <w:noWrap/>
            <w:textDirection w:val="btLr"/>
            <w:vAlign w:val="center"/>
            <w:hideMark/>
          </w:tcPr>
          <w:p w14:paraId="699A7B27" w14:textId="77777777" w:rsidR="00B62E8E" w:rsidRPr="00B62E8E" w:rsidRDefault="00B62E8E" w:rsidP="00B62E8E">
            <w:pPr>
              <w:spacing w:after="0"/>
              <w:jc w:val="right"/>
              <w:rPr>
                <w:rFonts w:eastAsia="Times New Roman" w:cs="Times New Roman"/>
                <w:lang w:eastAsia="en-US"/>
              </w:rPr>
            </w:pPr>
            <w:r w:rsidRPr="00B62E8E">
              <w:rPr>
                <w:rFonts w:eastAsia="Times New Roman" w:cs="Times New Roman"/>
                <w:lang w:eastAsia="en-US"/>
              </w:rPr>
              <w:t>(0.074)</w:t>
            </w:r>
          </w:p>
        </w:tc>
        <w:tc>
          <w:tcPr>
            <w:tcW w:w="460" w:type="dxa"/>
            <w:tcBorders>
              <w:top w:val="nil"/>
              <w:left w:val="nil"/>
              <w:bottom w:val="nil"/>
              <w:right w:val="nil"/>
            </w:tcBorders>
            <w:shd w:val="clear" w:color="auto" w:fill="auto"/>
            <w:noWrap/>
            <w:textDirection w:val="btLr"/>
            <w:vAlign w:val="center"/>
            <w:hideMark/>
          </w:tcPr>
          <w:p w14:paraId="66737636" w14:textId="77777777" w:rsidR="00B62E8E" w:rsidRPr="00B62E8E" w:rsidRDefault="00B62E8E" w:rsidP="00B62E8E">
            <w:pPr>
              <w:spacing w:after="0"/>
              <w:jc w:val="center"/>
              <w:rPr>
                <w:rFonts w:eastAsia="Times New Roman" w:cs="Times New Roman"/>
                <w:lang w:eastAsia="en-US"/>
              </w:rPr>
            </w:pPr>
            <w:r w:rsidRPr="00B62E8E">
              <w:rPr>
                <w:rFonts w:eastAsia="Times New Roman" w:cs="Times New Roman"/>
                <w:lang w:eastAsia="en-US"/>
              </w:rPr>
              <w:t>862</w:t>
            </w:r>
          </w:p>
        </w:tc>
        <w:tc>
          <w:tcPr>
            <w:tcW w:w="460" w:type="dxa"/>
            <w:tcBorders>
              <w:top w:val="nil"/>
              <w:left w:val="nil"/>
              <w:bottom w:val="nil"/>
              <w:right w:val="nil"/>
            </w:tcBorders>
            <w:shd w:val="clear" w:color="auto" w:fill="auto"/>
            <w:noWrap/>
            <w:textDirection w:val="btLr"/>
            <w:vAlign w:val="center"/>
            <w:hideMark/>
          </w:tcPr>
          <w:p w14:paraId="768AE243" w14:textId="77777777" w:rsidR="00B62E8E" w:rsidRPr="00B62E8E" w:rsidRDefault="00B62E8E" w:rsidP="00B62E8E">
            <w:pPr>
              <w:spacing w:after="0"/>
              <w:jc w:val="center"/>
              <w:rPr>
                <w:rFonts w:eastAsia="Times New Roman" w:cs="Times New Roman"/>
                <w:lang w:eastAsia="en-US"/>
              </w:rPr>
            </w:pPr>
            <w:r w:rsidRPr="00B62E8E">
              <w:rPr>
                <w:rFonts w:eastAsia="Times New Roman" w:cs="Times New Roman"/>
                <w:lang w:eastAsia="en-US"/>
              </w:rPr>
              <w:t>0.101</w:t>
            </w:r>
          </w:p>
        </w:tc>
        <w:tc>
          <w:tcPr>
            <w:tcW w:w="380" w:type="dxa"/>
            <w:vMerge/>
            <w:tcBorders>
              <w:top w:val="nil"/>
              <w:left w:val="nil"/>
              <w:bottom w:val="nil"/>
              <w:right w:val="single" w:sz="4" w:space="0" w:color="auto"/>
            </w:tcBorders>
            <w:vAlign w:val="center"/>
            <w:hideMark/>
          </w:tcPr>
          <w:p w14:paraId="49170CB7" w14:textId="77777777" w:rsidR="00B62E8E" w:rsidRPr="00B62E8E" w:rsidRDefault="00B62E8E" w:rsidP="00B62E8E">
            <w:pPr>
              <w:spacing w:after="0"/>
              <w:rPr>
                <w:rFonts w:eastAsia="Times New Roman" w:cs="Times New Roman"/>
                <w:lang w:eastAsia="en-US"/>
              </w:rPr>
            </w:pPr>
          </w:p>
        </w:tc>
      </w:tr>
      <w:tr w:rsidR="00B62E8E" w:rsidRPr="00B62E8E" w14:paraId="4339046A" w14:textId="77777777" w:rsidTr="00B62E8E">
        <w:trPr>
          <w:trHeight w:val="1180"/>
        </w:trPr>
        <w:tc>
          <w:tcPr>
            <w:tcW w:w="460" w:type="dxa"/>
            <w:tcBorders>
              <w:top w:val="nil"/>
              <w:left w:val="nil"/>
              <w:bottom w:val="nil"/>
              <w:right w:val="nil"/>
            </w:tcBorders>
            <w:shd w:val="clear" w:color="auto" w:fill="auto"/>
            <w:noWrap/>
            <w:textDirection w:val="btLr"/>
            <w:vAlign w:val="center"/>
            <w:hideMark/>
          </w:tcPr>
          <w:p w14:paraId="4E3B33A6" w14:textId="77777777" w:rsidR="00B62E8E" w:rsidRPr="00B62E8E" w:rsidRDefault="00B62E8E" w:rsidP="00B62E8E">
            <w:pPr>
              <w:spacing w:after="0"/>
              <w:jc w:val="right"/>
              <w:rPr>
                <w:rFonts w:eastAsia="Times New Roman" w:cs="Times New Roman"/>
                <w:lang w:eastAsia="en-US"/>
              </w:rPr>
            </w:pPr>
            <w:r w:rsidRPr="00B62E8E">
              <w:rPr>
                <w:rFonts w:eastAsia="Times New Roman" w:cs="Times New Roman"/>
                <w:lang w:eastAsia="en-US"/>
              </w:rPr>
              <w:t>15.909***</w:t>
            </w:r>
          </w:p>
        </w:tc>
        <w:tc>
          <w:tcPr>
            <w:tcW w:w="420" w:type="dxa"/>
            <w:tcBorders>
              <w:top w:val="nil"/>
              <w:left w:val="nil"/>
              <w:bottom w:val="nil"/>
              <w:right w:val="nil"/>
            </w:tcBorders>
            <w:shd w:val="clear" w:color="auto" w:fill="auto"/>
            <w:noWrap/>
            <w:textDirection w:val="btLr"/>
            <w:vAlign w:val="center"/>
            <w:hideMark/>
          </w:tcPr>
          <w:p w14:paraId="503953BA" w14:textId="77777777" w:rsidR="00B62E8E" w:rsidRPr="00B62E8E" w:rsidRDefault="00B62E8E" w:rsidP="00B62E8E">
            <w:pPr>
              <w:spacing w:after="0"/>
              <w:jc w:val="right"/>
              <w:rPr>
                <w:rFonts w:eastAsia="Times New Roman" w:cs="Times New Roman"/>
                <w:lang w:eastAsia="en-US"/>
              </w:rPr>
            </w:pPr>
            <w:r w:rsidRPr="00B62E8E">
              <w:rPr>
                <w:rFonts w:eastAsia="Times New Roman" w:cs="Times New Roman"/>
                <w:lang w:eastAsia="en-US"/>
              </w:rPr>
              <w:t>(0.064)</w:t>
            </w:r>
          </w:p>
        </w:tc>
        <w:tc>
          <w:tcPr>
            <w:tcW w:w="460" w:type="dxa"/>
            <w:tcBorders>
              <w:top w:val="nil"/>
              <w:left w:val="nil"/>
              <w:bottom w:val="nil"/>
              <w:right w:val="nil"/>
            </w:tcBorders>
            <w:shd w:val="clear" w:color="auto" w:fill="auto"/>
            <w:noWrap/>
            <w:textDirection w:val="btLr"/>
            <w:vAlign w:val="center"/>
            <w:hideMark/>
          </w:tcPr>
          <w:p w14:paraId="424DDA0A" w14:textId="77777777" w:rsidR="00B62E8E" w:rsidRPr="00B62E8E" w:rsidRDefault="00B62E8E" w:rsidP="00B62E8E">
            <w:pPr>
              <w:spacing w:after="0"/>
              <w:jc w:val="center"/>
              <w:rPr>
                <w:rFonts w:eastAsia="Times New Roman" w:cs="Times New Roman"/>
                <w:lang w:eastAsia="en-US"/>
              </w:rPr>
            </w:pPr>
            <w:r w:rsidRPr="00B62E8E">
              <w:rPr>
                <w:rFonts w:eastAsia="Times New Roman" w:cs="Times New Roman"/>
                <w:lang w:eastAsia="en-US"/>
              </w:rPr>
              <w:t>862</w:t>
            </w:r>
          </w:p>
        </w:tc>
        <w:tc>
          <w:tcPr>
            <w:tcW w:w="460" w:type="dxa"/>
            <w:tcBorders>
              <w:top w:val="nil"/>
              <w:left w:val="nil"/>
              <w:bottom w:val="nil"/>
              <w:right w:val="nil"/>
            </w:tcBorders>
            <w:shd w:val="clear" w:color="auto" w:fill="auto"/>
            <w:noWrap/>
            <w:textDirection w:val="btLr"/>
            <w:vAlign w:val="center"/>
            <w:hideMark/>
          </w:tcPr>
          <w:p w14:paraId="3FB298CF" w14:textId="77777777" w:rsidR="00B62E8E" w:rsidRPr="00B62E8E" w:rsidRDefault="00B62E8E" w:rsidP="00B62E8E">
            <w:pPr>
              <w:spacing w:after="0"/>
              <w:jc w:val="center"/>
              <w:rPr>
                <w:rFonts w:eastAsia="Times New Roman" w:cs="Times New Roman"/>
                <w:lang w:eastAsia="en-US"/>
              </w:rPr>
            </w:pPr>
            <w:r w:rsidRPr="00B62E8E">
              <w:rPr>
                <w:rFonts w:eastAsia="Times New Roman" w:cs="Times New Roman"/>
                <w:lang w:eastAsia="en-US"/>
              </w:rPr>
              <w:t>0.009</w:t>
            </w:r>
          </w:p>
        </w:tc>
        <w:tc>
          <w:tcPr>
            <w:tcW w:w="380" w:type="dxa"/>
            <w:vMerge/>
            <w:tcBorders>
              <w:top w:val="nil"/>
              <w:left w:val="nil"/>
              <w:bottom w:val="nil"/>
              <w:right w:val="single" w:sz="4" w:space="0" w:color="auto"/>
            </w:tcBorders>
            <w:vAlign w:val="center"/>
            <w:hideMark/>
          </w:tcPr>
          <w:p w14:paraId="419D1B9C" w14:textId="77777777" w:rsidR="00B62E8E" w:rsidRPr="00B62E8E" w:rsidRDefault="00B62E8E" w:rsidP="00B62E8E">
            <w:pPr>
              <w:spacing w:after="0"/>
              <w:rPr>
                <w:rFonts w:eastAsia="Times New Roman" w:cs="Times New Roman"/>
                <w:lang w:eastAsia="en-US"/>
              </w:rPr>
            </w:pPr>
          </w:p>
        </w:tc>
      </w:tr>
      <w:tr w:rsidR="00B62E8E" w:rsidRPr="00B62E8E" w14:paraId="3AF7ABD0" w14:textId="77777777" w:rsidTr="00B62E8E">
        <w:trPr>
          <w:trHeight w:val="1180"/>
        </w:trPr>
        <w:tc>
          <w:tcPr>
            <w:tcW w:w="460" w:type="dxa"/>
            <w:tcBorders>
              <w:top w:val="nil"/>
              <w:left w:val="nil"/>
              <w:bottom w:val="nil"/>
              <w:right w:val="nil"/>
            </w:tcBorders>
            <w:shd w:val="clear" w:color="auto" w:fill="auto"/>
            <w:noWrap/>
            <w:textDirection w:val="btLr"/>
            <w:vAlign w:val="center"/>
            <w:hideMark/>
          </w:tcPr>
          <w:p w14:paraId="7D6B410D" w14:textId="77777777" w:rsidR="00B62E8E" w:rsidRPr="00B62E8E" w:rsidRDefault="00B62E8E" w:rsidP="00B62E8E">
            <w:pPr>
              <w:spacing w:after="0"/>
              <w:jc w:val="right"/>
              <w:rPr>
                <w:rFonts w:eastAsia="Times New Roman" w:cs="Times New Roman"/>
                <w:lang w:eastAsia="en-US"/>
              </w:rPr>
            </w:pPr>
            <w:r w:rsidRPr="00B62E8E">
              <w:rPr>
                <w:rFonts w:eastAsia="Times New Roman" w:cs="Times New Roman"/>
                <w:lang w:eastAsia="en-US"/>
              </w:rPr>
              <w:t>15.587***</w:t>
            </w:r>
          </w:p>
        </w:tc>
        <w:tc>
          <w:tcPr>
            <w:tcW w:w="420" w:type="dxa"/>
            <w:tcBorders>
              <w:top w:val="nil"/>
              <w:left w:val="nil"/>
              <w:bottom w:val="nil"/>
              <w:right w:val="nil"/>
            </w:tcBorders>
            <w:shd w:val="clear" w:color="auto" w:fill="auto"/>
            <w:noWrap/>
            <w:textDirection w:val="btLr"/>
            <w:vAlign w:val="center"/>
            <w:hideMark/>
          </w:tcPr>
          <w:p w14:paraId="16AB9B2B" w14:textId="77777777" w:rsidR="00B62E8E" w:rsidRPr="00B62E8E" w:rsidRDefault="00B62E8E" w:rsidP="00B62E8E">
            <w:pPr>
              <w:spacing w:after="0"/>
              <w:jc w:val="right"/>
              <w:rPr>
                <w:rFonts w:eastAsia="Times New Roman" w:cs="Times New Roman"/>
                <w:lang w:eastAsia="en-US"/>
              </w:rPr>
            </w:pPr>
            <w:r w:rsidRPr="00B62E8E">
              <w:rPr>
                <w:rFonts w:eastAsia="Times New Roman" w:cs="Times New Roman"/>
                <w:lang w:eastAsia="en-US"/>
              </w:rPr>
              <w:t>(0.073)</w:t>
            </w:r>
          </w:p>
        </w:tc>
        <w:tc>
          <w:tcPr>
            <w:tcW w:w="460" w:type="dxa"/>
            <w:tcBorders>
              <w:top w:val="nil"/>
              <w:left w:val="nil"/>
              <w:bottom w:val="nil"/>
              <w:right w:val="nil"/>
            </w:tcBorders>
            <w:shd w:val="clear" w:color="auto" w:fill="auto"/>
            <w:noWrap/>
            <w:textDirection w:val="btLr"/>
            <w:vAlign w:val="center"/>
            <w:hideMark/>
          </w:tcPr>
          <w:p w14:paraId="506C7572" w14:textId="77777777" w:rsidR="00B62E8E" w:rsidRPr="00B62E8E" w:rsidRDefault="00B62E8E" w:rsidP="00B62E8E">
            <w:pPr>
              <w:spacing w:after="0"/>
              <w:jc w:val="center"/>
              <w:rPr>
                <w:rFonts w:eastAsia="Times New Roman" w:cs="Times New Roman"/>
                <w:lang w:eastAsia="en-US"/>
              </w:rPr>
            </w:pPr>
            <w:r w:rsidRPr="00B62E8E">
              <w:rPr>
                <w:rFonts w:eastAsia="Times New Roman" w:cs="Times New Roman"/>
                <w:lang w:eastAsia="en-US"/>
              </w:rPr>
              <w:t>862</w:t>
            </w:r>
          </w:p>
        </w:tc>
        <w:tc>
          <w:tcPr>
            <w:tcW w:w="460" w:type="dxa"/>
            <w:tcBorders>
              <w:top w:val="nil"/>
              <w:left w:val="nil"/>
              <w:bottom w:val="nil"/>
              <w:right w:val="nil"/>
            </w:tcBorders>
            <w:shd w:val="clear" w:color="auto" w:fill="auto"/>
            <w:noWrap/>
            <w:textDirection w:val="btLr"/>
            <w:vAlign w:val="center"/>
            <w:hideMark/>
          </w:tcPr>
          <w:p w14:paraId="6BE2726C" w14:textId="77777777" w:rsidR="00B62E8E" w:rsidRPr="00B62E8E" w:rsidRDefault="00B62E8E" w:rsidP="00B62E8E">
            <w:pPr>
              <w:spacing w:after="0"/>
              <w:jc w:val="center"/>
              <w:rPr>
                <w:rFonts w:eastAsia="Times New Roman" w:cs="Times New Roman"/>
                <w:lang w:eastAsia="en-US"/>
              </w:rPr>
            </w:pPr>
            <w:r w:rsidRPr="00B62E8E">
              <w:rPr>
                <w:rFonts w:eastAsia="Times New Roman" w:cs="Times New Roman"/>
                <w:lang w:eastAsia="en-US"/>
              </w:rPr>
              <w:t>0.076</w:t>
            </w:r>
          </w:p>
        </w:tc>
        <w:tc>
          <w:tcPr>
            <w:tcW w:w="380" w:type="dxa"/>
            <w:vMerge/>
            <w:tcBorders>
              <w:top w:val="nil"/>
              <w:left w:val="nil"/>
              <w:bottom w:val="nil"/>
              <w:right w:val="single" w:sz="4" w:space="0" w:color="auto"/>
            </w:tcBorders>
            <w:vAlign w:val="center"/>
            <w:hideMark/>
          </w:tcPr>
          <w:p w14:paraId="694C9B88" w14:textId="77777777" w:rsidR="00B62E8E" w:rsidRPr="00B62E8E" w:rsidRDefault="00B62E8E" w:rsidP="00B62E8E">
            <w:pPr>
              <w:spacing w:after="0"/>
              <w:rPr>
                <w:rFonts w:eastAsia="Times New Roman" w:cs="Times New Roman"/>
                <w:lang w:eastAsia="en-US"/>
              </w:rPr>
            </w:pPr>
          </w:p>
        </w:tc>
      </w:tr>
      <w:tr w:rsidR="00B62E8E" w:rsidRPr="00B62E8E" w14:paraId="795DFD97" w14:textId="77777777" w:rsidTr="00B62E8E">
        <w:trPr>
          <w:trHeight w:val="1180"/>
        </w:trPr>
        <w:tc>
          <w:tcPr>
            <w:tcW w:w="460" w:type="dxa"/>
            <w:tcBorders>
              <w:top w:val="nil"/>
              <w:left w:val="nil"/>
              <w:bottom w:val="nil"/>
              <w:right w:val="nil"/>
            </w:tcBorders>
            <w:shd w:val="clear" w:color="auto" w:fill="auto"/>
            <w:noWrap/>
            <w:textDirection w:val="btLr"/>
            <w:vAlign w:val="center"/>
            <w:hideMark/>
          </w:tcPr>
          <w:p w14:paraId="4A872A9F" w14:textId="77777777" w:rsidR="00B62E8E" w:rsidRPr="00B62E8E" w:rsidRDefault="00B62E8E" w:rsidP="00B62E8E">
            <w:pPr>
              <w:spacing w:after="0"/>
              <w:jc w:val="right"/>
              <w:rPr>
                <w:rFonts w:eastAsia="Times New Roman" w:cs="Times New Roman"/>
                <w:lang w:eastAsia="en-US"/>
              </w:rPr>
            </w:pPr>
            <w:r w:rsidRPr="00B62E8E">
              <w:rPr>
                <w:rFonts w:eastAsia="Times New Roman" w:cs="Times New Roman"/>
                <w:lang w:eastAsia="en-US"/>
              </w:rPr>
              <w:t>15.895***</w:t>
            </w:r>
          </w:p>
        </w:tc>
        <w:tc>
          <w:tcPr>
            <w:tcW w:w="420" w:type="dxa"/>
            <w:tcBorders>
              <w:top w:val="nil"/>
              <w:left w:val="nil"/>
              <w:bottom w:val="nil"/>
              <w:right w:val="nil"/>
            </w:tcBorders>
            <w:shd w:val="clear" w:color="auto" w:fill="auto"/>
            <w:noWrap/>
            <w:textDirection w:val="btLr"/>
            <w:vAlign w:val="center"/>
            <w:hideMark/>
          </w:tcPr>
          <w:p w14:paraId="3E7AEA5B" w14:textId="77777777" w:rsidR="00B62E8E" w:rsidRPr="00B62E8E" w:rsidRDefault="00B62E8E" w:rsidP="00B62E8E">
            <w:pPr>
              <w:spacing w:after="0"/>
              <w:jc w:val="right"/>
              <w:rPr>
                <w:rFonts w:eastAsia="Times New Roman" w:cs="Times New Roman"/>
                <w:lang w:eastAsia="en-US"/>
              </w:rPr>
            </w:pPr>
            <w:r w:rsidRPr="00B62E8E">
              <w:rPr>
                <w:rFonts w:eastAsia="Times New Roman" w:cs="Times New Roman"/>
                <w:lang w:eastAsia="en-US"/>
              </w:rPr>
              <w:t>(0.065)</w:t>
            </w:r>
          </w:p>
        </w:tc>
        <w:tc>
          <w:tcPr>
            <w:tcW w:w="460" w:type="dxa"/>
            <w:tcBorders>
              <w:top w:val="nil"/>
              <w:left w:val="nil"/>
              <w:bottom w:val="nil"/>
              <w:right w:val="nil"/>
            </w:tcBorders>
            <w:shd w:val="clear" w:color="auto" w:fill="auto"/>
            <w:noWrap/>
            <w:textDirection w:val="btLr"/>
            <w:vAlign w:val="center"/>
            <w:hideMark/>
          </w:tcPr>
          <w:p w14:paraId="0C7D81AC" w14:textId="77777777" w:rsidR="00B62E8E" w:rsidRPr="00B62E8E" w:rsidRDefault="00B62E8E" w:rsidP="00B62E8E">
            <w:pPr>
              <w:spacing w:after="0"/>
              <w:jc w:val="center"/>
              <w:rPr>
                <w:rFonts w:eastAsia="Times New Roman" w:cs="Times New Roman"/>
                <w:lang w:eastAsia="en-US"/>
              </w:rPr>
            </w:pPr>
            <w:r w:rsidRPr="00B62E8E">
              <w:rPr>
                <w:rFonts w:eastAsia="Times New Roman" w:cs="Times New Roman"/>
                <w:lang w:eastAsia="en-US"/>
              </w:rPr>
              <w:t>862</w:t>
            </w:r>
          </w:p>
        </w:tc>
        <w:tc>
          <w:tcPr>
            <w:tcW w:w="460" w:type="dxa"/>
            <w:tcBorders>
              <w:top w:val="nil"/>
              <w:left w:val="nil"/>
              <w:bottom w:val="nil"/>
              <w:right w:val="nil"/>
            </w:tcBorders>
            <w:shd w:val="clear" w:color="auto" w:fill="auto"/>
            <w:noWrap/>
            <w:textDirection w:val="btLr"/>
            <w:vAlign w:val="center"/>
            <w:hideMark/>
          </w:tcPr>
          <w:p w14:paraId="45E46A71" w14:textId="77777777" w:rsidR="00B62E8E" w:rsidRPr="00B62E8E" w:rsidRDefault="00B62E8E" w:rsidP="00B62E8E">
            <w:pPr>
              <w:spacing w:after="0"/>
              <w:jc w:val="center"/>
              <w:rPr>
                <w:rFonts w:eastAsia="Times New Roman" w:cs="Times New Roman"/>
                <w:lang w:eastAsia="en-US"/>
              </w:rPr>
            </w:pPr>
            <w:r w:rsidRPr="00B62E8E">
              <w:rPr>
                <w:rFonts w:eastAsia="Times New Roman" w:cs="Times New Roman"/>
                <w:lang w:eastAsia="en-US"/>
              </w:rPr>
              <w:t>0.002</w:t>
            </w:r>
          </w:p>
        </w:tc>
        <w:tc>
          <w:tcPr>
            <w:tcW w:w="380" w:type="dxa"/>
            <w:vMerge/>
            <w:tcBorders>
              <w:top w:val="nil"/>
              <w:left w:val="nil"/>
              <w:bottom w:val="nil"/>
              <w:right w:val="single" w:sz="4" w:space="0" w:color="auto"/>
            </w:tcBorders>
            <w:vAlign w:val="center"/>
            <w:hideMark/>
          </w:tcPr>
          <w:p w14:paraId="66D44B6A" w14:textId="77777777" w:rsidR="00B62E8E" w:rsidRPr="00B62E8E" w:rsidRDefault="00B62E8E" w:rsidP="00B62E8E">
            <w:pPr>
              <w:spacing w:after="0"/>
              <w:rPr>
                <w:rFonts w:eastAsia="Times New Roman" w:cs="Times New Roman"/>
                <w:lang w:eastAsia="en-US"/>
              </w:rPr>
            </w:pPr>
          </w:p>
        </w:tc>
      </w:tr>
      <w:tr w:rsidR="00B62E8E" w:rsidRPr="00B62E8E" w14:paraId="4FE46892" w14:textId="77777777" w:rsidTr="00B62E8E">
        <w:trPr>
          <w:trHeight w:val="1180"/>
        </w:trPr>
        <w:tc>
          <w:tcPr>
            <w:tcW w:w="460" w:type="dxa"/>
            <w:tcBorders>
              <w:top w:val="nil"/>
              <w:left w:val="nil"/>
              <w:bottom w:val="nil"/>
              <w:right w:val="nil"/>
            </w:tcBorders>
            <w:shd w:val="clear" w:color="auto" w:fill="auto"/>
            <w:noWrap/>
            <w:textDirection w:val="btLr"/>
            <w:vAlign w:val="center"/>
            <w:hideMark/>
          </w:tcPr>
          <w:p w14:paraId="25D69320" w14:textId="77777777" w:rsidR="00B62E8E" w:rsidRPr="00B62E8E" w:rsidRDefault="00B62E8E" w:rsidP="00B62E8E">
            <w:pPr>
              <w:spacing w:after="0"/>
              <w:jc w:val="right"/>
              <w:rPr>
                <w:rFonts w:eastAsia="Times New Roman" w:cs="Times New Roman"/>
                <w:lang w:eastAsia="en-US"/>
              </w:rPr>
            </w:pPr>
            <w:r w:rsidRPr="00B62E8E">
              <w:rPr>
                <w:rFonts w:eastAsia="Times New Roman" w:cs="Times New Roman"/>
                <w:lang w:eastAsia="en-US"/>
              </w:rPr>
              <w:t>15.876***</w:t>
            </w:r>
          </w:p>
        </w:tc>
        <w:tc>
          <w:tcPr>
            <w:tcW w:w="420" w:type="dxa"/>
            <w:tcBorders>
              <w:top w:val="nil"/>
              <w:left w:val="nil"/>
              <w:bottom w:val="nil"/>
              <w:right w:val="nil"/>
            </w:tcBorders>
            <w:shd w:val="clear" w:color="auto" w:fill="auto"/>
            <w:noWrap/>
            <w:textDirection w:val="btLr"/>
            <w:vAlign w:val="center"/>
            <w:hideMark/>
          </w:tcPr>
          <w:p w14:paraId="33D70379" w14:textId="77777777" w:rsidR="00B62E8E" w:rsidRPr="00B62E8E" w:rsidRDefault="00B62E8E" w:rsidP="00B62E8E">
            <w:pPr>
              <w:spacing w:after="0"/>
              <w:jc w:val="right"/>
              <w:rPr>
                <w:rFonts w:eastAsia="Times New Roman" w:cs="Times New Roman"/>
                <w:lang w:eastAsia="en-US"/>
              </w:rPr>
            </w:pPr>
            <w:r w:rsidRPr="00B62E8E">
              <w:rPr>
                <w:rFonts w:eastAsia="Times New Roman" w:cs="Times New Roman"/>
                <w:lang w:eastAsia="en-US"/>
              </w:rPr>
              <w:t>(0.063)</w:t>
            </w:r>
          </w:p>
        </w:tc>
        <w:tc>
          <w:tcPr>
            <w:tcW w:w="460" w:type="dxa"/>
            <w:tcBorders>
              <w:top w:val="nil"/>
              <w:left w:val="nil"/>
              <w:bottom w:val="nil"/>
              <w:right w:val="nil"/>
            </w:tcBorders>
            <w:shd w:val="clear" w:color="auto" w:fill="auto"/>
            <w:noWrap/>
            <w:textDirection w:val="btLr"/>
            <w:vAlign w:val="center"/>
            <w:hideMark/>
          </w:tcPr>
          <w:p w14:paraId="5AAD126C" w14:textId="77777777" w:rsidR="00B62E8E" w:rsidRPr="00B62E8E" w:rsidRDefault="00B62E8E" w:rsidP="00B62E8E">
            <w:pPr>
              <w:spacing w:after="0"/>
              <w:jc w:val="center"/>
              <w:rPr>
                <w:rFonts w:eastAsia="Times New Roman" w:cs="Times New Roman"/>
                <w:lang w:eastAsia="en-US"/>
              </w:rPr>
            </w:pPr>
            <w:r w:rsidRPr="00B62E8E">
              <w:rPr>
                <w:rFonts w:eastAsia="Times New Roman" w:cs="Times New Roman"/>
                <w:lang w:eastAsia="en-US"/>
              </w:rPr>
              <w:t>862</w:t>
            </w:r>
          </w:p>
        </w:tc>
        <w:tc>
          <w:tcPr>
            <w:tcW w:w="460" w:type="dxa"/>
            <w:tcBorders>
              <w:top w:val="nil"/>
              <w:left w:val="nil"/>
              <w:bottom w:val="nil"/>
              <w:right w:val="nil"/>
            </w:tcBorders>
            <w:shd w:val="clear" w:color="auto" w:fill="auto"/>
            <w:noWrap/>
            <w:textDirection w:val="btLr"/>
            <w:vAlign w:val="center"/>
            <w:hideMark/>
          </w:tcPr>
          <w:p w14:paraId="3CA88E6E" w14:textId="77777777" w:rsidR="00B62E8E" w:rsidRPr="00B62E8E" w:rsidRDefault="00B62E8E" w:rsidP="00B62E8E">
            <w:pPr>
              <w:spacing w:after="0"/>
              <w:jc w:val="center"/>
              <w:rPr>
                <w:rFonts w:eastAsia="Times New Roman" w:cs="Times New Roman"/>
                <w:lang w:eastAsia="en-US"/>
              </w:rPr>
            </w:pPr>
            <w:r w:rsidRPr="00B62E8E">
              <w:rPr>
                <w:rFonts w:eastAsia="Times New Roman" w:cs="Times New Roman"/>
                <w:lang w:eastAsia="en-US"/>
              </w:rPr>
              <w:t>0.000</w:t>
            </w:r>
          </w:p>
        </w:tc>
        <w:tc>
          <w:tcPr>
            <w:tcW w:w="380" w:type="dxa"/>
            <w:vMerge/>
            <w:tcBorders>
              <w:top w:val="nil"/>
              <w:left w:val="nil"/>
              <w:bottom w:val="nil"/>
              <w:right w:val="single" w:sz="4" w:space="0" w:color="auto"/>
            </w:tcBorders>
            <w:vAlign w:val="center"/>
            <w:hideMark/>
          </w:tcPr>
          <w:p w14:paraId="296CD998" w14:textId="77777777" w:rsidR="00B62E8E" w:rsidRPr="00B62E8E" w:rsidRDefault="00B62E8E" w:rsidP="00B62E8E">
            <w:pPr>
              <w:spacing w:after="0"/>
              <w:rPr>
                <w:rFonts w:eastAsia="Times New Roman" w:cs="Times New Roman"/>
                <w:lang w:eastAsia="en-US"/>
              </w:rPr>
            </w:pPr>
          </w:p>
        </w:tc>
      </w:tr>
      <w:tr w:rsidR="00B62E8E" w:rsidRPr="00B62E8E" w14:paraId="5842A3E8" w14:textId="77777777" w:rsidTr="00B62E8E">
        <w:trPr>
          <w:trHeight w:val="1180"/>
        </w:trPr>
        <w:tc>
          <w:tcPr>
            <w:tcW w:w="460" w:type="dxa"/>
            <w:tcBorders>
              <w:top w:val="nil"/>
              <w:left w:val="nil"/>
              <w:bottom w:val="nil"/>
              <w:right w:val="nil"/>
            </w:tcBorders>
            <w:shd w:val="clear" w:color="auto" w:fill="auto"/>
            <w:noWrap/>
            <w:textDirection w:val="btLr"/>
            <w:vAlign w:val="center"/>
            <w:hideMark/>
          </w:tcPr>
          <w:p w14:paraId="088C8667" w14:textId="77777777" w:rsidR="00B62E8E" w:rsidRPr="00B62E8E" w:rsidRDefault="00B62E8E" w:rsidP="00B62E8E">
            <w:pPr>
              <w:spacing w:after="0"/>
              <w:jc w:val="right"/>
              <w:rPr>
                <w:rFonts w:eastAsia="Times New Roman" w:cs="Times New Roman"/>
                <w:lang w:eastAsia="en-US"/>
              </w:rPr>
            </w:pPr>
            <w:r w:rsidRPr="00B62E8E">
              <w:rPr>
                <w:rFonts w:eastAsia="Times New Roman" w:cs="Times New Roman"/>
                <w:lang w:eastAsia="en-US"/>
              </w:rPr>
              <w:t>15.876***</w:t>
            </w:r>
          </w:p>
        </w:tc>
        <w:tc>
          <w:tcPr>
            <w:tcW w:w="420" w:type="dxa"/>
            <w:tcBorders>
              <w:top w:val="nil"/>
              <w:left w:val="nil"/>
              <w:bottom w:val="nil"/>
              <w:right w:val="nil"/>
            </w:tcBorders>
            <w:shd w:val="clear" w:color="auto" w:fill="auto"/>
            <w:noWrap/>
            <w:textDirection w:val="btLr"/>
            <w:vAlign w:val="center"/>
            <w:hideMark/>
          </w:tcPr>
          <w:p w14:paraId="120CDD56" w14:textId="77777777" w:rsidR="00B62E8E" w:rsidRPr="00B62E8E" w:rsidRDefault="00B62E8E" w:rsidP="00B62E8E">
            <w:pPr>
              <w:spacing w:after="0"/>
              <w:jc w:val="right"/>
              <w:rPr>
                <w:rFonts w:eastAsia="Times New Roman" w:cs="Times New Roman"/>
                <w:lang w:eastAsia="en-US"/>
              </w:rPr>
            </w:pPr>
            <w:r w:rsidRPr="00B62E8E">
              <w:rPr>
                <w:rFonts w:eastAsia="Times New Roman" w:cs="Times New Roman"/>
                <w:lang w:eastAsia="en-US"/>
              </w:rPr>
              <w:t>(0.063)</w:t>
            </w:r>
          </w:p>
        </w:tc>
        <w:tc>
          <w:tcPr>
            <w:tcW w:w="460" w:type="dxa"/>
            <w:tcBorders>
              <w:top w:val="nil"/>
              <w:left w:val="nil"/>
              <w:bottom w:val="nil"/>
              <w:right w:val="nil"/>
            </w:tcBorders>
            <w:shd w:val="clear" w:color="auto" w:fill="auto"/>
            <w:noWrap/>
            <w:textDirection w:val="btLr"/>
            <w:vAlign w:val="center"/>
            <w:hideMark/>
          </w:tcPr>
          <w:p w14:paraId="1293DD66" w14:textId="77777777" w:rsidR="00B62E8E" w:rsidRPr="00B62E8E" w:rsidRDefault="00B62E8E" w:rsidP="00B62E8E">
            <w:pPr>
              <w:spacing w:after="0"/>
              <w:jc w:val="center"/>
              <w:rPr>
                <w:rFonts w:eastAsia="Times New Roman" w:cs="Times New Roman"/>
                <w:lang w:eastAsia="en-US"/>
              </w:rPr>
            </w:pPr>
            <w:r w:rsidRPr="00B62E8E">
              <w:rPr>
                <w:rFonts w:eastAsia="Times New Roman" w:cs="Times New Roman"/>
                <w:lang w:eastAsia="en-US"/>
              </w:rPr>
              <w:t>862</w:t>
            </w:r>
          </w:p>
        </w:tc>
        <w:tc>
          <w:tcPr>
            <w:tcW w:w="460" w:type="dxa"/>
            <w:tcBorders>
              <w:top w:val="nil"/>
              <w:left w:val="nil"/>
              <w:bottom w:val="nil"/>
              <w:right w:val="nil"/>
            </w:tcBorders>
            <w:shd w:val="clear" w:color="auto" w:fill="auto"/>
            <w:noWrap/>
            <w:textDirection w:val="btLr"/>
            <w:vAlign w:val="center"/>
            <w:hideMark/>
          </w:tcPr>
          <w:p w14:paraId="4DA14B86" w14:textId="77777777" w:rsidR="00B62E8E" w:rsidRPr="00B62E8E" w:rsidRDefault="00B62E8E" w:rsidP="00B62E8E">
            <w:pPr>
              <w:spacing w:after="0"/>
              <w:jc w:val="center"/>
              <w:rPr>
                <w:rFonts w:eastAsia="Times New Roman" w:cs="Times New Roman"/>
                <w:lang w:eastAsia="en-US"/>
              </w:rPr>
            </w:pPr>
            <w:r w:rsidRPr="00B62E8E">
              <w:rPr>
                <w:rFonts w:eastAsia="Times New Roman" w:cs="Times New Roman"/>
                <w:lang w:eastAsia="en-US"/>
              </w:rPr>
              <w:t>0.000</w:t>
            </w:r>
          </w:p>
        </w:tc>
        <w:tc>
          <w:tcPr>
            <w:tcW w:w="380" w:type="dxa"/>
            <w:vMerge/>
            <w:tcBorders>
              <w:top w:val="nil"/>
              <w:left w:val="nil"/>
              <w:bottom w:val="nil"/>
              <w:right w:val="single" w:sz="4" w:space="0" w:color="auto"/>
            </w:tcBorders>
            <w:vAlign w:val="center"/>
            <w:hideMark/>
          </w:tcPr>
          <w:p w14:paraId="3FDB39BB" w14:textId="77777777" w:rsidR="00B62E8E" w:rsidRPr="00B62E8E" w:rsidRDefault="00B62E8E" w:rsidP="00B62E8E">
            <w:pPr>
              <w:spacing w:after="0"/>
              <w:rPr>
                <w:rFonts w:eastAsia="Times New Roman" w:cs="Times New Roman"/>
                <w:lang w:eastAsia="en-US"/>
              </w:rPr>
            </w:pPr>
          </w:p>
        </w:tc>
      </w:tr>
      <w:tr w:rsidR="00B62E8E" w:rsidRPr="00B62E8E" w14:paraId="14720EC9" w14:textId="77777777" w:rsidTr="00B62E8E">
        <w:trPr>
          <w:trHeight w:val="2340"/>
        </w:trPr>
        <w:tc>
          <w:tcPr>
            <w:tcW w:w="460" w:type="dxa"/>
            <w:tcBorders>
              <w:top w:val="nil"/>
              <w:left w:val="nil"/>
              <w:bottom w:val="nil"/>
              <w:right w:val="nil"/>
            </w:tcBorders>
            <w:shd w:val="clear" w:color="auto" w:fill="auto"/>
            <w:textDirection w:val="btLr"/>
            <w:vAlign w:val="bottom"/>
            <w:hideMark/>
          </w:tcPr>
          <w:p w14:paraId="0F96E77B"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Constant</w:t>
            </w:r>
          </w:p>
        </w:tc>
        <w:tc>
          <w:tcPr>
            <w:tcW w:w="420" w:type="dxa"/>
            <w:tcBorders>
              <w:top w:val="nil"/>
              <w:left w:val="nil"/>
              <w:bottom w:val="nil"/>
              <w:right w:val="nil"/>
            </w:tcBorders>
            <w:shd w:val="clear" w:color="auto" w:fill="auto"/>
            <w:textDirection w:val="btLr"/>
            <w:vAlign w:val="bottom"/>
            <w:hideMark/>
          </w:tcPr>
          <w:p w14:paraId="2B3B1840" w14:textId="77777777" w:rsidR="00B62E8E" w:rsidRPr="00B62E8E" w:rsidRDefault="00B62E8E" w:rsidP="00B62E8E">
            <w:pPr>
              <w:spacing w:after="0"/>
              <w:rPr>
                <w:rFonts w:eastAsia="Times New Roman" w:cs="Times New Roman"/>
                <w:lang w:eastAsia="en-US"/>
              </w:rPr>
            </w:pPr>
          </w:p>
        </w:tc>
        <w:tc>
          <w:tcPr>
            <w:tcW w:w="460" w:type="dxa"/>
            <w:tcBorders>
              <w:top w:val="nil"/>
              <w:left w:val="nil"/>
              <w:bottom w:val="nil"/>
              <w:right w:val="nil"/>
            </w:tcBorders>
            <w:shd w:val="clear" w:color="auto" w:fill="auto"/>
            <w:textDirection w:val="btLr"/>
            <w:vAlign w:val="bottom"/>
            <w:hideMark/>
          </w:tcPr>
          <w:p w14:paraId="151E1C6E"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No. of observations</w:t>
            </w:r>
          </w:p>
        </w:tc>
        <w:tc>
          <w:tcPr>
            <w:tcW w:w="460" w:type="dxa"/>
            <w:tcBorders>
              <w:top w:val="nil"/>
              <w:left w:val="nil"/>
              <w:bottom w:val="nil"/>
              <w:right w:val="nil"/>
            </w:tcBorders>
            <w:shd w:val="clear" w:color="auto" w:fill="auto"/>
            <w:textDirection w:val="btLr"/>
            <w:vAlign w:val="bottom"/>
            <w:hideMark/>
          </w:tcPr>
          <w:p w14:paraId="3F355EE2" w14:textId="77777777" w:rsidR="00B62E8E" w:rsidRPr="00B62E8E" w:rsidRDefault="00B62E8E" w:rsidP="00B62E8E">
            <w:pPr>
              <w:spacing w:after="0"/>
              <w:rPr>
                <w:rFonts w:eastAsia="Times New Roman" w:cs="Times New Roman"/>
                <w:lang w:eastAsia="en-US"/>
              </w:rPr>
            </w:pPr>
            <w:r w:rsidRPr="00B62E8E">
              <w:rPr>
                <w:rFonts w:eastAsia="Times New Roman" w:cs="Times New Roman"/>
                <w:lang w:eastAsia="en-US"/>
              </w:rPr>
              <w:t>R2</w:t>
            </w:r>
          </w:p>
        </w:tc>
        <w:tc>
          <w:tcPr>
            <w:tcW w:w="380" w:type="dxa"/>
            <w:vMerge/>
            <w:tcBorders>
              <w:top w:val="nil"/>
              <w:left w:val="nil"/>
              <w:bottom w:val="nil"/>
              <w:right w:val="single" w:sz="4" w:space="0" w:color="auto"/>
            </w:tcBorders>
            <w:vAlign w:val="center"/>
            <w:hideMark/>
          </w:tcPr>
          <w:p w14:paraId="7D85E368" w14:textId="77777777" w:rsidR="00B62E8E" w:rsidRPr="00B62E8E" w:rsidRDefault="00B62E8E" w:rsidP="00B62E8E">
            <w:pPr>
              <w:spacing w:after="0"/>
              <w:rPr>
                <w:rFonts w:eastAsia="Times New Roman" w:cs="Times New Roman"/>
                <w:lang w:eastAsia="en-US"/>
              </w:rPr>
            </w:pPr>
          </w:p>
        </w:tc>
      </w:tr>
    </w:tbl>
    <w:p w14:paraId="7998D044" w14:textId="77777777" w:rsidR="00A66B3E" w:rsidRDefault="00A66B3E" w:rsidP="008F1E79">
      <w:pPr>
        <w:spacing w:line="480" w:lineRule="auto"/>
      </w:pPr>
    </w:p>
    <w:p w14:paraId="64DDAE44" w14:textId="0DAC2307" w:rsidR="008F23CC" w:rsidRPr="008F1E79" w:rsidRDefault="008F23CC" w:rsidP="008F23CC"/>
    <w:sectPr w:rsidR="008F23CC" w:rsidRPr="008F1E79" w:rsidSect="00D0314C">
      <w:pgSz w:w="12240" w:h="15840"/>
      <w:pgMar w:top="1440" w:right="1440" w:bottom="1440" w:left="252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5BBAEA" w14:textId="77777777" w:rsidR="00A77C5F" w:rsidRDefault="00A77C5F" w:rsidP="007229CD">
      <w:pPr>
        <w:spacing w:after="0"/>
      </w:pPr>
      <w:r>
        <w:separator/>
      </w:r>
    </w:p>
  </w:endnote>
  <w:endnote w:type="continuationSeparator" w:id="0">
    <w:p w14:paraId="1F4AB758" w14:textId="77777777" w:rsidR="00A77C5F" w:rsidRDefault="00A77C5F" w:rsidP="007229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SimSun-ExtB">
    <w:panose1 w:val="02010609060101010101"/>
    <w:charset w:val="51"/>
    <w:family w:val="auto"/>
    <w:pitch w:val="variable"/>
    <w:sig w:usb0="00000001" w:usb1="0A080000" w:usb2="00000010" w:usb3="00000000" w:csb0="00140001"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634D2" w14:textId="77777777" w:rsidR="004A1BEE" w:rsidRDefault="004A1BEE" w:rsidP="001F79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71C108" w14:textId="77777777" w:rsidR="004A1BEE" w:rsidRDefault="004A1BE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18DEE" w14:textId="01753622" w:rsidR="004A1BEE" w:rsidRDefault="004A1BEE" w:rsidP="00786B13">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019F0" w14:textId="77777777" w:rsidR="004A1BEE" w:rsidRDefault="004A1BEE" w:rsidP="00480156">
    <w:pPr>
      <w:pStyle w:val="Footer"/>
      <w:framePr w:wrap="around" w:vAnchor="text" w:hAnchor="page" w:x="6481" w:y="-155"/>
      <w:rPr>
        <w:rStyle w:val="PageNumber"/>
      </w:rPr>
    </w:pPr>
    <w:r>
      <w:rPr>
        <w:rStyle w:val="PageNumber"/>
      </w:rPr>
      <w:fldChar w:fldCharType="begin"/>
    </w:r>
    <w:r>
      <w:rPr>
        <w:rStyle w:val="PageNumber"/>
      </w:rPr>
      <w:instrText xml:space="preserve">PAGE  </w:instrText>
    </w:r>
    <w:r>
      <w:rPr>
        <w:rStyle w:val="PageNumber"/>
      </w:rPr>
      <w:fldChar w:fldCharType="separate"/>
    </w:r>
    <w:r w:rsidR="000A21E6">
      <w:rPr>
        <w:rStyle w:val="PageNumber"/>
        <w:noProof/>
      </w:rPr>
      <w:t>viii</w:t>
    </w:r>
    <w:r>
      <w:rPr>
        <w:rStyle w:val="PageNumber"/>
      </w:rPr>
      <w:fldChar w:fldCharType="end"/>
    </w:r>
  </w:p>
  <w:p w14:paraId="3AEFD88A" w14:textId="77777777" w:rsidR="004A1BEE" w:rsidRDefault="004A1BEE" w:rsidP="00480156">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B0CE3" w14:textId="754D7247" w:rsidR="004A1BEE" w:rsidRDefault="004A1BEE" w:rsidP="008F1E79">
    <w:pPr>
      <w:pStyle w:val="Footer"/>
      <w:jc w:val="center"/>
    </w:pPr>
    <w:r>
      <w:rPr>
        <w:rStyle w:val="PageNumber"/>
      </w:rPr>
      <w:fldChar w:fldCharType="begin"/>
    </w:r>
    <w:r>
      <w:rPr>
        <w:rStyle w:val="PageNumber"/>
      </w:rPr>
      <w:instrText xml:space="preserve"> PAGE </w:instrText>
    </w:r>
    <w:r>
      <w:rPr>
        <w:rStyle w:val="PageNumber"/>
      </w:rPr>
      <w:fldChar w:fldCharType="separate"/>
    </w:r>
    <w:r w:rsidR="000A21E6">
      <w:rPr>
        <w:rStyle w:val="PageNumber"/>
        <w:noProof/>
      </w:rPr>
      <w:t>100</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F9057" w14:textId="77777777" w:rsidR="00A77C5F" w:rsidRDefault="00A77C5F" w:rsidP="007229CD">
      <w:pPr>
        <w:spacing w:after="0"/>
      </w:pPr>
      <w:r>
        <w:separator/>
      </w:r>
    </w:p>
  </w:footnote>
  <w:footnote w:type="continuationSeparator" w:id="0">
    <w:p w14:paraId="38862256" w14:textId="77777777" w:rsidR="00A77C5F" w:rsidRDefault="00A77C5F" w:rsidP="007229CD">
      <w:pPr>
        <w:spacing w:after="0"/>
      </w:pPr>
      <w:r>
        <w:continuationSeparator/>
      </w:r>
    </w:p>
  </w:footnote>
  <w:footnote w:id="1">
    <w:p w14:paraId="609856E0" w14:textId="77777777" w:rsidR="004A1BEE" w:rsidRPr="00F21EC0" w:rsidRDefault="004A1BEE" w:rsidP="009025F4">
      <w:pPr>
        <w:pStyle w:val="FootnoteText"/>
      </w:pPr>
      <w:r>
        <w:rPr>
          <w:rStyle w:val="FootnoteReference"/>
        </w:rPr>
        <w:footnoteRef/>
      </w:r>
      <w:r>
        <w:t xml:space="preserve"> </w:t>
      </w:r>
      <w:r w:rsidRPr="00F21EC0">
        <w:rPr>
          <w:sz w:val="20"/>
          <w:szCs w:val="20"/>
        </w:rPr>
        <w:t xml:space="preserve">Frank J. Prial, “France Seeking Closer </w:t>
      </w:r>
      <w:r>
        <w:rPr>
          <w:sz w:val="20"/>
          <w:szCs w:val="20"/>
        </w:rPr>
        <w:t xml:space="preserve">African </w:t>
      </w:r>
      <w:r w:rsidRPr="00F21EC0">
        <w:rPr>
          <w:sz w:val="20"/>
          <w:szCs w:val="20"/>
        </w:rPr>
        <w:t xml:space="preserve">Ties,” </w:t>
      </w:r>
      <w:r w:rsidRPr="00F21EC0">
        <w:rPr>
          <w:i/>
          <w:sz w:val="20"/>
          <w:szCs w:val="20"/>
        </w:rPr>
        <w:t xml:space="preserve">The New York Times, </w:t>
      </w:r>
      <w:r w:rsidRPr="00F21EC0">
        <w:rPr>
          <w:sz w:val="20"/>
          <w:szCs w:val="20"/>
        </w:rPr>
        <w:t>Sept</w:t>
      </w:r>
      <w:r>
        <w:rPr>
          <w:sz w:val="20"/>
          <w:szCs w:val="20"/>
        </w:rPr>
        <w:t>ember 23, 1981, accessed</w:t>
      </w:r>
      <w:r w:rsidRPr="00F21EC0">
        <w:rPr>
          <w:sz w:val="20"/>
          <w:szCs w:val="20"/>
        </w:rPr>
        <w:t xml:space="preserve"> Oct</w:t>
      </w:r>
      <w:r>
        <w:rPr>
          <w:sz w:val="20"/>
          <w:szCs w:val="20"/>
        </w:rPr>
        <w:t xml:space="preserve">ober 26, 2016, </w:t>
      </w:r>
      <w:r w:rsidRPr="00903DE3">
        <w:rPr>
          <w:rFonts w:cs="Times New Roman"/>
          <w:sz w:val="20"/>
          <w:szCs w:val="20"/>
        </w:rPr>
        <w:t>http://www.nytimes.com/1981/09/23/world/france-seeking-closer-african-ties.html.</w:t>
      </w:r>
    </w:p>
  </w:footnote>
  <w:footnote w:id="2">
    <w:p w14:paraId="4F49AF48" w14:textId="77777777" w:rsidR="004A1BEE" w:rsidRDefault="004A1BEE" w:rsidP="009025F4">
      <w:pPr>
        <w:pStyle w:val="FootnoteText"/>
      </w:pPr>
      <w:r>
        <w:rPr>
          <w:rStyle w:val="FootnoteReference"/>
        </w:rPr>
        <w:footnoteRef/>
      </w:r>
      <w:r>
        <w:t xml:space="preserve"> </w:t>
      </w:r>
      <w:r w:rsidRPr="00830F76">
        <w:rPr>
          <w:sz w:val="20"/>
          <w:szCs w:val="20"/>
        </w:rPr>
        <w:t xml:space="preserve">“French bilateral aid,” </w:t>
      </w:r>
      <w:r w:rsidRPr="00830F76">
        <w:rPr>
          <w:i/>
          <w:sz w:val="20"/>
          <w:szCs w:val="20"/>
        </w:rPr>
        <w:t xml:space="preserve">France Diplomatie, </w:t>
      </w:r>
      <w:r w:rsidRPr="00830F76">
        <w:rPr>
          <w:sz w:val="20"/>
          <w:szCs w:val="20"/>
        </w:rPr>
        <w:t>December 23, 2013, accessed April 14, 2013, http://www.diplomatie.gouv.fr/en/french-foreign-policy/development-assistance/french-assistance-institutional/french-assistance-delivery/article/french-bilateral-aid</w:t>
      </w:r>
      <w:r>
        <w:rPr>
          <w:sz w:val="20"/>
          <w:szCs w:val="20"/>
        </w:rPr>
        <w:t>.</w:t>
      </w:r>
    </w:p>
  </w:footnote>
  <w:footnote w:id="3">
    <w:p w14:paraId="58D64A2D" w14:textId="77777777" w:rsidR="004A1BEE" w:rsidRDefault="004A1BEE" w:rsidP="009025F4">
      <w:pPr>
        <w:pStyle w:val="FootnoteText"/>
      </w:pPr>
      <w:r>
        <w:rPr>
          <w:rStyle w:val="FootnoteReference"/>
        </w:rPr>
        <w:footnoteRef/>
      </w:r>
      <w:r>
        <w:t xml:space="preserve"> </w:t>
      </w:r>
      <w:r>
        <w:rPr>
          <w:sz w:val="20"/>
          <w:szCs w:val="20"/>
        </w:rPr>
        <w:t>Ibid.</w:t>
      </w:r>
    </w:p>
  </w:footnote>
  <w:footnote w:id="4">
    <w:p w14:paraId="2FE88534" w14:textId="77777777" w:rsidR="004A1BEE" w:rsidRDefault="004A1BEE" w:rsidP="009025F4">
      <w:pPr>
        <w:pStyle w:val="FootnoteText"/>
      </w:pPr>
      <w:r>
        <w:rPr>
          <w:rStyle w:val="FootnoteReference"/>
        </w:rPr>
        <w:footnoteRef/>
      </w:r>
      <w:r>
        <w:t xml:space="preserve"> </w:t>
      </w:r>
      <w:r w:rsidRPr="008C6B4E">
        <w:rPr>
          <w:sz w:val="20"/>
          <w:szCs w:val="20"/>
        </w:rPr>
        <w:t xml:space="preserve">Alberto Alesina and David Dollar, "Who Gives Foreign Aid to Whom and Why?" </w:t>
      </w:r>
      <w:r w:rsidRPr="008C6B4E">
        <w:rPr>
          <w:i/>
          <w:iCs/>
          <w:sz w:val="20"/>
          <w:szCs w:val="20"/>
        </w:rPr>
        <w:t xml:space="preserve">Journal of Economic Growth, </w:t>
      </w:r>
      <w:r w:rsidRPr="008C6B4E">
        <w:rPr>
          <w:sz w:val="20"/>
          <w:szCs w:val="20"/>
        </w:rPr>
        <w:t>5.1 (2000): 33-63</w:t>
      </w:r>
      <w:r>
        <w:rPr>
          <w:sz w:val="20"/>
          <w:szCs w:val="20"/>
        </w:rPr>
        <w:t xml:space="preserve">; Jean-Claude Berthelemy, “Bilateral donors’ interest vs. recipients’ development motives in aid allocation: do all donors behave the same?” </w:t>
      </w:r>
      <w:r>
        <w:rPr>
          <w:i/>
          <w:sz w:val="20"/>
          <w:szCs w:val="20"/>
        </w:rPr>
        <w:t xml:space="preserve">Cahiers de Maison des Sciences Economiques </w:t>
      </w:r>
      <w:r>
        <w:rPr>
          <w:sz w:val="20"/>
          <w:szCs w:val="20"/>
        </w:rPr>
        <w:t xml:space="preserve">(2005): 1-36; Alberto Chong and Mark Gradstein, “What determines foreign aid? The donors’ perspective,” </w:t>
      </w:r>
      <w:r>
        <w:rPr>
          <w:i/>
          <w:sz w:val="20"/>
          <w:szCs w:val="20"/>
        </w:rPr>
        <w:t xml:space="preserve">Journal of Development Economics </w:t>
      </w:r>
      <w:r>
        <w:rPr>
          <w:sz w:val="20"/>
          <w:szCs w:val="20"/>
        </w:rPr>
        <w:t xml:space="preserve">87 (2008): 1-13; Paul Collier and David Dollar, “Aid allocation and poverty reduction,” </w:t>
      </w:r>
      <w:r>
        <w:rPr>
          <w:i/>
          <w:sz w:val="20"/>
          <w:szCs w:val="20"/>
        </w:rPr>
        <w:t xml:space="preserve">European Economic Review </w:t>
      </w:r>
      <w:r>
        <w:rPr>
          <w:sz w:val="20"/>
          <w:szCs w:val="20"/>
        </w:rPr>
        <w:t xml:space="preserve">46 (2002): 1475-1500; Alfred Maizels and Machiko K. Nissanke, “Motivations for Aid to Developing Countries,” </w:t>
      </w:r>
      <w:r>
        <w:rPr>
          <w:i/>
          <w:sz w:val="20"/>
          <w:szCs w:val="20"/>
        </w:rPr>
        <w:t xml:space="preserve">World Development </w:t>
      </w:r>
      <w:r>
        <w:rPr>
          <w:sz w:val="20"/>
          <w:szCs w:val="20"/>
        </w:rPr>
        <w:t xml:space="preserve">12.9 (1984): 879-900; R.D. McKinlay and R. Little, “The French Aid Relationship: A Foreign Policy Model of the Distribution of French Bilateral Aid, 1964-70,” </w:t>
      </w:r>
      <w:r>
        <w:rPr>
          <w:i/>
          <w:sz w:val="20"/>
          <w:szCs w:val="20"/>
        </w:rPr>
        <w:t xml:space="preserve">Development and Change </w:t>
      </w:r>
      <w:r>
        <w:rPr>
          <w:sz w:val="20"/>
          <w:szCs w:val="20"/>
        </w:rPr>
        <w:t xml:space="preserve">3(1978): 459-78; Jakob Svensson, “Aid, Growth and Democracy,” </w:t>
      </w:r>
      <w:r>
        <w:rPr>
          <w:i/>
          <w:sz w:val="20"/>
          <w:szCs w:val="20"/>
        </w:rPr>
        <w:t xml:space="preserve">Economics and Politics </w:t>
      </w:r>
      <w:r>
        <w:rPr>
          <w:sz w:val="20"/>
          <w:szCs w:val="20"/>
        </w:rPr>
        <w:t xml:space="preserve">(1985): 275-297; Javed Younas, “Motivation for bilateral aid allocation: Altruism or trade benefits,” </w:t>
      </w:r>
      <w:r>
        <w:rPr>
          <w:i/>
          <w:sz w:val="20"/>
          <w:szCs w:val="20"/>
        </w:rPr>
        <w:t xml:space="preserve">European Journal of Political Economy </w:t>
      </w:r>
      <w:r>
        <w:rPr>
          <w:sz w:val="20"/>
          <w:szCs w:val="20"/>
        </w:rPr>
        <w:t>24 (2008): 661-674.</w:t>
      </w:r>
    </w:p>
  </w:footnote>
  <w:footnote w:id="5">
    <w:p w14:paraId="064AE21A" w14:textId="77777777" w:rsidR="004A1BEE" w:rsidRPr="00DA560C" w:rsidRDefault="004A1BEE" w:rsidP="009025F4">
      <w:pPr>
        <w:pStyle w:val="FootnoteText"/>
      </w:pPr>
      <w:r>
        <w:rPr>
          <w:rStyle w:val="FootnoteReference"/>
        </w:rPr>
        <w:footnoteRef/>
      </w:r>
      <w:r>
        <w:t xml:space="preserve"> </w:t>
      </w:r>
      <w:r w:rsidRPr="00DA560C">
        <w:rPr>
          <w:sz w:val="20"/>
          <w:szCs w:val="20"/>
        </w:rPr>
        <w:t xml:space="preserve">“Profiles and policies of bilateral donors: France,” </w:t>
      </w:r>
      <w:r w:rsidRPr="00DA560C">
        <w:rPr>
          <w:i/>
          <w:sz w:val="20"/>
          <w:szCs w:val="20"/>
        </w:rPr>
        <w:t xml:space="preserve">OECD, </w:t>
      </w:r>
      <w:r w:rsidRPr="00DA560C">
        <w:rPr>
          <w:sz w:val="20"/>
          <w:szCs w:val="20"/>
        </w:rPr>
        <w:t>2012, accessed April 21, 2017, http://www.oecd.org/dac/France_DCR2012_21jan13_Part8.pdf.</w:t>
      </w:r>
    </w:p>
  </w:footnote>
  <w:footnote w:id="6">
    <w:p w14:paraId="01D0BA7E" w14:textId="77777777" w:rsidR="004A1BEE" w:rsidRPr="004037A6" w:rsidRDefault="004A1BEE" w:rsidP="009025F4">
      <w:pPr>
        <w:pStyle w:val="FootnoteText"/>
      </w:pPr>
      <w:r>
        <w:rPr>
          <w:rStyle w:val="FootnoteReference"/>
        </w:rPr>
        <w:footnoteRef/>
      </w:r>
      <w:r>
        <w:t xml:space="preserve"> </w:t>
      </w:r>
      <w:r w:rsidRPr="00E75291">
        <w:rPr>
          <w:sz w:val="20"/>
          <w:szCs w:val="20"/>
        </w:rPr>
        <w:t>Great Britain created a similar development fund through the British Colonial Development and Welfare Act of 1940</w:t>
      </w:r>
      <w:r>
        <w:rPr>
          <w:sz w:val="20"/>
          <w:szCs w:val="20"/>
        </w:rPr>
        <w:t xml:space="preserve"> in response to criticism from the United States and the Atlantic Charter</w:t>
      </w:r>
      <w:r w:rsidRPr="00E75291">
        <w:rPr>
          <w:sz w:val="20"/>
          <w:szCs w:val="20"/>
        </w:rPr>
        <w:t xml:space="preserve">. Frederick Cooper, </w:t>
      </w:r>
      <w:r w:rsidRPr="00E75291">
        <w:rPr>
          <w:i/>
          <w:sz w:val="20"/>
          <w:szCs w:val="20"/>
        </w:rPr>
        <w:t xml:space="preserve">Africa Since 1940: The Past of the Present, </w:t>
      </w:r>
      <w:r w:rsidRPr="00E75291">
        <w:rPr>
          <w:sz w:val="20"/>
          <w:szCs w:val="20"/>
        </w:rPr>
        <w:t>(Cambridge: Cambridge University Press, 2002), 36.</w:t>
      </w:r>
    </w:p>
  </w:footnote>
  <w:footnote w:id="7">
    <w:p w14:paraId="3F8F2C58" w14:textId="77777777" w:rsidR="004A1BEE" w:rsidRDefault="004A1BEE" w:rsidP="009025F4">
      <w:pPr>
        <w:pStyle w:val="FootnoteText"/>
      </w:pPr>
      <w:r>
        <w:rPr>
          <w:rStyle w:val="FootnoteReference"/>
        </w:rPr>
        <w:footnoteRef/>
      </w:r>
      <w:r>
        <w:t xml:space="preserve"> </w:t>
      </w:r>
      <w:r w:rsidRPr="003F7E95">
        <w:rPr>
          <w:sz w:val="20"/>
          <w:szCs w:val="20"/>
        </w:rPr>
        <w:t xml:space="preserve">Kevin Shillington, ed., </w:t>
      </w:r>
      <w:r w:rsidRPr="003F7E95">
        <w:rPr>
          <w:i/>
          <w:sz w:val="20"/>
          <w:szCs w:val="20"/>
        </w:rPr>
        <w:t xml:space="preserve">The Encyclopedia of African History: Volume 1, A-G, </w:t>
      </w:r>
      <w:r w:rsidRPr="003F7E95">
        <w:rPr>
          <w:sz w:val="20"/>
          <w:szCs w:val="20"/>
        </w:rPr>
        <w:t>(New York: Fitzroy Dearborn, 2005), 905.</w:t>
      </w:r>
    </w:p>
  </w:footnote>
  <w:footnote w:id="8">
    <w:p w14:paraId="72A50B21" w14:textId="77777777" w:rsidR="004A1BEE" w:rsidRDefault="004A1BEE" w:rsidP="009025F4">
      <w:pPr>
        <w:pStyle w:val="FootnoteText"/>
      </w:pPr>
      <w:r>
        <w:rPr>
          <w:rStyle w:val="FootnoteReference"/>
        </w:rPr>
        <w:footnoteRef/>
      </w:r>
      <w:r>
        <w:t xml:space="preserve"> </w:t>
      </w:r>
      <w:r w:rsidRPr="005B69A1">
        <w:rPr>
          <w:sz w:val="20"/>
          <w:szCs w:val="20"/>
        </w:rPr>
        <w:t xml:space="preserve">Frederick Cooper, </w:t>
      </w:r>
      <w:r w:rsidRPr="005B69A1">
        <w:rPr>
          <w:i/>
          <w:sz w:val="20"/>
          <w:szCs w:val="20"/>
        </w:rPr>
        <w:t>Citizenship between Empire and Nation: Remaking Fran</w:t>
      </w:r>
      <w:r>
        <w:rPr>
          <w:i/>
          <w:sz w:val="20"/>
          <w:szCs w:val="20"/>
        </w:rPr>
        <w:t>ce and French Africa, 1945-1960</w:t>
      </w:r>
      <w:r w:rsidRPr="005B69A1">
        <w:rPr>
          <w:i/>
          <w:sz w:val="20"/>
          <w:szCs w:val="20"/>
        </w:rPr>
        <w:t xml:space="preserve"> </w:t>
      </w:r>
      <w:r>
        <w:rPr>
          <w:sz w:val="20"/>
          <w:szCs w:val="20"/>
        </w:rPr>
        <w:t>(</w:t>
      </w:r>
      <w:r w:rsidRPr="005B69A1">
        <w:rPr>
          <w:sz w:val="20"/>
          <w:szCs w:val="20"/>
        </w:rPr>
        <w:t>Princeton: Pri</w:t>
      </w:r>
      <w:r>
        <w:rPr>
          <w:sz w:val="20"/>
          <w:szCs w:val="20"/>
        </w:rPr>
        <w:t>nceton University Press, 2014), 39.</w:t>
      </w:r>
    </w:p>
  </w:footnote>
  <w:footnote w:id="9">
    <w:p w14:paraId="40A8D5B1" w14:textId="77777777" w:rsidR="004A1BEE" w:rsidRPr="005E237F" w:rsidRDefault="004A1BEE" w:rsidP="009025F4">
      <w:pPr>
        <w:pStyle w:val="FootnoteText"/>
      </w:pPr>
      <w:r>
        <w:rPr>
          <w:rStyle w:val="FootnoteReference"/>
        </w:rPr>
        <w:footnoteRef/>
      </w:r>
      <w:r>
        <w:t xml:space="preserve"> </w:t>
      </w:r>
      <w:r w:rsidRPr="005E237F">
        <w:rPr>
          <w:sz w:val="20"/>
          <w:szCs w:val="20"/>
        </w:rPr>
        <w:t xml:space="preserve">Constructivist theory states, “(a) human interaction is shaped primarily by ideational factors, not simply material ones; (b) the most important ideational factors are widely shared or ‘intersubjective’ beliefs, which are not reducible to individuals; and (c) these shared beliefs construct the interests and identities of purposive actors.” Martha Finnemore and Kathryn Sikkink, “Taking Stock: The Constructivist Research Program in International Relations and Comparative Politics,” </w:t>
      </w:r>
      <w:r w:rsidRPr="005E237F">
        <w:rPr>
          <w:i/>
          <w:sz w:val="20"/>
          <w:szCs w:val="20"/>
        </w:rPr>
        <w:t xml:space="preserve">Annual Review of Political Science </w:t>
      </w:r>
      <w:r w:rsidRPr="005E237F">
        <w:rPr>
          <w:sz w:val="20"/>
          <w:szCs w:val="20"/>
        </w:rPr>
        <w:t>4 (2001): 393.</w:t>
      </w:r>
    </w:p>
  </w:footnote>
  <w:footnote w:id="10">
    <w:p w14:paraId="281AC5F0" w14:textId="0ED4CD0B" w:rsidR="004A1BEE" w:rsidRDefault="004A1BEE" w:rsidP="009025F4">
      <w:pPr>
        <w:pStyle w:val="FootnoteText"/>
      </w:pPr>
      <w:r>
        <w:rPr>
          <w:rStyle w:val="FootnoteReference"/>
        </w:rPr>
        <w:footnoteRef/>
      </w:r>
      <w:r>
        <w:t xml:space="preserve"> </w:t>
      </w:r>
      <w:r w:rsidRPr="00381A4C">
        <w:rPr>
          <w:sz w:val="20"/>
          <w:szCs w:val="20"/>
        </w:rPr>
        <w:t xml:space="preserve">Peter Katzenstein, ed., </w:t>
      </w:r>
      <w:r w:rsidRPr="00381A4C">
        <w:rPr>
          <w:i/>
          <w:sz w:val="20"/>
          <w:szCs w:val="20"/>
        </w:rPr>
        <w:t xml:space="preserve">The Culture of National Security: Norms and Identity in World Politics, </w:t>
      </w:r>
      <w:r w:rsidRPr="00381A4C">
        <w:rPr>
          <w:sz w:val="20"/>
          <w:szCs w:val="20"/>
        </w:rPr>
        <w:t>(New York: Columbia University Press, 1996), 59.</w:t>
      </w:r>
    </w:p>
  </w:footnote>
  <w:footnote w:id="11">
    <w:p w14:paraId="26284B7A" w14:textId="77777777" w:rsidR="004A1BEE" w:rsidRDefault="004A1BEE" w:rsidP="009025F4">
      <w:pPr>
        <w:pStyle w:val="FootnoteText"/>
      </w:pPr>
      <w:r>
        <w:rPr>
          <w:rStyle w:val="FootnoteReference"/>
        </w:rPr>
        <w:footnoteRef/>
      </w:r>
      <w:r>
        <w:t xml:space="preserve"> </w:t>
      </w:r>
      <w:r w:rsidRPr="00DF2490">
        <w:rPr>
          <w:sz w:val="20"/>
          <w:szCs w:val="20"/>
        </w:rPr>
        <w:t xml:space="preserve">Alexander Wendt, “Collective Identity Formation and the International State,” </w:t>
      </w:r>
      <w:r w:rsidRPr="00DF2490">
        <w:rPr>
          <w:i/>
          <w:sz w:val="20"/>
          <w:szCs w:val="20"/>
        </w:rPr>
        <w:t xml:space="preserve">The American Political Science Review </w:t>
      </w:r>
      <w:r>
        <w:rPr>
          <w:sz w:val="20"/>
          <w:szCs w:val="20"/>
        </w:rPr>
        <w:t>88.2 (1994): 395</w:t>
      </w:r>
      <w:r w:rsidRPr="00DF2490">
        <w:rPr>
          <w:sz w:val="20"/>
          <w:szCs w:val="20"/>
        </w:rPr>
        <w:t>.</w:t>
      </w:r>
    </w:p>
  </w:footnote>
  <w:footnote w:id="12">
    <w:p w14:paraId="72E43F24" w14:textId="77777777" w:rsidR="004A1BEE" w:rsidRDefault="004A1BEE" w:rsidP="009025F4">
      <w:pPr>
        <w:pStyle w:val="FootnoteText"/>
      </w:pPr>
      <w:r>
        <w:rPr>
          <w:rStyle w:val="FootnoteReference"/>
        </w:rPr>
        <w:footnoteRef/>
      </w:r>
      <w:r>
        <w:t xml:space="preserve"> </w:t>
      </w:r>
      <w:r w:rsidRPr="00DF2490">
        <w:rPr>
          <w:sz w:val="20"/>
          <w:szCs w:val="20"/>
        </w:rPr>
        <w:t xml:space="preserve">Wendt, “Collective Identity Formation and the International State,” </w:t>
      </w:r>
      <w:r>
        <w:rPr>
          <w:sz w:val="20"/>
          <w:szCs w:val="20"/>
        </w:rPr>
        <w:t>386</w:t>
      </w:r>
      <w:r w:rsidRPr="00DF2490">
        <w:rPr>
          <w:sz w:val="20"/>
          <w:szCs w:val="20"/>
        </w:rPr>
        <w:t>.</w:t>
      </w:r>
    </w:p>
  </w:footnote>
  <w:footnote w:id="13">
    <w:p w14:paraId="39572E48" w14:textId="77777777" w:rsidR="004A1BEE" w:rsidRDefault="004A1BEE" w:rsidP="009025F4">
      <w:pPr>
        <w:pStyle w:val="FootnoteText"/>
      </w:pPr>
      <w:r>
        <w:rPr>
          <w:rStyle w:val="FootnoteReference"/>
        </w:rPr>
        <w:footnoteRef/>
      </w:r>
      <w:r>
        <w:t xml:space="preserve"> </w:t>
      </w:r>
      <w:r>
        <w:rPr>
          <w:sz w:val="20"/>
          <w:szCs w:val="20"/>
        </w:rPr>
        <w:t>In the constructivist literature, this is often referred to as intersubjective understanding.</w:t>
      </w:r>
    </w:p>
  </w:footnote>
  <w:footnote w:id="14">
    <w:p w14:paraId="609750B4" w14:textId="77777777" w:rsidR="004A1BEE" w:rsidRPr="005555D6" w:rsidRDefault="004A1BEE" w:rsidP="009025F4">
      <w:pPr>
        <w:pStyle w:val="FootnoteText"/>
      </w:pPr>
      <w:r>
        <w:rPr>
          <w:rStyle w:val="FootnoteReference"/>
        </w:rPr>
        <w:footnoteRef/>
      </w:r>
      <w:r>
        <w:t xml:space="preserve"> </w:t>
      </w:r>
      <w:r w:rsidRPr="005555D6">
        <w:rPr>
          <w:i/>
          <w:sz w:val="20"/>
          <w:szCs w:val="20"/>
        </w:rPr>
        <w:t xml:space="preserve">pré carré </w:t>
      </w:r>
      <w:r w:rsidRPr="005555D6">
        <w:rPr>
          <w:sz w:val="20"/>
          <w:szCs w:val="20"/>
        </w:rPr>
        <w:t>is often translated as the backyard of France</w:t>
      </w:r>
      <w:r>
        <w:rPr>
          <w:sz w:val="20"/>
          <w:szCs w:val="20"/>
        </w:rPr>
        <w:t xml:space="preserve"> but refers to the French sphere of influence.</w:t>
      </w:r>
    </w:p>
  </w:footnote>
  <w:footnote w:id="15">
    <w:p w14:paraId="27FFED59" w14:textId="77777777" w:rsidR="004A1BEE" w:rsidRPr="00F21EC0" w:rsidRDefault="004A1BEE" w:rsidP="009025F4">
      <w:pPr>
        <w:pStyle w:val="FootnoteText"/>
      </w:pPr>
      <w:r>
        <w:rPr>
          <w:rStyle w:val="FootnoteReference"/>
        </w:rPr>
        <w:footnoteRef/>
      </w:r>
      <w:r>
        <w:t xml:space="preserve"> </w:t>
      </w:r>
      <w:r w:rsidRPr="00F21EC0">
        <w:rPr>
          <w:sz w:val="20"/>
          <w:szCs w:val="20"/>
        </w:rPr>
        <w:t xml:space="preserve">Flora Lewis, “France Seeking Wider Influence Among Africans,” </w:t>
      </w:r>
      <w:r w:rsidRPr="00F21EC0">
        <w:rPr>
          <w:i/>
          <w:sz w:val="20"/>
          <w:szCs w:val="20"/>
        </w:rPr>
        <w:t xml:space="preserve">The New York Times, </w:t>
      </w:r>
      <w:r w:rsidRPr="00F21EC0">
        <w:rPr>
          <w:sz w:val="20"/>
          <w:szCs w:val="20"/>
        </w:rPr>
        <w:t>Aug</w:t>
      </w:r>
      <w:r>
        <w:rPr>
          <w:sz w:val="20"/>
          <w:szCs w:val="20"/>
        </w:rPr>
        <w:t xml:space="preserve">ust 1, 1977, accessed October 26, </w:t>
      </w:r>
      <w:r w:rsidRPr="00F21EC0">
        <w:rPr>
          <w:sz w:val="20"/>
          <w:szCs w:val="20"/>
        </w:rPr>
        <w:t>2016</w:t>
      </w:r>
      <w:r>
        <w:rPr>
          <w:sz w:val="20"/>
          <w:szCs w:val="20"/>
        </w:rPr>
        <w:t xml:space="preserve">, </w:t>
      </w:r>
      <w:r w:rsidRPr="00903DE3">
        <w:rPr>
          <w:rFonts w:cs="Times New Roman"/>
          <w:sz w:val="20"/>
          <w:szCs w:val="20"/>
        </w:rPr>
        <w:t>http://www.nytimes.com/1977/08/01/archives/france-seeking-wider-influence-among-africans-6-france-focuses.html?_r=0.</w:t>
      </w:r>
    </w:p>
  </w:footnote>
  <w:footnote w:id="16">
    <w:p w14:paraId="20412EA6" w14:textId="77777777" w:rsidR="004A1BEE" w:rsidRPr="00436AD6" w:rsidRDefault="004A1BEE" w:rsidP="009025F4">
      <w:pPr>
        <w:pStyle w:val="FootnoteText"/>
      </w:pPr>
      <w:r>
        <w:rPr>
          <w:rStyle w:val="FootnoteReference"/>
        </w:rPr>
        <w:footnoteRef/>
      </w:r>
      <w:r>
        <w:t xml:space="preserve"> </w:t>
      </w:r>
      <w:r w:rsidRPr="00436AD6">
        <w:rPr>
          <w:sz w:val="20"/>
          <w:szCs w:val="20"/>
        </w:rPr>
        <w:t xml:space="preserve">George A. Akerlof and Rachel E. Kranton, “Economics and Identity,” </w:t>
      </w:r>
      <w:r w:rsidRPr="00436AD6">
        <w:rPr>
          <w:i/>
          <w:sz w:val="20"/>
          <w:szCs w:val="20"/>
        </w:rPr>
        <w:t xml:space="preserve">The Quarterly Journal of Economics </w:t>
      </w:r>
      <w:r w:rsidRPr="00436AD6">
        <w:rPr>
          <w:sz w:val="20"/>
          <w:szCs w:val="20"/>
        </w:rPr>
        <w:t>115.3 (2000): 725.</w:t>
      </w:r>
    </w:p>
  </w:footnote>
  <w:footnote w:id="17">
    <w:p w14:paraId="7FA75C6F" w14:textId="77777777" w:rsidR="004A1BEE" w:rsidRPr="00DF2490" w:rsidRDefault="004A1BEE" w:rsidP="009025F4">
      <w:pPr>
        <w:pStyle w:val="FootnoteText"/>
      </w:pPr>
      <w:r>
        <w:rPr>
          <w:rStyle w:val="FootnoteReference"/>
        </w:rPr>
        <w:footnoteRef/>
      </w:r>
      <w:r>
        <w:t xml:space="preserve"> </w:t>
      </w:r>
      <w:r w:rsidRPr="00DF2490">
        <w:rPr>
          <w:sz w:val="20"/>
          <w:szCs w:val="20"/>
        </w:rPr>
        <w:t>Wendt, “Collective Identity Formation and the International State,” 385.</w:t>
      </w:r>
      <w:r>
        <w:t xml:space="preserve"> </w:t>
      </w:r>
    </w:p>
  </w:footnote>
  <w:footnote w:id="18">
    <w:p w14:paraId="52920F20" w14:textId="77777777" w:rsidR="004A1BEE" w:rsidRDefault="004A1BEE" w:rsidP="009025F4">
      <w:pPr>
        <w:pStyle w:val="FootnoteText"/>
      </w:pPr>
      <w:r>
        <w:rPr>
          <w:rStyle w:val="FootnoteReference"/>
        </w:rPr>
        <w:footnoteRef/>
      </w:r>
      <w:r>
        <w:t xml:space="preserve"> </w:t>
      </w:r>
      <w:r w:rsidRPr="003B5E8C">
        <w:rPr>
          <w:sz w:val="20"/>
          <w:szCs w:val="20"/>
        </w:rPr>
        <w:t xml:space="preserve">Alison Brysk, Craig Parsons, and Wayne Sandholtz, “After Empire: National Identity and Post-Colonial Families of Nations,” </w:t>
      </w:r>
      <w:r w:rsidRPr="003B5E8C">
        <w:rPr>
          <w:i/>
          <w:sz w:val="20"/>
          <w:szCs w:val="20"/>
        </w:rPr>
        <w:t xml:space="preserve">European Journal of International Relations </w:t>
      </w:r>
      <w:r w:rsidRPr="003B5E8C">
        <w:rPr>
          <w:sz w:val="20"/>
          <w:szCs w:val="20"/>
        </w:rPr>
        <w:t>8.2 (2002): 267.</w:t>
      </w:r>
    </w:p>
  </w:footnote>
  <w:footnote w:id="19">
    <w:p w14:paraId="485B21C1" w14:textId="77777777" w:rsidR="004A1BEE" w:rsidRPr="00071213" w:rsidRDefault="004A1BEE" w:rsidP="009025F4">
      <w:pPr>
        <w:pStyle w:val="FootnoteText"/>
      </w:pPr>
      <w:r>
        <w:rPr>
          <w:rStyle w:val="FootnoteReference"/>
        </w:rPr>
        <w:footnoteRef/>
      </w:r>
      <w:r>
        <w:t xml:space="preserve"> </w:t>
      </w:r>
      <w:r w:rsidRPr="00071213">
        <w:rPr>
          <w:sz w:val="20"/>
          <w:szCs w:val="20"/>
        </w:rPr>
        <w:t>Wendt, “Collective Identity Formation and the International Stat</w:t>
      </w:r>
      <w:r>
        <w:rPr>
          <w:sz w:val="20"/>
          <w:szCs w:val="20"/>
        </w:rPr>
        <w:t xml:space="preserve">e,” 385; </w:t>
      </w:r>
      <w:r w:rsidRPr="00071213">
        <w:rPr>
          <w:sz w:val="20"/>
          <w:szCs w:val="20"/>
        </w:rPr>
        <w:t>B</w:t>
      </w:r>
      <w:r>
        <w:rPr>
          <w:sz w:val="20"/>
          <w:szCs w:val="20"/>
        </w:rPr>
        <w:t xml:space="preserve">rysk, </w:t>
      </w:r>
      <w:r w:rsidRPr="00071213">
        <w:rPr>
          <w:sz w:val="20"/>
          <w:szCs w:val="20"/>
        </w:rPr>
        <w:t>Par</w:t>
      </w:r>
      <w:r>
        <w:rPr>
          <w:sz w:val="20"/>
          <w:szCs w:val="20"/>
        </w:rPr>
        <w:t xml:space="preserve">sons, and Sandholtz, “After Empire,” </w:t>
      </w:r>
      <w:r w:rsidRPr="00071213">
        <w:rPr>
          <w:sz w:val="20"/>
          <w:szCs w:val="20"/>
        </w:rPr>
        <w:t>270.</w:t>
      </w:r>
    </w:p>
  </w:footnote>
  <w:footnote w:id="20">
    <w:p w14:paraId="6B2ACEDD" w14:textId="77777777" w:rsidR="004A1BEE" w:rsidRDefault="004A1BEE" w:rsidP="009025F4">
      <w:pPr>
        <w:pStyle w:val="FootnoteText"/>
      </w:pPr>
      <w:r>
        <w:rPr>
          <w:rStyle w:val="FootnoteReference"/>
        </w:rPr>
        <w:footnoteRef/>
      </w:r>
      <w:r>
        <w:t xml:space="preserve"> </w:t>
      </w:r>
      <w:r w:rsidRPr="00071213">
        <w:rPr>
          <w:sz w:val="20"/>
          <w:szCs w:val="20"/>
        </w:rPr>
        <w:t>B</w:t>
      </w:r>
      <w:r>
        <w:rPr>
          <w:sz w:val="20"/>
          <w:szCs w:val="20"/>
        </w:rPr>
        <w:t xml:space="preserve">rysk, </w:t>
      </w:r>
      <w:r w:rsidRPr="00071213">
        <w:rPr>
          <w:sz w:val="20"/>
          <w:szCs w:val="20"/>
        </w:rPr>
        <w:t>Par</w:t>
      </w:r>
      <w:r>
        <w:rPr>
          <w:sz w:val="20"/>
          <w:szCs w:val="20"/>
        </w:rPr>
        <w:t>sons, and</w:t>
      </w:r>
      <w:r w:rsidRPr="00071213">
        <w:rPr>
          <w:sz w:val="20"/>
          <w:szCs w:val="20"/>
        </w:rPr>
        <w:t xml:space="preserve"> Sandholtz, “After Empire</w:t>
      </w:r>
      <w:r>
        <w:rPr>
          <w:sz w:val="20"/>
          <w:szCs w:val="20"/>
        </w:rPr>
        <w:t xml:space="preserve">,” </w:t>
      </w:r>
      <w:r w:rsidRPr="00CE4237">
        <w:rPr>
          <w:sz w:val="20"/>
          <w:szCs w:val="20"/>
        </w:rPr>
        <w:t>267.</w:t>
      </w:r>
    </w:p>
  </w:footnote>
  <w:footnote w:id="21">
    <w:p w14:paraId="644EE7BF" w14:textId="77777777" w:rsidR="004A1BEE" w:rsidRPr="0095703C" w:rsidRDefault="004A1BEE" w:rsidP="009025F4">
      <w:pPr>
        <w:pStyle w:val="FootnoteText"/>
      </w:pPr>
      <w:r>
        <w:rPr>
          <w:rStyle w:val="FootnoteReference"/>
        </w:rPr>
        <w:footnoteRef/>
      </w:r>
      <w:r>
        <w:t xml:space="preserve"> </w:t>
      </w:r>
      <w:r w:rsidRPr="0095703C">
        <w:rPr>
          <w:sz w:val="20"/>
          <w:szCs w:val="20"/>
        </w:rPr>
        <w:t xml:space="preserve">“The glory days are passing,” </w:t>
      </w:r>
      <w:r w:rsidRPr="0095703C">
        <w:rPr>
          <w:i/>
          <w:sz w:val="20"/>
          <w:szCs w:val="20"/>
        </w:rPr>
        <w:t xml:space="preserve">The Economist, </w:t>
      </w:r>
      <w:r w:rsidRPr="0095703C">
        <w:rPr>
          <w:sz w:val="20"/>
          <w:szCs w:val="20"/>
        </w:rPr>
        <w:t>Dec</w:t>
      </w:r>
      <w:r>
        <w:rPr>
          <w:sz w:val="20"/>
          <w:szCs w:val="20"/>
        </w:rPr>
        <w:t xml:space="preserve">ember 13, 2006, accessed </w:t>
      </w:r>
      <w:r w:rsidRPr="0095703C">
        <w:rPr>
          <w:sz w:val="20"/>
          <w:szCs w:val="20"/>
        </w:rPr>
        <w:t>Oct</w:t>
      </w:r>
      <w:r>
        <w:rPr>
          <w:sz w:val="20"/>
          <w:szCs w:val="20"/>
        </w:rPr>
        <w:t>ober 23,</w:t>
      </w:r>
      <w:r w:rsidRPr="0095703C">
        <w:rPr>
          <w:sz w:val="20"/>
          <w:szCs w:val="20"/>
        </w:rPr>
        <w:t xml:space="preserve"> 2016</w:t>
      </w:r>
      <w:r>
        <w:rPr>
          <w:sz w:val="20"/>
          <w:szCs w:val="20"/>
        </w:rPr>
        <w:t xml:space="preserve">, </w:t>
      </w:r>
      <w:r w:rsidRPr="00903DE3">
        <w:rPr>
          <w:rFonts w:cs="Times New Roman"/>
          <w:sz w:val="20"/>
          <w:szCs w:val="20"/>
        </w:rPr>
        <w:t>http://www.economist.com/node/8417979.</w:t>
      </w:r>
    </w:p>
  </w:footnote>
  <w:footnote w:id="22">
    <w:p w14:paraId="421D8724" w14:textId="77777777" w:rsidR="004A1BEE" w:rsidRPr="00F52E12" w:rsidRDefault="004A1BEE" w:rsidP="009025F4">
      <w:pPr>
        <w:pStyle w:val="FootnoteText"/>
      </w:pPr>
      <w:r>
        <w:rPr>
          <w:rStyle w:val="FootnoteReference"/>
        </w:rPr>
        <w:footnoteRef/>
      </w:r>
      <w:r>
        <w:t xml:space="preserve"> </w:t>
      </w:r>
      <w:r w:rsidRPr="00A4120B">
        <w:rPr>
          <w:sz w:val="20"/>
          <w:szCs w:val="20"/>
        </w:rPr>
        <w:t>According to constructivist literature, “Ontological security refers to the need to experience oneself as whole, continuous person in time – as being rather than constantly changing – in order to realize the sense of agency… Individuals need to feel secure in who they are, as identities or selves. Some, deep forms of uncertainty threaten this identity security… Where an actor has no idea what to expect, she cannot systematically relate ends to means, and it becomes unclear how to pursue her ends.</w:t>
      </w:r>
      <w:r>
        <w:rPr>
          <w:sz w:val="20"/>
          <w:szCs w:val="20"/>
        </w:rPr>
        <w:t xml:space="preserve"> Since ends are constitutive of identity, in turn, deep uncertainty renders the actor’s identity insecure. Individuals are therefore motivated to create cognitive and behavioral certainty, which they do by establishing routines.</w:t>
      </w:r>
      <w:r w:rsidRPr="00A4120B">
        <w:rPr>
          <w:sz w:val="20"/>
          <w:szCs w:val="20"/>
        </w:rPr>
        <w:t xml:space="preserve">” Jennifer </w:t>
      </w:r>
      <w:r w:rsidRPr="00F52E12">
        <w:rPr>
          <w:sz w:val="20"/>
          <w:szCs w:val="20"/>
        </w:rPr>
        <w:t xml:space="preserve">Mitzen, “Ontological Security in World Politics: State Identity and the Security,” </w:t>
      </w:r>
      <w:r w:rsidRPr="00F52E12">
        <w:rPr>
          <w:i/>
          <w:sz w:val="20"/>
          <w:szCs w:val="20"/>
        </w:rPr>
        <w:t xml:space="preserve">European Journal of International Relations </w:t>
      </w:r>
      <w:r w:rsidRPr="00F52E12">
        <w:rPr>
          <w:sz w:val="20"/>
          <w:szCs w:val="20"/>
        </w:rPr>
        <w:t>12.3 (2006): 342.</w:t>
      </w:r>
    </w:p>
  </w:footnote>
  <w:footnote w:id="23">
    <w:p w14:paraId="01D65A7B" w14:textId="77777777" w:rsidR="004A1BEE" w:rsidRDefault="004A1BEE" w:rsidP="009025F4">
      <w:pPr>
        <w:pStyle w:val="FootnoteText"/>
      </w:pPr>
      <w:r>
        <w:rPr>
          <w:rStyle w:val="FootnoteReference"/>
        </w:rPr>
        <w:footnoteRef/>
      </w:r>
      <w:r>
        <w:t xml:space="preserve"> </w:t>
      </w:r>
      <w:r w:rsidRPr="000D0CA8">
        <w:rPr>
          <w:sz w:val="20"/>
          <w:szCs w:val="20"/>
        </w:rPr>
        <w:t>This section draws upon constructivist literature on logic of appropriateness and logic of consequences, as defined in this footnote. Both logic of appropriateness and logic of consequences guide policies concerning aid in its former colonies. Logic of appropriateness is choosing an action that is both rule-based and essential to a particular conception of the self. Logic of consequences is where actors “choose among alternatives by evaluating their likely consequences for personal and collective objectives.” Although logic of appropriateness and logic of consequences can be mutually exclusive, this is not the case for French policy towards Africa. French policy-makers are guided by both logics as the decision-making process includes the conservation of norms and a cost-benefit analysis of international and domestic expectations.</w:t>
      </w:r>
      <w:r>
        <w:t xml:space="preserve"> </w:t>
      </w:r>
      <w:r w:rsidRPr="00A400B5">
        <w:rPr>
          <w:sz w:val="20"/>
          <w:szCs w:val="20"/>
        </w:rPr>
        <w:t xml:space="preserve">James March and Johan Olsen, “The Institutional Dynamics of the International Political Orders,” </w:t>
      </w:r>
      <w:r w:rsidRPr="00A400B5">
        <w:rPr>
          <w:i/>
          <w:sz w:val="20"/>
          <w:szCs w:val="20"/>
        </w:rPr>
        <w:t xml:space="preserve">International Organization </w:t>
      </w:r>
      <w:r>
        <w:rPr>
          <w:sz w:val="20"/>
          <w:szCs w:val="20"/>
        </w:rPr>
        <w:t>52.4 (1998): 949</w:t>
      </w:r>
      <w:r w:rsidRPr="00A400B5">
        <w:rPr>
          <w:sz w:val="20"/>
          <w:szCs w:val="20"/>
        </w:rPr>
        <w:t>.</w:t>
      </w:r>
    </w:p>
  </w:footnote>
  <w:footnote w:id="24">
    <w:p w14:paraId="1759D177" w14:textId="77777777" w:rsidR="004A1BEE" w:rsidRPr="00A82A1D" w:rsidRDefault="004A1BEE" w:rsidP="009025F4">
      <w:pPr>
        <w:pStyle w:val="FootnoteText"/>
      </w:pPr>
      <w:r>
        <w:rPr>
          <w:rStyle w:val="FootnoteReference"/>
        </w:rPr>
        <w:footnoteRef/>
      </w:r>
      <w:r>
        <w:t xml:space="preserve"> </w:t>
      </w:r>
      <w:r w:rsidRPr="00A400B5">
        <w:rPr>
          <w:sz w:val="20"/>
          <w:szCs w:val="20"/>
        </w:rPr>
        <w:t>March</w:t>
      </w:r>
      <w:r>
        <w:rPr>
          <w:sz w:val="20"/>
          <w:szCs w:val="20"/>
        </w:rPr>
        <w:t xml:space="preserve"> and</w:t>
      </w:r>
      <w:r w:rsidRPr="00A400B5">
        <w:rPr>
          <w:sz w:val="20"/>
          <w:szCs w:val="20"/>
        </w:rPr>
        <w:t xml:space="preserve"> Olsen, “The Institutional Dynamics of the International Political Orders,” 951.</w:t>
      </w:r>
      <w:r>
        <w:t xml:space="preserve"> </w:t>
      </w:r>
    </w:p>
  </w:footnote>
  <w:footnote w:id="25">
    <w:p w14:paraId="6BC57F39" w14:textId="77777777" w:rsidR="004A1BEE" w:rsidRDefault="004A1BEE" w:rsidP="009025F4">
      <w:pPr>
        <w:pStyle w:val="FootnoteText"/>
      </w:pPr>
      <w:r>
        <w:rPr>
          <w:rStyle w:val="FootnoteReference"/>
        </w:rPr>
        <w:footnoteRef/>
      </w:r>
      <w:r>
        <w:t xml:space="preserve"> </w:t>
      </w:r>
      <w:r w:rsidRPr="00071213">
        <w:rPr>
          <w:sz w:val="20"/>
          <w:szCs w:val="20"/>
        </w:rPr>
        <w:t>B</w:t>
      </w:r>
      <w:r>
        <w:rPr>
          <w:sz w:val="20"/>
          <w:szCs w:val="20"/>
        </w:rPr>
        <w:t xml:space="preserve">rysk, </w:t>
      </w:r>
      <w:r w:rsidRPr="00071213">
        <w:rPr>
          <w:sz w:val="20"/>
          <w:szCs w:val="20"/>
        </w:rPr>
        <w:t>Par</w:t>
      </w:r>
      <w:r>
        <w:rPr>
          <w:sz w:val="20"/>
          <w:szCs w:val="20"/>
        </w:rPr>
        <w:t>sons, and</w:t>
      </w:r>
      <w:r w:rsidRPr="00071213">
        <w:rPr>
          <w:sz w:val="20"/>
          <w:szCs w:val="20"/>
        </w:rPr>
        <w:t xml:space="preserve"> Sandholtz, “After Empire</w:t>
      </w:r>
      <w:r>
        <w:rPr>
          <w:sz w:val="20"/>
          <w:szCs w:val="20"/>
        </w:rPr>
        <w:t>,” 270</w:t>
      </w:r>
      <w:r w:rsidRPr="00CE4237">
        <w:rPr>
          <w:sz w:val="20"/>
          <w:szCs w:val="20"/>
        </w:rPr>
        <w:t>.</w:t>
      </w:r>
    </w:p>
  </w:footnote>
  <w:footnote w:id="26">
    <w:p w14:paraId="12AE9902" w14:textId="77777777" w:rsidR="004A1BEE" w:rsidRDefault="004A1BEE" w:rsidP="009025F4">
      <w:pPr>
        <w:pStyle w:val="FootnoteText"/>
      </w:pPr>
      <w:r>
        <w:rPr>
          <w:rStyle w:val="FootnoteReference"/>
        </w:rPr>
        <w:footnoteRef/>
      </w:r>
      <w:r>
        <w:t xml:space="preserve"> </w:t>
      </w:r>
      <w:r w:rsidRPr="00071213">
        <w:rPr>
          <w:sz w:val="20"/>
          <w:szCs w:val="20"/>
        </w:rPr>
        <w:t>B</w:t>
      </w:r>
      <w:r>
        <w:rPr>
          <w:sz w:val="20"/>
          <w:szCs w:val="20"/>
        </w:rPr>
        <w:t xml:space="preserve">rysk, </w:t>
      </w:r>
      <w:r w:rsidRPr="00071213">
        <w:rPr>
          <w:sz w:val="20"/>
          <w:szCs w:val="20"/>
        </w:rPr>
        <w:t>Par</w:t>
      </w:r>
      <w:r>
        <w:rPr>
          <w:sz w:val="20"/>
          <w:szCs w:val="20"/>
        </w:rPr>
        <w:t>sons, and Sandholtz, “After Empire,”</w:t>
      </w:r>
      <w:r w:rsidRPr="00071213">
        <w:rPr>
          <w:sz w:val="20"/>
          <w:szCs w:val="20"/>
        </w:rPr>
        <w:t xml:space="preserve"> </w:t>
      </w:r>
      <w:r>
        <w:rPr>
          <w:sz w:val="20"/>
          <w:szCs w:val="20"/>
        </w:rPr>
        <w:t>277</w:t>
      </w:r>
      <w:r w:rsidRPr="00071213">
        <w:rPr>
          <w:sz w:val="20"/>
          <w:szCs w:val="20"/>
        </w:rPr>
        <w:t>.</w:t>
      </w:r>
    </w:p>
  </w:footnote>
  <w:footnote w:id="27">
    <w:p w14:paraId="4F309966" w14:textId="77777777" w:rsidR="004A1BEE" w:rsidRDefault="004A1BEE" w:rsidP="009025F4">
      <w:pPr>
        <w:pStyle w:val="FootnoteText"/>
      </w:pPr>
      <w:r>
        <w:rPr>
          <w:rStyle w:val="FootnoteReference"/>
        </w:rPr>
        <w:footnoteRef/>
      </w:r>
      <w:r>
        <w:t xml:space="preserve"> </w:t>
      </w:r>
      <w:r w:rsidRPr="00C85B30">
        <w:rPr>
          <w:sz w:val="20"/>
          <w:szCs w:val="20"/>
        </w:rPr>
        <w:t>March and Olsen, “The Institutional Dynamics of the International Political Orders,” 949.</w:t>
      </w:r>
    </w:p>
  </w:footnote>
  <w:footnote w:id="28">
    <w:p w14:paraId="1679B653" w14:textId="77777777" w:rsidR="004A1BEE" w:rsidRDefault="004A1BEE" w:rsidP="009025F4">
      <w:pPr>
        <w:pStyle w:val="FootnoteText"/>
        <w:rPr>
          <w:rFonts w:cs="Times New Roman"/>
          <w:sz w:val="20"/>
          <w:szCs w:val="20"/>
        </w:rPr>
      </w:pPr>
      <w:r>
        <w:rPr>
          <w:rStyle w:val="FootnoteReference"/>
        </w:rPr>
        <w:footnoteRef/>
      </w:r>
      <w:r>
        <w:t xml:space="preserve"> </w:t>
      </w:r>
      <w:r w:rsidRPr="00D37112">
        <w:rPr>
          <w:sz w:val="20"/>
          <w:szCs w:val="20"/>
        </w:rPr>
        <w:t xml:space="preserve">Piet Benoit, “Françafrique: The evolution of France’s interference in Africa,” </w:t>
      </w:r>
      <w:r w:rsidRPr="00D37112">
        <w:rPr>
          <w:i/>
          <w:sz w:val="20"/>
          <w:szCs w:val="20"/>
        </w:rPr>
        <w:t xml:space="preserve">Al Arabiya English, </w:t>
      </w:r>
      <w:r w:rsidRPr="00D37112">
        <w:rPr>
          <w:sz w:val="20"/>
          <w:szCs w:val="20"/>
        </w:rPr>
        <w:t>Aug</w:t>
      </w:r>
      <w:r>
        <w:rPr>
          <w:sz w:val="20"/>
          <w:szCs w:val="20"/>
        </w:rPr>
        <w:t>ust 26,</w:t>
      </w:r>
      <w:r w:rsidRPr="00D37112">
        <w:rPr>
          <w:sz w:val="20"/>
          <w:szCs w:val="20"/>
        </w:rPr>
        <w:t xml:space="preserve"> 2015, accessed Oct</w:t>
      </w:r>
      <w:r>
        <w:rPr>
          <w:sz w:val="20"/>
          <w:szCs w:val="20"/>
        </w:rPr>
        <w:t>ober 26,</w:t>
      </w:r>
      <w:r w:rsidRPr="00D37112">
        <w:rPr>
          <w:sz w:val="20"/>
          <w:szCs w:val="20"/>
        </w:rPr>
        <w:t xml:space="preserve"> 2016</w:t>
      </w:r>
      <w:r>
        <w:rPr>
          <w:sz w:val="20"/>
          <w:szCs w:val="20"/>
        </w:rPr>
        <w:t xml:space="preserve">, </w:t>
      </w:r>
      <w:r w:rsidRPr="00903DE3">
        <w:rPr>
          <w:rFonts w:cs="Times New Roman"/>
          <w:sz w:val="20"/>
          <w:szCs w:val="20"/>
        </w:rPr>
        <w:t>http://english.alarabiya.net/en/perspective/analysis/2015/</w:t>
      </w:r>
    </w:p>
    <w:p w14:paraId="56544094" w14:textId="77777777" w:rsidR="004A1BEE" w:rsidRPr="00A52AD2" w:rsidRDefault="004A1BEE" w:rsidP="009025F4">
      <w:pPr>
        <w:pStyle w:val="FootnoteText"/>
        <w:rPr>
          <w:rFonts w:cs="Times New Roman"/>
          <w:sz w:val="20"/>
          <w:szCs w:val="20"/>
        </w:rPr>
      </w:pPr>
      <w:r w:rsidRPr="00903DE3">
        <w:rPr>
          <w:rFonts w:cs="Times New Roman"/>
          <w:sz w:val="20"/>
          <w:szCs w:val="20"/>
        </w:rPr>
        <w:t>08/26/Fran-afrique-The-evolution-of-France-s-interference-in-Africa.html.</w:t>
      </w:r>
    </w:p>
  </w:footnote>
  <w:footnote w:id="29">
    <w:p w14:paraId="793E50F8" w14:textId="48F6C432" w:rsidR="004A1BEE" w:rsidRPr="00D80433" w:rsidRDefault="004A1BEE" w:rsidP="009025F4">
      <w:pPr>
        <w:spacing w:after="0"/>
        <w:rPr>
          <w:rFonts w:cs="Times New Roman"/>
        </w:rPr>
      </w:pPr>
      <w:r>
        <w:rPr>
          <w:rStyle w:val="FootnoteReference"/>
        </w:rPr>
        <w:footnoteRef/>
      </w:r>
      <w:r>
        <w:t xml:space="preserve"> </w:t>
      </w:r>
      <w:r w:rsidRPr="00980F34">
        <w:t>“</w:t>
      </w:r>
      <w:r>
        <w:rPr>
          <w:sz w:val="20"/>
          <w:szCs w:val="20"/>
        </w:rPr>
        <w:t>The French African Connection,</w:t>
      </w:r>
      <w:r w:rsidRPr="00AD16FB">
        <w:rPr>
          <w:sz w:val="20"/>
          <w:szCs w:val="20"/>
        </w:rPr>
        <w:t xml:space="preserve">” </w:t>
      </w:r>
      <w:r>
        <w:rPr>
          <w:i/>
          <w:sz w:val="20"/>
          <w:szCs w:val="20"/>
        </w:rPr>
        <w:t>Al Jazeera,</w:t>
      </w:r>
      <w:r w:rsidRPr="00AD16FB">
        <w:rPr>
          <w:i/>
          <w:sz w:val="20"/>
          <w:szCs w:val="20"/>
        </w:rPr>
        <w:t xml:space="preserve"> </w:t>
      </w:r>
      <w:r>
        <w:rPr>
          <w:sz w:val="20"/>
          <w:szCs w:val="20"/>
        </w:rPr>
        <w:t>April 7, 2014, a</w:t>
      </w:r>
      <w:r w:rsidRPr="00AD16FB">
        <w:rPr>
          <w:sz w:val="20"/>
          <w:szCs w:val="20"/>
        </w:rPr>
        <w:t>ccessed April 14, 2017</w:t>
      </w:r>
      <w:r>
        <w:rPr>
          <w:sz w:val="20"/>
          <w:szCs w:val="20"/>
        </w:rPr>
        <w:t xml:space="preserve">, </w:t>
      </w:r>
      <w:r w:rsidRPr="00AD16FB">
        <w:rPr>
          <w:sz w:val="20"/>
          <w:szCs w:val="20"/>
        </w:rPr>
        <w:t>http://www.aljazeera.com/programmes/specialseries/2013/08/201387113131914906.html.</w:t>
      </w:r>
      <w:r>
        <w:t xml:space="preserve"> </w:t>
      </w:r>
    </w:p>
  </w:footnote>
  <w:footnote w:id="30">
    <w:p w14:paraId="66B526D0" w14:textId="77777777" w:rsidR="004A1BEE" w:rsidRPr="006370DB" w:rsidRDefault="004A1BEE" w:rsidP="009025F4">
      <w:pPr>
        <w:pStyle w:val="FootnoteText"/>
      </w:pPr>
      <w:r>
        <w:rPr>
          <w:rStyle w:val="FootnoteReference"/>
        </w:rPr>
        <w:footnoteRef/>
      </w:r>
      <w:r>
        <w:t xml:space="preserve"> </w:t>
      </w:r>
      <w:r>
        <w:rPr>
          <w:sz w:val="20"/>
          <w:szCs w:val="20"/>
        </w:rPr>
        <w:t>Craig R. W</w:t>
      </w:r>
      <w:r w:rsidRPr="00C17C20">
        <w:rPr>
          <w:sz w:val="20"/>
          <w:szCs w:val="20"/>
        </w:rPr>
        <w:t xml:space="preserve">hitney, “France Snips at the </w:t>
      </w:r>
      <w:r>
        <w:rPr>
          <w:sz w:val="20"/>
          <w:szCs w:val="20"/>
        </w:rPr>
        <w:t xml:space="preserve">Old Ties that Bind It to Africa,” </w:t>
      </w:r>
      <w:r>
        <w:rPr>
          <w:i/>
          <w:sz w:val="20"/>
          <w:szCs w:val="20"/>
        </w:rPr>
        <w:t xml:space="preserve">The New York Times, </w:t>
      </w:r>
      <w:r>
        <w:rPr>
          <w:sz w:val="20"/>
          <w:szCs w:val="20"/>
        </w:rPr>
        <w:t xml:space="preserve">July 25, 1997, accessed November 13, 2016, </w:t>
      </w:r>
      <w:r w:rsidRPr="00903DE3">
        <w:rPr>
          <w:rFonts w:cs="Times New Roman"/>
          <w:sz w:val="20"/>
          <w:szCs w:val="20"/>
        </w:rPr>
        <w:t>http://www.nytimes.com/1997/07/25/world/france-snips-at-the-old-ties-that-bind-it-to-africa.html.</w:t>
      </w:r>
    </w:p>
  </w:footnote>
  <w:footnote w:id="31">
    <w:p w14:paraId="4E9EE8FB" w14:textId="77777777" w:rsidR="004A1BEE" w:rsidRDefault="004A1BEE" w:rsidP="009025F4">
      <w:pPr>
        <w:pStyle w:val="FootnoteText"/>
      </w:pPr>
      <w:r>
        <w:rPr>
          <w:rStyle w:val="FootnoteReference"/>
        </w:rPr>
        <w:footnoteRef/>
      </w:r>
      <w:r>
        <w:t xml:space="preserve"> </w:t>
      </w:r>
      <w:r w:rsidRPr="00183F52">
        <w:rPr>
          <w:sz w:val="20"/>
          <w:szCs w:val="20"/>
        </w:rPr>
        <w:t xml:space="preserve">Gordon Cumming, </w:t>
      </w:r>
      <w:r w:rsidRPr="00183F52">
        <w:rPr>
          <w:i/>
          <w:sz w:val="20"/>
          <w:szCs w:val="20"/>
        </w:rPr>
        <w:t>Aid to Africa: French and British Policies from the</w:t>
      </w:r>
      <w:r>
        <w:rPr>
          <w:i/>
          <w:sz w:val="20"/>
          <w:szCs w:val="20"/>
        </w:rPr>
        <w:t xml:space="preserve"> Cold War to the New Millennium</w:t>
      </w:r>
      <w:r w:rsidRPr="00183F52">
        <w:rPr>
          <w:i/>
          <w:sz w:val="20"/>
          <w:szCs w:val="20"/>
        </w:rPr>
        <w:t xml:space="preserve"> </w:t>
      </w:r>
      <w:r>
        <w:rPr>
          <w:i/>
          <w:sz w:val="20"/>
          <w:szCs w:val="20"/>
        </w:rPr>
        <w:t>(</w:t>
      </w:r>
      <w:r w:rsidRPr="00183F52">
        <w:rPr>
          <w:sz w:val="20"/>
          <w:szCs w:val="20"/>
        </w:rPr>
        <w:t>Aldershot</w:t>
      </w:r>
      <w:r>
        <w:rPr>
          <w:sz w:val="20"/>
          <w:szCs w:val="20"/>
        </w:rPr>
        <w:t>, England: Ashgate, 2011), 68.</w:t>
      </w:r>
    </w:p>
  </w:footnote>
  <w:footnote w:id="32">
    <w:p w14:paraId="2CC3F77A" w14:textId="1B815830" w:rsidR="0019171D" w:rsidRPr="0019171D" w:rsidRDefault="0019171D">
      <w:pPr>
        <w:pStyle w:val="FootnoteText"/>
      </w:pPr>
      <w:r>
        <w:rPr>
          <w:rStyle w:val="FootnoteReference"/>
        </w:rPr>
        <w:footnoteRef/>
      </w:r>
      <w:r>
        <w:t xml:space="preserve"> </w:t>
      </w:r>
      <w:r w:rsidRPr="0019171D">
        <w:rPr>
          <w:sz w:val="20"/>
          <w:szCs w:val="20"/>
        </w:rPr>
        <w:t xml:space="preserve">Parts of this chapter are forthcoming in the publication “The Original Exception: The </w:t>
      </w:r>
      <w:r w:rsidRPr="0019171D">
        <w:rPr>
          <w:i/>
          <w:sz w:val="20"/>
          <w:szCs w:val="20"/>
        </w:rPr>
        <w:t xml:space="preserve">Originaires </w:t>
      </w:r>
      <w:r w:rsidRPr="0019171D">
        <w:rPr>
          <w:sz w:val="20"/>
          <w:szCs w:val="20"/>
        </w:rPr>
        <w:t>In Senegal, 1848-1960” in the University of Oklahoma’s Journal of Global Affairs, Volume VI, 2017.</w:t>
      </w:r>
    </w:p>
  </w:footnote>
  <w:footnote w:id="33">
    <w:p w14:paraId="1D3495FA" w14:textId="77777777" w:rsidR="004A1BEE" w:rsidRDefault="004A1BEE" w:rsidP="00AF16A8">
      <w:pPr>
        <w:pStyle w:val="FootnoteText"/>
        <w:jc w:val="both"/>
      </w:pPr>
      <w:r>
        <w:rPr>
          <w:rStyle w:val="FootnoteReference"/>
        </w:rPr>
        <w:footnoteRef/>
      </w:r>
      <w:r>
        <w:t xml:space="preserve"> </w:t>
      </w:r>
      <w:r w:rsidRPr="00C255B9">
        <w:rPr>
          <w:sz w:val="20"/>
          <w:szCs w:val="20"/>
        </w:rPr>
        <w:t xml:space="preserve">Alexander Wendt, “Collective Identity Formation and the International State,” </w:t>
      </w:r>
      <w:r w:rsidRPr="00C255B9">
        <w:rPr>
          <w:i/>
          <w:sz w:val="20"/>
          <w:szCs w:val="20"/>
        </w:rPr>
        <w:t xml:space="preserve">The American Political Science Review </w:t>
      </w:r>
      <w:r w:rsidRPr="00C255B9">
        <w:rPr>
          <w:sz w:val="20"/>
          <w:szCs w:val="20"/>
        </w:rPr>
        <w:t>88.2 (1994): 385.</w:t>
      </w:r>
    </w:p>
  </w:footnote>
  <w:footnote w:id="34">
    <w:p w14:paraId="056A521E" w14:textId="77777777" w:rsidR="004A1BEE" w:rsidRPr="00977F32" w:rsidRDefault="004A1BEE" w:rsidP="00AF16A8">
      <w:pPr>
        <w:pStyle w:val="FootnoteText"/>
        <w:spacing w:after="200"/>
        <w:contextualSpacing/>
        <w:jc w:val="both"/>
        <w:rPr>
          <w:sz w:val="20"/>
          <w:szCs w:val="20"/>
        </w:rPr>
      </w:pPr>
      <w:r w:rsidRPr="00A05F7F">
        <w:rPr>
          <w:rStyle w:val="FootnoteReference"/>
        </w:rPr>
        <w:footnoteRef/>
      </w:r>
      <w:r>
        <w:t xml:space="preserve"> </w:t>
      </w:r>
      <w:r w:rsidRPr="0016411B">
        <w:rPr>
          <w:sz w:val="20"/>
          <w:szCs w:val="20"/>
        </w:rPr>
        <w:t xml:space="preserve">Daron Acemoglu, Simon Johnson, and James A. Robinson, “The Colonial Origins of Comparative Development: An Empirical Investigation,” </w:t>
      </w:r>
      <w:r w:rsidRPr="0016411B">
        <w:rPr>
          <w:i/>
          <w:sz w:val="20"/>
          <w:szCs w:val="20"/>
        </w:rPr>
        <w:t>American Economic Review</w:t>
      </w:r>
      <w:r w:rsidRPr="0016411B">
        <w:rPr>
          <w:sz w:val="20"/>
          <w:szCs w:val="20"/>
        </w:rPr>
        <w:t xml:space="preserve"> 91 (2001): 1369-1401; Daron Acemoglu, Simon Johnson, and James A. Robinson, “The Reversal of Fortune: Geography and Institutions in the Making of Modern World Income Distribution,” </w:t>
      </w:r>
      <w:r>
        <w:rPr>
          <w:i/>
          <w:sz w:val="20"/>
          <w:szCs w:val="20"/>
        </w:rPr>
        <w:t>Quarterly Journal of Economics</w:t>
      </w:r>
      <w:r w:rsidRPr="0016411B">
        <w:rPr>
          <w:i/>
          <w:sz w:val="20"/>
          <w:szCs w:val="20"/>
        </w:rPr>
        <w:t xml:space="preserve"> </w:t>
      </w:r>
      <w:r w:rsidRPr="0016411B">
        <w:rPr>
          <w:sz w:val="20"/>
          <w:szCs w:val="20"/>
        </w:rPr>
        <w:t>117 (2002): 1231-1294; Grazeilla Bertocchi and Fabio Canova, “Did colonization matter for growth? An empirical ex</w:t>
      </w:r>
      <w:r>
        <w:rPr>
          <w:sz w:val="20"/>
          <w:szCs w:val="20"/>
        </w:rPr>
        <w:t>ploration into the historical c</w:t>
      </w:r>
      <w:r w:rsidRPr="0016411B">
        <w:rPr>
          <w:sz w:val="20"/>
          <w:szCs w:val="20"/>
        </w:rPr>
        <w:t>a</w:t>
      </w:r>
      <w:r>
        <w:rPr>
          <w:sz w:val="20"/>
          <w:szCs w:val="20"/>
        </w:rPr>
        <w:t>u</w:t>
      </w:r>
      <w:r w:rsidRPr="0016411B">
        <w:rPr>
          <w:sz w:val="20"/>
          <w:szCs w:val="20"/>
        </w:rPr>
        <w:t xml:space="preserve">ses of Africa’s underdevelopment,” </w:t>
      </w:r>
      <w:r>
        <w:rPr>
          <w:i/>
          <w:sz w:val="20"/>
          <w:szCs w:val="20"/>
        </w:rPr>
        <w:t>European Economic Review</w:t>
      </w:r>
      <w:r w:rsidRPr="0016411B">
        <w:rPr>
          <w:i/>
          <w:sz w:val="20"/>
          <w:szCs w:val="20"/>
        </w:rPr>
        <w:t xml:space="preserve"> </w:t>
      </w:r>
      <w:r w:rsidRPr="0016411B">
        <w:rPr>
          <w:sz w:val="20"/>
          <w:szCs w:val="20"/>
        </w:rPr>
        <w:t xml:space="preserve">46 (2002): 1851-1871; Robert E. Hall and Charles I. Jones, “Why do Some Countries Produce So Much More Output Per Worker than Others?” </w:t>
      </w:r>
      <w:r w:rsidRPr="0016411B">
        <w:rPr>
          <w:i/>
          <w:sz w:val="20"/>
          <w:szCs w:val="20"/>
        </w:rPr>
        <w:t>Qua</w:t>
      </w:r>
      <w:r>
        <w:rPr>
          <w:i/>
          <w:sz w:val="20"/>
          <w:szCs w:val="20"/>
        </w:rPr>
        <w:t>rterly Journal of Economics</w:t>
      </w:r>
      <w:r w:rsidRPr="0016411B">
        <w:rPr>
          <w:i/>
          <w:sz w:val="20"/>
          <w:szCs w:val="20"/>
        </w:rPr>
        <w:t xml:space="preserve"> </w:t>
      </w:r>
      <w:r w:rsidRPr="0016411B">
        <w:rPr>
          <w:sz w:val="20"/>
          <w:szCs w:val="20"/>
        </w:rPr>
        <w:t xml:space="preserve">114.1 (1999): 83-116; Nathan Nunn, “Historical Legacies: A Model Linking Africa’s Past to its Current Underdevelopment,” </w:t>
      </w:r>
      <w:r w:rsidRPr="0016411B">
        <w:rPr>
          <w:i/>
          <w:sz w:val="20"/>
          <w:szCs w:val="20"/>
        </w:rPr>
        <w:t>J</w:t>
      </w:r>
      <w:r>
        <w:rPr>
          <w:i/>
          <w:sz w:val="20"/>
          <w:szCs w:val="20"/>
        </w:rPr>
        <w:t>ournal of Development Economics</w:t>
      </w:r>
      <w:r w:rsidRPr="0016411B">
        <w:rPr>
          <w:i/>
          <w:sz w:val="20"/>
          <w:szCs w:val="20"/>
        </w:rPr>
        <w:t xml:space="preserve"> </w:t>
      </w:r>
      <w:r w:rsidRPr="0016411B">
        <w:rPr>
          <w:sz w:val="20"/>
          <w:szCs w:val="20"/>
        </w:rPr>
        <w:t>83.1 (2007): 157-175; Nathan Nunn, “The Long Term E</w:t>
      </w:r>
      <w:r>
        <w:rPr>
          <w:sz w:val="20"/>
          <w:szCs w:val="20"/>
        </w:rPr>
        <w:t>ffects of Africa’s Slave Trades.</w:t>
      </w:r>
      <w:r w:rsidRPr="0016411B">
        <w:rPr>
          <w:sz w:val="20"/>
          <w:szCs w:val="20"/>
        </w:rPr>
        <w:t>”</w:t>
      </w:r>
    </w:p>
  </w:footnote>
  <w:footnote w:id="35">
    <w:p w14:paraId="5ADD0883" w14:textId="77777777" w:rsidR="004A1BEE" w:rsidRPr="00977F32" w:rsidRDefault="004A1BEE" w:rsidP="00AF16A8">
      <w:pPr>
        <w:pStyle w:val="FootnoteText"/>
        <w:spacing w:after="200"/>
        <w:contextualSpacing/>
        <w:jc w:val="both"/>
        <w:rPr>
          <w:sz w:val="20"/>
          <w:szCs w:val="20"/>
        </w:rPr>
      </w:pPr>
      <w:r w:rsidRPr="00A05F7F">
        <w:rPr>
          <w:rStyle w:val="FootnoteReference"/>
        </w:rPr>
        <w:footnoteRef/>
      </w:r>
      <w:r w:rsidRPr="00A05F7F">
        <w:t xml:space="preserve"> </w:t>
      </w:r>
      <w:r w:rsidRPr="00977F32">
        <w:rPr>
          <w:sz w:val="20"/>
          <w:szCs w:val="20"/>
        </w:rPr>
        <w:t xml:space="preserve">Melissa Dell, “The Persistent Effects of Peru’s Mining </w:t>
      </w:r>
      <w:r w:rsidRPr="00977F32">
        <w:rPr>
          <w:i/>
          <w:sz w:val="20"/>
          <w:szCs w:val="20"/>
        </w:rPr>
        <w:t>Mita</w:t>
      </w:r>
      <w:r w:rsidRPr="00977F32">
        <w:rPr>
          <w:sz w:val="20"/>
          <w:szCs w:val="20"/>
        </w:rPr>
        <w:t xml:space="preserve">,” </w:t>
      </w:r>
      <w:r w:rsidRPr="00977F32">
        <w:rPr>
          <w:i/>
          <w:sz w:val="20"/>
          <w:szCs w:val="20"/>
        </w:rPr>
        <w:t xml:space="preserve">Econometrica </w:t>
      </w:r>
      <w:r w:rsidRPr="00977F32">
        <w:rPr>
          <w:sz w:val="20"/>
          <w:szCs w:val="20"/>
        </w:rPr>
        <w:t xml:space="preserve">78.6 (2010): 1863-1903. </w:t>
      </w:r>
    </w:p>
  </w:footnote>
  <w:footnote w:id="36">
    <w:p w14:paraId="6C9C6B98" w14:textId="77777777" w:rsidR="004A1BEE" w:rsidRPr="00C255B9" w:rsidRDefault="004A1BEE" w:rsidP="00AF16A8">
      <w:pPr>
        <w:pStyle w:val="FootnoteText"/>
        <w:jc w:val="both"/>
      </w:pPr>
      <w:r>
        <w:rPr>
          <w:rStyle w:val="FootnoteReference"/>
        </w:rPr>
        <w:footnoteRef/>
      </w:r>
      <w:r>
        <w:t xml:space="preserve"> </w:t>
      </w:r>
      <w:r w:rsidRPr="00C255B9">
        <w:rPr>
          <w:sz w:val="20"/>
          <w:szCs w:val="20"/>
        </w:rPr>
        <w:t xml:space="preserve">Alesina Alberto and David Dollar, “Who Gives Foreign Aid to Whom and Why?” </w:t>
      </w:r>
      <w:r>
        <w:rPr>
          <w:i/>
          <w:sz w:val="20"/>
          <w:szCs w:val="20"/>
        </w:rPr>
        <w:t xml:space="preserve">Journal of Economic Growth </w:t>
      </w:r>
      <w:r>
        <w:rPr>
          <w:sz w:val="20"/>
          <w:szCs w:val="20"/>
        </w:rPr>
        <w:t>5 (2000): 34</w:t>
      </w:r>
      <w:r w:rsidRPr="00C255B9">
        <w:rPr>
          <w:sz w:val="20"/>
          <w:szCs w:val="20"/>
        </w:rPr>
        <w:t>.</w:t>
      </w:r>
    </w:p>
  </w:footnote>
  <w:footnote w:id="37">
    <w:p w14:paraId="47D89689" w14:textId="77777777" w:rsidR="004A1BEE" w:rsidRDefault="004A1BEE" w:rsidP="00AF16A8">
      <w:pPr>
        <w:pStyle w:val="FootnoteText"/>
      </w:pPr>
      <w:r>
        <w:rPr>
          <w:rStyle w:val="FootnoteReference"/>
        </w:rPr>
        <w:footnoteRef/>
      </w:r>
      <w:r>
        <w:t xml:space="preserve"> </w:t>
      </w:r>
      <w:r w:rsidRPr="005B69A1">
        <w:rPr>
          <w:sz w:val="20"/>
          <w:szCs w:val="20"/>
        </w:rPr>
        <w:t xml:space="preserve">Alice Conklin, </w:t>
      </w:r>
      <w:r w:rsidRPr="005B69A1">
        <w:rPr>
          <w:i/>
          <w:sz w:val="20"/>
          <w:szCs w:val="20"/>
        </w:rPr>
        <w:t>A Mission to Civilize: The Republican Idea of Empire in Fr</w:t>
      </w:r>
      <w:r>
        <w:rPr>
          <w:i/>
          <w:sz w:val="20"/>
          <w:szCs w:val="20"/>
        </w:rPr>
        <w:t>ance and West Africa, 1895-1930</w:t>
      </w:r>
      <w:r w:rsidRPr="005B69A1">
        <w:rPr>
          <w:i/>
          <w:sz w:val="20"/>
          <w:szCs w:val="20"/>
        </w:rPr>
        <w:t xml:space="preserve"> </w:t>
      </w:r>
      <w:r>
        <w:rPr>
          <w:sz w:val="20"/>
          <w:szCs w:val="20"/>
        </w:rPr>
        <w:t>(</w:t>
      </w:r>
      <w:r w:rsidRPr="005B69A1">
        <w:rPr>
          <w:sz w:val="20"/>
          <w:szCs w:val="20"/>
        </w:rPr>
        <w:t xml:space="preserve">Stanford: </w:t>
      </w:r>
      <w:r>
        <w:rPr>
          <w:sz w:val="20"/>
          <w:szCs w:val="20"/>
        </w:rPr>
        <w:t>Stanford University Press, 1997),</w:t>
      </w:r>
      <w:r w:rsidRPr="005B69A1">
        <w:rPr>
          <w:sz w:val="20"/>
          <w:szCs w:val="20"/>
        </w:rPr>
        <w:t xml:space="preserve"> </w:t>
      </w:r>
      <w:r>
        <w:rPr>
          <w:sz w:val="20"/>
          <w:szCs w:val="20"/>
        </w:rPr>
        <w:t>8.</w:t>
      </w:r>
    </w:p>
  </w:footnote>
  <w:footnote w:id="38">
    <w:p w14:paraId="5B13EA66" w14:textId="77777777" w:rsidR="004A1BEE" w:rsidRPr="005E33C2" w:rsidRDefault="004A1BEE" w:rsidP="00AF16A8">
      <w:pPr>
        <w:pStyle w:val="FootnoteText"/>
        <w:spacing w:after="200"/>
        <w:contextualSpacing/>
        <w:jc w:val="both"/>
        <w:rPr>
          <w:sz w:val="20"/>
          <w:szCs w:val="20"/>
        </w:rPr>
      </w:pPr>
      <w:r>
        <w:rPr>
          <w:rStyle w:val="FootnoteReference"/>
        </w:rPr>
        <w:footnoteRef/>
      </w:r>
      <w:r>
        <w:t xml:space="preserve"> </w:t>
      </w:r>
      <w:r w:rsidRPr="00DE403D">
        <w:rPr>
          <w:sz w:val="20"/>
          <w:szCs w:val="20"/>
        </w:rPr>
        <w:t>G. Wesley</w:t>
      </w:r>
      <w:r>
        <w:rPr>
          <w:sz w:val="20"/>
          <w:szCs w:val="20"/>
        </w:rPr>
        <w:t xml:space="preserve"> Johnson</w:t>
      </w:r>
      <w:r w:rsidRPr="00DE403D">
        <w:rPr>
          <w:sz w:val="20"/>
          <w:szCs w:val="20"/>
        </w:rPr>
        <w:t xml:space="preserve"> Jr., </w:t>
      </w:r>
      <w:r w:rsidRPr="00DE403D">
        <w:rPr>
          <w:i/>
          <w:sz w:val="20"/>
          <w:szCs w:val="20"/>
        </w:rPr>
        <w:t xml:space="preserve">The Emergence of Black Politics in Senegal: The Struggle for Power </w:t>
      </w:r>
      <w:r>
        <w:rPr>
          <w:i/>
          <w:sz w:val="20"/>
          <w:szCs w:val="20"/>
        </w:rPr>
        <w:t xml:space="preserve">in the Four Communes, 1900-1920 </w:t>
      </w:r>
      <w:r>
        <w:rPr>
          <w:sz w:val="20"/>
          <w:szCs w:val="20"/>
        </w:rPr>
        <w:t>(</w:t>
      </w:r>
      <w:r w:rsidRPr="00DE403D">
        <w:rPr>
          <w:sz w:val="20"/>
          <w:szCs w:val="20"/>
        </w:rPr>
        <w:t>Stanford: Stan</w:t>
      </w:r>
      <w:r>
        <w:rPr>
          <w:sz w:val="20"/>
          <w:szCs w:val="20"/>
        </w:rPr>
        <w:t xml:space="preserve">ford University Press, 1971), </w:t>
      </w:r>
      <w:r w:rsidRPr="00E0527D">
        <w:rPr>
          <w:sz w:val="20"/>
          <w:szCs w:val="20"/>
        </w:rPr>
        <w:t>75</w:t>
      </w:r>
      <w:r>
        <w:rPr>
          <w:sz w:val="20"/>
          <w:szCs w:val="20"/>
        </w:rPr>
        <w:t>.</w:t>
      </w:r>
    </w:p>
  </w:footnote>
  <w:footnote w:id="39">
    <w:p w14:paraId="261422B9" w14:textId="77777777" w:rsidR="004A1BEE" w:rsidRDefault="004A1BEE" w:rsidP="00AF16A8">
      <w:pPr>
        <w:pStyle w:val="FootnoteText"/>
        <w:jc w:val="both"/>
      </w:pPr>
      <w:r>
        <w:rPr>
          <w:rStyle w:val="FootnoteReference"/>
        </w:rPr>
        <w:footnoteRef/>
      </w:r>
      <w:r>
        <w:t xml:space="preserve"> </w:t>
      </w:r>
      <w:r w:rsidRPr="000151C0">
        <w:rPr>
          <w:sz w:val="20"/>
          <w:szCs w:val="20"/>
        </w:rPr>
        <w:t xml:space="preserve">Michael C. Lambert, “From Citizenship to </w:t>
      </w:r>
      <w:r w:rsidRPr="000151C0">
        <w:rPr>
          <w:i/>
          <w:sz w:val="20"/>
          <w:szCs w:val="20"/>
        </w:rPr>
        <w:t>Négritude</w:t>
      </w:r>
      <w:r w:rsidRPr="000151C0">
        <w:rPr>
          <w:sz w:val="20"/>
          <w:szCs w:val="20"/>
        </w:rPr>
        <w:t xml:space="preserve">: ‘Making a Difference’ in Elite Ideologies of Colonized Francophone West Africa,” </w:t>
      </w:r>
      <w:r w:rsidRPr="000151C0">
        <w:rPr>
          <w:i/>
          <w:sz w:val="20"/>
          <w:szCs w:val="20"/>
        </w:rPr>
        <w:t xml:space="preserve">Comparative Studies in Society and History </w:t>
      </w:r>
      <w:r>
        <w:rPr>
          <w:sz w:val="20"/>
          <w:szCs w:val="20"/>
        </w:rPr>
        <w:t>35.2 (1993): 241</w:t>
      </w:r>
      <w:r w:rsidRPr="000151C0">
        <w:rPr>
          <w:sz w:val="20"/>
          <w:szCs w:val="20"/>
        </w:rPr>
        <w:t>.</w:t>
      </w:r>
    </w:p>
  </w:footnote>
  <w:footnote w:id="40">
    <w:p w14:paraId="6D84DA9C"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Conklin, </w:t>
      </w:r>
      <w:r w:rsidRPr="005B69A1">
        <w:rPr>
          <w:i/>
          <w:sz w:val="20"/>
          <w:szCs w:val="20"/>
        </w:rPr>
        <w:t>A Mission to Civilize</w:t>
      </w:r>
      <w:r>
        <w:rPr>
          <w:i/>
          <w:sz w:val="20"/>
          <w:szCs w:val="20"/>
        </w:rPr>
        <w:t>,</w:t>
      </w:r>
      <w:r w:rsidRPr="005B69A1">
        <w:rPr>
          <w:sz w:val="20"/>
          <w:szCs w:val="20"/>
        </w:rPr>
        <w:t xml:space="preserve"> 6</w:t>
      </w:r>
      <w:r>
        <w:rPr>
          <w:sz w:val="20"/>
          <w:szCs w:val="20"/>
        </w:rPr>
        <w:t>.</w:t>
      </w:r>
    </w:p>
  </w:footnote>
  <w:footnote w:id="41">
    <w:p w14:paraId="1CC396D9"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Conklin, </w:t>
      </w:r>
      <w:r>
        <w:rPr>
          <w:i/>
          <w:sz w:val="20"/>
          <w:szCs w:val="20"/>
        </w:rPr>
        <w:t>A Mission to Civilize,</w:t>
      </w:r>
      <w:r w:rsidRPr="005B69A1">
        <w:rPr>
          <w:i/>
          <w:sz w:val="20"/>
          <w:szCs w:val="20"/>
        </w:rPr>
        <w:t xml:space="preserve"> 68. </w:t>
      </w:r>
    </w:p>
  </w:footnote>
  <w:footnote w:id="42">
    <w:p w14:paraId="167EC632" w14:textId="03FD96EF" w:rsidR="004A1BEE" w:rsidRPr="005B69A1" w:rsidRDefault="004A1BEE" w:rsidP="00AF16A8">
      <w:pPr>
        <w:pStyle w:val="FootnoteText"/>
        <w:jc w:val="both"/>
        <w:rPr>
          <w:sz w:val="20"/>
          <w:szCs w:val="20"/>
        </w:rPr>
      </w:pPr>
      <w:r w:rsidRPr="003C08B9">
        <w:rPr>
          <w:rStyle w:val="FootnoteReference"/>
        </w:rPr>
        <w:footnoteRef/>
      </w:r>
      <w:r w:rsidRPr="005B69A1">
        <w:rPr>
          <w:sz w:val="20"/>
          <w:szCs w:val="20"/>
        </w:rPr>
        <w:t xml:space="preserve"> </w:t>
      </w:r>
      <w:r>
        <w:rPr>
          <w:sz w:val="20"/>
          <w:szCs w:val="20"/>
        </w:rPr>
        <w:t>Ibid.,</w:t>
      </w:r>
      <w:r w:rsidRPr="005B69A1">
        <w:rPr>
          <w:i/>
          <w:sz w:val="20"/>
          <w:szCs w:val="20"/>
        </w:rPr>
        <w:t xml:space="preserve"> </w:t>
      </w:r>
      <w:r w:rsidRPr="005B69A1">
        <w:rPr>
          <w:sz w:val="20"/>
          <w:szCs w:val="20"/>
        </w:rPr>
        <w:t xml:space="preserve">137. </w:t>
      </w:r>
    </w:p>
  </w:footnote>
  <w:footnote w:id="43">
    <w:p w14:paraId="18862AF5" w14:textId="7234C0A2" w:rsidR="004A1BEE" w:rsidRPr="005B69A1" w:rsidRDefault="004A1BEE" w:rsidP="00AF16A8">
      <w:pPr>
        <w:pStyle w:val="FootnoteText"/>
        <w:jc w:val="both"/>
        <w:rPr>
          <w:sz w:val="20"/>
          <w:szCs w:val="20"/>
        </w:rPr>
      </w:pPr>
      <w:r w:rsidRPr="003C08B9">
        <w:rPr>
          <w:rStyle w:val="FootnoteReference"/>
        </w:rPr>
        <w:footnoteRef/>
      </w:r>
      <w:r w:rsidRPr="003C08B9">
        <w:t xml:space="preserve"> </w:t>
      </w:r>
      <w:r>
        <w:rPr>
          <w:sz w:val="20"/>
          <w:szCs w:val="20"/>
        </w:rPr>
        <w:t>Ibid.</w:t>
      </w:r>
      <w:r>
        <w:rPr>
          <w:i/>
          <w:sz w:val="20"/>
          <w:szCs w:val="20"/>
        </w:rPr>
        <w:t>,</w:t>
      </w:r>
      <w:r w:rsidRPr="005B69A1">
        <w:rPr>
          <w:i/>
          <w:sz w:val="20"/>
          <w:szCs w:val="20"/>
        </w:rPr>
        <w:t xml:space="preserve"> </w:t>
      </w:r>
      <w:r w:rsidRPr="005B69A1">
        <w:rPr>
          <w:sz w:val="20"/>
          <w:szCs w:val="20"/>
        </w:rPr>
        <w:t>134.</w:t>
      </w:r>
    </w:p>
  </w:footnote>
  <w:footnote w:id="44">
    <w:p w14:paraId="6E2AB4B8"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Conklin, </w:t>
      </w:r>
      <w:r>
        <w:rPr>
          <w:i/>
          <w:sz w:val="20"/>
          <w:szCs w:val="20"/>
        </w:rPr>
        <w:t>A Mission to Civilize,</w:t>
      </w:r>
      <w:r w:rsidRPr="005B69A1">
        <w:rPr>
          <w:i/>
          <w:sz w:val="20"/>
          <w:szCs w:val="20"/>
        </w:rPr>
        <w:t xml:space="preserve"> </w:t>
      </w:r>
      <w:r w:rsidRPr="005B69A1">
        <w:rPr>
          <w:sz w:val="20"/>
          <w:szCs w:val="20"/>
        </w:rPr>
        <w:t>53.</w:t>
      </w:r>
    </w:p>
  </w:footnote>
  <w:footnote w:id="45">
    <w:p w14:paraId="7763EE20" w14:textId="77777777" w:rsidR="004A1BEE" w:rsidRDefault="004A1BEE" w:rsidP="00AF16A8">
      <w:pPr>
        <w:pStyle w:val="FootnoteText"/>
        <w:jc w:val="both"/>
      </w:pPr>
      <w:r>
        <w:rPr>
          <w:rStyle w:val="FootnoteReference"/>
        </w:rPr>
        <w:footnoteRef/>
      </w:r>
      <w:r>
        <w:t xml:space="preserve"> </w:t>
      </w:r>
      <w:r w:rsidRPr="00C01172">
        <w:rPr>
          <w:sz w:val="20"/>
          <w:szCs w:val="20"/>
        </w:rPr>
        <w:t>Kelly Duke Bryant, “</w:t>
      </w:r>
      <w:r>
        <w:rPr>
          <w:sz w:val="20"/>
          <w:szCs w:val="20"/>
        </w:rPr>
        <w:t xml:space="preserve"> ‘</w:t>
      </w:r>
      <w:r w:rsidRPr="00C01172">
        <w:rPr>
          <w:sz w:val="20"/>
          <w:szCs w:val="20"/>
        </w:rPr>
        <w:t xml:space="preserve">The Color of the Pupils’: Schooling and Race in Senegal’s Cities, 1900-10,” </w:t>
      </w:r>
      <w:r w:rsidRPr="00C01172">
        <w:rPr>
          <w:i/>
          <w:sz w:val="20"/>
          <w:szCs w:val="20"/>
        </w:rPr>
        <w:t xml:space="preserve">Journal of African History </w:t>
      </w:r>
      <w:r>
        <w:rPr>
          <w:sz w:val="20"/>
          <w:szCs w:val="20"/>
        </w:rPr>
        <w:t>52 (2011):</w:t>
      </w:r>
      <w:r w:rsidRPr="00C01172">
        <w:rPr>
          <w:sz w:val="20"/>
          <w:szCs w:val="20"/>
        </w:rPr>
        <w:t xml:space="preserve"> 299.</w:t>
      </w:r>
    </w:p>
  </w:footnote>
  <w:footnote w:id="46">
    <w:p w14:paraId="4FB3486C" w14:textId="77777777" w:rsidR="004A1BEE" w:rsidRDefault="004A1BEE" w:rsidP="00AF16A8">
      <w:pPr>
        <w:pStyle w:val="FootnoteText"/>
        <w:jc w:val="both"/>
      </w:pPr>
      <w:r>
        <w:rPr>
          <w:rStyle w:val="FootnoteReference"/>
        </w:rPr>
        <w:footnoteRef/>
      </w:r>
      <w:r>
        <w:t xml:space="preserve"> </w:t>
      </w:r>
      <w:r w:rsidRPr="0065742D">
        <w:rPr>
          <w:sz w:val="20"/>
          <w:szCs w:val="20"/>
        </w:rPr>
        <w:t xml:space="preserve">Tony Chafer, “Teaching Africans to </w:t>
      </w:r>
      <w:r>
        <w:rPr>
          <w:sz w:val="20"/>
          <w:szCs w:val="20"/>
        </w:rPr>
        <w:t>B</w:t>
      </w:r>
      <w:r w:rsidRPr="0065742D">
        <w:rPr>
          <w:sz w:val="20"/>
          <w:szCs w:val="20"/>
        </w:rPr>
        <w:t xml:space="preserve">e French?: France’s ‘Civilising Mission’ and the </w:t>
      </w:r>
      <w:r>
        <w:rPr>
          <w:sz w:val="20"/>
          <w:szCs w:val="20"/>
        </w:rPr>
        <w:t>E</w:t>
      </w:r>
      <w:r w:rsidRPr="0065742D">
        <w:rPr>
          <w:sz w:val="20"/>
          <w:szCs w:val="20"/>
        </w:rPr>
        <w:t xml:space="preserve">stablishment of a Public Education System in French West Africa, 1903-30,” </w:t>
      </w:r>
      <w:r w:rsidRPr="0065742D">
        <w:rPr>
          <w:i/>
          <w:sz w:val="20"/>
          <w:szCs w:val="20"/>
        </w:rPr>
        <w:t xml:space="preserve">Africa: Rivista trimestale di studi e documentazione dll’IStituto italiano per l’Africa e l’Oriente </w:t>
      </w:r>
      <w:r w:rsidRPr="0065742D">
        <w:rPr>
          <w:sz w:val="20"/>
          <w:szCs w:val="20"/>
        </w:rPr>
        <w:t>56.2 (</w:t>
      </w:r>
      <w:r>
        <w:rPr>
          <w:sz w:val="20"/>
          <w:szCs w:val="20"/>
        </w:rPr>
        <w:t>2001): 194</w:t>
      </w:r>
      <w:r w:rsidRPr="0065742D">
        <w:rPr>
          <w:sz w:val="20"/>
          <w:szCs w:val="20"/>
        </w:rPr>
        <w:t>.</w:t>
      </w:r>
    </w:p>
  </w:footnote>
  <w:footnote w:id="47">
    <w:p w14:paraId="2BEE2862" w14:textId="77777777" w:rsidR="004A1BEE" w:rsidRPr="000B6CD8" w:rsidRDefault="004A1BEE" w:rsidP="00AF16A8">
      <w:pPr>
        <w:pStyle w:val="FootnoteText"/>
        <w:spacing w:after="200"/>
        <w:contextualSpacing/>
        <w:jc w:val="both"/>
        <w:rPr>
          <w:sz w:val="20"/>
          <w:szCs w:val="20"/>
        </w:rPr>
      </w:pPr>
      <w:r>
        <w:rPr>
          <w:rStyle w:val="FootnoteReference"/>
        </w:rPr>
        <w:footnoteRef/>
      </w:r>
      <w:r>
        <w:t xml:space="preserve"> </w:t>
      </w:r>
      <w:r w:rsidRPr="00A22723">
        <w:rPr>
          <w:sz w:val="20"/>
          <w:szCs w:val="20"/>
        </w:rPr>
        <w:t xml:space="preserve">Kelly M. Duke Bryant, </w:t>
      </w:r>
      <w:r w:rsidRPr="00A22723">
        <w:rPr>
          <w:i/>
          <w:sz w:val="20"/>
          <w:szCs w:val="20"/>
        </w:rPr>
        <w:t>Education as Politics: Colonial Schooling and Politica</w:t>
      </w:r>
      <w:r>
        <w:rPr>
          <w:i/>
          <w:sz w:val="20"/>
          <w:szCs w:val="20"/>
        </w:rPr>
        <w:t>l Debate in Senegal, 1850s-1914</w:t>
      </w:r>
      <w:r w:rsidRPr="00A22723">
        <w:rPr>
          <w:i/>
          <w:sz w:val="20"/>
          <w:szCs w:val="20"/>
        </w:rPr>
        <w:t xml:space="preserve"> </w:t>
      </w:r>
      <w:r w:rsidRPr="00A22723">
        <w:rPr>
          <w:sz w:val="20"/>
          <w:szCs w:val="20"/>
        </w:rPr>
        <w:t>(Madison: University of Wisconsin Press, 2015), 9.</w:t>
      </w:r>
    </w:p>
  </w:footnote>
  <w:footnote w:id="48">
    <w:p w14:paraId="6A900693" w14:textId="77777777" w:rsidR="004A1BEE" w:rsidRPr="000B6CD8" w:rsidRDefault="004A1BEE" w:rsidP="00AF16A8">
      <w:pPr>
        <w:pStyle w:val="FootnoteText"/>
        <w:spacing w:after="200"/>
        <w:contextualSpacing/>
        <w:jc w:val="both"/>
        <w:rPr>
          <w:sz w:val="20"/>
          <w:szCs w:val="20"/>
        </w:rPr>
      </w:pPr>
      <w:r>
        <w:rPr>
          <w:rStyle w:val="FootnoteReference"/>
        </w:rPr>
        <w:footnoteRef/>
      </w:r>
      <w:r>
        <w:t xml:space="preserve"> </w:t>
      </w:r>
      <w:r w:rsidRPr="00A22723">
        <w:rPr>
          <w:sz w:val="20"/>
          <w:szCs w:val="20"/>
        </w:rPr>
        <w:t xml:space="preserve">Bryant, </w:t>
      </w:r>
      <w:r w:rsidRPr="00A22723">
        <w:rPr>
          <w:i/>
          <w:sz w:val="20"/>
          <w:szCs w:val="20"/>
        </w:rPr>
        <w:t xml:space="preserve">Education as Politics, </w:t>
      </w:r>
      <w:r w:rsidRPr="00A22723">
        <w:rPr>
          <w:sz w:val="20"/>
          <w:szCs w:val="20"/>
        </w:rPr>
        <w:t>15.</w:t>
      </w:r>
    </w:p>
  </w:footnote>
  <w:footnote w:id="49">
    <w:p w14:paraId="3259207A" w14:textId="77777777" w:rsidR="004A1BEE" w:rsidRDefault="004A1BEE" w:rsidP="00AF16A8">
      <w:pPr>
        <w:pStyle w:val="FootnoteText"/>
        <w:spacing w:after="200"/>
        <w:contextualSpacing/>
        <w:jc w:val="both"/>
      </w:pPr>
      <w:r>
        <w:rPr>
          <w:rStyle w:val="FootnoteReference"/>
        </w:rPr>
        <w:footnoteRef/>
      </w:r>
      <w:r>
        <w:t xml:space="preserve"> </w:t>
      </w:r>
      <w:r w:rsidRPr="009155F6">
        <w:rPr>
          <w:sz w:val="20"/>
          <w:szCs w:val="20"/>
        </w:rPr>
        <w:t>Bry</w:t>
      </w:r>
      <w:r>
        <w:rPr>
          <w:sz w:val="20"/>
          <w:szCs w:val="20"/>
        </w:rPr>
        <w:t>ant, “ ‘The Color of the Pupils,</w:t>
      </w:r>
      <w:r w:rsidRPr="009155F6">
        <w:rPr>
          <w:sz w:val="20"/>
          <w:szCs w:val="20"/>
        </w:rPr>
        <w:t>’ ” 304.</w:t>
      </w:r>
    </w:p>
  </w:footnote>
  <w:footnote w:id="50">
    <w:p w14:paraId="203FB174" w14:textId="77777777" w:rsidR="004A1BEE" w:rsidRPr="006D0B6B" w:rsidRDefault="004A1BEE" w:rsidP="00AF16A8">
      <w:pPr>
        <w:pStyle w:val="FootnoteText"/>
        <w:jc w:val="both"/>
      </w:pPr>
      <w:r>
        <w:rPr>
          <w:rStyle w:val="FootnoteReference"/>
        </w:rPr>
        <w:footnoteRef/>
      </w:r>
      <w:r>
        <w:t xml:space="preserve"> </w:t>
      </w:r>
      <w:r w:rsidRPr="006D0B6B">
        <w:rPr>
          <w:sz w:val="20"/>
          <w:szCs w:val="20"/>
        </w:rPr>
        <w:t xml:space="preserve">Yannick Dupraz, “French and British Colonial Legacies in Education: A Natural Experiment in Cameroon,” </w:t>
      </w:r>
      <w:r w:rsidRPr="003D3984">
        <w:rPr>
          <w:i/>
          <w:sz w:val="20"/>
          <w:szCs w:val="20"/>
        </w:rPr>
        <w:t xml:space="preserve">Paris School of Economics </w:t>
      </w:r>
      <w:r w:rsidRPr="003D3984">
        <w:rPr>
          <w:sz w:val="20"/>
          <w:szCs w:val="20"/>
        </w:rPr>
        <w:t>Working Paper (2015): 2.</w:t>
      </w:r>
    </w:p>
  </w:footnote>
  <w:footnote w:id="51">
    <w:p w14:paraId="46876D68" w14:textId="77777777" w:rsidR="004A1BEE" w:rsidRPr="005B69A1" w:rsidRDefault="004A1BEE" w:rsidP="00AF16A8">
      <w:pPr>
        <w:pStyle w:val="FootnoteText"/>
        <w:jc w:val="both"/>
        <w:rPr>
          <w:sz w:val="20"/>
          <w:szCs w:val="20"/>
        </w:rPr>
      </w:pPr>
      <w:r w:rsidRPr="003C08B9">
        <w:rPr>
          <w:rStyle w:val="FootnoteReference"/>
        </w:rPr>
        <w:footnoteRef/>
      </w:r>
      <w:r w:rsidRPr="005B69A1">
        <w:rPr>
          <w:sz w:val="20"/>
          <w:szCs w:val="20"/>
        </w:rPr>
        <w:t xml:space="preserve"> Conklin, </w:t>
      </w:r>
      <w:r>
        <w:rPr>
          <w:i/>
          <w:sz w:val="20"/>
          <w:szCs w:val="20"/>
        </w:rPr>
        <w:t>A Mission to Civilize,</w:t>
      </w:r>
      <w:r w:rsidRPr="005B69A1">
        <w:rPr>
          <w:i/>
          <w:sz w:val="20"/>
          <w:szCs w:val="20"/>
        </w:rPr>
        <w:t xml:space="preserve"> </w:t>
      </w:r>
      <w:r w:rsidRPr="005B69A1">
        <w:rPr>
          <w:sz w:val="20"/>
          <w:szCs w:val="20"/>
        </w:rPr>
        <w:t>188.</w:t>
      </w:r>
    </w:p>
  </w:footnote>
  <w:footnote w:id="52">
    <w:p w14:paraId="547D0672" w14:textId="77777777" w:rsidR="004A1BEE" w:rsidRDefault="004A1BEE" w:rsidP="00AF16A8">
      <w:pPr>
        <w:pStyle w:val="FootnoteText"/>
        <w:jc w:val="both"/>
      </w:pPr>
      <w:r>
        <w:rPr>
          <w:rStyle w:val="FootnoteReference"/>
        </w:rPr>
        <w:footnoteRef/>
      </w:r>
      <w:r>
        <w:t xml:space="preserve"> </w:t>
      </w:r>
      <w:r w:rsidRPr="005B69A1">
        <w:rPr>
          <w:sz w:val="20"/>
          <w:szCs w:val="20"/>
        </w:rPr>
        <w:t xml:space="preserve">Frederick Cooper, </w:t>
      </w:r>
      <w:r w:rsidRPr="005B69A1">
        <w:rPr>
          <w:i/>
          <w:sz w:val="20"/>
          <w:szCs w:val="20"/>
        </w:rPr>
        <w:t>Citizenship between Empire and Nation: Remaking Fran</w:t>
      </w:r>
      <w:r>
        <w:rPr>
          <w:i/>
          <w:sz w:val="20"/>
          <w:szCs w:val="20"/>
        </w:rPr>
        <w:t>ce and French Africa, 1945-1960</w:t>
      </w:r>
      <w:r w:rsidRPr="005B69A1">
        <w:rPr>
          <w:i/>
          <w:sz w:val="20"/>
          <w:szCs w:val="20"/>
        </w:rPr>
        <w:t xml:space="preserve"> </w:t>
      </w:r>
      <w:r>
        <w:rPr>
          <w:sz w:val="20"/>
          <w:szCs w:val="20"/>
        </w:rPr>
        <w:t>(</w:t>
      </w:r>
      <w:r w:rsidRPr="005B69A1">
        <w:rPr>
          <w:sz w:val="20"/>
          <w:szCs w:val="20"/>
        </w:rPr>
        <w:t>Princeton: Pri</w:t>
      </w:r>
      <w:r>
        <w:rPr>
          <w:sz w:val="20"/>
          <w:szCs w:val="20"/>
        </w:rPr>
        <w:t>nceton University Press, 2014), 29.</w:t>
      </w:r>
    </w:p>
  </w:footnote>
  <w:footnote w:id="53">
    <w:p w14:paraId="5B6D312F" w14:textId="77777777" w:rsidR="004A1BEE" w:rsidRPr="0065742D" w:rsidRDefault="004A1BEE" w:rsidP="00AF16A8">
      <w:pPr>
        <w:pStyle w:val="FootnoteText"/>
        <w:jc w:val="both"/>
      </w:pPr>
      <w:r>
        <w:rPr>
          <w:rStyle w:val="FootnoteReference"/>
        </w:rPr>
        <w:footnoteRef/>
      </w:r>
      <w:r>
        <w:t xml:space="preserve"> </w:t>
      </w:r>
      <w:r>
        <w:rPr>
          <w:sz w:val="20"/>
          <w:szCs w:val="20"/>
        </w:rPr>
        <w:t>Chafer,</w:t>
      </w:r>
      <w:r w:rsidRPr="0065742D">
        <w:rPr>
          <w:sz w:val="20"/>
          <w:szCs w:val="20"/>
        </w:rPr>
        <w:t xml:space="preserve"> “Teaching Africans to be French?</w:t>
      </w:r>
      <w:r>
        <w:rPr>
          <w:sz w:val="20"/>
          <w:szCs w:val="20"/>
        </w:rPr>
        <w:t xml:space="preserve">,” </w:t>
      </w:r>
      <w:r w:rsidRPr="0065742D">
        <w:rPr>
          <w:sz w:val="20"/>
          <w:szCs w:val="20"/>
        </w:rPr>
        <w:t>191.</w:t>
      </w:r>
    </w:p>
  </w:footnote>
  <w:footnote w:id="54">
    <w:p w14:paraId="0704B5E3" w14:textId="77777777" w:rsidR="004A1BEE" w:rsidRPr="005B69A1" w:rsidRDefault="004A1BEE" w:rsidP="00AF16A8">
      <w:pPr>
        <w:pStyle w:val="FootnoteText"/>
        <w:jc w:val="both"/>
        <w:rPr>
          <w:sz w:val="20"/>
          <w:szCs w:val="20"/>
        </w:rPr>
      </w:pPr>
      <w:r w:rsidRPr="003C08B9">
        <w:rPr>
          <w:rStyle w:val="FootnoteReference"/>
        </w:rPr>
        <w:footnoteRef/>
      </w:r>
      <w:r w:rsidRPr="005B69A1">
        <w:rPr>
          <w:sz w:val="20"/>
          <w:szCs w:val="20"/>
        </w:rPr>
        <w:t xml:space="preserve"> Conklin, </w:t>
      </w:r>
      <w:r>
        <w:rPr>
          <w:i/>
          <w:sz w:val="20"/>
          <w:szCs w:val="20"/>
        </w:rPr>
        <w:t>A Mission to Civilize,</w:t>
      </w:r>
      <w:r w:rsidRPr="005B69A1">
        <w:rPr>
          <w:i/>
          <w:sz w:val="20"/>
          <w:szCs w:val="20"/>
        </w:rPr>
        <w:t xml:space="preserve"> </w:t>
      </w:r>
      <w:r w:rsidRPr="005B69A1">
        <w:rPr>
          <w:sz w:val="20"/>
          <w:szCs w:val="20"/>
        </w:rPr>
        <w:t>166.</w:t>
      </w:r>
    </w:p>
  </w:footnote>
  <w:footnote w:id="55">
    <w:p w14:paraId="5AC288D3"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George B.N. Ayittey, </w:t>
      </w:r>
      <w:r>
        <w:rPr>
          <w:i/>
          <w:sz w:val="20"/>
          <w:szCs w:val="20"/>
        </w:rPr>
        <w:t>Africa Betrayed</w:t>
      </w:r>
      <w:r w:rsidRPr="005B69A1">
        <w:rPr>
          <w:i/>
          <w:sz w:val="20"/>
          <w:szCs w:val="20"/>
        </w:rPr>
        <w:t xml:space="preserve"> </w:t>
      </w:r>
      <w:r>
        <w:rPr>
          <w:sz w:val="20"/>
          <w:szCs w:val="20"/>
        </w:rPr>
        <w:t>(</w:t>
      </w:r>
      <w:r w:rsidRPr="005B69A1">
        <w:rPr>
          <w:sz w:val="20"/>
          <w:szCs w:val="20"/>
        </w:rPr>
        <w:t>New</w:t>
      </w:r>
      <w:r>
        <w:rPr>
          <w:sz w:val="20"/>
          <w:szCs w:val="20"/>
        </w:rPr>
        <w:t xml:space="preserve"> York: St. Martin’s Press, 1992),</w:t>
      </w:r>
      <w:r w:rsidRPr="005B69A1">
        <w:rPr>
          <w:sz w:val="20"/>
          <w:szCs w:val="20"/>
        </w:rPr>
        <w:t xml:space="preserve"> 83. </w:t>
      </w:r>
    </w:p>
  </w:footnote>
  <w:footnote w:id="56">
    <w:p w14:paraId="0CBFD9DC" w14:textId="79027072" w:rsidR="004A1BEE" w:rsidRPr="003D0E55" w:rsidRDefault="004A1BEE">
      <w:pPr>
        <w:pStyle w:val="FootnoteText"/>
      </w:pPr>
      <w:r>
        <w:rPr>
          <w:rStyle w:val="FootnoteReference"/>
        </w:rPr>
        <w:footnoteRef/>
      </w:r>
      <w:r>
        <w:t xml:space="preserve"> </w:t>
      </w:r>
      <w:r w:rsidRPr="003D0E55">
        <w:rPr>
          <w:i/>
          <w:sz w:val="20"/>
          <w:szCs w:val="20"/>
        </w:rPr>
        <w:t>Tirailleurs</w:t>
      </w:r>
      <w:r w:rsidRPr="003D0E55">
        <w:rPr>
          <w:sz w:val="20"/>
          <w:szCs w:val="20"/>
        </w:rPr>
        <w:t xml:space="preserve"> were originally called </w:t>
      </w:r>
      <w:r w:rsidRPr="003D0E55">
        <w:rPr>
          <w:i/>
          <w:sz w:val="20"/>
          <w:szCs w:val="20"/>
        </w:rPr>
        <w:t>tirailleurs</w:t>
      </w:r>
      <w:r w:rsidRPr="003D0E55">
        <w:rPr>
          <w:sz w:val="20"/>
          <w:szCs w:val="20"/>
        </w:rPr>
        <w:t xml:space="preserve"> </w:t>
      </w:r>
      <w:r w:rsidRPr="003D0E55">
        <w:rPr>
          <w:i/>
          <w:sz w:val="20"/>
          <w:szCs w:val="20"/>
        </w:rPr>
        <w:t>Sénégalaise</w:t>
      </w:r>
      <w:r w:rsidRPr="003D0E55">
        <w:rPr>
          <w:sz w:val="20"/>
          <w:szCs w:val="20"/>
        </w:rPr>
        <w:t xml:space="preserve"> because they were first recruited from Senegal. However, as the demand for soldiers increased, </w:t>
      </w:r>
      <w:r w:rsidRPr="003D0E55">
        <w:rPr>
          <w:i/>
          <w:sz w:val="20"/>
          <w:szCs w:val="20"/>
        </w:rPr>
        <w:t xml:space="preserve">tirailleurs </w:t>
      </w:r>
      <w:r w:rsidRPr="003D0E55">
        <w:rPr>
          <w:sz w:val="20"/>
          <w:szCs w:val="20"/>
        </w:rPr>
        <w:t>were recruited from all French territories.</w:t>
      </w:r>
    </w:p>
  </w:footnote>
  <w:footnote w:id="57">
    <w:p w14:paraId="7407EBCD" w14:textId="77777777" w:rsidR="004A1BEE" w:rsidRPr="0065742D" w:rsidRDefault="004A1BEE" w:rsidP="00AF16A8">
      <w:pPr>
        <w:pStyle w:val="FootnoteText"/>
        <w:jc w:val="both"/>
        <w:rPr>
          <w:sz w:val="20"/>
          <w:szCs w:val="20"/>
        </w:rPr>
      </w:pPr>
      <w:r w:rsidRPr="003C08B9">
        <w:rPr>
          <w:rStyle w:val="FootnoteReference"/>
        </w:rPr>
        <w:footnoteRef/>
      </w:r>
      <w:r w:rsidRPr="003C08B9">
        <w:t xml:space="preserve"> </w:t>
      </w:r>
      <w:r>
        <w:rPr>
          <w:sz w:val="20"/>
          <w:szCs w:val="20"/>
        </w:rPr>
        <w:t xml:space="preserve">Gregory Mann, “What Was the </w:t>
      </w:r>
      <w:r>
        <w:rPr>
          <w:i/>
          <w:sz w:val="20"/>
          <w:szCs w:val="20"/>
        </w:rPr>
        <w:t xml:space="preserve">Indigénat? </w:t>
      </w:r>
      <w:r>
        <w:rPr>
          <w:sz w:val="20"/>
          <w:szCs w:val="20"/>
        </w:rPr>
        <w:t xml:space="preserve">The ‘Empire of Law’ in French West Africa,” </w:t>
      </w:r>
      <w:r>
        <w:rPr>
          <w:i/>
          <w:sz w:val="20"/>
          <w:szCs w:val="20"/>
        </w:rPr>
        <w:t xml:space="preserve">Journal of African History </w:t>
      </w:r>
      <w:r>
        <w:rPr>
          <w:sz w:val="20"/>
          <w:szCs w:val="20"/>
        </w:rPr>
        <w:t>50 (2009): 344.</w:t>
      </w:r>
    </w:p>
  </w:footnote>
  <w:footnote w:id="58">
    <w:p w14:paraId="6EEE1FEA" w14:textId="77777777" w:rsidR="004A1BEE" w:rsidRPr="008C2A7D" w:rsidRDefault="004A1BEE" w:rsidP="00AF16A8">
      <w:pPr>
        <w:pStyle w:val="FootnoteText"/>
        <w:spacing w:after="200"/>
        <w:contextualSpacing/>
        <w:jc w:val="both"/>
      </w:pPr>
      <w:r>
        <w:rPr>
          <w:rStyle w:val="FootnoteReference"/>
        </w:rPr>
        <w:footnoteRef/>
      </w:r>
      <w:r>
        <w:t xml:space="preserve"> </w:t>
      </w:r>
      <w:r w:rsidRPr="008B48C4">
        <w:rPr>
          <w:sz w:val="20"/>
          <w:szCs w:val="20"/>
        </w:rPr>
        <w:t>Reprinted from</w:t>
      </w:r>
      <w:r>
        <w:t xml:space="preserve"> </w:t>
      </w:r>
      <w:r>
        <w:rPr>
          <w:sz w:val="20"/>
          <w:szCs w:val="20"/>
        </w:rPr>
        <w:t xml:space="preserve">Johnson, </w:t>
      </w:r>
      <w:r>
        <w:rPr>
          <w:i/>
          <w:sz w:val="20"/>
          <w:szCs w:val="20"/>
        </w:rPr>
        <w:t xml:space="preserve">The Emergence of Black Politics, </w:t>
      </w:r>
      <w:r>
        <w:rPr>
          <w:sz w:val="20"/>
          <w:szCs w:val="20"/>
        </w:rPr>
        <w:t>190.</w:t>
      </w:r>
    </w:p>
  </w:footnote>
  <w:footnote w:id="59">
    <w:p w14:paraId="404B4B5E" w14:textId="77777777" w:rsidR="004A1BEE" w:rsidRPr="005B69A1" w:rsidRDefault="004A1BEE" w:rsidP="00AF16A8">
      <w:pPr>
        <w:pStyle w:val="FootnoteText"/>
        <w:jc w:val="both"/>
        <w:rPr>
          <w:b/>
          <w:sz w:val="20"/>
          <w:szCs w:val="20"/>
        </w:rPr>
      </w:pPr>
      <w:r w:rsidRPr="003C08B9">
        <w:rPr>
          <w:rStyle w:val="FootnoteReference"/>
        </w:rPr>
        <w:footnoteRef/>
      </w:r>
      <w:r w:rsidRPr="003C08B9">
        <w:t xml:space="preserve"> </w:t>
      </w:r>
      <w:r w:rsidRPr="005B69A1">
        <w:rPr>
          <w:sz w:val="20"/>
          <w:szCs w:val="20"/>
        </w:rPr>
        <w:t xml:space="preserve">Gregory Mann, </w:t>
      </w:r>
      <w:r w:rsidRPr="005B69A1">
        <w:rPr>
          <w:i/>
          <w:sz w:val="20"/>
          <w:szCs w:val="20"/>
        </w:rPr>
        <w:t xml:space="preserve">Native Sons: West African Veterans and </w:t>
      </w:r>
      <w:r>
        <w:rPr>
          <w:i/>
          <w:sz w:val="20"/>
          <w:szCs w:val="20"/>
        </w:rPr>
        <w:t>France in the Twentieth Century,</w:t>
      </w:r>
      <w:r w:rsidRPr="005B69A1">
        <w:rPr>
          <w:i/>
          <w:sz w:val="20"/>
          <w:szCs w:val="20"/>
        </w:rPr>
        <w:t xml:space="preserve"> </w:t>
      </w:r>
      <w:r>
        <w:rPr>
          <w:sz w:val="20"/>
          <w:szCs w:val="20"/>
        </w:rPr>
        <w:t>(</w:t>
      </w:r>
      <w:r w:rsidRPr="005B69A1">
        <w:rPr>
          <w:sz w:val="20"/>
          <w:szCs w:val="20"/>
        </w:rPr>
        <w:t>Durh</w:t>
      </w:r>
      <w:r>
        <w:rPr>
          <w:sz w:val="20"/>
          <w:szCs w:val="20"/>
        </w:rPr>
        <w:t>am: Duke University Press, 2006),</w:t>
      </w:r>
      <w:r w:rsidRPr="005B69A1">
        <w:rPr>
          <w:sz w:val="20"/>
          <w:szCs w:val="20"/>
        </w:rPr>
        <w:t xml:space="preserve"> </w:t>
      </w:r>
      <w:r w:rsidRPr="005B69A1">
        <w:rPr>
          <w:i/>
          <w:sz w:val="20"/>
          <w:szCs w:val="20"/>
        </w:rPr>
        <w:t>100-101.</w:t>
      </w:r>
    </w:p>
  </w:footnote>
  <w:footnote w:id="60">
    <w:p w14:paraId="23973CA0" w14:textId="75774B1C" w:rsidR="004A1BEE" w:rsidRPr="005B69A1" w:rsidRDefault="004A1BEE" w:rsidP="00AF16A8">
      <w:pPr>
        <w:pStyle w:val="FootnoteText"/>
        <w:jc w:val="both"/>
        <w:rPr>
          <w:sz w:val="20"/>
          <w:szCs w:val="20"/>
        </w:rPr>
      </w:pPr>
      <w:r w:rsidRPr="003C08B9">
        <w:rPr>
          <w:rStyle w:val="FootnoteReference"/>
        </w:rPr>
        <w:footnoteRef/>
      </w:r>
      <w:r w:rsidRPr="003C08B9">
        <w:t xml:space="preserve"> </w:t>
      </w:r>
      <w:r>
        <w:rPr>
          <w:sz w:val="20"/>
          <w:szCs w:val="20"/>
        </w:rPr>
        <w:t>Ibid.,</w:t>
      </w:r>
      <w:r w:rsidRPr="005B69A1">
        <w:rPr>
          <w:i/>
          <w:sz w:val="20"/>
          <w:szCs w:val="20"/>
        </w:rPr>
        <w:t xml:space="preserve"> 65.</w:t>
      </w:r>
    </w:p>
  </w:footnote>
  <w:footnote w:id="61">
    <w:p w14:paraId="7BFD9A0B" w14:textId="3F67C647" w:rsidR="004A1BEE" w:rsidRPr="005B69A1" w:rsidRDefault="004A1BEE" w:rsidP="00AF16A8">
      <w:pPr>
        <w:pStyle w:val="FootnoteText"/>
        <w:jc w:val="both"/>
        <w:rPr>
          <w:sz w:val="20"/>
          <w:szCs w:val="20"/>
        </w:rPr>
      </w:pPr>
      <w:r w:rsidRPr="003C08B9">
        <w:rPr>
          <w:rStyle w:val="FootnoteReference"/>
        </w:rPr>
        <w:footnoteRef/>
      </w:r>
      <w:r w:rsidRPr="005B69A1">
        <w:rPr>
          <w:sz w:val="20"/>
          <w:szCs w:val="20"/>
        </w:rPr>
        <w:t xml:space="preserve"> </w:t>
      </w:r>
      <w:r>
        <w:rPr>
          <w:sz w:val="20"/>
          <w:szCs w:val="20"/>
        </w:rPr>
        <w:t>Ibid.,</w:t>
      </w:r>
      <w:r w:rsidRPr="005B69A1">
        <w:rPr>
          <w:sz w:val="20"/>
          <w:szCs w:val="20"/>
        </w:rPr>
        <w:t xml:space="preserve"> 22-23.</w:t>
      </w:r>
    </w:p>
  </w:footnote>
  <w:footnote w:id="62">
    <w:p w14:paraId="4B0B829E" w14:textId="77777777" w:rsidR="004A1BEE" w:rsidRPr="005B69A1" w:rsidRDefault="004A1BEE" w:rsidP="00AF16A8">
      <w:pPr>
        <w:pStyle w:val="FootnoteText"/>
        <w:jc w:val="both"/>
        <w:rPr>
          <w:sz w:val="20"/>
          <w:szCs w:val="20"/>
        </w:rPr>
      </w:pPr>
      <w:r w:rsidRPr="003C08B9">
        <w:rPr>
          <w:rStyle w:val="FootnoteReference"/>
        </w:rPr>
        <w:footnoteRef/>
      </w:r>
      <w:r>
        <w:rPr>
          <w:sz w:val="20"/>
          <w:szCs w:val="20"/>
        </w:rPr>
        <w:t xml:space="preserve"> </w:t>
      </w:r>
      <w:r w:rsidRPr="005B69A1">
        <w:rPr>
          <w:sz w:val="20"/>
          <w:szCs w:val="20"/>
        </w:rPr>
        <w:t xml:space="preserve">Cooper, </w:t>
      </w:r>
      <w:r w:rsidRPr="005B69A1">
        <w:rPr>
          <w:i/>
          <w:sz w:val="20"/>
          <w:szCs w:val="20"/>
        </w:rPr>
        <w:t>Citizenship between Empire and Natio</w:t>
      </w:r>
      <w:r>
        <w:rPr>
          <w:i/>
          <w:sz w:val="20"/>
          <w:szCs w:val="20"/>
        </w:rPr>
        <w:t>n,</w:t>
      </w:r>
      <w:r w:rsidRPr="005B69A1">
        <w:rPr>
          <w:sz w:val="20"/>
          <w:szCs w:val="20"/>
        </w:rPr>
        <w:t xml:space="preserve"> 6. </w:t>
      </w:r>
    </w:p>
  </w:footnote>
  <w:footnote w:id="63">
    <w:p w14:paraId="139ED386" w14:textId="77777777" w:rsidR="004A1BEE" w:rsidRDefault="004A1BEE" w:rsidP="00AF16A8">
      <w:pPr>
        <w:pStyle w:val="FootnoteText"/>
      </w:pPr>
      <w:r>
        <w:rPr>
          <w:rStyle w:val="FootnoteReference"/>
        </w:rPr>
        <w:footnoteRef/>
      </w:r>
      <w:r>
        <w:t xml:space="preserve"> </w:t>
      </w:r>
      <w:r w:rsidRPr="001851D2">
        <w:rPr>
          <w:sz w:val="20"/>
          <w:szCs w:val="20"/>
        </w:rPr>
        <w:t xml:space="preserve">Mamadou Diouf, “The French Colonial Policy of Assimilation and the Civility of the Originaires of the Four Communes (Senegal): A Nineteenth Century Globalization Project,” </w:t>
      </w:r>
      <w:r w:rsidRPr="001851D2">
        <w:rPr>
          <w:i/>
          <w:sz w:val="20"/>
          <w:szCs w:val="20"/>
        </w:rPr>
        <w:t xml:space="preserve">Development and Change </w:t>
      </w:r>
      <w:r w:rsidRPr="001851D2">
        <w:rPr>
          <w:sz w:val="20"/>
          <w:szCs w:val="20"/>
        </w:rPr>
        <w:t>29 (1998): 67</w:t>
      </w:r>
      <w:r>
        <w:rPr>
          <w:sz w:val="20"/>
          <w:szCs w:val="20"/>
        </w:rPr>
        <w:t>5.</w:t>
      </w:r>
    </w:p>
  </w:footnote>
  <w:footnote w:id="64">
    <w:p w14:paraId="4F257347"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Cooper, </w:t>
      </w:r>
      <w:r w:rsidRPr="005B69A1">
        <w:rPr>
          <w:i/>
          <w:sz w:val="20"/>
          <w:szCs w:val="20"/>
        </w:rPr>
        <w:t>Citizenship be</w:t>
      </w:r>
      <w:r>
        <w:rPr>
          <w:i/>
          <w:sz w:val="20"/>
          <w:szCs w:val="20"/>
        </w:rPr>
        <w:t>tween Empire and Nation,</w:t>
      </w:r>
      <w:r w:rsidRPr="005B69A1">
        <w:rPr>
          <w:i/>
          <w:sz w:val="20"/>
          <w:szCs w:val="20"/>
        </w:rPr>
        <w:t xml:space="preserve"> </w:t>
      </w:r>
      <w:r w:rsidRPr="005B69A1">
        <w:rPr>
          <w:sz w:val="20"/>
          <w:szCs w:val="20"/>
        </w:rPr>
        <w:t>45.</w:t>
      </w:r>
    </w:p>
  </w:footnote>
  <w:footnote w:id="65">
    <w:p w14:paraId="6AC43C16" w14:textId="77777777" w:rsidR="004A1BEE" w:rsidRPr="00DE403D" w:rsidRDefault="004A1BEE" w:rsidP="00AF16A8">
      <w:pPr>
        <w:pStyle w:val="FootnoteText"/>
        <w:spacing w:after="200"/>
        <w:contextualSpacing/>
        <w:jc w:val="both"/>
        <w:rPr>
          <w:sz w:val="20"/>
          <w:szCs w:val="20"/>
        </w:rPr>
      </w:pPr>
      <w:r>
        <w:rPr>
          <w:rStyle w:val="FootnoteReference"/>
        </w:rPr>
        <w:footnoteRef/>
      </w:r>
      <w:r>
        <w:t xml:space="preserve"> </w:t>
      </w:r>
      <w:r w:rsidRPr="001851D2">
        <w:rPr>
          <w:sz w:val="20"/>
          <w:szCs w:val="20"/>
        </w:rPr>
        <w:t>Diouf, “The French Colonial Policy of Assimilation</w:t>
      </w:r>
      <w:r>
        <w:rPr>
          <w:sz w:val="20"/>
          <w:szCs w:val="20"/>
        </w:rPr>
        <w:t>,”</w:t>
      </w:r>
      <w:r w:rsidRPr="001851D2">
        <w:rPr>
          <w:sz w:val="20"/>
          <w:szCs w:val="20"/>
        </w:rPr>
        <w:t xml:space="preserve"> 674;</w:t>
      </w:r>
      <w:r>
        <w:rPr>
          <w:sz w:val="20"/>
          <w:szCs w:val="20"/>
        </w:rPr>
        <w:t xml:space="preserve"> Wesley</w:t>
      </w:r>
      <w:r w:rsidRPr="00DE403D">
        <w:rPr>
          <w:sz w:val="20"/>
          <w:szCs w:val="20"/>
        </w:rPr>
        <w:t xml:space="preserve">, </w:t>
      </w:r>
      <w:r w:rsidRPr="00DE403D">
        <w:rPr>
          <w:i/>
          <w:sz w:val="20"/>
          <w:szCs w:val="20"/>
        </w:rPr>
        <w:t>The Emergence of Black Politics in Senegal</w:t>
      </w:r>
      <w:r>
        <w:rPr>
          <w:i/>
          <w:sz w:val="20"/>
          <w:szCs w:val="20"/>
        </w:rPr>
        <w:t>,</w:t>
      </w:r>
      <w:r>
        <w:rPr>
          <w:sz w:val="20"/>
          <w:szCs w:val="20"/>
        </w:rPr>
        <w:t xml:space="preserve"> 34</w:t>
      </w:r>
      <w:r w:rsidRPr="00DE403D">
        <w:rPr>
          <w:sz w:val="20"/>
          <w:szCs w:val="20"/>
        </w:rPr>
        <w:t>.</w:t>
      </w:r>
    </w:p>
  </w:footnote>
  <w:footnote w:id="66">
    <w:p w14:paraId="05421B45" w14:textId="77777777" w:rsidR="004A1BEE" w:rsidRPr="00032C64" w:rsidRDefault="004A1BEE" w:rsidP="00AF16A8">
      <w:pPr>
        <w:pStyle w:val="FootnoteText"/>
        <w:spacing w:after="200"/>
        <w:contextualSpacing/>
        <w:jc w:val="both"/>
        <w:rPr>
          <w:sz w:val="20"/>
          <w:szCs w:val="20"/>
        </w:rPr>
      </w:pPr>
      <w:r>
        <w:rPr>
          <w:rStyle w:val="FootnoteReference"/>
        </w:rPr>
        <w:footnoteRef/>
      </w:r>
      <w:r>
        <w:t xml:space="preserve"> </w:t>
      </w:r>
      <w:r w:rsidRPr="0059153B">
        <w:rPr>
          <w:sz w:val="20"/>
          <w:szCs w:val="20"/>
        </w:rPr>
        <w:t>Mamadou Diouf, “Islam, the ‘</w:t>
      </w:r>
      <w:r w:rsidRPr="0059153B">
        <w:rPr>
          <w:i/>
          <w:sz w:val="20"/>
          <w:szCs w:val="20"/>
        </w:rPr>
        <w:t>Originaires,</w:t>
      </w:r>
      <w:r w:rsidRPr="0059153B">
        <w:rPr>
          <w:sz w:val="20"/>
          <w:szCs w:val="20"/>
        </w:rPr>
        <w:t xml:space="preserve">’ and the Making of Public Space in a Colonial City: Saint-Louis of Senegal,” in </w:t>
      </w:r>
      <w:r w:rsidRPr="0059153B">
        <w:rPr>
          <w:i/>
          <w:sz w:val="20"/>
          <w:szCs w:val="20"/>
        </w:rPr>
        <w:t xml:space="preserve">Tolerance, </w:t>
      </w:r>
      <w:r>
        <w:rPr>
          <w:i/>
          <w:sz w:val="20"/>
          <w:szCs w:val="20"/>
        </w:rPr>
        <w:t>D</w:t>
      </w:r>
      <w:r w:rsidRPr="0059153B">
        <w:rPr>
          <w:i/>
          <w:sz w:val="20"/>
          <w:szCs w:val="20"/>
        </w:rPr>
        <w:t>emocracy, and Sufis in Senegal</w:t>
      </w:r>
      <w:r w:rsidRPr="0059153B">
        <w:rPr>
          <w:sz w:val="20"/>
          <w:szCs w:val="20"/>
        </w:rPr>
        <w:t>, ed. Mamadou Diouf, (New York: C</w:t>
      </w:r>
      <w:r>
        <w:rPr>
          <w:sz w:val="20"/>
          <w:szCs w:val="20"/>
        </w:rPr>
        <w:t>olumbia University Press, 2013),</w:t>
      </w:r>
      <w:r w:rsidRPr="0059153B">
        <w:rPr>
          <w:sz w:val="20"/>
          <w:szCs w:val="20"/>
        </w:rPr>
        <w:t xml:space="preserve"> </w:t>
      </w:r>
      <w:r w:rsidRPr="00034E8C">
        <w:rPr>
          <w:sz w:val="20"/>
          <w:szCs w:val="20"/>
        </w:rPr>
        <w:t>183.</w:t>
      </w:r>
    </w:p>
  </w:footnote>
  <w:footnote w:id="67">
    <w:p w14:paraId="541CE288" w14:textId="77777777" w:rsidR="004A1BEE" w:rsidRPr="00032C64" w:rsidRDefault="004A1BEE" w:rsidP="00AF16A8">
      <w:pPr>
        <w:pStyle w:val="FootnoteText"/>
        <w:spacing w:after="200"/>
        <w:contextualSpacing/>
        <w:jc w:val="both"/>
        <w:rPr>
          <w:sz w:val="20"/>
          <w:szCs w:val="20"/>
        </w:rPr>
      </w:pPr>
      <w:r>
        <w:rPr>
          <w:rStyle w:val="FootnoteReference"/>
        </w:rPr>
        <w:footnoteRef/>
      </w:r>
      <w:r>
        <w:t xml:space="preserve"> </w:t>
      </w:r>
      <w:r>
        <w:rPr>
          <w:sz w:val="20"/>
          <w:szCs w:val="20"/>
        </w:rPr>
        <w:t>Michael C</w:t>
      </w:r>
      <w:r w:rsidRPr="00C8468A">
        <w:rPr>
          <w:sz w:val="20"/>
          <w:szCs w:val="20"/>
        </w:rPr>
        <w:t xml:space="preserve">rowder, </w:t>
      </w:r>
      <w:r w:rsidRPr="00032C64">
        <w:rPr>
          <w:i/>
          <w:sz w:val="20"/>
          <w:szCs w:val="20"/>
        </w:rPr>
        <w:t>Senegal: A Study in French Assimilation Policy</w:t>
      </w:r>
      <w:r>
        <w:rPr>
          <w:i/>
          <w:sz w:val="20"/>
          <w:szCs w:val="20"/>
        </w:rPr>
        <w:t xml:space="preserve"> </w:t>
      </w:r>
      <w:r>
        <w:rPr>
          <w:sz w:val="20"/>
          <w:szCs w:val="20"/>
        </w:rPr>
        <w:t>(New York: Oxford University Press, 1962), 83</w:t>
      </w:r>
      <w:r w:rsidRPr="00C8468A">
        <w:rPr>
          <w:sz w:val="20"/>
          <w:szCs w:val="20"/>
        </w:rPr>
        <w:t>.</w:t>
      </w:r>
    </w:p>
  </w:footnote>
  <w:footnote w:id="68">
    <w:p w14:paraId="732B6BA5"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Conklin, </w:t>
      </w:r>
      <w:r>
        <w:rPr>
          <w:i/>
          <w:sz w:val="20"/>
          <w:szCs w:val="20"/>
        </w:rPr>
        <w:t>A Mission to Civilize,</w:t>
      </w:r>
      <w:r w:rsidRPr="005B69A1">
        <w:rPr>
          <w:i/>
          <w:sz w:val="20"/>
          <w:szCs w:val="20"/>
        </w:rPr>
        <w:t xml:space="preserve"> </w:t>
      </w:r>
      <w:r w:rsidRPr="005B69A1">
        <w:rPr>
          <w:sz w:val="20"/>
          <w:szCs w:val="20"/>
        </w:rPr>
        <w:t>155.</w:t>
      </w:r>
    </w:p>
  </w:footnote>
  <w:footnote w:id="69">
    <w:p w14:paraId="63CD9CE3" w14:textId="77777777" w:rsidR="004A1BEE" w:rsidRPr="005B69A1" w:rsidRDefault="004A1BEE" w:rsidP="00AF16A8">
      <w:pPr>
        <w:pStyle w:val="FootnoteText"/>
        <w:jc w:val="both"/>
        <w:rPr>
          <w:sz w:val="20"/>
          <w:szCs w:val="20"/>
        </w:rPr>
      </w:pPr>
      <w:r w:rsidRPr="003C08B9">
        <w:rPr>
          <w:rStyle w:val="FootnoteReference"/>
        </w:rPr>
        <w:footnoteRef/>
      </w:r>
      <w:r w:rsidRPr="005B69A1">
        <w:rPr>
          <w:sz w:val="20"/>
          <w:szCs w:val="20"/>
        </w:rPr>
        <w:t xml:space="preserve"> Mann, </w:t>
      </w:r>
      <w:r>
        <w:rPr>
          <w:i/>
          <w:sz w:val="20"/>
          <w:szCs w:val="20"/>
        </w:rPr>
        <w:t>Native Sons,</w:t>
      </w:r>
      <w:r w:rsidRPr="005B69A1">
        <w:rPr>
          <w:i/>
          <w:sz w:val="20"/>
          <w:szCs w:val="20"/>
        </w:rPr>
        <w:t xml:space="preserve"> 69.</w:t>
      </w:r>
    </w:p>
  </w:footnote>
  <w:footnote w:id="70">
    <w:p w14:paraId="6208ABB8" w14:textId="77777777" w:rsidR="004A1BEE" w:rsidRDefault="004A1BEE" w:rsidP="00AF16A8">
      <w:pPr>
        <w:pStyle w:val="FootnoteText"/>
        <w:jc w:val="both"/>
      </w:pPr>
      <w:r>
        <w:rPr>
          <w:rStyle w:val="FootnoteReference"/>
        </w:rPr>
        <w:footnoteRef/>
      </w:r>
      <w:r>
        <w:t xml:space="preserve"> </w:t>
      </w:r>
      <w:r w:rsidRPr="00F01FDB">
        <w:rPr>
          <w:sz w:val="20"/>
          <w:szCs w:val="20"/>
        </w:rPr>
        <w:t xml:space="preserve">Lambert, “From Citizenship to </w:t>
      </w:r>
      <w:r w:rsidRPr="00F01FDB">
        <w:rPr>
          <w:i/>
          <w:sz w:val="20"/>
          <w:szCs w:val="20"/>
        </w:rPr>
        <w:t>Négritude</w:t>
      </w:r>
      <w:r w:rsidRPr="00F01FDB">
        <w:rPr>
          <w:sz w:val="20"/>
          <w:szCs w:val="20"/>
        </w:rPr>
        <w:t>,” 246</w:t>
      </w:r>
    </w:p>
  </w:footnote>
  <w:footnote w:id="71">
    <w:p w14:paraId="01B0AA55"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Cooper, </w:t>
      </w:r>
      <w:r w:rsidRPr="005B69A1">
        <w:rPr>
          <w:i/>
          <w:sz w:val="20"/>
          <w:szCs w:val="20"/>
        </w:rPr>
        <w:t>Citize</w:t>
      </w:r>
      <w:r>
        <w:rPr>
          <w:i/>
          <w:sz w:val="20"/>
          <w:szCs w:val="20"/>
        </w:rPr>
        <w:t>nship between Empire and Nation,</w:t>
      </w:r>
      <w:r w:rsidRPr="005B69A1">
        <w:rPr>
          <w:i/>
          <w:sz w:val="20"/>
          <w:szCs w:val="20"/>
        </w:rPr>
        <w:t xml:space="preserve"> </w:t>
      </w:r>
      <w:r w:rsidRPr="005B69A1">
        <w:rPr>
          <w:sz w:val="20"/>
          <w:szCs w:val="20"/>
        </w:rPr>
        <w:t>28.</w:t>
      </w:r>
    </w:p>
  </w:footnote>
  <w:footnote w:id="72">
    <w:p w14:paraId="71833559"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Conklin, </w:t>
      </w:r>
      <w:r w:rsidRPr="005B69A1">
        <w:rPr>
          <w:i/>
          <w:sz w:val="20"/>
          <w:szCs w:val="20"/>
        </w:rPr>
        <w:t>A Mission to Civilize</w:t>
      </w:r>
      <w:r>
        <w:rPr>
          <w:sz w:val="20"/>
          <w:szCs w:val="20"/>
        </w:rPr>
        <w:t>,</w:t>
      </w:r>
      <w:r w:rsidRPr="005B69A1">
        <w:rPr>
          <w:sz w:val="20"/>
          <w:szCs w:val="20"/>
        </w:rPr>
        <w:t xml:space="preserve"> 168.</w:t>
      </w:r>
    </w:p>
  </w:footnote>
  <w:footnote w:id="73">
    <w:p w14:paraId="51A2998F" w14:textId="77777777" w:rsidR="004A1BEE" w:rsidRPr="00B2326F" w:rsidRDefault="004A1BEE" w:rsidP="00AF16A8">
      <w:pPr>
        <w:pStyle w:val="FootnoteText"/>
        <w:jc w:val="both"/>
      </w:pPr>
      <w:r>
        <w:rPr>
          <w:rStyle w:val="FootnoteReference"/>
        </w:rPr>
        <w:footnoteRef/>
      </w:r>
      <w:r>
        <w:t xml:space="preserve"> </w:t>
      </w:r>
      <w:r w:rsidRPr="00B2326F">
        <w:rPr>
          <w:i/>
          <w:sz w:val="20"/>
          <w:szCs w:val="20"/>
        </w:rPr>
        <w:t xml:space="preserve">Métis </w:t>
      </w:r>
      <w:r w:rsidRPr="00B2326F">
        <w:rPr>
          <w:sz w:val="20"/>
          <w:szCs w:val="20"/>
        </w:rPr>
        <w:t>refers to the mixed race population and is synonymous with creoles or mulattos and used interchangeably within the literature.</w:t>
      </w:r>
      <w:r>
        <w:rPr>
          <w:sz w:val="20"/>
          <w:szCs w:val="20"/>
        </w:rPr>
        <w:t xml:space="preserve"> </w:t>
      </w:r>
      <w:r w:rsidRPr="003875C9">
        <w:rPr>
          <w:i/>
          <w:sz w:val="20"/>
          <w:szCs w:val="20"/>
        </w:rPr>
        <w:t xml:space="preserve">Métis </w:t>
      </w:r>
      <w:r w:rsidRPr="003875C9">
        <w:rPr>
          <w:sz w:val="20"/>
          <w:szCs w:val="20"/>
        </w:rPr>
        <w:t>are also referred to as mulattos or Creoles with respect to the literature on French West Africa</w:t>
      </w:r>
      <w:r>
        <w:rPr>
          <w:sz w:val="20"/>
          <w:szCs w:val="20"/>
        </w:rPr>
        <w:t xml:space="preserve"> depending on the author and the time period in which it was written</w:t>
      </w:r>
      <w:r w:rsidRPr="003875C9">
        <w:rPr>
          <w:sz w:val="20"/>
          <w:szCs w:val="20"/>
        </w:rPr>
        <w:t>.</w:t>
      </w:r>
    </w:p>
  </w:footnote>
  <w:footnote w:id="74">
    <w:p w14:paraId="65E9E807" w14:textId="77777777" w:rsidR="004A1BEE" w:rsidRPr="00CD34B5" w:rsidRDefault="004A1BEE" w:rsidP="00AF16A8">
      <w:pPr>
        <w:pStyle w:val="FootnoteText"/>
        <w:spacing w:after="200"/>
        <w:contextualSpacing/>
        <w:jc w:val="both"/>
        <w:rPr>
          <w:sz w:val="20"/>
          <w:szCs w:val="20"/>
        </w:rPr>
      </w:pPr>
      <w:r>
        <w:rPr>
          <w:rStyle w:val="FootnoteReference"/>
        </w:rPr>
        <w:footnoteRef/>
      </w:r>
      <w:r>
        <w:t xml:space="preserve"> </w:t>
      </w:r>
      <w:r w:rsidRPr="003E345E">
        <w:rPr>
          <w:sz w:val="20"/>
          <w:szCs w:val="20"/>
        </w:rPr>
        <w:t xml:space="preserve">John D. Hargreaves, “Assimilation in Eighteenth-Century Senegal,” </w:t>
      </w:r>
      <w:r w:rsidRPr="003E345E">
        <w:rPr>
          <w:i/>
          <w:sz w:val="20"/>
          <w:szCs w:val="20"/>
        </w:rPr>
        <w:t xml:space="preserve">The Journal of African History </w:t>
      </w:r>
      <w:r w:rsidRPr="003E345E">
        <w:rPr>
          <w:sz w:val="20"/>
          <w:szCs w:val="20"/>
        </w:rPr>
        <w:t>6.2</w:t>
      </w:r>
      <w:r>
        <w:rPr>
          <w:sz w:val="20"/>
          <w:szCs w:val="20"/>
        </w:rPr>
        <w:t xml:space="preserve"> (1965):</w:t>
      </w:r>
      <w:r w:rsidRPr="003E345E">
        <w:rPr>
          <w:sz w:val="20"/>
          <w:szCs w:val="20"/>
        </w:rPr>
        <w:t xml:space="preserve"> 178.</w:t>
      </w:r>
    </w:p>
  </w:footnote>
  <w:footnote w:id="75">
    <w:p w14:paraId="59772FA8" w14:textId="77777777" w:rsidR="004A1BEE" w:rsidRDefault="004A1BEE" w:rsidP="00AF16A8">
      <w:pPr>
        <w:pStyle w:val="FootnoteText"/>
        <w:spacing w:after="200"/>
        <w:contextualSpacing/>
        <w:jc w:val="both"/>
      </w:pPr>
      <w:r>
        <w:rPr>
          <w:rStyle w:val="FootnoteReference"/>
        </w:rPr>
        <w:footnoteRef/>
      </w:r>
      <w:r>
        <w:t xml:space="preserve"> </w:t>
      </w:r>
      <w:r>
        <w:rPr>
          <w:sz w:val="20"/>
          <w:szCs w:val="20"/>
        </w:rPr>
        <w:t>Hargreaves, “Assimilation in Eighteenth-Century Senegal,” 179.</w:t>
      </w:r>
      <w:r>
        <w:t xml:space="preserve"> </w:t>
      </w:r>
    </w:p>
  </w:footnote>
  <w:footnote w:id="76">
    <w:p w14:paraId="4C6C1513"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Emmanuelle Saada, </w:t>
      </w:r>
      <w:r w:rsidRPr="005B69A1">
        <w:rPr>
          <w:i/>
          <w:sz w:val="20"/>
          <w:szCs w:val="20"/>
        </w:rPr>
        <w:t>Empire’s Children: Race, Filiation, and Cit</w:t>
      </w:r>
      <w:r>
        <w:rPr>
          <w:i/>
          <w:sz w:val="20"/>
          <w:szCs w:val="20"/>
        </w:rPr>
        <w:t>izenship in the French Colonies</w:t>
      </w:r>
      <w:r w:rsidRPr="005B69A1">
        <w:rPr>
          <w:i/>
          <w:sz w:val="20"/>
          <w:szCs w:val="20"/>
        </w:rPr>
        <w:t xml:space="preserve"> </w:t>
      </w:r>
      <w:r>
        <w:rPr>
          <w:sz w:val="20"/>
          <w:szCs w:val="20"/>
        </w:rPr>
        <w:t>(</w:t>
      </w:r>
      <w:r w:rsidRPr="005B69A1">
        <w:rPr>
          <w:sz w:val="20"/>
          <w:szCs w:val="20"/>
        </w:rPr>
        <w:t>Chicago: Un</w:t>
      </w:r>
      <w:r>
        <w:rPr>
          <w:sz w:val="20"/>
          <w:szCs w:val="20"/>
        </w:rPr>
        <w:t>iversity of Chicago Press, 2012),</w:t>
      </w:r>
      <w:r w:rsidRPr="005B69A1">
        <w:rPr>
          <w:sz w:val="20"/>
          <w:szCs w:val="20"/>
        </w:rPr>
        <w:t xml:space="preserve"> 41.</w:t>
      </w:r>
    </w:p>
  </w:footnote>
  <w:footnote w:id="77">
    <w:p w14:paraId="697159F5" w14:textId="0F1D74F1" w:rsidR="004A1BEE" w:rsidRPr="005B69A1" w:rsidRDefault="004A1BEE" w:rsidP="00AF16A8">
      <w:pPr>
        <w:pStyle w:val="FootnoteText"/>
        <w:jc w:val="both"/>
        <w:rPr>
          <w:sz w:val="20"/>
          <w:szCs w:val="20"/>
        </w:rPr>
      </w:pPr>
      <w:r w:rsidRPr="003C08B9">
        <w:rPr>
          <w:rStyle w:val="FootnoteReference"/>
        </w:rPr>
        <w:footnoteRef/>
      </w:r>
      <w:r w:rsidRPr="003C08B9">
        <w:t xml:space="preserve"> </w:t>
      </w:r>
      <w:r>
        <w:rPr>
          <w:sz w:val="20"/>
          <w:szCs w:val="20"/>
        </w:rPr>
        <w:t>Ibid.,</w:t>
      </w:r>
      <w:r w:rsidRPr="005B69A1">
        <w:rPr>
          <w:sz w:val="20"/>
          <w:szCs w:val="20"/>
        </w:rPr>
        <w:t xml:space="preserve"> 124. </w:t>
      </w:r>
    </w:p>
  </w:footnote>
  <w:footnote w:id="78">
    <w:p w14:paraId="3C9506F6" w14:textId="62A829D1" w:rsidR="004A1BEE" w:rsidRPr="005B69A1" w:rsidRDefault="004A1BEE" w:rsidP="00AF16A8">
      <w:pPr>
        <w:pStyle w:val="FootnoteText"/>
        <w:jc w:val="both"/>
        <w:rPr>
          <w:sz w:val="20"/>
          <w:szCs w:val="20"/>
        </w:rPr>
      </w:pPr>
      <w:r w:rsidRPr="003C08B9">
        <w:rPr>
          <w:rStyle w:val="FootnoteReference"/>
        </w:rPr>
        <w:footnoteRef/>
      </w:r>
      <w:r w:rsidRPr="003C08B9">
        <w:t xml:space="preserve"> </w:t>
      </w:r>
      <w:r>
        <w:rPr>
          <w:sz w:val="20"/>
          <w:szCs w:val="20"/>
        </w:rPr>
        <w:t>Ibid.,</w:t>
      </w:r>
      <w:r w:rsidRPr="005B69A1">
        <w:rPr>
          <w:sz w:val="20"/>
          <w:szCs w:val="20"/>
        </w:rPr>
        <w:t xml:space="preserve"> 213.</w:t>
      </w:r>
    </w:p>
  </w:footnote>
  <w:footnote w:id="79">
    <w:p w14:paraId="3C38E7FB" w14:textId="77777777" w:rsidR="004A1BEE" w:rsidRPr="00A05F7F" w:rsidRDefault="004A1BEE" w:rsidP="00AF16A8">
      <w:pPr>
        <w:pStyle w:val="FootnoteText"/>
        <w:spacing w:after="200"/>
        <w:contextualSpacing/>
        <w:jc w:val="both"/>
        <w:rPr>
          <w:sz w:val="20"/>
          <w:szCs w:val="20"/>
        </w:rPr>
      </w:pPr>
      <w:r w:rsidRPr="00A05F7F">
        <w:rPr>
          <w:rStyle w:val="FootnoteReference"/>
        </w:rPr>
        <w:footnoteRef/>
      </w:r>
      <w:r w:rsidRPr="00A05F7F">
        <w:t xml:space="preserve"> </w:t>
      </w:r>
      <w:r>
        <w:rPr>
          <w:sz w:val="20"/>
          <w:szCs w:val="20"/>
        </w:rPr>
        <w:t xml:space="preserve">Hillary Jones, “Rethinking Politics in the Colony: The </w:t>
      </w:r>
      <w:r>
        <w:rPr>
          <w:i/>
          <w:sz w:val="20"/>
          <w:szCs w:val="20"/>
        </w:rPr>
        <w:t xml:space="preserve">Métis </w:t>
      </w:r>
      <w:r>
        <w:rPr>
          <w:sz w:val="20"/>
          <w:szCs w:val="20"/>
        </w:rPr>
        <w:t xml:space="preserve">of Senegal and Urban Politics in the Late Nineteenth and Early Twentieth Century,” </w:t>
      </w:r>
      <w:r>
        <w:rPr>
          <w:i/>
          <w:sz w:val="20"/>
          <w:szCs w:val="20"/>
        </w:rPr>
        <w:t xml:space="preserve">Journal of African History </w:t>
      </w:r>
      <w:r>
        <w:rPr>
          <w:sz w:val="20"/>
          <w:szCs w:val="20"/>
        </w:rPr>
        <w:t>53 (2012): 330.</w:t>
      </w:r>
    </w:p>
  </w:footnote>
  <w:footnote w:id="80">
    <w:p w14:paraId="6E284F23"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Saada, </w:t>
      </w:r>
      <w:r w:rsidRPr="005B69A1">
        <w:rPr>
          <w:i/>
          <w:sz w:val="20"/>
          <w:szCs w:val="20"/>
        </w:rPr>
        <w:t>Empire’s Children</w:t>
      </w:r>
      <w:r>
        <w:rPr>
          <w:sz w:val="20"/>
          <w:szCs w:val="20"/>
        </w:rPr>
        <w:t>,</w:t>
      </w:r>
      <w:r w:rsidRPr="005B69A1">
        <w:rPr>
          <w:sz w:val="20"/>
          <w:szCs w:val="20"/>
        </w:rPr>
        <w:t xml:space="preserve"> 102.</w:t>
      </w:r>
    </w:p>
  </w:footnote>
  <w:footnote w:id="81">
    <w:p w14:paraId="1B70F272" w14:textId="77777777" w:rsidR="004A1BEE" w:rsidRPr="005B69A1" w:rsidRDefault="004A1BEE" w:rsidP="00AF16A8">
      <w:pPr>
        <w:pStyle w:val="FootnoteText"/>
        <w:jc w:val="both"/>
        <w:rPr>
          <w:sz w:val="20"/>
          <w:szCs w:val="20"/>
        </w:rPr>
      </w:pPr>
      <w:r w:rsidRPr="003C08B9">
        <w:rPr>
          <w:rStyle w:val="FootnoteReference"/>
        </w:rPr>
        <w:footnoteRef/>
      </w:r>
      <w:r w:rsidRPr="005B69A1">
        <w:rPr>
          <w:sz w:val="20"/>
          <w:szCs w:val="20"/>
        </w:rPr>
        <w:t xml:space="preserve"> Cooper, </w:t>
      </w:r>
      <w:r w:rsidRPr="005B69A1">
        <w:rPr>
          <w:i/>
          <w:sz w:val="20"/>
          <w:szCs w:val="20"/>
        </w:rPr>
        <w:t>Citize</w:t>
      </w:r>
      <w:r>
        <w:rPr>
          <w:i/>
          <w:sz w:val="20"/>
          <w:szCs w:val="20"/>
        </w:rPr>
        <w:t>nship between Empire and Nation,</w:t>
      </w:r>
      <w:r w:rsidRPr="005B69A1">
        <w:rPr>
          <w:i/>
          <w:sz w:val="20"/>
          <w:szCs w:val="20"/>
        </w:rPr>
        <w:t xml:space="preserve"> </w:t>
      </w:r>
      <w:r w:rsidRPr="005B69A1">
        <w:rPr>
          <w:sz w:val="20"/>
          <w:szCs w:val="20"/>
        </w:rPr>
        <w:t xml:space="preserve">377. </w:t>
      </w:r>
    </w:p>
  </w:footnote>
  <w:footnote w:id="82">
    <w:p w14:paraId="5711B549" w14:textId="77777777" w:rsidR="004A1BEE" w:rsidRPr="00BA532A" w:rsidRDefault="004A1BEE" w:rsidP="00AF16A8">
      <w:pPr>
        <w:pStyle w:val="FootnoteText"/>
      </w:pPr>
      <w:r>
        <w:rPr>
          <w:rStyle w:val="FootnoteReference"/>
        </w:rPr>
        <w:footnoteRef/>
      </w:r>
      <w:r>
        <w:t xml:space="preserve"> </w:t>
      </w:r>
      <w:r w:rsidRPr="00BA532A">
        <w:rPr>
          <w:sz w:val="20"/>
          <w:szCs w:val="20"/>
        </w:rPr>
        <w:t xml:space="preserve">Christopher Hitchens, “A Chronology of Algerian War of Independence,” </w:t>
      </w:r>
      <w:r w:rsidRPr="00BA532A">
        <w:rPr>
          <w:i/>
          <w:sz w:val="20"/>
          <w:szCs w:val="20"/>
        </w:rPr>
        <w:t xml:space="preserve">The Atlantic, </w:t>
      </w:r>
      <w:r w:rsidRPr="00BA532A">
        <w:rPr>
          <w:sz w:val="20"/>
          <w:szCs w:val="20"/>
        </w:rPr>
        <w:t xml:space="preserve">November 2006, </w:t>
      </w:r>
      <w:r>
        <w:rPr>
          <w:sz w:val="20"/>
          <w:szCs w:val="20"/>
        </w:rPr>
        <w:t xml:space="preserve">accessed January 10, 2017, </w:t>
      </w:r>
      <w:r w:rsidRPr="00BA532A">
        <w:rPr>
          <w:sz w:val="20"/>
          <w:szCs w:val="20"/>
        </w:rPr>
        <w:t>https://www.theatlantic.com/magazine/archive/2006/11/a-chronology-of-the-algerian-war-of-independence/305277/.</w:t>
      </w:r>
    </w:p>
  </w:footnote>
  <w:footnote w:id="83">
    <w:p w14:paraId="5D64A25C" w14:textId="77777777" w:rsidR="004A1BEE" w:rsidRPr="005B69A1" w:rsidRDefault="004A1BEE" w:rsidP="00AF16A8">
      <w:pPr>
        <w:pStyle w:val="FootnoteText"/>
        <w:jc w:val="both"/>
        <w:rPr>
          <w:sz w:val="20"/>
          <w:szCs w:val="20"/>
        </w:rPr>
      </w:pPr>
      <w:r w:rsidRPr="003C08B9">
        <w:rPr>
          <w:rStyle w:val="FootnoteReference"/>
        </w:rPr>
        <w:footnoteRef/>
      </w:r>
      <w:r w:rsidRPr="005B69A1">
        <w:rPr>
          <w:sz w:val="20"/>
          <w:szCs w:val="20"/>
        </w:rPr>
        <w:t xml:space="preserve"> Conklin, </w:t>
      </w:r>
      <w:r>
        <w:rPr>
          <w:i/>
          <w:sz w:val="20"/>
          <w:szCs w:val="20"/>
        </w:rPr>
        <w:t>A Mission to Civilize,</w:t>
      </w:r>
      <w:r w:rsidRPr="005B69A1">
        <w:rPr>
          <w:i/>
          <w:sz w:val="20"/>
          <w:szCs w:val="20"/>
        </w:rPr>
        <w:t xml:space="preserve"> </w:t>
      </w:r>
      <w:r w:rsidRPr="005B69A1">
        <w:rPr>
          <w:sz w:val="20"/>
          <w:szCs w:val="20"/>
        </w:rPr>
        <w:t>111.</w:t>
      </w:r>
    </w:p>
  </w:footnote>
  <w:footnote w:id="84">
    <w:p w14:paraId="78B59263" w14:textId="77777777" w:rsidR="004A1BEE" w:rsidRPr="00D77746" w:rsidRDefault="004A1BEE" w:rsidP="00AF16A8">
      <w:pPr>
        <w:pStyle w:val="FootnoteText"/>
      </w:pPr>
      <w:r>
        <w:rPr>
          <w:rStyle w:val="FootnoteReference"/>
        </w:rPr>
        <w:footnoteRef/>
      </w:r>
      <w:r>
        <w:t xml:space="preserve"> </w:t>
      </w:r>
      <w:r w:rsidRPr="00B07228">
        <w:rPr>
          <w:sz w:val="20"/>
          <w:szCs w:val="20"/>
        </w:rPr>
        <w:t xml:space="preserve">Susan Pedersen, </w:t>
      </w:r>
      <w:r w:rsidRPr="00B07228">
        <w:rPr>
          <w:i/>
          <w:sz w:val="20"/>
          <w:szCs w:val="20"/>
        </w:rPr>
        <w:t xml:space="preserve">The Guardians: The League of Nation and the Crisis of Empire, </w:t>
      </w:r>
      <w:r w:rsidRPr="00B07228">
        <w:rPr>
          <w:sz w:val="20"/>
          <w:szCs w:val="20"/>
        </w:rPr>
        <w:t>(Oxford: Oxford University Press, 2015).</w:t>
      </w:r>
    </w:p>
  </w:footnote>
  <w:footnote w:id="85">
    <w:p w14:paraId="68BDE08A" w14:textId="77777777" w:rsidR="004A1BEE" w:rsidRPr="00B07228" w:rsidRDefault="004A1BEE" w:rsidP="00AF16A8">
      <w:pPr>
        <w:pStyle w:val="FootnoteText"/>
      </w:pPr>
      <w:r>
        <w:rPr>
          <w:rStyle w:val="FootnoteReference"/>
        </w:rPr>
        <w:footnoteRef/>
      </w:r>
      <w:r>
        <w:t xml:space="preserve"> </w:t>
      </w:r>
      <w:r w:rsidRPr="00B07228">
        <w:rPr>
          <w:sz w:val="20"/>
          <w:szCs w:val="20"/>
        </w:rPr>
        <w:t xml:space="preserve">Cooper, </w:t>
      </w:r>
      <w:r w:rsidRPr="00B07228">
        <w:rPr>
          <w:i/>
          <w:sz w:val="20"/>
          <w:szCs w:val="20"/>
        </w:rPr>
        <w:t xml:space="preserve">Citizenship between Empire and Nation, </w:t>
      </w:r>
      <w:r w:rsidRPr="00B07228">
        <w:rPr>
          <w:sz w:val="20"/>
          <w:szCs w:val="20"/>
        </w:rPr>
        <w:t>20.</w:t>
      </w:r>
    </w:p>
  </w:footnote>
  <w:footnote w:id="86">
    <w:p w14:paraId="575C02A5"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Conklin, </w:t>
      </w:r>
      <w:r>
        <w:rPr>
          <w:i/>
          <w:sz w:val="20"/>
          <w:szCs w:val="20"/>
        </w:rPr>
        <w:t>A Mission to Civilize,</w:t>
      </w:r>
      <w:r w:rsidRPr="005B69A1">
        <w:rPr>
          <w:i/>
          <w:sz w:val="20"/>
          <w:szCs w:val="20"/>
        </w:rPr>
        <w:t xml:space="preserve"> </w:t>
      </w:r>
      <w:r w:rsidRPr="005B69A1">
        <w:rPr>
          <w:sz w:val="20"/>
          <w:szCs w:val="20"/>
        </w:rPr>
        <w:t>117.</w:t>
      </w:r>
    </w:p>
  </w:footnote>
  <w:footnote w:id="87">
    <w:p w14:paraId="7FDE5F16" w14:textId="77777777" w:rsidR="004A1BEE" w:rsidRPr="00371424" w:rsidRDefault="004A1BEE" w:rsidP="00AF16A8">
      <w:pPr>
        <w:pStyle w:val="FootnoteText"/>
      </w:pPr>
      <w:r>
        <w:rPr>
          <w:rStyle w:val="FootnoteReference"/>
        </w:rPr>
        <w:footnoteRef/>
      </w:r>
      <w:r>
        <w:t xml:space="preserve"> </w:t>
      </w:r>
      <w:r w:rsidRPr="00594A97">
        <w:rPr>
          <w:sz w:val="20"/>
          <w:szCs w:val="20"/>
        </w:rPr>
        <w:t xml:space="preserve">Richard Dowden, “Ivory Coast’s </w:t>
      </w:r>
      <w:r>
        <w:rPr>
          <w:sz w:val="20"/>
          <w:szCs w:val="20"/>
        </w:rPr>
        <w:t>D</w:t>
      </w:r>
      <w:r w:rsidRPr="00594A97">
        <w:rPr>
          <w:sz w:val="20"/>
          <w:szCs w:val="20"/>
        </w:rPr>
        <w:t xml:space="preserve">escent into </w:t>
      </w:r>
      <w:r>
        <w:rPr>
          <w:sz w:val="20"/>
          <w:szCs w:val="20"/>
        </w:rPr>
        <w:t>M</w:t>
      </w:r>
      <w:r w:rsidRPr="00594A97">
        <w:rPr>
          <w:sz w:val="20"/>
          <w:szCs w:val="20"/>
        </w:rPr>
        <w:t xml:space="preserve">adness,” </w:t>
      </w:r>
      <w:r w:rsidRPr="00594A97">
        <w:rPr>
          <w:i/>
          <w:sz w:val="20"/>
          <w:szCs w:val="20"/>
        </w:rPr>
        <w:t xml:space="preserve">The Guardian, </w:t>
      </w:r>
      <w:r w:rsidRPr="00594A97">
        <w:rPr>
          <w:sz w:val="20"/>
          <w:szCs w:val="20"/>
        </w:rPr>
        <w:t>January 1, 2011, accessed April 17, 2017, https://www.theguardian.com/world/2011/jan/02/ivory-coast-richard-dowden-comment.</w:t>
      </w:r>
    </w:p>
  </w:footnote>
  <w:footnote w:id="88">
    <w:p w14:paraId="10F2C575" w14:textId="77777777" w:rsidR="004A1BEE" w:rsidRPr="005B69A1" w:rsidRDefault="004A1BEE" w:rsidP="00AF16A8">
      <w:pPr>
        <w:pStyle w:val="FootnoteText"/>
        <w:jc w:val="both"/>
        <w:rPr>
          <w:sz w:val="20"/>
          <w:szCs w:val="20"/>
        </w:rPr>
      </w:pPr>
      <w:r w:rsidRPr="003C08B9">
        <w:rPr>
          <w:rStyle w:val="FootnoteReference"/>
        </w:rPr>
        <w:footnoteRef/>
      </w:r>
      <w:r w:rsidRPr="005B69A1">
        <w:rPr>
          <w:sz w:val="20"/>
          <w:szCs w:val="20"/>
        </w:rPr>
        <w:t xml:space="preserve"> Cooper, </w:t>
      </w:r>
      <w:r w:rsidRPr="005B69A1">
        <w:rPr>
          <w:i/>
          <w:sz w:val="20"/>
          <w:szCs w:val="20"/>
        </w:rPr>
        <w:t>Citizenship between Empire and Nation</w:t>
      </w:r>
      <w:r>
        <w:rPr>
          <w:sz w:val="20"/>
          <w:szCs w:val="20"/>
        </w:rPr>
        <w:t>,</w:t>
      </w:r>
      <w:r w:rsidRPr="005B69A1">
        <w:rPr>
          <w:sz w:val="20"/>
          <w:szCs w:val="20"/>
        </w:rPr>
        <w:t xml:space="preserve"> 29.</w:t>
      </w:r>
    </w:p>
  </w:footnote>
  <w:footnote w:id="89">
    <w:p w14:paraId="4C8DD3B9"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Cooper, </w:t>
      </w:r>
      <w:r w:rsidRPr="005B69A1">
        <w:rPr>
          <w:i/>
          <w:sz w:val="20"/>
          <w:szCs w:val="20"/>
        </w:rPr>
        <w:t>Citizenship between Empire and Nation</w:t>
      </w:r>
      <w:r>
        <w:rPr>
          <w:sz w:val="20"/>
          <w:szCs w:val="20"/>
        </w:rPr>
        <w:t>,</w:t>
      </w:r>
      <w:r w:rsidRPr="005B69A1">
        <w:rPr>
          <w:sz w:val="20"/>
          <w:szCs w:val="20"/>
        </w:rPr>
        <w:t xml:space="preserve"> 70.</w:t>
      </w:r>
    </w:p>
  </w:footnote>
  <w:footnote w:id="90">
    <w:p w14:paraId="78003F37" w14:textId="4079CC1C" w:rsidR="004A1BEE" w:rsidRPr="005B69A1" w:rsidRDefault="004A1BEE" w:rsidP="00AF16A8">
      <w:pPr>
        <w:pStyle w:val="FootnoteText"/>
        <w:jc w:val="both"/>
        <w:rPr>
          <w:sz w:val="20"/>
          <w:szCs w:val="20"/>
        </w:rPr>
      </w:pPr>
      <w:r w:rsidRPr="003C08B9">
        <w:rPr>
          <w:rStyle w:val="FootnoteReference"/>
        </w:rPr>
        <w:footnoteRef/>
      </w:r>
      <w:r w:rsidRPr="003C08B9">
        <w:t xml:space="preserve"> </w:t>
      </w:r>
      <w:r>
        <w:rPr>
          <w:sz w:val="20"/>
          <w:szCs w:val="20"/>
        </w:rPr>
        <w:t>Ibid.,</w:t>
      </w:r>
      <w:r w:rsidRPr="005B69A1">
        <w:rPr>
          <w:sz w:val="20"/>
          <w:szCs w:val="20"/>
        </w:rPr>
        <w:t xml:space="preserve"> 43-44.</w:t>
      </w:r>
    </w:p>
  </w:footnote>
  <w:footnote w:id="91">
    <w:p w14:paraId="3C86071C"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Cooper, </w:t>
      </w:r>
      <w:r w:rsidRPr="005B69A1">
        <w:rPr>
          <w:i/>
          <w:sz w:val="20"/>
          <w:szCs w:val="20"/>
        </w:rPr>
        <w:t>Citizenship between Empire and Nation</w:t>
      </w:r>
      <w:r>
        <w:rPr>
          <w:sz w:val="20"/>
          <w:szCs w:val="20"/>
        </w:rPr>
        <w:t>,</w:t>
      </w:r>
      <w:r w:rsidRPr="005B69A1">
        <w:rPr>
          <w:sz w:val="20"/>
          <w:szCs w:val="20"/>
        </w:rPr>
        <w:t xml:space="preserve"> 61.</w:t>
      </w:r>
    </w:p>
  </w:footnote>
  <w:footnote w:id="92">
    <w:p w14:paraId="7CCB86D3" w14:textId="382F8228" w:rsidR="004A1BEE" w:rsidRPr="005B69A1" w:rsidRDefault="004A1BEE" w:rsidP="00AF16A8">
      <w:pPr>
        <w:pStyle w:val="FootnoteText"/>
        <w:jc w:val="both"/>
        <w:rPr>
          <w:sz w:val="20"/>
          <w:szCs w:val="20"/>
        </w:rPr>
      </w:pPr>
      <w:r w:rsidRPr="003C08B9">
        <w:rPr>
          <w:rStyle w:val="FootnoteReference"/>
        </w:rPr>
        <w:footnoteRef/>
      </w:r>
      <w:r w:rsidRPr="003C08B9">
        <w:t xml:space="preserve"> </w:t>
      </w:r>
      <w:r>
        <w:rPr>
          <w:sz w:val="20"/>
          <w:szCs w:val="20"/>
        </w:rPr>
        <w:t>Ibid.,</w:t>
      </w:r>
      <w:r w:rsidRPr="005B69A1">
        <w:rPr>
          <w:sz w:val="20"/>
          <w:szCs w:val="20"/>
        </w:rPr>
        <w:t xml:space="preserve"> 76.</w:t>
      </w:r>
    </w:p>
  </w:footnote>
  <w:footnote w:id="93">
    <w:p w14:paraId="27003BB3"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Cooper, </w:t>
      </w:r>
      <w:r w:rsidRPr="005B69A1">
        <w:rPr>
          <w:i/>
          <w:sz w:val="20"/>
          <w:szCs w:val="20"/>
        </w:rPr>
        <w:t>Citizenship between Empire and Nation</w:t>
      </w:r>
      <w:r>
        <w:rPr>
          <w:sz w:val="20"/>
          <w:szCs w:val="20"/>
        </w:rPr>
        <w:t>,</w:t>
      </w:r>
      <w:r w:rsidRPr="005B69A1">
        <w:rPr>
          <w:sz w:val="20"/>
          <w:szCs w:val="20"/>
        </w:rPr>
        <w:t xml:space="preserve"> 151.</w:t>
      </w:r>
    </w:p>
  </w:footnote>
  <w:footnote w:id="94">
    <w:p w14:paraId="4EFEFCFF" w14:textId="6C530C48" w:rsidR="004A1BEE" w:rsidRPr="005B69A1" w:rsidRDefault="004A1BEE" w:rsidP="00AF16A8">
      <w:pPr>
        <w:pStyle w:val="FootnoteText"/>
        <w:jc w:val="both"/>
        <w:rPr>
          <w:sz w:val="20"/>
          <w:szCs w:val="20"/>
        </w:rPr>
      </w:pPr>
      <w:r w:rsidRPr="003C08B9">
        <w:rPr>
          <w:rStyle w:val="FootnoteReference"/>
        </w:rPr>
        <w:footnoteRef/>
      </w:r>
      <w:r w:rsidRPr="003C08B9">
        <w:t xml:space="preserve"> </w:t>
      </w:r>
      <w:r>
        <w:rPr>
          <w:sz w:val="20"/>
          <w:szCs w:val="20"/>
        </w:rPr>
        <w:t>Ibid.,</w:t>
      </w:r>
      <w:r w:rsidRPr="005B69A1">
        <w:rPr>
          <w:sz w:val="20"/>
          <w:szCs w:val="20"/>
        </w:rPr>
        <w:t xml:space="preserve"> 82.</w:t>
      </w:r>
    </w:p>
  </w:footnote>
  <w:footnote w:id="95">
    <w:p w14:paraId="273C9A9B" w14:textId="1868CD14" w:rsidR="004A1BEE" w:rsidRPr="005B69A1" w:rsidRDefault="004A1BEE" w:rsidP="00AF16A8">
      <w:pPr>
        <w:pStyle w:val="FootnoteText"/>
        <w:jc w:val="both"/>
        <w:rPr>
          <w:sz w:val="20"/>
          <w:szCs w:val="20"/>
        </w:rPr>
      </w:pPr>
      <w:r w:rsidRPr="003C08B9">
        <w:rPr>
          <w:rStyle w:val="FootnoteReference"/>
        </w:rPr>
        <w:footnoteRef/>
      </w:r>
      <w:r w:rsidRPr="003C08B9">
        <w:t xml:space="preserve"> </w:t>
      </w:r>
      <w:r>
        <w:rPr>
          <w:sz w:val="20"/>
          <w:szCs w:val="20"/>
        </w:rPr>
        <w:t>Ibid.,</w:t>
      </w:r>
      <w:r w:rsidRPr="005B69A1">
        <w:rPr>
          <w:sz w:val="20"/>
          <w:szCs w:val="20"/>
        </w:rPr>
        <w:t xml:space="preserve"> 113.</w:t>
      </w:r>
    </w:p>
  </w:footnote>
  <w:footnote w:id="96">
    <w:p w14:paraId="5B03E939" w14:textId="419761F0" w:rsidR="004A1BEE" w:rsidRPr="005B69A1" w:rsidRDefault="004A1BEE" w:rsidP="00AF16A8">
      <w:pPr>
        <w:pStyle w:val="FootnoteText"/>
        <w:jc w:val="both"/>
        <w:rPr>
          <w:sz w:val="20"/>
          <w:szCs w:val="20"/>
        </w:rPr>
      </w:pPr>
      <w:r w:rsidRPr="003C08B9">
        <w:rPr>
          <w:rStyle w:val="FootnoteReference"/>
        </w:rPr>
        <w:footnoteRef/>
      </w:r>
      <w:r w:rsidRPr="003C08B9">
        <w:t xml:space="preserve"> </w:t>
      </w:r>
      <w:r>
        <w:rPr>
          <w:sz w:val="20"/>
          <w:szCs w:val="20"/>
        </w:rPr>
        <w:t>Ibid.,</w:t>
      </w:r>
      <w:r w:rsidRPr="005B69A1">
        <w:rPr>
          <w:sz w:val="20"/>
          <w:szCs w:val="20"/>
        </w:rPr>
        <w:t xml:space="preserve"> 126.</w:t>
      </w:r>
    </w:p>
  </w:footnote>
  <w:footnote w:id="97">
    <w:p w14:paraId="40172366" w14:textId="2F0FAA4A" w:rsidR="004A1BEE" w:rsidRPr="005B69A1" w:rsidRDefault="004A1BEE" w:rsidP="00AF16A8">
      <w:pPr>
        <w:pStyle w:val="FootnoteText"/>
        <w:jc w:val="both"/>
        <w:rPr>
          <w:sz w:val="20"/>
          <w:szCs w:val="20"/>
        </w:rPr>
      </w:pPr>
      <w:r w:rsidRPr="003C08B9">
        <w:rPr>
          <w:rStyle w:val="FootnoteReference"/>
        </w:rPr>
        <w:footnoteRef/>
      </w:r>
      <w:r w:rsidRPr="005B69A1">
        <w:rPr>
          <w:sz w:val="20"/>
          <w:szCs w:val="20"/>
        </w:rPr>
        <w:t xml:space="preserve"> </w:t>
      </w:r>
      <w:r>
        <w:rPr>
          <w:sz w:val="20"/>
          <w:szCs w:val="20"/>
        </w:rPr>
        <w:t>Ibid.,</w:t>
      </w:r>
      <w:r w:rsidRPr="005B69A1">
        <w:rPr>
          <w:sz w:val="20"/>
          <w:szCs w:val="20"/>
        </w:rPr>
        <w:t xml:space="preserve">  71. </w:t>
      </w:r>
    </w:p>
  </w:footnote>
  <w:footnote w:id="98">
    <w:p w14:paraId="52B5C4EA"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Cooper, </w:t>
      </w:r>
      <w:r w:rsidRPr="005B69A1">
        <w:rPr>
          <w:i/>
          <w:sz w:val="20"/>
          <w:szCs w:val="20"/>
        </w:rPr>
        <w:t>Citizenship between Empire and Nation</w:t>
      </w:r>
      <w:r>
        <w:rPr>
          <w:sz w:val="20"/>
          <w:szCs w:val="20"/>
        </w:rPr>
        <w:t>,</w:t>
      </w:r>
      <w:r w:rsidRPr="005B69A1">
        <w:rPr>
          <w:sz w:val="20"/>
          <w:szCs w:val="20"/>
        </w:rPr>
        <w:t xml:space="preserve"> 130.</w:t>
      </w:r>
    </w:p>
  </w:footnote>
  <w:footnote w:id="99">
    <w:p w14:paraId="22501C14" w14:textId="5AF00461" w:rsidR="004A1BEE" w:rsidRPr="005B69A1" w:rsidRDefault="004A1BEE" w:rsidP="00AF16A8">
      <w:pPr>
        <w:pStyle w:val="FootnoteText"/>
        <w:jc w:val="both"/>
        <w:rPr>
          <w:sz w:val="20"/>
          <w:szCs w:val="20"/>
        </w:rPr>
      </w:pPr>
      <w:r w:rsidRPr="003C08B9">
        <w:rPr>
          <w:rStyle w:val="FootnoteReference"/>
        </w:rPr>
        <w:footnoteRef/>
      </w:r>
      <w:r w:rsidRPr="003C08B9">
        <w:t xml:space="preserve"> </w:t>
      </w:r>
      <w:r>
        <w:rPr>
          <w:sz w:val="20"/>
          <w:szCs w:val="20"/>
        </w:rPr>
        <w:t>Ibid.,</w:t>
      </w:r>
      <w:r w:rsidRPr="005B69A1">
        <w:rPr>
          <w:sz w:val="20"/>
          <w:szCs w:val="20"/>
        </w:rPr>
        <w:t xml:space="preserve"> 129.</w:t>
      </w:r>
    </w:p>
  </w:footnote>
  <w:footnote w:id="100">
    <w:p w14:paraId="7651E149" w14:textId="77777777" w:rsidR="004A1BEE" w:rsidRPr="000151C0" w:rsidRDefault="004A1BEE" w:rsidP="00AF16A8">
      <w:pPr>
        <w:pStyle w:val="FootnoteText"/>
        <w:jc w:val="both"/>
      </w:pPr>
      <w:r>
        <w:rPr>
          <w:rStyle w:val="FootnoteReference"/>
        </w:rPr>
        <w:footnoteRef/>
      </w:r>
      <w:r>
        <w:t xml:space="preserve"> </w:t>
      </w:r>
      <w:r w:rsidRPr="000151C0">
        <w:rPr>
          <w:sz w:val="20"/>
          <w:szCs w:val="20"/>
        </w:rPr>
        <w:t xml:space="preserve">Lambert, “From Citizenship to </w:t>
      </w:r>
      <w:r w:rsidRPr="000151C0">
        <w:rPr>
          <w:i/>
          <w:sz w:val="20"/>
          <w:szCs w:val="20"/>
        </w:rPr>
        <w:t>Négritude</w:t>
      </w:r>
      <w:r>
        <w:rPr>
          <w:sz w:val="20"/>
          <w:szCs w:val="20"/>
        </w:rPr>
        <w:t xml:space="preserve">,” </w:t>
      </w:r>
      <w:r w:rsidRPr="000151C0">
        <w:rPr>
          <w:sz w:val="20"/>
          <w:szCs w:val="20"/>
        </w:rPr>
        <w:t>240.</w:t>
      </w:r>
    </w:p>
  </w:footnote>
  <w:footnote w:id="101">
    <w:p w14:paraId="3E3CAC4C"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Cooper, </w:t>
      </w:r>
      <w:r w:rsidRPr="005B69A1">
        <w:rPr>
          <w:i/>
          <w:sz w:val="20"/>
          <w:szCs w:val="20"/>
        </w:rPr>
        <w:t>Citizenship between Empire and Nation</w:t>
      </w:r>
      <w:r>
        <w:rPr>
          <w:sz w:val="20"/>
          <w:szCs w:val="20"/>
        </w:rPr>
        <w:t>,</w:t>
      </w:r>
      <w:r w:rsidRPr="005B69A1">
        <w:rPr>
          <w:sz w:val="20"/>
          <w:szCs w:val="20"/>
        </w:rPr>
        <w:t xml:space="preserve"> 256.</w:t>
      </w:r>
    </w:p>
  </w:footnote>
  <w:footnote w:id="102">
    <w:p w14:paraId="38AAC656" w14:textId="1D1B6969" w:rsidR="004A1BEE" w:rsidRPr="005B69A1" w:rsidRDefault="004A1BEE" w:rsidP="00AF16A8">
      <w:pPr>
        <w:pStyle w:val="FootnoteText"/>
        <w:jc w:val="both"/>
        <w:rPr>
          <w:sz w:val="20"/>
          <w:szCs w:val="20"/>
        </w:rPr>
      </w:pPr>
      <w:r w:rsidRPr="003C08B9">
        <w:rPr>
          <w:rStyle w:val="FootnoteReference"/>
        </w:rPr>
        <w:footnoteRef/>
      </w:r>
      <w:r w:rsidRPr="003C08B9">
        <w:t xml:space="preserve"> </w:t>
      </w:r>
      <w:r>
        <w:rPr>
          <w:sz w:val="20"/>
          <w:szCs w:val="20"/>
        </w:rPr>
        <w:t>Ibid.,</w:t>
      </w:r>
      <w:r w:rsidRPr="005B69A1">
        <w:rPr>
          <w:sz w:val="20"/>
          <w:szCs w:val="20"/>
        </w:rPr>
        <w:t xml:space="preserve"> 340.</w:t>
      </w:r>
    </w:p>
  </w:footnote>
  <w:footnote w:id="103">
    <w:p w14:paraId="0A87AC35" w14:textId="1CC0B522" w:rsidR="004A1BEE" w:rsidRPr="005B69A1" w:rsidRDefault="004A1BEE" w:rsidP="00AF16A8">
      <w:pPr>
        <w:pStyle w:val="FootnoteText"/>
        <w:jc w:val="both"/>
        <w:rPr>
          <w:sz w:val="20"/>
          <w:szCs w:val="20"/>
        </w:rPr>
      </w:pPr>
      <w:r w:rsidRPr="003C08B9">
        <w:rPr>
          <w:rStyle w:val="FootnoteReference"/>
        </w:rPr>
        <w:footnoteRef/>
      </w:r>
      <w:r w:rsidRPr="005B69A1">
        <w:rPr>
          <w:sz w:val="20"/>
          <w:szCs w:val="20"/>
        </w:rPr>
        <w:t xml:space="preserve"> </w:t>
      </w:r>
      <w:r>
        <w:rPr>
          <w:sz w:val="20"/>
          <w:szCs w:val="20"/>
        </w:rPr>
        <w:t>Ibid.,</w:t>
      </w:r>
      <w:r w:rsidRPr="005B69A1">
        <w:rPr>
          <w:sz w:val="20"/>
          <w:szCs w:val="20"/>
        </w:rPr>
        <w:t xml:space="preserve"> 372.</w:t>
      </w:r>
    </w:p>
  </w:footnote>
  <w:footnote w:id="104">
    <w:p w14:paraId="11E6345D" w14:textId="77777777" w:rsidR="004A1BEE" w:rsidRPr="005B69A1" w:rsidRDefault="004A1BEE" w:rsidP="00AF16A8">
      <w:pPr>
        <w:pStyle w:val="FootnoteText"/>
        <w:jc w:val="both"/>
        <w:rPr>
          <w:sz w:val="20"/>
          <w:szCs w:val="20"/>
        </w:rPr>
      </w:pPr>
      <w:r w:rsidRPr="003C08B9">
        <w:rPr>
          <w:rStyle w:val="FootnoteReference"/>
        </w:rPr>
        <w:footnoteRef/>
      </w:r>
      <w:r w:rsidRPr="005B69A1">
        <w:rPr>
          <w:sz w:val="20"/>
          <w:szCs w:val="20"/>
        </w:rPr>
        <w:t xml:space="preserve"> Cooper, </w:t>
      </w:r>
      <w:r w:rsidRPr="005B69A1">
        <w:rPr>
          <w:i/>
          <w:sz w:val="20"/>
          <w:szCs w:val="20"/>
        </w:rPr>
        <w:t>Citizenship between Empire and Nation</w:t>
      </w:r>
      <w:r>
        <w:rPr>
          <w:sz w:val="20"/>
          <w:szCs w:val="20"/>
        </w:rPr>
        <w:t>,</w:t>
      </w:r>
      <w:r w:rsidRPr="005B69A1">
        <w:rPr>
          <w:sz w:val="20"/>
          <w:szCs w:val="20"/>
        </w:rPr>
        <w:t xml:space="preserve"> 432.</w:t>
      </w:r>
    </w:p>
  </w:footnote>
  <w:footnote w:id="105">
    <w:p w14:paraId="477395B9" w14:textId="77777777" w:rsidR="004A1BEE" w:rsidRPr="005B69A1" w:rsidRDefault="004A1BEE" w:rsidP="00AF16A8">
      <w:pPr>
        <w:pStyle w:val="FootnoteText"/>
        <w:jc w:val="both"/>
        <w:rPr>
          <w:sz w:val="20"/>
          <w:szCs w:val="20"/>
        </w:rPr>
      </w:pPr>
      <w:r w:rsidRPr="003C08B9">
        <w:rPr>
          <w:rStyle w:val="FootnoteReference"/>
        </w:rPr>
        <w:footnoteRef/>
      </w:r>
      <w:r w:rsidRPr="003C08B9">
        <w:t xml:space="preserve"> </w:t>
      </w:r>
      <w:r w:rsidRPr="005B69A1">
        <w:rPr>
          <w:sz w:val="20"/>
          <w:szCs w:val="20"/>
        </w:rPr>
        <w:t xml:space="preserve">Ayittey, </w:t>
      </w:r>
      <w:r w:rsidRPr="005B69A1">
        <w:rPr>
          <w:i/>
          <w:sz w:val="20"/>
          <w:szCs w:val="20"/>
        </w:rPr>
        <w:t>Africa Betrayed</w:t>
      </w:r>
      <w:r>
        <w:rPr>
          <w:sz w:val="20"/>
          <w:szCs w:val="20"/>
        </w:rPr>
        <w:t>,</w:t>
      </w:r>
      <w:r w:rsidRPr="005B69A1">
        <w:rPr>
          <w:sz w:val="20"/>
          <w:szCs w:val="20"/>
        </w:rPr>
        <w:t xml:space="preserve"> 98.</w:t>
      </w:r>
    </w:p>
  </w:footnote>
  <w:footnote w:id="106">
    <w:p w14:paraId="3843AE0D" w14:textId="77777777" w:rsidR="004A1BEE" w:rsidRPr="005B69A1" w:rsidRDefault="004A1BEE" w:rsidP="00AF16A8">
      <w:pPr>
        <w:pStyle w:val="FootnoteText"/>
        <w:jc w:val="both"/>
        <w:rPr>
          <w:sz w:val="20"/>
          <w:szCs w:val="20"/>
        </w:rPr>
      </w:pPr>
      <w:r w:rsidRPr="003C08B9">
        <w:rPr>
          <w:rStyle w:val="FootnoteReference"/>
        </w:rPr>
        <w:footnoteRef/>
      </w:r>
      <w:r w:rsidRPr="005B69A1">
        <w:rPr>
          <w:sz w:val="20"/>
          <w:szCs w:val="20"/>
        </w:rPr>
        <w:t xml:space="preserve"> Cooper, </w:t>
      </w:r>
      <w:r w:rsidRPr="005B69A1">
        <w:rPr>
          <w:i/>
          <w:sz w:val="20"/>
          <w:szCs w:val="20"/>
        </w:rPr>
        <w:t>Citizenship between Empire and Nation</w:t>
      </w:r>
      <w:r>
        <w:rPr>
          <w:sz w:val="20"/>
          <w:szCs w:val="20"/>
        </w:rPr>
        <w:t>,</w:t>
      </w:r>
      <w:r w:rsidRPr="005B69A1">
        <w:rPr>
          <w:sz w:val="20"/>
          <w:szCs w:val="20"/>
        </w:rPr>
        <w:t xml:space="preserve"> 416.</w:t>
      </w:r>
    </w:p>
  </w:footnote>
  <w:footnote w:id="107">
    <w:p w14:paraId="17790C61" w14:textId="77777777" w:rsidR="004A1BEE" w:rsidRPr="005B69A1" w:rsidRDefault="004A1BEE" w:rsidP="00AF16A8">
      <w:pPr>
        <w:pStyle w:val="FootnoteText"/>
        <w:jc w:val="both"/>
        <w:rPr>
          <w:sz w:val="20"/>
          <w:szCs w:val="20"/>
        </w:rPr>
      </w:pPr>
      <w:r w:rsidRPr="00191870">
        <w:rPr>
          <w:rStyle w:val="FootnoteReference"/>
        </w:rPr>
        <w:footnoteRef/>
      </w:r>
      <w:r w:rsidRPr="005B69A1">
        <w:rPr>
          <w:sz w:val="20"/>
          <w:szCs w:val="20"/>
        </w:rPr>
        <w:t xml:space="preserve"> Cooper, </w:t>
      </w:r>
      <w:r w:rsidRPr="005B69A1">
        <w:rPr>
          <w:i/>
          <w:sz w:val="20"/>
          <w:szCs w:val="20"/>
        </w:rPr>
        <w:t>Citizenship between Empire and Nation</w:t>
      </w:r>
      <w:r>
        <w:rPr>
          <w:sz w:val="20"/>
          <w:szCs w:val="20"/>
        </w:rPr>
        <w:t>,</w:t>
      </w:r>
      <w:r w:rsidRPr="005B69A1">
        <w:rPr>
          <w:sz w:val="20"/>
          <w:szCs w:val="20"/>
        </w:rPr>
        <w:t xml:space="preserve"> 423.</w:t>
      </w:r>
    </w:p>
  </w:footnote>
  <w:footnote w:id="108">
    <w:p w14:paraId="19DCAF0C" w14:textId="77777777" w:rsidR="004A1BEE" w:rsidRPr="005B69A1" w:rsidRDefault="004A1BEE" w:rsidP="00AF16A8">
      <w:pPr>
        <w:pStyle w:val="FootnoteText"/>
        <w:jc w:val="both"/>
        <w:rPr>
          <w:sz w:val="20"/>
          <w:szCs w:val="20"/>
        </w:rPr>
      </w:pPr>
      <w:r w:rsidRPr="00F50F7F">
        <w:rPr>
          <w:rStyle w:val="FootnoteReference"/>
        </w:rPr>
        <w:footnoteRef/>
      </w:r>
      <w:r w:rsidRPr="00F50F7F">
        <w:t xml:space="preserve"> </w:t>
      </w:r>
      <w:r w:rsidRPr="005B69A1">
        <w:rPr>
          <w:sz w:val="20"/>
          <w:szCs w:val="20"/>
        </w:rPr>
        <w:t xml:space="preserve">Conklin, </w:t>
      </w:r>
      <w:r>
        <w:rPr>
          <w:i/>
          <w:sz w:val="20"/>
          <w:szCs w:val="20"/>
        </w:rPr>
        <w:t>A Mission to Civilize,</w:t>
      </w:r>
      <w:r w:rsidRPr="005B69A1">
        <w:rPr>
          <w:i/>
          <w:sz w:val="20"/>
          <w:szCs w:val="20"/>
        </w:rPr>
        <w:t xml:space="preserve"> </w:t>
      </w:r>
      <w:r w:rsidRPr="005B69A1">
        <w:rPr>
          <w:sz w:val="20"/>
          <w:szCs w:val="20"/>
        </w:rPr>
        <w:t>185.</w:t>
      </w:r>
    </w:p>
  </w:footnote>
  <w:footnote w:id="109">
    <w:p w14:paraId="42340F9D" w14:textId="77777777" w:rsidR="004A1BEE" w:rsidRPr="005B69A1" w:rsidRDefault="004A1BEE" w:rsidP="00AF16A8">
      <w:pPr>
        <w:pStyle w:val="FootnoteText"/>
        <w:jc w:val="both"/>
        <w:rPr>
          <w:sz w:val="20"/>
          <w:szCs w:val="20"/>
        </w:rPr>
      </w:pPr>
      <w:r w:rsidRPr="00F50F7F">
        <w:rPr>
          <w:rStyle w:val="FootnoteReference"/>
        </w:rPr>
        <w:footnoteRef/>
      </w:r>
      <w:r w:rsidRPr="005B69A1">
        <w:rPr>
          <w:sz w:val="20"/>
          <w:szCs w:val="20"/>
        </w:rPr>
        <w:t xml:space="preserve"> Mann, </w:t>
      </w:r>
      <w:r>
        <w:rPr>
          <w:i/>
          <w:sz w:val="20"/>
          <w:szCs w:val="20"/>
        </w:rPr>
        <w:t>Native Sons,</w:t>
      </w:r>
      <w:r w:rsidRPr="005B69A1">
        <w:rPr>
          <w:sz w:val="20"/>
          <w:szCs w:val="20"/>
        </w:rPr>
        <w:t xml:space="preserve"> 8.</w:t>
      </w:r>
    </w:p>
  </w:footnote>
  <w:footnote w:id="110">
    <w:p w14:paraId="23539ADB" w14:textId="0FDC5F30" w:rsidR="004A1BEE" w:rsidRPr="00B059BA" w:rsidRDefault="004A1BEE" w:rsidP="00DF5D73">
      <w:pPr>
        <w:pStyle w:val="FootnoteText"/>
      </w:pPr>
      <w:r>
        <w:rPr>
          <w:rStyle w:val="FootnoteReference"/>
        </w:rPr>
        <w:footnoteRef/>
      </w:r>
      <w:r>
        <w:t xml:space="preserve"> </w:t>
      </w:r>
      <w:r w:rsidRPr="00B059BA">
        <w:rPr>
          <w:sz w:val="20"/>
          <w:szCs w:val="20"/>
        </w:rPr>
        <w:t xml:space="preserve">Martial K. Frindéhié, </w:t>
      </w:r>
      <w:r w:rsidRPr="00B059BA">
        <w:rPr>
          <w:i/>
          <w:sz w:val="20"/>
          <w:szCs w:val="20"/>
        </w:rPr>
        <w:t xml:space="preserve">From Lumumba to Gbagbo: Africa in the </w:t>
      </w:r>
      <w:r>
        <w:rPr>
          <w:i/>
          <w:sz w:val="20"/>
          <w:szCs w:val="20"/>
        </w:rPr>
        <w:t>E</w:t>
      </w:r>
      <w:r w:rsidRPr="00B059BA">
        <w:rPr>
          <w:i/>
          <w:sz w:val="20"/>
          <w:szCs w:val="20"/>
        </w:rPr>
        <w:t>ddy of the Euro-Am</w:t>
      </w:r>
      <w:r>
        <w:rPr>
          <w:i/>
          <w:sz w:val="20"/>
          <w:szCs w:val="20"/>
        </w:rPr>
        <w:t>erican Quest for Exceptionalism</w:t>
      </w:r>
      <w:r w:rsidRPr="00B059BA">
        <w:rPr>
          <w:i/>
          <w:sz w:val="20"/>
          <w:szCs w:val="20"/>
        </w:rPr>
        <w:t xml:space="preserve"> </w:t>
      </w:r>
      <w:r>
        <w:rPr>
          <w:sz w:val="20"/>
          <w:szCs w:val="20"/>
        </w:rPr>
        <w:t>(</w:t>
      </w:r>
      <w:r w:rsidRPr="00B059BA">
        <w:rPr>
          <w:sz w:val="20"/>
          <w:szCs w:val="20"/>
        </w:rPr>
        <w:t>Jefferson, North Carolina: McFarland &amp; Company, 2016</w:t>
      </w:r>
      <w:r>
        <w:rPr>
          <w:sz w:val="20"/>
          <w:szCs w:val="20"/>
        </w:rPr>
        <w:t>)</w:t>
      </w:r>
      <w:r w:rsidRPr="00B059BA">
        <w:rPr>
          <w:sz w:val="20"/>
          <w:szCs w:val="20"/>
        </w:rPr>
        <w:t>, 81.</w:t>
      </w:r>
    </w:p>
  </w:footnote>
  <w:footnote w:id="111">
    <w:p w14:paraId="59688BDD" w14:textId="77777777" w:rsidR="004A1BEE" w:rsidRDefault="004A1BEE" w:rsidP="00DF5D73">
      <w:pPr>
        <w:pStyle w:val="FootnoteText"/>
      </w:pPr>
      <w:r>
        <w:rPr>
          <w:rStyle w:val="FootnoteReference"/>
        </w:rPr>
        <w:footnoteRef/>
      </w:r>
      <w:r>
        <w:t xml:space="preserve"> </w:t>
      </w:r>
      <w:r>
        <w:rPr>
          <w:sz w:val="20"/>
          <w:szCs w:val="20"/>
        </w:rPr>
        <w:t>According to Maja Bovcon, t</w:t>
      </w:r>
      <w:r w:rsidRPr="00623CEC">
        <w:rPr>
          <w:sz w:val="20"/>
          <w:szCs w:val="20"/>
        </w:rPr>
        <w:t xml:space="preserve">he meaning of Françafrique as a “concept tends to oscillate between its narrower sense focusing on the corrupt informal Franco-African networks…and a broad description of the Franco-African relationship, in which these informal networks are only one, even if an important part.” </w:t>
      </w:r>
      <w:r w:rsidRPr="00A05E25">
        <w:rPr>
          <w:sz w:val="20"/>
          <w:szCs w:val="20"/>
        </w:rPr>
        <w:t>Maja Bovcon, “</w:t>
      </w:r>
      <w:r w:rsidRPr="00A05E25">
        <w:rPr>
          <w:i/>
          <w:sz w:val="20"/>
          <w:szCs w:val="20"/>
        </w:rPr>
        <w:t xml:space="preserve">Françafrique </w:t>
      </w:r>
      <w:r>
        <w:rPr>
          <w:sz w:val="20"/>
          <w:szCs w:val="20"/>
        </w:rPr>
        <w:t>and Regime T</w:t>
      </w:r>
      <w:r w:rsidRPr="00A05E25">
        <w:rPr>
          <w:sz w:val="20"/>
          <w:szCs w:val="20"/>
        </w:rPr>
        <w:t xml:space="preserve">heory,” </w:t>
      </w:r>
      <w:r w:rsidRPr="00A05E25">
        <w:rPr>
          <w:i/>
          <w:sz w:val="20"/>
          <w:szCs w:val="20"/>
        </w:rPr>
        <w:t xml:space="preserve">European Journal of International Relations </w:t>
      </w:r>
      <w:r w:rsidRPr="00A05E25">
        <w:rPr>
          <w:sz w:val="20"/>
          <w:szCs w:val="20"/>
        </w:rPr>
        <w:t>19.1 (2</w:t>
      </w:r>
      <w:r>
        <w:rPr>
          <w:sz w:val="20"/>
          <w:szCs w:val="20"/>
        </w:rPr>
        <w:t>011),</w:t>
      </w:r>
      <w:r w:rsidRPr="00A05E25">
        <w:rPr>
          <w:sz w:val="20"/>
          <w:szCs w:val="20"/>
        </w:rPr>
        <w:t xml:space="preserve"> 6.</w:t>
      </w:r>
    </w:p>
  </w:footnote>
  <w:footnote w:id="112">
    <w:p w14:paraId="1ACA81FE" w14:textId="635A89E4" w:rsidR="004A1BEE" w:rsidRPr="0095703C" w:rsidRDefault="004A1BEE" w:rsidP="00DF5D73">
      <w:pPr>
        <w:pStyle w:val="FootnoteText"/>
      </w:pPr>
      <w:r>
        <w:rPr>
          <w:rStyle w:val="FootnoteReference"/>
        </w:rPr>
        <w:footnoteRef/>
      </w:r>
      <w:r>
        <w:t xml:space="preserve"> </w:t>
      </w:r>
      <w:r w:rsidRPr="0095703C">
        <w:rPr>
          <w:i/>
          <w:sz w:val="20"/>
          <w:szCs w:val="20"/>
        </w:rPr>
        <w:t>The Economist,</w:t>
      </w:r>
      <w:r w:rsidRPr="0095703C">
        <w:rPr>
          <w:sz w:val="20"/>
          <w:szCs w:val="20"/>
        </w:rPr>
        <w:t xml:space="preserve"> </w:t>
      </w:r>
      <w:r>
        <w:rPr>
          <w:sz w:val="20"/>
          <w:szCs w:val="20"/>
        </w:rPr>
        <w:t>“</w:t>
      </w:r>
      <w:r w:rsidRPr="0095703C">
        <w:rPr>
          <w:sz w:val="20"/>
          <w:szCs w:val="20"/>
        </w:rPr>
        <w:t>No Winds of Change,” Jun</w:t>
      </w:r>
      <w:r>
        <w:rPr>
          <w:sz w:val="20"/>
          <w:szCs w:val="20"/>
        </w:rPr>
        <w:t xml:space="preserve">e 1, 2010, accessed </w:t>
      </w:r>
      <w:r w:rsidRPr="0095703C">
        <w:rPr>
          <w:sz w:val="20"/>
          <w:szCs w:val="20"/>
        </w:rPr>
        <w:t xml:space="preserve">Oct </w:t>
      </w:r>
      <w:r>
        <w:rPr>
          <w:sz w:val="20"/>
          <w:szCs w:val="20"/>
        </w:rPr>
        <w:t xml:space="preserve">23, </w:t>
      </w:r>
      <w:r w:rsidRPr="0095703C">
        <w:rPr>
          <w:sz w:val="20"/>
          <w:szCs w:val="20"/>
        </w:rPr>
        <w:t>2016</w:t>
      </w:r>
      <w:r>
        <w:rPr>
          <w:sz w:val="20"/>
          <w:szCs w:val="20"/>
        </w:rPr>
        <w:t xml:space="preserve">, </w:t>
      </w:r>
      <w:r w:rsidRPr="00D03829">
        <w:rPr>
          <w:rFonts w:cs="Times New Roman"/>
          <w:sz w:val="20"/>
          <w:szCs w:val="20"/>
        </w:rPr>
        <w:t>http://www.economist.com/node/16266978.</w:t>
      </w:r>
    </w:p>
  </w:footnote>
  <w:footnote w:id="113">
    <w:p w14:paraId="65E9A58B" w14:textId="77777777" w:rsidR="004A1BEE" w:rsidRPr="00EB0D86" w:rsidRDefault="004A1BEE" w:rsidP="00DF5D73">
      <w:pPr>
        <w:pStyle w:val="FootnoteText"/>
      </w:pPr>
      <w:r>
        <w:rPr>
          <w:rStyle w:val="FootnoteReference"/>
        </w:rPr>
        <w:footnoteRef/>
      </w:r>
      <w:r>
        <w:t xml:space="preserve"> </w:t>
      </w:r>
      <w:r w:rsidRPr="00EB0D86">
        <w:rPr>
          <w:sz w:val="20"/>
          <w:szCs w:val="20"/>
        </w:rPr>
        <w:t xml:space="preserve">Christophe Boisbouvier, “50 Years Later, Françafrique </w:t>
      </w:r>
      <w:r>
        <w:rPr>
          <w:sz w:val="20"/>
          <w:szCs w:val="20"/>
        </w:rPr>
        <w:t>Is Alive a</w:t>
      </w:r>
      <w:r w:rsidRPr="00EB0D86">
        <w:rPr>
          <w:sz w:val="20"/>
          <w:szCs w:val="20"/>
        </w:rPr>
        <w:t xml:space="preserve">nd Well,” </w:t>
      </w:r>
      <w:r w:rsidRPr="00EB0D86">
        <w:rPr>
          <w:i/>
          <w:sz w:val="20"/>
          <w:szCs w:val="20"/>
        </w:rPr>
        <w:t xml:space="preserve">RFI, </w:t>
      </w:r>
      <w:r w:rsidRPr="00EB0D86">
        <w:rPr>
          <w:sz w:val="20"/>
          <w:szCs w:val="20"/>
        </w:rPr>
        <w:t>Feb</w:t>
      </w:r>
      <w:r>
        <w:rPr>
          <w:sz w:val="20"/>
          <w:szCs w:val="20"/>
        </w:rPr>
        <w:t>ruary</w:t>
      </w:r>
      <w:r w:rsidRPr="00EB0D86">
        <w:rPr>
          <w:sz w:val="20"/>
          <w:szCs w:val="20"/>
        </w:rPr>
        <w:t xml:space="preserve"> </w:t>
      </w:r>
      <w:r>
        <w:rPr>
          <w:sz w:val="20"/>
          <w:szCs w:val="20"/>
        </w:rPr>
        <w:t xml:space="preserve">20, </w:t>
      </w:r>
      <w:r w:rsidRPr="00EB0D86">
        <w:rPr>
          <w:sz w:val="20"/>
          <w:szCs w:val="20"/>
        </w:rPr>
        <w:t>2010, accessed Oct</w:t>
      </w:r>
      <w:r>
        <w:rPr>
          <w:sz w:val="20"/>
          <w:szCs w:val="20"/>
        </w:rPr>
        <w:t>ober</w:t>
      </w:r>
      <w:r w:rsidRPr="00EB0D86">
        <w:rPr>
          <w:sz w:val="20"/>
          <w:szCs w:val="20"/>
        </w:rPr>
        <w:t xml:space="preserve"> 25, 2016</w:t>
      </w:r>
      <w:r>
        <w:rPr>
          <w:sz w:val="20"/>
          <w:szCs w:val="20"/>
        </w:rPr>
        <w:t xml:space="preserve">, </w:t>
      </w:r>
      <w:r w:rsidRPr="00D03829">
        <w:rPr>
          <w:rFonts w:cs="Times New Roman"/>
          <w:sz w:val="20"/>
          <w:szCs w:val="20"/>
        </w:rPr>
        <w:t>http://en.rfi.fr/africa/20100216-50-years-later-francafrique-alive-and-well.</w:t>
      </w:r>
    </w:p>
  </w:footnote>
  <w:footnote w:id="114">
    <w:p w14:paraId="4F80AF25" w14:textId="77777777" w:rsidR="004A1BEE" w:rsidRPr="00733F76" w:rsidRDefault="004A1BEE" w:rsidP="00DF5D73">
      <w:pPr>
        <w:pStyle w:val="FootnoteText"/>
      </w:pPr>
      <w:r>
        <w:rPr>
          <w:rStyle w:val="FootnoteReference"/>
        </w:rPr>
        <w:footnoteRef/>
      </w:r>
      <w:r>
        <w:t xml:space="preserve"> </w:t>
      </w:r>
      <w:r w:rsidRPr="00744DE6">
        <w:rPr>
          <w:sz w:val="20"/>
          <w:szCs w:val="20"/>
        </w:rPr>
        <w:t xml:space="preserve">Tony Chafer, </w:t>
      </w:r>
      <w:r w:rsidRPr="00744DE6">
        <w:rPr>
          <w:i/>
          <w:sz w:val="20"/>
          <w:szCs w:val="20"/>
        </w:rPr>
        <w:t xml:space="preserve">The End of Empire in French West Africa: France’s Successful Decolonization? </w:t>
      </w:r>
      <w:r w:rsidRPr="00744DE6">
        <w:rPr>
          <w:sz w:val="20"/>
          <w:szCs w:val="20"/>
        </w:rPr>
        <w:t>(Berg: New York, 2002): 10.</w:t>
      </w:r>
    </w:p>
  </w:footnote>
  <w:footnote w:id="115">
    <w:p w14:paraId="16CBFCA1" w14:textId="77777777" w:rsidR="004A1BEE" w:rsidRPr="0035199D" w:rsidRDefault="004A1BEE" w:rsidP="00DF5D73">
      <w:pPr>
        <w:pStyle w:val="FootnoteText"/>
      </w:pPr>
      <w:r>
        <w:rPr>
          <w:rStyle w:val="FootnoteReference"/>
        </w:rPr>
        <w:footnoteRef/>
      </w:r>
      <w:r>
        <w:t xml:space="preserve"> </w:t>
      </w:r>
      <w:r w:rsidRPr="0035199D">
        <w:rPr>
          <w:i/>
          <w:sz w:val="20"/>
          <w:szCs w:val="20"/>
        </w:rPr>
        <w:t>pré carré</w:t>
      </w:r>
      <w:r>
        <w:rPr>
          <w:i/>
          <w:sz w:val="20"/>
          <w:szCs w:val="20"/>
        </w:rPr>
        <w:t xml:space="preserve"> </w:t>
      </w:r>
    </w:p>
  </w:footnote>
  <w:footnote w:id="116">
    <w:p w14:paraId="2AA76C54" w14:textId="77777777" w:rsidR="004A1BEE" w:rsidRDefault="004A1BEE" w:rsidP="00DF5D73">
      <w:pPr>
        <w:pStyle w:val="FootnoteText"/>
      </w:pPr>
      <w:r>
        <w:rPr>
          <w:rStyle w:val="FootnoteReference"/>
        </w:rPr>
        <w:footnoteRef/>
      </w:r>
      <w:r>
        <w:t xml:space="preserve"> </w:t>
      </w:r>
      <w:r w:rsidRPr="00071213">
        <w:rPr>
          <w:sz w:val="20"/>
          <w:szCs w:val="20"/>
        </w:rPr>
        <w:t>Alison B</w:t>
      </w:r>
      <w:r>
        <w:rPr>
          <w:sz w:val="20"/>
          <w:szCs w:val="20"/>
        </w:rPr>
        <w:t>r</w:t>
      </w:r>
      <w:r w:rsidRPr="00071213">
        <w:rPr>
          <w:sz w:val="20"/>
          <w:szCs w:val="20"/>
        </w:rPr>
        <w:t>ysk, Craig Par</w:t>
      </w:r>
      <w:r>
        <w:rPr>
          <w:sz w:val="20"/>
          <w:szCs w:val="20"/>
        </w:rPr>
        <w:t>s</w:t>
      </w:r>
      <w:r w:rsidRPr="00071213">
        <w:rPr>
          <w:sz w:val="20"/>
          <w:szCs w:val="20"/>
        </w:rPr>
        <w:t xml:space="preserve">ons, and Wayne Sandholtz, “After Empire: National Identity and Post-Colonial Families of Nations,” </w:t>
      </w:r>
      <w:r w:rsidRPr="00071213">
        <w:rPr>
          <w:i/>
          <w:sz w:val="20"/>
          <w:szCs w:val="20"/>
        </w:rPr>
        <w:t xml:space="preserve">European Journal of International Relations </w:t>
      </w:r>
      <w:r>
        <w:rPr>
          <w:sz w:val="20"/>
          <w:szCs w:val="20"/>
        </w:rPr>
        <w:t>8.2 (2002): 267-8.</w:t>
      </w:r>
    </w:p>
  </w:footnote>
  <w:footnote w:id="117">
    <w:p w14:paraId="73F3A310" w14:textId="27F1918D" w:rsidR="004A1BEE" w:rsidRPr="00183F52" w:rsidRDefault="004A1BEE" w:rsidP="00DF5D73">
      <w:pPr>
        <w:pStyle w:val="FootnoteText"/>
      </w:pPr>
      <w:r>
        <w:rPr>
          <w:rStyle w:val="FootnoteReference"/>
        </w:rPr>
        <w:footnoteRef/>
      </w:r>
      <w:r>
        <w:t xml:space="preserve"> </w:t>
      </w:r>
      <w:r w:rsidRPr="00183F52">
        <w:rPr>
          <w:sz w:val="20"/>
          <w:szCs w:val="20"/>
        </w:rPr>
        <w:t>Bovcon, “</w:t>
      </w:r>
      <w:r w:rsidRPr="00183F52">
        <w:rPr>
          <w:i/>
          <w:sz w:val="20"/>
          <w:szCs w:val="20"/>
        </w:rPr>
        <w:t>Françafrique</w:t>
      </w:r>
      <w:r>
        <w:rPr>
          <w:i/>
          <w:sz w:val="20"/>
          <w:szCs w:val="20"/>
        </w:rPr>
        <w:t xml:space="preserve"> and Regime Theory</w:t>
      </w:r>
      <w:r w:rsidRPr="00183F52">
        <w:rPr>
          <w:i/>
          <w:sz w:val="20"/>
          <w:szCs w:val="20"/>
        </w:rPr>
        <w:t>,</w:t>
      </w:r>
      <w:r>
        <w:rPr>
          <w:sz w:val="20"/>
          <w:szCs w:val="20"/>
        </w:rPr>
        <w:t>” 11</w:t>
      </w:r>
      <w:r w:rsidRPr="00183F52">
        <w:rPr>
          <w:sz w:val="20"/>
          <w:szCs w:val="20"/>
        </w:rPr>
        <w:t>.</w:t>
      </w:r>
    </w:p>
  </w:footnote>
  <w:footnote w:id="118">
    <w:p w14:paraId="64C380C4" w14:textId="77777777" w:rsidR="004A1BEE" w:rsidRDefault="004A1BEE" w:rsidP="00DF5D73">
      <w:pPr>
        <w:pStyle w:val="FootnoteText"/>
      </w:pPr>
      <w:r>
        <w:rPr>
          <w:rStyle w:val="FootnoteReference"/>
        </w:rPr>
        <w:footnoteRef/>
      </w:r>
      <w:r>
        <w:t xml:space="preserve"> </w:t>
      </w:r>
      <w:r w:rsidRPr="00071213">
        <w:rPr>
          <w:sz w:val="20"/>
          <w:szCs w:val="20"/>
        </w:rPr>
        <w:t>B</w:t>
      </w:r>
      <w:r>
        <w:rPr>
          <w:sz w:val="20"/>
          <w:szCs w:val="20"/>
        </w:rPr>
        <w:t xml:space="preserve">rysk, </w:t>
      </w:r>
      <w:r w:rsidRPr="00071213">
        <w:rPr>
          <w:sz w:val="20"/>
          <w:szCs w:val="20"/>
        </w:rPr>
        <w:t>Par</w:t>
      </w:r>
      <w:r>
        <w:rPr>
          <w:sz w:val="20"/>
          <w:szCs w:val="20"/>
        </w:rPr>
        <w:t>sons, and</w:t>
      </w:r>
      <w:r w:rsidRPr="00071213">
        <w:rPr>
          <w:sz w:val="20"/>
          <w:szCs w:val="20"/>
        </w:rPr>
        <w:t xml:space="preserve"> Sandholtz, “After Empire,” </w:t>
      </w:r>
      <w:r>
        <w:rPr>
          <w:sz w:val="20"/>
          <w:szCs w:val="20"/>
        </w:rPr>
        <w:t>268.</w:t>
      </w:r>
    </w:p>
  </w:footnote>
  <w:footnote w:id="119">
    <w:p w14:paraId="3B2FC508" w14:textId="77777777" w:rsidR="004A1BEE" w:rsidRPr="00C17C20" w:rsidRDefault="004A1BEE" w:rsidP="00DF5D73">
      <w:pPr>
        <w:pStyle w:val="FootnoteText"/>
      </w:pPr>
      <w:r>
        <w:rPr>
          <w:rStyle w:val="FootnoteReference"/>
        </w:rPr>
        <w:footnoteRef/>
      </w:r>
      <w:r>
        <w:t xml:space="preserve"> </w:t>
      </w:r>
      <w:r w:rsidRPr="00C17C20">
        <w:rPr>
          <w:sz w:val="20"/>
          <w:szCs w:val="20"/>
        </w:rPr>
        <w:t xml:space="preserve">Howard W. French, “How France Shaped New Africa,” </w:t>
      </w:r>
      <w:r w:rsidRPr="00C17C20">
        <w:rPr>
          <w:i/>
          <w:sz w:val="20"/>
          <w:szCs w:val="20"/>
        </w:rPr>
        <w:t xml:space="preserve">The New York Times, </w:t>
      </w:r>
      <w:r w:rsidRPr="00C17C20">
        <w:rPr>
          <w:sz w:val="20"/>
          <w:szCs w:val="20"/>
        </w:rPr>
        <w:t>Feb</w:t>
      </w:r>
      <w:r>
        <w:rPr>
          <w:sz w:val="20"/>
          <w:szCs w:val="20"/>
        </w:rPr>
        <w:t>ruary 28,</w:t>
      </w:r>
      <w:r w:rsidRPr="00C17C20">
        <w:rPr>
          <w:sz w:val="20"/>
          <w:szCs w:val="20"/>
        </w:rPr>
        <w:t xml:space="preserve"> </w:t>
      </w:r>
      <w:r>
        <w:rPr>
          <w:sz w:val="20"/>
          <w:szCs w:val="20"/>
        </w:rPr>
        <w:t xml:space="preserve">1995, accessed </w:t>
      </w:r>
      <w:r w:rsidRPr="00C17C20">
        <w:rPr>
          <w:sz w:val="20"/>
          <w:szCs w:val="20"/>
        </w:rPr>
        <w:t>Oct</w:t>
      </w:r>
      <w:r>
        <w:rPr>
          <w:sz w:val="20"/>
          <w:szCs w:val="20"/>
        </w:rPr>
        <w:t>ober 27,</w:t>
      </w:r>
      <w:r w:rsidRPr="00C17C20">
        <w:rPr>
          <w:sz w:val="20"/>
          <w:szCs w:val="20"/>
        </w:rPr>
        <w:t xml:space="preserve"> 2016</w:t>
      </w:r>
      <w:r>
        <w:rPr>
          <w:sz w:val="20"/>
          <w:szCs w:val="20"/>
        </w:rPr>
        <w:t xml:space="preserve">, </w:t>
      </w:r>
      <w:r w:rsidRPr="00D03829">
        <w:rPr>
          <w:rFonts w:cs="Times New Roman"/>
          <w:sz w:val="20"/>
          <w:szCs w:val="20"/>
        </w:rPr>
        <w:t>http://www.nytimes.com/1995/02/28/world/how-france-shaped-new-africa.html.</w:t>
      </w:r>
    </w:p>
  </w:footnote>
  <w:footnote w:id="120">
    <w:p w14:paraId="32A697FA" w14:textId="77777777" w:rsidR="004A1BEE" w:rsidRPr="00841028" w:rsidRDefault="004A1BEE" w:rsidP="00DF5D73">
      <w:pPr>
        <w:pStyle w:val="FootnoteText"/>
      </w:pPr>
      <w:r>
        <w:rPr>
          <w:rStyle w:val="FootnoteReference"/>
        </w:rPr>
        <w:footnoteRef/>
      </w:r>
      <w:r>
        <w:t xml:space="preserve"> </w:t>
      </w:r>
      <w:r w:rsidRPr="00841028">
        <w:rPr>
          <w:sz w:val="20"/>
          <w:szCs w:val="20"/>
        </w:rPr>
        <w:t xml:space="preserve">Angelique Chrisafis, “Guinea: </w:t>
      </w:r>
      <w:r>
        <w:rPr>
          <w:sz w:val="20"/>
          <w:szCs w:val="20"/>
        </w:rPr>
        <w:t>War, Poverty, Dictatorship and B</w:t>
      </w:r>
      <w:r w:rsidRPr="00841028">
        <w:rPr>
          <w:sz w:val="20"/>
          <w:szCs w:val="20"/>
        </w:rPr>
        <w:t xml:space="preserve">auxite,” </w:t>
      </w:r>
      <w:r w:rsidRPr="00841028">
        <w:rPr>
          <w:i/>
          <w:sz w:val="20"/>
          <w:szCs w:val="20"/>
        </w:rPr>
        <w:t xml:space="preserve">The Guardian, </w:t>
      </w:r>
      <w:r>
        <w:rPr>
          <w:sz w:val="20"/>
          <w:szCs w:val="20"/>
        </w:rPr>
        <w:t xml:space="preserve">September 29, 2009, accessed </w:t>
      </w:r>
      <w:r w:rsidRPr="00841028">
        <w:rPr>
          <w:sz w:val="20"/>
          <w:szCs w:val="20"/>
        </w:rPr>
        <w:t>Jan</w:t>
      </w:r>
      <w:r>
        <w:rPr>
          <w:sz w:val="20"/>
          <w:szCs w:val="20"/>
        </w:rPr>
        <w:t>uary 30,</w:t>
      </w:r>
      <w:r w:rsidRPr="00841028">
        <w:rPr>
          <w:sz w:val="20"/>
          <w:szCs w:val="20"/>
        </w:rPr>
        <w:t xml:space="preserve"> 2017</w:t>
      </w:r>
      <w:r>
        <w:rPr>
          <w:sz w:val="20"/>
          <w:szCs w:val="20"/>
        </w:rPr>
        <w:t xml:space="preserve">, </w:t>
      </w:r>
      <w:r w:rsidRPr="00D03829">
        <w:rPr>
          <w:rFonts w:cs="Times New Roman"/>
          <w:sz w:val="20"/>
          <w:szCs w:val="20"/>
        </w:rPr>
        <w:t>https://www.theguardian.com/world/2009/sep/29/france-guinea-colonial-relationship.</w:t>
      </w:r>
    </w:p>
  </w:footnote>
  <w:footnote w:id="121">
    <w:p w14:paraId="3C212404" w14:textId="60F4B270" w:rsidR="004A1BEE" w:rsidRDefault="004A1BEE" w:rsidP="00DF5D73">
      <w:pPr>
        <w:pStyle w:val="FootnoteText"/>
      </w:pPr>
      <w:r>
        <w:rPr>
          <w:rStyle w:val="FootnoteReference"/>
        </w:rPr>
        <w:footnoteRef/>
      </w:r>
      <w:r>
        <w:t xml:space="preserve"> </w:t>
      </w:r>
      <w:r>
        <w:rPr>
          <w:sz w:val="20"/>
          <w:szCs w:val="20"/>
        </w:rPr>
        <w:t>Ibid.</w:t>
      </w:r>
    </w:p>
  </w:footnote>
  <w:footnote w:id="122">
    <w:p w14:paraId="5E6F9142" w14:textId="77777777" w:rsidR="004A1BEE" w:rsidRPr="00F60EC2" w:rsidRDefault="004A1BEE" w:rsidP="00DF5D73">
      <w:pPr>
        <w:pStyle w:val="FootnoteText"/>
      </w:pPr>
      <w:r>
        <w:rPr>
          <w:rStyle w:val="FootnoteReference"/>
        </w:rPr>
        <w:footnoteRef/>
      </w:r>
      <w:r w:rsidRPr="00D03829">
        <w:rPr>
          <w:sz w:val="20"/>
          <w:szCs w:val="20"/>
        </w:rPr>
        <w:t xml:space="preserve"> Gordon</w:t>
      </w:r>
      <w:r>
        <w:t xml:space="preserve"> </w:t>
      </w:r>
      <w:r w:rsidRPr="00D03829">
        <w:rPr>
          <w:sz w:val="20"/>
          <w:szCs w:val="20"/>
        </w:rPr>
        <w:t xml:space="preserve">Cumming, </w:t>
      </w:r>
      <w:r w:rsidRPr="00D03829">
        <w:rPr>
          <w:i/>
          <w:sz w:val="20"/>
          <w:szCs w:val="20"/>
        </w:rPr>
        <w:t xml:space="preserve">Aid to Africa: French and British Policies from the Cold War to the New Millennium, </w:t>
      </w:r>
      <w:r w:rsidRPr="00D03829">
        <w:rPr>
          <w:sz w:val="20"/>
          <w:szCs w:val="20"/>
        </w:rPr>
        <w:t>(Aldershot, Englad: Ashgate, 2011)</w:t>
      </w:r>
      <w:r w:rsidRPr="00D03829">
        <w:rPr>
          <w:i/>
          <w:sz w:val="20"/>
          <w:szCs w:val="20"/>
        </w:rPr>
        <w:t>,</w:t>
      </w:r>
      <w:r w:rsidRPr="00D03829">
        <w:rPr>
          <w:sz w:val="20"/>
          <w:szCs w:val="20"/>
        </w:rPr>
        <w:t xml:space="preserve"> 62-66.</w:t>
      </w:r>
      <w:r>
        <w:t xml:space="preserve"> </w:t>
      </w:r>
    </w:p>
  </w:footnote>
  <w:footnote w:id="123">
    <w:p w14:paraId="792468B7" w14:textId="3BBA7D78" w:rsidR="004A1BEE" w:rsidRPr="00F63A68" w:rsidRDefault="004A1BEE" w:rsidP="00DF5D73">
      <w:pPr>
        <w:pStyle w:val="FootnoteText"/>
      </w:pPr>
      <w:r>
        <w:rPr>
          <w:rStyle w:val="FootnoteReference"/>
        </w:rPr>
        <w:footnoteRef/>
      </w:r>
      <w:r>
        <w:t xml:space="preserve"> </w:t>
      </w:r>
      <w:r w:rsidRPr="00F63A68">
        <w:rPr>
          <w:i/>
          <w:sz w:val="20"/>
          <w:szCs w:val="20"/>
        </w:rPr>
        <w:t xml:space="preserve">BBC News, </w:t>
      </w:r>
      <w:r>
        <w:rPr>
          <w:sz w:val="20"/>
          <w:szCs w:val="20"/>
        </w:rPr>
        <w:t>“What Will François Hollande M</w:t>
      </w:r>
      <w:r w:rsidRPr="00F63A68">
        <w:rPr>
          <w:sz w:val="20"/>
          <w:szCs w:val="20"/>
        </w:rPr>
        <w:t>ean for Africa?” 9 May 2012, accessed 27 Oct 2016.</w:t>
      </w:r>
    </w:p>
  </w:footnote>
  <w:footnote w:id="124">
    <w:p w14:paraId="34206358" w14:textId="77777777" w:rsidR="004A1BEE" w:rsidRDefault="004A1BEE" w:rsidP="00127EC1">
      <w:pPr>
        <w:pStyle w:val="FootnoteText"/>
      </w:pPr>
      <w:r>
        <w:rPr>
          <w:rStyle w:val="FootnoteReference"/>
        </w:rPr>
        <w:footnoteRef/>
      </w:r>
      <w:r>
        <w:t xml:space="preserve"> </w:t>
      </w:r>
      <w:r w:rsidRPr="00BA5CDC">
        <w:rPr>
          <w:sz w:val="20"/>
          <w:szCs w:val="20"/>
        </w:rPr>
        <w:t xml:space="preserve">UN Global Migration Database, “International </w:t>
      </w:r>
      <w:r>
        <w:rPr>
          <w:sz w:val="20"/>
          <w:szCs w:val="20"/>
        </w:rPr>
        <w:t>Migration Flows to and f</w:t>
      </w:r>
      <w:r w:rsidRPr="00BA5CDC">
        <w:rPr>
          <w:sz w:val="20"/>
          <w:szCs w:val="20"/>
        </w:rPr>
        <w:t>rom Selected Countries: The 2015 Revision,” accessed April 16, 2017, http://www.un.org/en/development/desa/population/migration/data/empirical2/migrationflows.shtml.</w:t>
      </w:r>
    </w:p>
  </w:footnote>
  <w:footnote w:id="125">
    <w:p w14:paraId="42DBC39C" w14:textId="77777777" w:rsidR="004A1BEE" w:rsidRDefault="004A1BEE" w:rsidP="009025F4">
      <w:pPr>
        <w:pStyle w:val="FootnoteText"/>
      </w:pPr>
      <w:r>
        <w:rPr>
          <w:rStyle w:val="FootnoteReference"/>
        </w:rPr>
        <w:footnoteRef/>
      </w:r>
      <w:r>
        <w:t xml:space="preserve"> </w:t>
      </w:r>
      <w:r w:rsidRPr="00CE069A">
        <w:rPr>
          <w:sz w:val="20"/>
          <w:szCs w:val="20"/>
        </w:rPr>
        <w:t>Richard Dowde</w:t>
      </w:r>
      <w:r>
        <w:rPr>
          <w:sz w:val="20"/>
          <w:szCs w:val="20"/>
        </w:rPr>
        <w:t>n, “Ivory Coast’s Descent into M</w:t>
      </w:r>
      <w:r w:rsidRPr="00CE069A">
        <w:rPr>
          <w:sz w:val="20"/>
          <w:szCs w:val="20"/>
        </w:rPr>
        <w:t xml:space="preserve">adness,” </w:t>
      </w:r>
      <w:r w:rsidRPr="00CE069A">
        <w:rPr>
          <w:i/>
          <w:sz w:val="20"/>
          <w:szCs w:val="20"/>
        </w:rPr>
        <w:t xml:space="preserve">The Guardian, </w:t>
      </w:r>
      <w:r w:rsidRPr="00CE069A">
        <w:rPr>
          <w:sz w:val="20"/>
          <w:szCs w:val="20"/>
        </w:rPr>
        <w:t>January 1, 2011, accessed April 17, 2017, https://www.theguardian.com/world/2011/jan/02/ivory-coast-richard-dowden-comment.</w:t>
      </w:r>
    </w:p>
  </w:footnote>
  <w:footnote w:id="126">
    <w:p w14:paraId="214693C0" w14:textId="18281CB1" w:rsidR="004A1BEE" w:rsidRPr="00704FCC" w:rsidRDefault="004A1BEE" w:rsidP="00DF5D73">
      <w:pPr>
        <w:pStyle w:val="FootnoteText"/>
      </w:pPr>
      <w:r>
        <w:rPr>
          <w:rStyle w:val="FootnoteReference"/>
        </w:rPr>
        <w:footnoteRef/>
      </w:r>
      <w:r>
        <w:t xml:space="preserve"> </w:t>
      </w:r>
      <w:r w:rsidRPr="00704FCC">
        <w:rPr>
          <w:i/>
          <w:sz w:val="20"/>
          <w:szCs w:val="20"/>
        </w:rPr>
        <w:t xml:space="preserve">RFI, </w:t>
      </w:r>
      <w:r w:rsidRPr="00704FCC">
        <w:rPr>
          <w:sz w:val="20"/>
          <w:szCs w:val="20"/>
        </w:rPr>
        <w:t>“F</w:t>
      </w:r>
      <w:r>
        <w:rPr>
          <w:sz w:val="20"/>
          <w:szCs w:val="20"/>
        </w:rPr>
        <w:t>rance to Train 100,000 African T</w:t>
      </w:r>
      <w:r w:rsidRPr="00704FCC">
        <w:rPr>
          <w:sz w:val="20"/>
          <w:szCs w:val="20"/>
        </w:rPr>
        <w:t>eachers to</w:t>
      </w:r>
      <w:r>
        <w:rPr>
          <w:sz w:val="20"/>
          <w:szCs w:val="20"/>
        </w:rPr>
        <w:t xml:space="preserve"> Mark</w:t>
      </w:r>
      <w:r w:rsidRPr="00704FCC">
        <w:rPr>
          <w:sz w:val="20"/>
          <w:szCs w:val="20"/>
        </w:rPr>
        <w:t xml:space="preserve"> World Francophone Day,” </w:t>
      </w:r>
      <w:r>
        <w:rPr>
          <w:sz w:val="20"/>
          <w:szCs w:val="20"/>
        </w:rPr>
        <w:t xml:space="preserve">March 20, 2014, accessed </w:t>
      </w:r>
      <w:r w:rsidRPr="00704FCC">
        <w:rPr>
          <w:sz w:val="20"/>
          <w:szCs w:val="20"/>
        </w:rPr>
        <w:t>Jan</w:t>
      </w:r>
      <w:r>
        <w:rPr>
          <w:sz w:val="20"/>
          <w:szCs w:val="20"/>
        </w:rPr>
        <w:t>uary</w:t>
      </w:r>
      <w:r w:rsidRPr="00704FCC">
        <w:rPr>
          <w:sz w:val="20"/>
          <w:szCs w:val="20"/>
        </w:rPr>
        <w:t xml:space="preserve"> </w:t>
      </w:r>
      <w:r>
        <w:rPr>
          <w:sz w:val="20"/>
          <w:szCs w:val="20"/>
        </w:rPr>
        <w:t xml:space="preserve">30, 2017, </w:t>
      </w:r>
      <w:r w:rsidRPr="00D03829">
        <w:rPr>
          <w:rFonts w:cs="Times New Roman"/>
          <w:sz w:val="20"/>
          <w:szCs w:val="20"/>
        </w:rPr>
        <w:t>http://en.rfi.fr/africa/20140320-france-train-100000-teachers-africa-international-francophone-day-abdou-diouf-laurent-fabius</w:t>
      </w:r>
      <w:r>
        <w:rPr>
          <w:rFonts w:cs="Times New Roman"/>
        </w:rPr>
        <w:t>.</w:t>
      </w:r>
    </w:p>
  </w:footnote>
  <w:footnote w:id="127">
    <w:p w14:paraId="2B9EDFC7" w14:textId="77777777" w:rsidR="004A1BEE" w:rsidRPr="00A65DA8" w:rsidRDefault="004A1BEE" w:rsidP="00DF5D73">
      <w:pPr>
        <w:rPr>
          <w:rFonts w:cs="Times New Roman"/>
        </w:rPr>
      </w:pPr>
      <w:r>
        <w:rPr>
          <w:rStyle w:val="FootnoteReference"/>
        </w:rPr>
        <w:footnoteRef/>
      </w:r>
      <w:r>
        <w:t xml:space="preserve"> </w:t>
      </w:r>
      <w:r w:rsidRPr="00C32156">
        <w:rPr>
          <w:rFonts w:cs="Times New Roman"/>
          <w:sz w:val="20"/>
          <w:szCs w:val="20"/>
        </w:rPr>
        <w:t xml:space="preserve">Britannica, </w:t>
      </w:r>
      <w:r w:rsidRPr="00C32156">
        <w:rPr>
          <w:rFonts w:cs="Times New Roman"/>
          <w:i/>
          <w:sz w:val="20"/>
          <w:szCs w:val="20"/>
        </w:rPr>
        <w:t xml:space="preserve">Britannica Book of the Year 2010, </w:t>
      </w:r>
      <w:r w:rsidRPr="00C32156">
        <w:rPr>
          <w:rFonts w:cs="Times New Roman"/>
          <w:sz w:val="20"/>
          <w:szCs w:val="20"/>
        </w:rPr>
        <w:t>(Chicago: Encyclopedia Britannica, Inc. 2010), 766-770.</w:t>
      </w:r>
    </w:p>
  </w:footnote>
  <w:footnote w:id="128">
    <w:p w14:paraId="08FBA386" w14:textId="77777777" w:rsidR="004A1BEE" w:rsidRPr="00DA1F33" w:rsidRDefault="004A1BEE" w:rsidP="00DF5D73">
      <w:pPr>
        <w:spacing w:after="0"/>
        <w:rPr>
          <w:rFonts w:cs="Times New Roman"/>
          <w:sz w:val="20"/>
          <w:szCs w:val="20"/>
        </w:rPr>
      </w:pPr>
      <w:r w:rsidRPr="00DA1F33">
        <w:rPr>
          <w:rStyle w:val="FootnoteReference"/>
          <w:sz w:val="20"/>
          <w:szCs w:val="20"/>
        </w:rPr>
        <w:footnoteRef/>
      </w:r>
      <w:r w:rsidRPr="00DA1F33">
        <w:rPr>
          <w:sz w:val="20"/>
          <w:szCs w:val="20"/>
        </w:rPr>
        <w:t xml:space="preserve"> </w:t>
      </w:r>
      <w:r w:rsidRPr="00DA1F33">
        <w:rPr>
          <w:rFonts w:cs="Times New Roman"/>
          <w:sz w:val="20"/>
          <w:szCs w:val="20"/>
        </w:rPr>
        <w:t>“Welcome to the International Organisation of La Francophonie’s Official Website</w:t>
      </w:r>
      <w:r>
        <w:rPr>
          <w:rFonts w:cs="Times New Roman"/>
          <w:sz w:val="20"/>
          <w:szCs w:val="20"/>
        </w:rPr>
        <w:t xml:space="preserve">, </w:t>
      </w:r>
      <w:r w:rsidRPr="00DA1F33">
        <w:rPr>
          <w:rFonts w:cs="Times New Roman"/>
          <w:i/>
          <w:sz w:val="20"/>
          <w:szCs w:val="20"/>
        </w:rPr>
        <w:t>Organisation Internaitonale de la Francophonie, a</w:t>
      </w:r>
      <w:r w:rsidRPr="00DA1F33">
        <w:rPr>
          <w:rFonts w:cs="Times New Roman"/>
          <w:sz w:val="20"/>
          <w:szCs w:val="20"/>
        </w:rPr>
        <w:t>ccessed April 14, 2017, http://www.francophonie.org/Welcome-to-the-International.html.</w:t>
      </w:r>
    </w:p>
  </w:footnote>
  <w:footnote w:id="129">
    <w:p w14:paraId="38BCF112" w14:textId="18A97C61" w:rsidR="004A1BEE" w:rsidRDefault="004A1BEE" w:rsidP="00DF5D73">
      <w:pPr>
        <w:pStyle w:val="FootnoteText"/>
      </w:pPr>
      <w:r>
        <w:rPr>
          <w:rStyle w:val="FootnoteReference"/>
        </w:rPr>
        <w:footnoteRef/>
      </w:r>
      <w:r>
        <w:t xml:space="preserve"> </w:t>
      </w:r>
      <w:r>
        <w:rPr>
          <w:sz w:val="20"/>
          <w:szCs w:val="20"/>
        </w:rPr>
        <w:t>Ibid.</w:t>
      </w:r>
    </w:p>
  </w:footnote>
  <w:footnote w:id="130">
    <w:p w14:paraId="43790B84" w14:textId="77777777" w:rsidR="004A1BEE" w:rsidRPr="005378AA" w:rsidRDefault="004A1BEE" w:rsidP="00DF5D73">
      <w:pPr>
        <w:pStyle w:val="FootnoteText"/>
      </w:pPr>
      <w:r>
        <w:rPr>
          <w:rStyle w:val="FootnoteReference"/>
        </w:rPr>
        <w:footnoteRef/>
      </w:r>
      <w:r>
        <w:t xml:space="preserve"> </w:t>
      </w:r>
      <w:r w:rsidRPr="005378AA">
        <w:rPr>
          <w:sz w:val="20"/>
          <w:szCs w:val="20"/>
        </w:rPr>
        <w:t xml:space="preserve">James Brooke, “Africa Nation Opens Doors to French,” </w:t>
      </w:r>
      <w:r w:rsidRPr="005378AA">
        <w:rPr>
          <w:i/>
          <w:sz w:val="20"/>
          <w:szCs w:val="20"/>
        </w:rPr>
        <w:t xml:space="preserve">The New York Times, </w:t>
      </w:r>
      <w:r w:rsidRPr="005378AA">
        <w:rPr>
          <w:sz w:val="20"/>
          <w:szCs w:val="20"/>
        </w:rPr>
        <w:t>Nov</w:t>
      </w:r>
      <w:r>
        <w:rPr>
          <w:sz w:val="20"/>
          <w:szCs w:val="20"/>
        </w:rPr>
        <w:t xml:space="preserve">ember 1 1987, accessed </w:t>
      </w:r>
      <w:r w:rsidRPr="005378AA">
        <w:rPr>
          <w:sz w:val="20"/>
          <w:szCs w:val="20"/>
        </w:rPr>
        <w:t>Oct</w:t>
      </w:r>
      <w:r>
        <w:rPr>
          <w:sz w:val="20"/>
          <w:szCs w:val="20"/>
        </w:rPr>
        <w:t>ober 26</w:t>
      </w:r>
      <w:r w:rsidRPr="005378AA">
        <w:rPr>
          <w:sz w:val="20"/>
          <w:szCs w:val="20"/>
        </w:rPr>
        <w:t xml:space="preserve"> 2016</w:t>
      </w:r>
      <w:r>
        <w:rPr>
          <w:sz w:val="20"/>
          <w:szCs w:val="20"/>
        </w:rPr>
        <w:t xml:space="preserve">, </w:t>
      </w:r>
      <w:r w:rsidRPr="00D03829">
        <w:rPr>
          <w:rFonts w:cs="Times New Roman"/>
          <w:sz w:val="20"/>
          <w:szCs w:val="20"/>
        </w:rPr>
        <w:t>http://www.nytimes.com/1987/11/01/world/africa-nation-opens-doors-to-the-french.html.</w:t>
      </w:r>
    </w:p>
  </w:footnote>
  <w:footnote w:id="131">
    <w:p w14:paraId="15BBA7D7" w14:textId="77777777" w:rsidR="004A1BEE" w:rsidRPr="00663957" w:rsidRDefault="004A1BEE" w:rsidP="00DF5D73">
      <w:pPr>
        <w:pStyle w:val="FootnoteText"/>
      </w:pPr>
      <w:r>
        <w:rPr>
          <w:rStyle w:val="FootnoteReference"/>
        </w:rPr>
        <w:footnoteRef/>
      </w:r>
      <w:r>
        <w:t xml:space="preserve"> </w:t>
      </w:r>
      <w:r w:rsidRPr="00D03829">
        <w:rPr>
          <w:sz w:val="20"/>
          <w:szCs w:val="20"/>
        </w:rPr>
        <w:t xml:space="preserve">Cumming, </w:t>
      </w:r>
      <w:r w:rsidRPr="00D03829">
        <w:rPr>
          <w:i/>
          <w:sz w:val="20"/>
          <w:szCs w:val="20"/>
        </w:rPr>
        <w:t>Aid to Africa,</w:t>
      </w:r>
      <w:r w:rsidRPr="00D03829">
        <w:rPr>
          <w:sz w:val="20"/>
          <w:szCs w:val="20"/>
        </w:rPr>
        <w:t xml:space="preserve"> 60.</w:t>
      </w:r>
    </w:p>
  </w:footnote>
  <w:footnote w:id="132">
    <w:p w14:paraId="5B229143" w14:textId="021494D4" w:rsidR="004A1BEE" w:rsidRPr="005B4074" w:rsidRDefault="004A1BEE" w:rsidP="00DF5D73">
      <w:pPr>
        <w:pStyle w:val="FootnoteText"/>
        <w:rPr>
          <w:i/>
        </w:rPr>
      </w:pPr>
      <w:r>
        <w:rPr>
          <w:rStyle w:val="FootnoteReference"/>
        </w:rPr>
        <w:footnoteRef/>
      </w:r>
      <w:r>
        <w:t xml:space="preserve"> </w:t>
      </w:r>
      <w:r>
        <w:rPr>
          <w:sz w:val="20"/>
          <w:szCs w:val="20"/>
        </w:rPr>
        <w:t>Ibid.,</w:t>
      </w:r>
      <w:r w:rsidRPr="005B4074">
        <w:rPr>
          <w:i/>
          <w:sz w:val="20"/>
          <w:szCs w:val="20"/>
        </w:rPr>
        <w:t xml:space="preserve"> 60.</w:t>
      </w:r>
    </w:p>
  </w:footnote>
  <w:footnote w:id="133">
    <w:p w14:paraId="582B8CFB" w14:textId="77777777" w:rsidR="004A1BEE" w:rsidRDefault="004A1BEE" w:rsidP="00DF5D73">
      <w:pPr>
        <w:pStyle w:val="FootnoteText"/>
      </w:pPr>
      <w:r>
        <w:rPr>
          <w:rStyle w:val="FootnoteReference"/>
        </w:rPr>
        <w:footnoteRef/>
      </w:r>
      <w:r>
        <w:t xml:space="preserve"> </w:t>
      </w:r>
      <w:r w:rsidRPr="00D24763">
        <w:rPr>
          <w:sz w:val="20"/>
          <w:szCs w:val="20"/>
        </w:rPr>
        <w:t>Mission for Cooperation and Cultura</w:t>
      </w:r>
      <w:r>
        <w:rPr>
          <w:sz w:val="20"/>
          <w:szCs w:val="20"/>
        </w:rPr>
        <w:t xml:space="preserve">l Action; </w:t>
      </w:r>
      <w:r w:rsidRPr="00D24763">
        <w:rPr>
          <w:sz w:val="20"/>
          <w:szCs w:val="20"/>
        </w:rPr>
        <w:t>Mission for Military Cooperation</w:t>
      </w:r>
      <w:r>
        <w:t xml:space="preserve">. </w:t>
      </w:r>
    </w:p>
  </w:footnote>
  <w:footnote w:id="134">
    <w:p w14:paraId="19CC6AA1" w14:textId="77777777" w:rsidR="004A1BEE" w:rsidRDefault="004A1BEE" w:rsidP="00DF5D73">
      <w:pPr>
        <w:pStyle w:val="FootnoteText"/>
      </w:pPr>
      <w:r>
        <w:rPr>
          <w:rStyle w:val="FootnoteReference"/>
        </w:rPr>
        <w:footnoteRef/>
      </w:r>
      <w:r>
        <w:t xml:space="preserve"> </w:t>
      </w:r>
      <w:r w:rsidRPr="005B4074">
        <w:rPr>
          <w:sz w:val="20"/>
          <w:szCs w:val="20"/>
        </w:rPr>
        <w:t xml:space="preserve">Cumming, </w:t>
      </w:r>
      <w:r w:rsidRPr="005B4074">
        <w:rPr>
          <w:i/>
          <w:sz w:val="20"/>
          <w:szCs w:val="20"/>
        </w:rPr>
        <w:t>Aid to Africa, 6</w:t>
      </w:r>
      <w:r>
        <w:rPr>
          <w:i/>
          <w:sz w:val="20"/>
          <w:szCs w:val="20"/>
        </w:rPr>
        <w:t>2.</w:t>
      </w:r>
    </w:p>
  </w:footnote>
  <w:footnote w:id="135">
    <w:p w14:paraId="5223561D" w14:textId="77777777" w:rsidR="004A1BEE" w:rsidRPr="00580367" w:rsidRDefault="004A1BEE" w:rsidP="00DF5D73">
      <w:pPr>
        <w:spacing w:after="0"/>
        <w:rPr>
          <w:rFonts w:cs="Times New Roman"/>
        </w:rPr>
      </w:pPr>
      <w:r>
        <w:rPr>
          <w:rStyle w:val="FootnoteReference"/>
        </w:rPr>
        <w:footnoteRef/>
      </w:r>
      <w:r>
        <w:t xml:space="preserve"> </w:t>
      </w:r>
      <w:r>
        <w:rPr>
          <w:rFonts w:cs="Times New Roman"/>
        </w:rPr>
        <w:t xml:space="preserve"> </w:t>
      </w:r>
      <w:r w:rsidRPr="00580367">
        <w:rPr>
          <w:rFonts w:cs="Times New Roman"/>
          <w:sz w:val="20"/>
          <w:szCs w:val="20"/>
        </w:rPr>
        <w:t xml:space="preserve">“France and Senegal,” </w:t>
      </w:r>
      <w:r w:rsidRPr="00580367">
        <w:rPr>
          <w:rFonts w:cs="Times New Roman"/>
          <w:i/>
          <w:sz w:val="20"/>
          <w:szCs w:val="20"/>
        </w:rPr>
        <w:t xml:space="preserve">France Diplomatie, </w:t>
      </w:r>
      <w:r w:rsidRPr="00580367">
        <w:rPr>
          <w:rFonts w:cs="Times New Roman"/>
          <w:sz w:val="20"/>
          <w:szCs w:val="20"/>
        </w:rPr>
        <w:t>April 7, 2016, accessed January 10, 2017, http://www.diplomatie.gouv.fr/en/country-files/senegal/france-and-senegal/.</w:t>
      </w:r>
    </w:p>
  </w:footnote>
  <w:footnote w:id="136">
    <w:p w14:paraId="30AB7625" w14:textId="77777777" w:rsidR="004A1BEE" w:rsidRPr="00C87B7F" w:rsidRDefault="004A1BEE" w:rsidP="00DF5D73">
      <w:pPr>
        <w:pStyle w:val="FootnoteText"/>
      </w:pPr>
      <w:r>
        <w:rPr>
          <w:rStyle w:val="FootnoteReference"/>
        </w:rPr>
        <w:footnoteRef/>
      </w:r>
      <w:r>
        <w:t xml:space="preserve"> </w:t>
      </w:r>
      <w:r w:rsidRPr="00C87B7F">
        <w:rPr>
          <w:sz w:val="20"/>
          <w:szCs w:val="20"/>
        </w:rPr>
        <w:t xml:space="preserve">Cécile Barbière, “French </w:t>
      </w:r>
      <w:r>
        <w:rPr>
          <w:sz w:val="20"/>
          <w:szCs w:val="20"/>
        </w:rPr>
        <w:t>Development Aid a</w:t>
      </w:r>
      <w:r w:rsidRPr="00C87B7F">
        <w:rPr>
          <w:sz w:val="20"/>
          <w:szCs w:val="20"/>
        </w:rPr>
        <w:t xml:space="preserve">nd Francophonie Make Unlikely Bedfellows,” </w:t>
      </w:r>
      <w:r w:rsidRPr="00C87B7F">
        <w:rPr>
          <w:i/>
          <w:sz w:val="20"/>
          <w:szCs w:val="20"/>
        </w:rPr>
        <w:t>EurActiv,</w:t>
      </w:r>
      <w:r w:rsidRPr="00C87B7F">
        <w:rPr>
          <w:sz w:val="20"/>
          <w:szCs w:val="20"/>
        </w:rPr>
        <w:t xml:space="preserve"> Jan</w:t>
      </w:r>
      <w:r>
        <w:rPr>
          <w:sz w:val="20"/>
          <w:szCs w:val="20"/>
        </w:rPr>
        <w:t xml:space="preserve">uary 8, 2015, accessed </w:t>
      </w:r>
      <w:r w:rsidRPr="00C87B7F">
        <w:rPr>
          <w:sz w:val="20"/>
          <w:szCs w:val="20"/>
        </w:rPr>
        <w:t>Jan</w:t>
      </w:r>
      <w:r>
        <w:rPr>
          <w:sz w:val="20"/>
          <w:szCs w:val="20"/>
        </w:rPr>
        <w:t>uary 30,</w:t>
      </w:r>
      <w:r w:rsidRPr="00C87B7F">
        <w:rPr>
          <w:sz w:val="20"/>
          <w:szCs w:val="20"/>
        </w:rPr>
        <w:t xml:space="preserve"> 2017</w:t>
      </w:r>
      <w:r>
        <w:rPr>
          <w:sz w:val="20"/>
          <w:szCs w:val="20"/>
        </w:rPr>
        <w:t xml:space="preserve">, </w:t>
      </w:r>
      <w:r w:rsidRPr="00D03829">
        <w:rPr>
          <w:rFonts w:cs="Times New Roman"/>
          <w:sz w:val="20"/>
          <w:szCs w:val="20"/>
        </w:rPr>
        <w:t>http://www.euractiv.com/section/development-policy/news/french-development-aid-and-francophonie-make-unlikely-bedfellows/.</w:t>
      </w:r>
    </w:p>
  </w:footnote>
  <w:footnote w:id="137">
    <w:p w14:paraId="3CE03A97" w14:textId="77777777" w:rsidR="004A1BEE" w:rsidRPr="00060F57" w:rsidRDefault="004A1BEE" w:rsidP="00DF5D73">
      <w:pPr>
        <w:pStyle w:val="FootnoteText"/>
      </w:pPr>
      <w:r>
        <w:rPr>
          <w:rStyle w:val="FootnoteReference"/>
        </w:rPr>
        <w:footnoteRef/>
      </w:r>
      <w:r>
        <w:t xml:space="preserve"> </w:t>
      </w:r>
      <w:r w:rsidRPr="00060F57">
        <w:rPr>
          <w:sz w:val="20"/>
          <w:szCs w:val="20"/>
        </w:rPr>
        <w:t xml:space="preserve">Tamar Golan, “A Certain Mystery: How Can France Do Everything that It Does in Africa—And Get Away with It?” </w:t>
      </w:r>
      <w:r w:rsidRPr="00060F57">
        <w:rPr>
          <w:i/>
          <w:sz w:val="20"/>
          <w:szCs w:val="20"/>
        </w:rPr>
        <w:t xml:space="preserve">African Affairs </w:t>
      </w:r>
      <w:r w:rsidRPr="00060F57">
        <w:rPr>
          <w:sz w:val="20"/>
          <w:szCs w:val="20"/>
        </w:rPr>
        <w:t>80.318 (1981), 6.</w:t>
      </w:r>
    </w:p>
  </w:footnote>
  <w:footnote w:id="138">
    <w:p w14:paraId="013481D6" w14:textId="77777777" w:rsidR="004A1BEE" w:rsidRDefault="004A1BEE" w:rsidP="00DF5D73">
      <w:pPr>
        <w:pStyle w:val="FootnoteText"/>
      </w:pPr>
      <w:r>
        <w:rPr>
          <w:rStyle w:val="FootnoteReference"/>
        </w:rPr>
        <w:footnoteRef/>
      </w:r>
      <w:r>
        <w:t xml:space="preserve"> </w:t>
      </w:r>
      <w:r w:rsidRPr="005B4074">
        <w:rPr>
          <w:sz w:val="20"/>
          <w:szCs w:val="20"/>
        </w:rPr>
        <w:t xml:space="preserve">Cumming, </w:t>
      </w:r>
      <w:r w:rsidRPr="005B4074">
        <w:rPr>
          <w:i/>
          <w:sz w:val="20"/>
          <w:szCs w:val="20"/>
        </w:rPr>
        <w:t>Aid to Africa, 6</w:t>
      </w:r>
      <w:r>
        <w:rPr>
          <w:i/>
          <w:sz w:val="20"/>
          <w:szCs w:val="20"/>
        </w:rPr>
        <w:t>8.</w:t>
      </w:r>
    </w:p>
  </w:footnote>
  <w:footnote w:id="139">
    <w:p w14:paraId="56658D16" w14:textId="77777777" w:rsidR="004A1BEE" w:rsidRDefault="004A1BEE" w:rsidP="00DF5D73">
      <w:pPr>
        <w:pStyle w:val="FootnoteText"/>
      </w:pPr>
      <w:r>
        <w:rPr>
          <w:rStyle w:val="FootnoteReference"/>
        </w:rPr>
        <w:footnoteRef/>
      </w:r>
      <w:r>
        <w:t xml:space="preserve"> </w:t>
      </w:r>
      <w:r w:rsidRPr="00E35766">
        <w:rPr>
          <w:sz w:val="20"/>
          <w:szCs w:val="20"/>
        </w:rPr>
        <w:t xml:space="preserve">Matt Wells, “François Hollande’s ‘Change’ Is More of the Same on Côte d’Ivoire,” </w:t>
      </w:r>
      <w:r w:rsidRPr="00E35766">
        <w:rPr>
          <w:i/>
          <w:sz w:val="20"/>
          <w:szCs w:val="20"/>
        </w:rPr>
        <w:t xml:space="preserve">Human Rights Watch, </w:t>
      </w:r>
      <w:r w:rsidRPr="00E35766">
        <w:rPr>
          <w:sz w:val="20"/>
          <w:szCs w:val="20"/>
        </w:rPr>
        <w:t>February 6, 2013, accessed April 17, 2017, https://www.hrw.org/news/2013/02/06/francois-hollandes-change-more-same-cote-divoire</w:t>
      </w:r>
      <w:r>
        <w:rPr>
          <w:sz w:val="20"/>
          <w:szCs w:val="20"/>
        </w:rPr>
        <w:t>.</w:t>
      </w:r>
    </w:p>
  </w:footnote>
  <w:footnote w:id="140">
    <w:p w14:paraId="10E2747D" w14:textId="77777777" w:rsidR="004A1BEE" w:rsidRPr="00E435D8" w:rsidRDefault="004A1BEE" w:rsidP="00DF5D73">
      <w:pPr>
        <w:pStyle w:val="FootnoteText"/>
      </w:pPr>
      <w:r>
        <w:rPr>
          <w:rStyle w:val="FootnoteReference"/>
        </w:rPr>
        <w:footnoteRef/>
      </w:r>
      <w:r>
        <w:t xml:space="preserve"> </w:t>
      </w:r>
      <w:r>
        <w:rPr>
          <w:sz w:val="20"/>
          <w:szCs w:val="20"/>
        </w:rPr>
        <w:t xml:space="preserve">Henri Astier, “Zimbabwe’s French Connection,” </w:t>
      </w:r>
      <w:r>
        <w:rPr>
          <w:i/>
          <w:sz w:val="20"/>
          <w:szCs w:val="20"/>
        </w:rPr>
        <w:t xml:space="preserve">BBC News, </w:t>
      </w:r>
      <w:r>
        <w:rPr>
          <w:sz w:val="20"/>
          <w:szCs w:val="20"/>
        </w:rPr>
        <w:t xml:space="preserve">January 24, 2003, accessed October 26, 2016, </w:t>
      </w:r>
      <w:r w:rsidRPr="00D03829">
        <w:rPr>
          <w:rFonts w:cs="Times New Roman"/>
          <w:sz w:val="20"/>
          <w:szCs w:val="20"/>
        </w:rPr>
        <w:t>http://news.bbc.co.uk/2/hi/africa/2692343.stm.</w:t>
      </w:r>
    </w:p>
  </w:footnote>
  <w:footnote w:id="141">
    <w:p w14:paraId="5A9BA923" w14:textId="025D345B" w:rsidR="004A1BEE" w:rsidRPr="00D26249" w:rsidRDefault="004A1BEE" w:rsidP="00DF5D73">
      <w:pPr>
        <w:spacing w:after="0"/>
        <w:rPr>
          <w:rFonts w:cs="Times New Roman"/>
          <w:sz w:val="20"/>
          <w:szCs w:val="20"/>
        </w:rPr>
      </w:pPr>
      <w:r>
        <w:rPr>
          <w:rStyle w:val="FootnoteReference"/>
        </w:rPr>
        <w:footnoteRef/>
      </w:r>
      <w:r>
        <w:t xml:space="preserve"> </w:t>
      </w:r>
      <w:r>
        <w:rPr>
          <w:i/>
          <w:sz w:val="20"/>
          <w:szCs w:val="20"/>
        </w:rPr>
        <w:t>Al Jazeera,</w:t>
      </w:r>
      <w:r w:rsidRPr="00904D1D">
        <w:rPr>
          <w:i/>
          <w:sz w:val="20"/>
          <w:szCs w:val="20"/>
        </w:rPr>
        <w:t xml:space="preserve"> </w:t>
      </w:r>
      <w:r>
        <w:rPr>
          <w:sz w:val="20"/>
          <w:szCs w:val="20"/>
        </w:rPr>
        <w:t>“The French African Connection,</w:t>
      </w:r>
      <w:r w:rsidRPr="00904D1D">
        <w:rPr>
          <w:sz w:val="20"/>
          <w:szCs w:val="20"/>
        </w:rPr>
        <w:t>” April 7,</w:t>
      </w:r>
      <w:r>
        <w:rPr>
          <w:sz w:val="20"/>
          <w:szCs w:val="20"/>
        </w:rPr>
        <w:t xml:space="preserve"> 2014, accessed April 14, 2017, </w:t>
      </w:r>
      <w:r w:rsidRPr="00904D1D">
        <w:rPr>
          <w:sz w:val="20"/>
          <w:szCs w:val="20"/>
        </w:rPr>
        <w:t>http://www.aljazeera.com/programmes/specialseries/2013/08/201387113131914906.html</w:t>
      </w:r>
      <w:r>
        <w:rPr>
          <w:sz w:val="20"/>
          <w:szCs w:val="20"/>
        </w:rPr>
        <w:t xml:space="preserve">, Part I, </w:t>
      </w:r>
      <w:r w:rsidRPr="009577B6">
        <w:rPr>
          <w:sz w:val="20"/>
          <w:szCs w:val="20"/>
        </w:rPr>
        <w:t>23:50.</w:t>
      </w:r>
      <w:r>
        <w:rPr>
          <w:sz w:val="20"/>
          <w:szCs w:val="20"/>
        </w:rPr>
        <w:t xml:space="preserve"> </w:t>
      </w:r>
    </w:p>
  </w:footnote>
  <w:footnote w:id="142">
    <w:p w14:paraId="20B499BB" w14:textId="77777777" w:rsidR="004A1BEE" w:rsidRPr="000F01CA" w:rsidRDefault="004A1BEE" w:rsidP="00DF5D73">
      <w:pPr>
        <w:spacing w:after="0"/>
        <w:rPr>
          <w:rFonts w:cs="Times New Roman"/>
        </w:rPr>
      </w:pPr>
      <w:r>
        <w:rPr>
          <w:rStyle w:val="FootnoteReference"/>
        </w:rPr>
        <w:footnoteRef/>
      </w:r>
      <w:r>
        <w:t xml:space="preserve"> </w:t>
      </w:r>
      <w:r w:rsidRPr="000F01CA">
        <w:rPr>
          <w:rFonts w:cs="Times New Roman"/>
          <w:sz w:val="20"/>
          <w:szCs w:val="20"/>
        </w:rPr>
        <w:t>Ryan</w:t>
      </w:r>
      <w:r>
        <w:rPr>
          <w:rFonts w:cs="Times New Roman"/>
          <w:sz w:val="20"/>
          <w:szCs w:val="20"/>
        </w:rPr>
        <w:t xml:space="preserve"> Logan,</w:t>
      </w:r>
      <w:r w:rsidRPr="000F01CA">
        <w:rPr>
          <w:rFonts w:cs="Times New Roman"/>
          <w:sz w:val="20"/>
          <w:szCs w:val="20"/>
        </w:rPr>
        <w:t xml:space="preserve"> “The C</w:t>
      </w:r>
      <w:r>
        <w:rPr>
          <w:rFonts w:cs="Times New Roman"/>
          <w:sz w:val="20"/>
          <w:szCs w:val="20"/>
        </w:rPr>
        <w:t>oming of Age in the Ivory Coast,</w:t>
      </w:r>
      <w:r w:rsidRPr="000F01CA">
        <w:rPr>
          <w:rFonts w:cs="Times New Roman"/>
          <w:sz w:val="20"/>
          <w:szCs w:val="20"/>
        </w:rPr>
        <w:t xml:space="preserve">” </w:t>
      </w:r>
      <w:r w:rsidRPr="000F01CA">
        <w:rPr>
          <w:rFonts w:cs="Times New Roman"/>
          <w:i/>
          <w:sz w:val="20"/>
          <w:szCs w:val="20"/>
        </w:rPr>
        <w:t>EDGE: Ethics of Deve</w:t>
      </w:r>
      <w:r>
        <w:rPr>
          <w:rFonts w:cs="Times New Roman"/>
          <w:i/>
          <w:sz w:val="20"/>
          <w:szCs w:val="20"/>
        </w:rPr>
        <w:t>lopment in a Global Environment,</w:t>
      </w:r>
      <w:r w:rsidRPr="000F01CA">
        <w:rPr>
          <w:rFonts w:cs="Times New Roman"/>
          <w:i/>
          <w:sz w:val="20"/>
          <w:szCs w:val="20"/>
        </w:rPr>
        <w:t xml:space="preserve"> </w:t>
      </w:r>
      <w:r>
        <w:rPr>
          <w:rFonts w:cs="Times New Roman"/>
          <w:sz w:val="20"/>
          <w:szCs w:val="20"/>
        </w:rPr>
        <w:t>July 26, 1999, accessed April 14, 2017,</w:t>
      </w:r>
      <w:r w:rsidRPr="000F01CA">
        <w:rPr>
          <w:rFonts w:cs="Times New Roman"/>
          <w:sz w:val="20"/>
          <w:szCs w:val="20"/>
        </w:rPr>
        <w:t xml:space="preserve"> http://web.stanford.edu/class/e297c/war_peace/africa/hage.html.</w:t>
      </w:r>
    </w:p>
  </w:footnote>
  <w:footnote w:id="143">
    <w:p w14:paraId="4B7A51A2" w14:textId="77777777" w:rsidR="004A1BEE" w:rsidRDefault="004A1BEE" w:rsidP="00DF5D73">
      <w:pPr>
        <w:pStyle w:val="FootnoteText"/>
      </w:pPr>
      <w:r>
        <w:rPr>
          <w:rStyle w:val="FootnoteReference"/>
        </w:rPr>
        <w:footnoteRef/>
      </w:r>
      <w:r>
        <w:t xml:space="preserve"> </w:t>
      </w:r>
      <w:r w:rsidRPr="0043021A">
        <w:rPr>
          <w:sz w:val="20"/>
          <w:szCs w:val="20"/>
        </w:rPr>
        <w:t xml:space="preserve">Stephen W. Smith, “The Story of Laurent Gbagbo,” </w:t>
      </w:r>
      <w:r w:rsidRPr="0043021A">
        <w:rPr>
          <w:i/>
          <w:sz w:val="20"/>
          <w:szCs w:val="20"/>
        </w:rPr>
        <w:t xml:space="preserve">London Review of Books </w:t>
      </w:r>
      <w:r w:rsidRPr="0043021A">
        <w:rPr>
          <w:sz w:val="20"/>
          <w:szCs w:val="20"/>
        </w:rPr>
        <w:t>33.10 (2011), http://www.lrb.co.uk/v33/n10/stephen-w-smith/the-story-of-laurent-gbagbo.</w:t>
      </w:r>
    </w:p>
  </w:footnote>
  <w:footnote w:id="144">
    <w:p w14:paraId="2E9A7E42" w14:textId="77777777" w:rsidR="004A1BEE" w:rsidRPr="000F01CA" w:rsidRDefault="004A1BEE" w:rsidP="00DF5D73">
      <w:pPr>
        <w:spacing w:after="0"/>
        <w:rPr>
          <w:rFonts w:cs="Times New Roman"/>
        </w:rPr>
      </w:pPr>
      <w:r>
        <w:rPr>
          <w:rStyle w:val="FootnoteReference"/>
        </w:rPr>
        <w:footnoteRef/>
      </w:r>
      <w:r>
        <w:t xml:space="preserve"> </w:t>
      </w:r>
      <w:r>
        <w:rPr>
          <w:rFonts w:cs="Times New Roman"/>
        </w:rPr>
        <w:t xml:space="preserve"> </w:t>
      </w:r>
      <w:r w:rsidRPr="000F01CA">
        <w:rPr>
          <w:rFonts w:cs="Times New Roman"/>
          <w:sz w:val="20"/>
          <w:szCs w:val="20"/>
        </w:rPr>
        <w:t xml:space="preserve">“France and Côte d’Ivoire,” </w:t>
      </w:r>
      <w:r>
        <w:rPr>
          <w:rFonts w:cs="Times New Roman"/>
          <w:i/>
          <w:sz w:val="20"/>
          <w:szCs w:val="20"/>
        </w:rPr>
        <w:t>France Diplomatie,</w:t>
      </w:r>
      <w:r w:rsidRPr="000F01CA">
        <w:rPr>
          <w:rFonts w:cs="Times New Roman"/>
          <w:i/>
          <w:sz w:val="20"/>
          <w:szCs w:val="20"/>
        </w:rPr>
        <w:t xml:space="preserve"> </w:t>
      </w:r>
      <w:r>
        <w:rPr>
          <w:rFonts w:cs="Times New Roman"/>
          <w:sz w:val="20"/>
          <w:szCs w:val="20"/>
        </w:rPr>
        <w:t xml:space="preserve">January 13, 2017, accessed April 14, 2017, </w:t>
      </w:r>
      <w:r w:rsidRPr="000F01CA">
        <w:rPr>
          <w:rFonts w:cs="Times New Roman"/>
          <w:sz w:val="20"/>
          <w:szCs w:val="20"/>
        </w:rPr>
        <w:t>http://www.diplomatie.gouv.fr/en/country-files/cote-d-ivoire/france-and-cote-d-ivoire/presentation/.</w:t>
      </w:r>
    </w:p>
  </w:footnote>
  <w:footnote w:id="145">
    <w:p w14:paraId="77EA6B9C" w14:textId="77777777" w:rsidR="004A1BEE" w:rsidRDefault="004A1BEE" w:rsidP="00DF5D73">
      <w:pPr>
        <w:pStyle w:val="FootnoteText"/>
      </w:pPr>
      <w:r>
        <w:rPr>
          <w:rStyle w:val="FootnoteReference"/>
        </w:rPr>
        <w:footnoteRef/>
      </w:r>
      <w:r>
        <w:t xml:space="preserve"> </w:t>
      </w:r>
      <w:r w:rsidRPr="00B059BA">
        <w:rPr>
          <w:sz w:val="20"/>
          <w:szCs w:val="20"/>
        </w:rPr>
        <w:t xml:space="preserve">Frindéhié, </w:t>
      </w:r>
      <w:r w:rsidRPr="00B059BA">
        <w:rPr>
          <w:i/>
          <w:sz w:val="20"/>
          <w:szCs w:val="20"/>
        </w:rPr>
        <w:t>From Lumumba to Ggabgo</w:t>
      </w:r>
      <w:r w:rsidRPr="00B059BA">
        <w:rPr>
          <w:sz w:val="20"/>
          <w:szCs w:val="20"/>
        </w:rPr>
        <w:t>, 85.</w:t>
      </w:r>
    </w:p>
  </w:footnote>
  <w:footnote w:id="146">
    <w:p w14:paraId="772F445E" w14:textId="77777777" w:rsidR="004A1BEE" w:rsidRPr="00E87F20" w:rsidRDefault="004A1BEE" w:rsidP="00DF5D73">
      <w:pPr>
        <w:pStyle w:val="FootnoteText"/>
      </w:pPr>
      <w:r>
        <w:rPr>
          <w:rStyle w:val="FootnoteReference"/>
        </w:rPr>
        <w:footnoteRef/>
      </w:r>
      <w:r>
        <w:t xml:space="preserve"> </w:t>
      </w:r>
      <w:r w:rsidRPr="00E87F20">
        <w:rPr>
          <w:sz w:val="20"/>
          <w:szCs w:val="20"/>
        </w:rPr>
        <w:t xml:space="preserve">Oumar Ba, “Who is Laurent Gbagbo, and </w:t>
      </w:r>
      <w:r>
        <w:rPr>
          <w:sz w:val="20"/>
          <w:szCs w:val="20"/>
        </w:rPr>
        <w:t>Why Is He o</w:t>
      </w:r>
      <w:r w:rsidRPr="00E87F20">
        <w:rPr>
          <w:sz w:val="20"/>
          <w:szCs w:val="20"/>
        </w:rPr>
        <w:t xml:space="preserve">n Trial at the ICC?” </w:t>
      </w:r>
      <w:r w:rsidRPr="00E87F20">
        <w:rPr>
          <w:i/>
          <w:sz w:val="20"/>
          <w:szCs w:val="20"/>
        </w:rPr>
        <w:t xml:space="preserve">The Washington Post, </w:t>
      </w:r>
      <w:r w:rsidRPr="00E87F20">
        <w:rPr>
          <w:sz w:val="20"/>
          <w:szCs w:val="20"/>
        </w:rPr>
        <w:t>Feb</w:t>
      </w:r>
      <w:r>
        <w:rPr>
          <w:sz w:val="20"/>
          <w:szCs w:val="20"/>
        </w:rPr>
        <w:t>ruary 3,</w:t>
      </w:r>
      <w:r w:rsidRPr="00E87F20">
        <w:rPr>
          <w:sz w:val="20"/>
          <w:szCs w:val="20"/>
        </w:rPr>
        <w:t xml:space="preserve"> 2016</w:t>
      </w:r>
      <w:r>
        <w:rPr>
          <w:sz w:val="20"/>
          <w:szCs w:val="20"/>
        </w:rPr>
        <w:t xml:space="preserve">, accessed January 10, 2017, </w:t>
      </w:r>
      <w:r w:rsidRPr="00815719">
        <w:rPr>
          <w:rFonts w:cs="Times New Roman"/>
          <w:sz w:val="20"/>
          <w:szCs w:val="20"/>
        </w:rPr>
        <w:t>https://www.washingtonpost.com/news/monkey-cage/wp/2016/02/03/who-is-laurent-gbagbo-and-why-is-he-on-trial-at-the-icc/?utm_term=.b913192ac06c.</w:t>
      </w:r>
      <w:r w:rsidRPr="00815719">
        <w:rPr>
          <w:sz w:val="20"/>
          <w:szCs w:val="20"/>
        </w:rPr>
        <w:t>.</w:t>
      </w:r>
    </w:p>
  </w:footnote>
  <w:footnote w:id="147">
    <w:p w14:paraId="6B5EBE5C" w14:textId="77777777" w:rsidR="004A1BEE" w:rsidRPr="00897756" w:rsidRDefault="004A1BEE" w:rsidP="00DF5D73">
      <w:pPr>
        <w:pStyle w:val="FootnoteText"/>
      </w:pPr>
      <w:r>
        <w:rPr>
          <w:rStyle w:val="FootnoteReference"/>
        </w:rPr>
        <w:footnoteRef/>
      </w:r>
      <w:r>
        <w:t xml:space="preserve"> </w:t>
      </w:r>
      <w:r>
        <w:rPr>
          <w:sz w:val="20"/>
          <w:szCs w:val="20"/>
        </w:rPr>
        <w:t xml:space="preserve">Frederick Cooper, </w:t>
      </w:r>
      <w:r>
        <w:rPr>
          <w:i/>
          <w:sz w:val="20"/>
          <w:szCs w:val="20"/>
        </w:rPr>
        <w:t xml:space="preserve">Citizenship between Empire and Nation: Remaking France and French Africa, 1945-1960, </w:t>
      </w:r>
      <w:r>
        <w:rPr>
          <w:sz w:val="20"/>
          <w:szCs w:val="20"/>
        </w:rPr>
        <w:t>(Princeton: Princeton University Press, 2014), 343.</w:t>
      </w:r>
    </w:p>
  </w:footnote>
  <w:footnote w:id="148">
    <w:p w14:paraId="2CB9C523" w14:textId="77777777" w:rsidR="004A1BEE" w:rsidRPr="00171808" w:rsidRDefault="004A1BEE" w:rsidP="00DF5D73">
      <w:pPr>
        <w:pStyle w:val="NormalWeb"/>
        <w:spacing w:before="0" w:beforeAutospacing="0" w:after="0" w:afterAutospacing="0"/>
        <w:rPr>
          <w:sz w:val="22"/>
          <w:szCs w:val="22"/>
        </w:rPr>
      </w:pPr>
      <w:r w:rsidRPr="00171808">
        <w:rPr>
          <w:rStyle w:val="FootnoteReference"/>
          <w:rFonts w:ascii="Times New Roman" w:hAnsi="Times New Roman"/>
          <w:sz w:val="24"/>
          <w:szCs w:val="24"/>
        </w:rPr>
        <w:footnoteRef/>
      </w:r>
      <w:r w:rsidRPr="00171808">
        <w:rPr>
          <w:rFonts w:ascii="Times New Roman" w:hAnsi="Times New Roman"/>
          <w:sz w:val="24"/>
          <w:szCs w:val="24"/>
        </w:rPr>
        <w:t xml:space="preserve"> </w:t>
      </w:r>
      <w:r>
        <w:rPr>
          <w:rFonts w:ascii="Times New Roman" w:hAnsi="Times New Roman"/>
        </w:rPr>
        <w:t>Robert</w:t>
      </w:r>
      <w:r w:rsidRPr="00171808">
        <w:rPr>
          <w:rFonts w:ascii="Times New Roman" w:hAnsi="Times New Roman"/>
        </w:rPr>
        <w:t xml:space="preserve"> </w:t>
      </w:r>
      <w:r>
        <w:rPr>
          <w:rFonts w:ascii="Times New Roman" w:hAnsi="Times New Roman"/>
        </w:rPr>
        <w:t xml:space="preserve">Zaretsky, </w:t>
      </w:r>
      <w:r w:rsidRPr="00171808">
        <w:rPr>
          <w:rFonts w:ascii="Times New Roman" w:hAnsi="Times New Roman"/>
        </w:rPr>
        <w:t xml:space="preserve">"France's Bongo-Bongo Party," </w:t>
      </w:r>
      <w:r w:rsidRPr="00171808">
        <w:rPr>
          <w:rFonts w:ascii="Times New Roman" w:hAnsi="Times New Roman"/>
          <w:i/>
          <w:iCs/>
        </w:rPr>
        <w:t>Foreign Policy,</w:t>
      </w:r>
      <w:r w:rsidRPr="00171808">
        <w:rPr>
          <w:rFonts w:ascii="Times New Roman" w:hAnsi="Times New Roman"/>
        </w:rPr>
        <w:t xml:space="preserve"> Sep</w:t>
      </w:r>
      <w:r>
        <w:rPr>
          <w:rFonts w:ascii="Times New Roman" w:hAnsi="Times New Roman"/>
        </w:rPr>
        <w:t>tember 7,</w:t>
      </w:r>
      <w:r w:rsidRPr="00171808">
        <w:rPr>
          <w:rFonts w:ascii="Times New Roman" w:hAnsi="Times New Roman"/>
        </w:rPr>
        <w:t xml:space="preserve"> 2016, </w:t>
      </w:r>
      <w:r>
        <w:rPr>
          <w:rFonts w:ascii="Times New Roman" w:hAnsi="Times New Roman"/>
        </w:rPr>
        <w:t xml:space="preserve">accessed October 27, 2016, </w:t>
      </w:r>
      <w:r w:rsidRPr="00171808">
        <w:rPr>
          <w:rFonts w:ascii="Times New Roman" w:hAnsi="Times New Roman"/>
        </w:rPr>
        <w:t>http://foreignpolicy.com/2016/09/07/france-bongo-bongo-party-gabon-scandal-sarkozy-hollande-colonialism/</w:t>
      </w:r>
      <w:r>
        <w:rPr>
          <w:rFonts w:ascii="Times New Roman" w:hAnsi="Times New Roman"/>
        </w:rPr>
        <w:t>.</w:t>
      </w:r>
    </w:p>
  </w:footnote>
  <w:footnote w:id="149">
    <w:p w14:paraId="6DCC90FA" w14:textId="77777777" w:rsidR="004A1BEE" w:rsidRDefault="004A1BEE" w:rsidP="00DF5D73">
      <w:pPr>
        <w:pStyle w:val="FootnoteText"/>
      </w:pPr>
      <w:r>
        <w:rPr>
          <w:rStyle w:val="FootnoteReference"/>
        </w:rPr>
        <w:footnoteRef/>
      </w:r>
      <w:r>
        <w:t xml:space="preserve"> </w:t>
      </w:r>
      <w:r w:rsidRPr="00866B51">
        <w:rPr>
          <w:sz w:val="20"/>
          <w:szCs w:val="20"/>
        </w:rPr>
        <w:t>“The French African Connection,” Part III, 42:49.</w:t>
      </w:r>
      <w:r>
        <w:t xml:space="preserve"> </w:t>
      </w:r>
    </w:p>
  </w:footnote>
  <w:footnote w:id="150">
    <w:p w14:paraId="5BE2A8AD" w14:textId="77777777" w:rsidR="004A1BEE" w:rsidRDefault="004A1BEE" w:rsidP="00DF5D73">
      <w:pPr>
        <w:pStyle w:val="FootnoteText"/>
      </w:pPr>
      <w:r>
        <w:rPr>
          <w:rStyle w:val="FootnoteReference"/>
        </w:rPr>
        <w:footnoteRef/>
      </w:r>
      <w:r>
        <w:t xml:space="preserve"> </w:t>
      </w:r>
      <w:r w:rsidRPr="0040236B">
        <w:rPr>
          <w:sz w:val="20"/>
          <w:szCs w:val="20"/>
        </w:rPr>
        <w:t>Zaretsky, “France’s Bongo-Bongo Party.”</w:t>
      </w:r>
    </w:p>
  </w:footnote>
  <w:footnote w:id="151">
    <w:p w14:paraId="216DD761" w14:textId="77777777" w:rsidR="004A1BEE" w:rsidRPr="005378AA" w:rsidRDefault="004A1BEE" w:rsidP="00DF5D73">
      <w:pPr>
        <w:pStyle w:val="FootnoteText"/>
      </w:pPr>
      <w:r>
        <w:rPr>
          <w:rStyle w:val="FootnoteReference"/>
        </w:rPr>
        <w:footnoteRef/>
      </w:r>
      <w:r>
        <w:t xml:space="preserve"> </w:t>
      </w:r>
      <w:r w:rsidRPr="005378AA">
        <w:rPr>
          <w:sz w:val="20"/>
          <w:szCs w:val="20"/>
        </w:rPr>
        <w:t xml:space="preserve">Richard Bernstein, “In Africa, France is Still a Military Power,” </w:t>
      </w:r>
      <w:r w:rsidRPr="005378AA">
        <w:rPr>
          <w:i/>
          <w:sz w:val="20"/>
          <w:szCs w:val="20"/>
        </w:rPr>
        <w:t xml:space="preserve">The New York Times, </w:t>
      </w:r>
      <w:r w:rsidRPr="005378AA">
        <w:rPr>
          <w:sz w:val="20"/>
          <w:szCs w:val="20"/>
        </w:rPr>
        <w:t>Apr</w:t>
      </w:r>
      <w:r>
        <w:rPr>
          <w:sz w:val="20"/>
          <w:szCs w:val="20"/>
        </w:rPr>
        <w:t xml:space="preserve">il 19 1987, accessed </w:t>
      </w:r>
      <w:r w:rsidRPr="005378AA">
        <w:rPr>
          <w:sz w:val="20"/>
          <w:szCs w:val="20"/>
        </w:rPr>
        <w:t>Oct</w:t>
      </w:r>
      <w:r>
        <w:rPr>
          <w:sz w:val="20"/>
          <w:szCs w:val="20"/>
        </w:rPr>
        <w:t>ober 26,</w:t>
      </w:r>
      <w:r w:rsidRPr="005378AA">
        <w:rPr>
          <w:sz w:val="20"/>
          <w:szCs w:val="20"/>
        </w:rPr>
        <w:t xml:space="preserve"> 2016</w:t>
      </w:r>
      <w:r>
        <w:rPr>
          <w:sz w:val="20"/>
          <w:szCs w:val="20"/>
        </w:rPr>
        <w:t>,</w:t>
      </w:r>
      <w:r>
        <w:t xml:space="preserve"> </w:t>
      </w:r>
    </w:p>
  </w:footnote>
  <w:footnote w:id="152">
    <w:p w14:paraId="0DEC789C" w14:textId="27A54913" w:rsidR="004A1BEE" w:rsidRPr="0095703C" w:rsidRDefault="004A1BEE" w:rsidP="00DF5D73">
      <w:pPr>
        <w:pStyle w:val="FootnoteText"/>
      </w:pPr>
      <w:r>
        <w:rPr>
          <w:rStyle w:val="FootnoteReference"/>
        </w:rPr>
        <w:footnoteRef/>
      </w:r>
      <w:r>
        <w:t xml:space="preserve"> </w:t>
      </w:r>
      <w:r w:rsidRPr="0095703C">
        <w:rPr>
          <w:i/>
          <w:sz w:val="20"/>
          <w:szCs w:val="20"/>
        </w:rPr>
        <w:t xml:space="preserve">The Economist, </w:t>
      </w:r>
      <w:r w:rsidRPr="0095703C">
        <w:rPr>
          <w:sz w:val="20"/>
          <w:szCs w:val="20"/>
        </w:rPr>
        <w:t xml:space="preserve">“They </w:t>
      </w:r>
      <w:r>
        <w:rPr>
          <w:sz w:val="20"/>
          <w:szCs w:val="20"/>
        </w:rPr>
        <w:t>Came t</w:t>
      </w:r>
      <w:r w:rsidRPr="0095703C">
        <w:rPr>
          <w:sz w:val="20"/>
          <w:szCs w:val="20"/>
        </w:rPr>
        <w:t>o Bury Him</w:t>
      </w:r>
      <w:r>
        <w:rPr>
          <w:sz w:val="20"/>
          <w:szCs w:val="20"/>
        </w:rPr>
        <w:t>, Not t</w:t>
      </w:r>
      <w:r w:rsidRPr="0095703C">
        <w:rPr>
          <w:sz w:val="20"/>
          <w:szCs w:val="20"/>
        </w:rPr>
        <w:t>o Praise Him,” Jun</w:t>
      </w:r>
      <w:r>
        <w:rPr>
          <w:sz w:val="20"/>
          <w:szCs w:val="20"/>
        </w:rPr>
        <w:t>e 18,</w:t>
      </w:r>
      <w:r w:rsidRPr="0095703C">
        <w:rPr>
          <w:sz w:val="20"/>
          <w:szCs w:val="20"/>
        </w:rPr>
        <w:t xml:space="preserve"> 2009</w:t>
      </w:r>
      <w:r>
        <w:rPr>
          <w:sz w:val="20"/>
          <w:szCs w:val="20"/>
        </w:rPr>
        <w:t xml:space="preserve">, accessed December 15, 2016, </w:t>
      </w:r>
      <w:r w:rsidRPr="00D03829">
        <w:rPr>
          <w:rFonts w:cs="Times New Roman"/>
          <w:sz w:val="20"/>
          <w:szCs w:val="20"/>
        </w:rPr>
        <w:t>http://www.economist.com/node/13875618.</w:t>
      </w:r>
    </w:p>
  </w:footnote>
  <w:footnote w:id="153">
    <w:p w14:paraId="75BEADB5" w14:textId="77777777" w:rsidR="004A1BEE" w:rsidRPr="005B05A4" w:rsidRDefault="004A1BEE" w:rsidP="009025F4">
      <w:pPr>
        <w:spacing w:after="0"/>
        <w:contextualSpacing/>
        <w:rPr>
          <w:rFonts w:cs="Times New Roman"/>
        </w:rPr>
      </w:pPr>
      <w:r>
        <w:rPr>
          <w:rStyle w:val="FootnoteReference"/>
        </w:rPr>
        <w:footnoteRef/>
      </w:r>
      <w:r>
        <w:t xml:space="preserve"> </w:t>
      </w:r>
      <w:r w:rsidRPr="00D03F03">
        <w:rPr>
          <w:rFonts w:cs="Times New Roman"/>
        </w:rPr>
        <w:t>“</w:t>
      </w:r>
      <w:r w:rsidRPr="000A6AD2">
        <w:rPr>
          <w:rFonts w:cs="Times New Roman"/>
          <w:sz w:val="20"/>
          <w:szCs w:val="20"/>
        </w:rPr>
        <w:t xml:space="preserve">Les Forces Françaises Prépositionnées, Mai 2016.” </w:t>
      </w:r>
      <w:r w:rsidRPr="000A6AD2">
        <w:rPr>
          <w:rFonts w:cs="Times New Roman"/>
          <w:i/>
          <w:sz w:val="20"/>
          <w:szCs w:val="20"/>
        </w:rPr>
        <w:t xml:space="preserve">Ministère de la Défense. </w:t>
      </w:r>
      <w:r w:rsidRPr="000A6AD2">
        <w:rPr>
          <w:rFonts w:cs="Times New Roman"/>
          <w:sz w:val="20"/>
          <w:szCs w:val="20"/>
        </w:rPr>
        <w:t>January 31,</w:t>
      </w:r>
      <w:r>
        <w:rPr>
          <w:rFonts w:cs="Times New Roman"/>
          <w:sz w:val="20"/>
          <w:szCs w:val="20"/>
        </w:rPr>
        <w:t xml:space="preserve"> 2017. Accessed April 14, 2017. </w:t>
      </w:r>
      <w:r w:rsidRPr="000A6AD2">
        <w:rPr>
          <w:rFonts w:cs="Times New Roman"/>
          <w:sz w:val="20"/>
          <w:szCs w:val="20"/>
        </w:rPr>
        <w:t>http://www.defense.gouv.fr/ema/forces-prepositionnees/mission-des-forces-prepositionnees/missions-des-forces-prepositionnees.</w:t>
      </w:r>
    </w:p>
  </w:footnote>
  <w:footnote w:id="154">
    <w:p w14:paraId="60701C8F" w14:textId="77777777" w:rsidR="004A1BEE" w:rsidRDefault="004A1BEE" w:rsidP="00DF5D73">
      <w:pPr>
        <w:pStyle w:val="FootnoteText"/>
      </w:pPr>
      <w:r>
        <w:rPr>
          <w:rStyle w:val="FootnoteReference"/>
        </w:rPr>
        <w:footnoteRef/>
      </w:r>
      <w:r>
        <w:t xml:space="preserve"> </w:t>
      </w:r>
      <w:r w:rsidRPr="00D03829">
        <w:rPr>
          <w:sz w:val="20"/>
          <w:szCs w:val="20"/>
        </w:rPr>
        <w:t xml:space="preserve">Andrew Hansen, “The French Military in Africa,” </w:t>
      </w:r>
      <w:r w:rsidRPr="00D03829">
        <w:rPr>
          <w:i/>
          <w:sz w:val="20"/>
          <w:szCs w:val="20"/>
        </w:rPr>
        <w:t xml:space="preserve">Council on Foreign Relations, </w:t>
      </w:r>
      <w:r w:rsidRPr="00D03829">
        <w:rPr>
          <w:sz w:val="20"/>
          <w:szCs w:val="20"/>
        </w:rPr>
        <w:t xml:space="preserve">8 Feb 2008, accessed 26 October 2016, </w:t>
      </w:r>
      <w:r w:rsidRPr="00D03829">
        <w:rPr>
          <w:rFonts w:cs="Times New Roman"/>
          <w:sz w:val="20"/>
          <w:szCs w:val="20"/>
        </w:rPr>
        <w:t>http://www.cfr.org/france/french-military-africa/p12578</w:t>
      </w:r>
      <w:r w:rsidRPr="00D03829">
        <w:rPr>
          <w:sz w:val="20"/>
          <w:szCs w:val="20"/>
        </w:rPr>
        <w:t xml:space="preserve">; Jeremy Bender, “France’s Military Is All Over Africa,” January 22, 2015, accessed October 26 2016, Business Insider, </w:t>
      </w:r>
      <w:r w:rsidRPr="00D03829">
        <w:rPr>
          <w:rFonts w:eastAsia="Times New Roman" w:cs="Times New Roman"/>
          <w:color w:val="000000"/>
          <w:sz w:val="20"/>
          <w:szCs w:val="20"/>
          <w:lang w:eastAsia="en-US"/>
        </w:rPr>
        <w:t>http://www.businessinsider.com/frances-military-is-all-over-africa-2015-1.</w:t>
      </w:r>
      <w:r>
        <w:t xml:space="preserve"> </w:t>
      </w:r>
    </w:p>
  </w:footnote>
  <w:footnote w:id="155">
    <w:p w14:paraId="48047330" w14:textId="77777777" w:rsidR="004A1BEE" w:rsidRDefault="004A1BEE" w:rsidP="00DF5D73">
      <w:pPr>
        <w:pStyle w:val="FootnoteText"/>
      </w:pPr>
      <w:r>
        <w:rPr>
          <w:rStyle w:val="FootnoteReference"/>
        </w:rPr>
        <w:footnoteRef/>
      </w:r>
      <w:r>
        <w:t xml:space="preserve"> </w:t>
      </w:r>
      <w:r w:rsidRPr="002623FA">
        <w:rPr>
          <w:sz w:val="20"/>
          <w:szCs w:val="20"/>
        </w:rPr>
        <w:t xml:space="preserve">Stephen Smith, “How France </w:t>
      </w:r>
      <w:r>
        <w:rPr>
          <w:sz w:val="20"/>
          <w:szCs w:val="20"/>
        </w:rPr>
        <w:t>Maintains Its G</w:t>
      </w:r>
      <w:r w:rsidRPr="002623FA">
        <w:rPr>
          <w:sz w:val="20"/>
          <w:szCs w:val="20"/>
        </w:rPr>
        <w:t xml:space="preserve">rip on Africa,” </w:t>
      </w:r>
      <w:r>
        <w:rPr>
          <w:i/>
          <w:sz w:val="20"/>
          <w:szCs w:val="20"/>
        </w:rPr>
        <w:t>BBC</w:t>
      </w:r>
      <w:r w:rsidRPr="002623FA">
        <w:rPr>
          <w:i/>
          <w:sz w:val="20"/>
          <w:szCs w:val="20"/>
        </w:rPr>
        <w:t xml:space="preserve"> Focus on Africa Magazine,</w:t>
      </w:r>
      <w:r>
        <w:rPr>
          <w:i/>
          <w:sz w:val="20"/>
          <w:szCs w:val="20"/>
        </w:rPr>
        <w:t xml:space="preserve"> </w:t>
      </w:r>
      <w:r>
        <w:rPr>
          <w:sz w:val="20"/>
          <w:szCs w:val="20"/>
        </w:rPr>
        <w:t xml:space="preserve">April 29, 2010, accessed </w:t>
      </w:r>
      <w:r w:rsidRPr="002623FA">
        <w:rPr>
          <w:sz w:val="20"/>
          <w:szCs w:val="20"/>
        </w:rPr>
        <w:t>Oct</w:t>
      </w:r>
      <w:r>
        <w:rPr>
          <w:sz w:val="20"/>
          <w:szCs w:val="20"/>
        </w:rPr>
        <w:t xml:space="preserve">ober 24, 2016, </w:t>
      </w:r>
      <w:r w:rsidRPr="00D03829">
        <w:rPr>
          <w:rFonts w:cs="Times New Roman"/>
          <w:sz w:val="20"/>
          <w:szCs w:val="20"/>
        </w:rPr>
        <w:t>http://news.bbc.co.uk/2/hi/africa/8639874.stm.</w:t>
      </w:r>
    </w:p>
  </w:footnote>
  <w:footnote w:id="156">
    <w:p w14:paraId="619AF2CB" w14:textId="6777DDA0" w:rsidR="004A1BEE" w:rsidRDefault="004A1BEE">
      <w:pPr>
        <w:pStyle w:val="FootnoteText"/>
      </w:pPr>
      <w:r>
        <w:rPr>
          <w:rStyle w:val="FootnoteReference"/>
        </w:rPr>
        <w:footnoteRef/>
      </w:r>
      <w:r>
        <w:t xml:space="preserve"> </w:t>
      </w:r>
      <w:r w:rsidRPr="00980F34">
        <w:t>“</w:t>
      </w:r>
      <w:r>
        <w:rPr>
          <w:sz w:val="20"/>
          <w:szCs w:val="20"/>
        </w:rPr>
        <w:t>The French African Connection,</w:t>
      </w:r>
      <w:r w:rsidRPr="00AD16FB">
        <w:rPr>
          <w:sz w:val="20"/>
          <w:szCs w:val="20"/>
        </w:rPr>
        <w:t xml:space="preserve">” </w:t>
      </w:r>
      <w:r>
        <w:rPr>
          <w:i/>
          <w:sz w:val="20"/>
          <w:szCs w:val="20"/>
        </w:rPr>
        <w:t>Al Jazeera.</w:t>
      </w:r>
    </w:p>
  </w:footnote>
  <w:footnote w:id="157">
    <w:p w14:paraId="6DC3DF16" w14:textId="77777777" w:rsidR="004A1BEE" w:rsidRDefault="004A1BEE" w:rsidP="00DF5D73">
      <w:pPr>
        <w:pStyle w:val="FootnoteText"/>
      </w:pPr>
      <w:r>
        <w:rPr>
          <w:rStyle w:val="FootnoteReference"/>
        </w:rPr>
        <w:footnoteRef/>
      </w:r>
      <w:r>
        <w:t xml:space="preserve"> </w:t>
      </w:r>
      <w:r w:rsidRPr="001421E0">
        <w:rPr>
          <w:sz w:val="20"/>
          <w:szCs w:val="20"/>
        </w:rPr>
        <w:t>Africa Recovery, United Nations, “The CFA Franc: New Peg for Common Currency,” April 1999, accessed April 20, 2017, http://www.un.org/en/africarenewal/subjindx/124euro3.htm.</w:t>
      </w:r>
    </w:p>
  </w:footnote>
  <w:footnote w:id="158">
    <w:p w14:paraId="0E52495A" w14:textId="77777777" w:rsidR="004A1BEE" w:rsidRPr="00A30E25" w:rsidRDefault="004A1BEE" w:rsidP="00DF5D73">
      <w:pPr>
        <w:pStyle w:val="FootnoteText"/>
      </w:pPr>
      <w:r>
        <w:rPr>
          <w:rStyle w:val="FootnoteReference"/>
        </w:rPr>
        <w:footnoteRef/>
      </w:r>
      <w:r>
        <w:t xml:space="preserve"> </w:t>
      </w:r>
      <w:r w:rsidRPr="00A30E25">
        <w:rPr>
          <w:sz w:val="20"/>
          <w:szCs w:val="20"/>
        </w:rPr>
        <w:t xml:space="preserve">Robert Neuwirth, “African Monetary Union Stirs Criticism of France,” </w:t>
      </w:r>
      <w:r w:rsidRPr="00A30E25">
        <w:rPr>
          <w:i/>
          <w:sz w:val="20"/>
          <w:szCs w:val="20"/>
        </w:rPr>
        <w:t xml:space="preserve">Bloomberg, </w:t>
      </w:r>
      <w:r w:rsidRPr="00A30E25">
        <w:rPr>
          <w:sz w:val="20"/>
          <w:szCs w:val="20"/>
        </w:rPr>
        <w:t>Apr</w:t>
      </w:r>
      <w:r>
        <w:rPr>
          <w:sz w:val="20"/>
          <w:szCs w:val="20"/>
        </w:rPr>
        <w:t xml:space="preserve">il 17, 2014, accessed </w:t>
      </w:r>
      <w:r w:rsidRPr="00A30E25">
        <w:rPr>
          <w:sz w:val="20"/>
          <w:szCs w:val="20"/>
        </w:rPr>
        <w:t>Oct</w:t>
      </w:r>
      <w:r>
        <w:rPr>
          <w:sz w:val="20"/>
          <w:szCs w:val="20"/>
        </w:rPr>
        <w:t>ober 28,</w:t>
      </w:r>
      <w:r w:rsidRPr="00A30E25">
        <w:rPr>
          <w:sz w:val="20"/>
          <w:szCs w:val="20"/>
        </w:rPr>
        <w:t xml:space="preserve"> 2016</w:t>
      </w:r>
      <w:r>
        <w:rPr>
          <w:sz w:val="20"/>
          <w:szCs w:val="20"/>
        </w:rPr>
        <w:t xml:space="preserve">, </w:t>
      </w:r>
      <w:r w:rsidRPr="00D03829">
        <w:rPr>
          <w:rFonts w:cs="Times New Roman"/>
          <w:sz w:val="20"/>
          <w:szCs w:val="20"/>
        </w:rPr>
        <w:t>https://www.bloomberg.com/news/articles/2014-04-17/african-monetary-union-stirs-criticism-of-france.</w:t>
      </w:r>
    </w:p>
  </w:footnote>
  <w:footnote w:id="159">
    <w:p w14:paraId="3D14502D" w14:textId="77777777" w:rsidR="004A1BEE" w:rsidRDefault="004A1BEE" w:rsidP="006861FC">
      <w:pPr>
        <w:pStyle w:val="FootnoteText"/>
      </w:pPr>
      <w:r>
        <w:rPr>
          <w:rStyle w:val="FootnoteReference"/>
        </w:rPr>
        <w:footnoteRef/>
      </w:r>
      <w:r>
        <w:t xml:space="preserve"> </w:t>
      </w:r>
      <w:r w:rsidRPr="00D03829">
        <w:rPr>
          <w:sz w:val="20"/>
          <w:szCs w:val="20"/>
        </w:rPr>
        <w:t xml:space="preserve">Craig R. Whitney, “France Snips at the Old Ties that Bind It to Africa,” </w:t>
      </w:r>
      <w:r w:rsidRPr="00D03829">
        <w:rPr>
          <w:i/>
          <w:sz w:val="20"/>
          <w:szCs w:val="20"/>
        </w:rPr>
        <w:t xml:space="preserve">The New York Times, </w:t>
      </w:r>
      <w:r w:rsidRPr="00D03829">
        <w:rPr>
          <w:sz w:val="20"/>
          <w:szCs w:val="20"/>
        </w:rPr>
        <w:t>Jul</w:t>
      </w:r>
      <w:r>
        <w:rPr>
          <w:sz w:val="20"/>
          <w:szCs w:val="20"/>
        </w:rPr>
        <w:t>y 25,</w:t>
      </w:r>
      <w:r w:rsidRPr="00D03829">
        <w:rPr>
          <w:sz w:val="20"/>
          <w:szCs w:val="20"/>
        </w:rPr>
        <w:t xml:space="preserve"> 1997, acce</w:t>
      </w:r>
      <w:r>
        <w:rPr>
          <w:sz w:val="20"/>
          <w:szCs w:val="20"/>
        </w:rPr>
        <w:t xml:space="preserve">ssed </w:t>
      </w:r>
      <w:r w:rsidRPr="00D03829">
        <w:rPr>
          <w:sz w:val="20"/>
          <w:szCs w:val="20"/>
        </w:rPr>
        <w:t>Oct</w:t>
      </w:r>
      <w:r>
        <w:rPr>
          <w:sz w:val="20"/>
          <w:szCs w:val="20"/>
        </w:rPr>
        <w:t>ober 27,</w:t>
      </w:r>
      <w:r w:rsidRPr="00D03829">
        <w:rPr>
          <w:sz w:val="20"/>
          <w:szCs w:val="20"/>
        </w:rPr>
        <w:t xml:space="preserve"> 2016</w:t>
      </w:r>
      <w:r>
        <w:rPr>
          <w:sz w:val="20"/>
          <w:szCs w:val="20"/>
        </w:rPr>
        <w:t xml:space="preserve">, </w:t>
      </w:r>
      <w:r w:rsidRPr="00D03829">
        <w:rPr>
          <w:rFonts w:cs="Times New Roman"/>
          <w:sz w:val="20"/>
          <w:szCs w:val="20"/>
        </w:rPr>
        <w:t>http://www.nytimes.com/1997/07/25/world/france-snips-at-the-old-ties-that-bind-it-to-africa.html.</w:t>
      </w:r>
    </w:p>
  </w:footnote>
  <w:footnote w:id="160">
    <w:p w14:paraId="4F549887" w14:textId="77777777" w:rsidR="004A1BEE" w:rsidRPr="00B24582" w:rsidRDefault="004A1BEE" w:rsidP="006861FC">
      <w:pPr>
        <w:pStyle w:val="FootnoteText"/>
      </w:pPr>
      <w:r>
        <w:rPr>
          <w:rStyle w:val="FootnoteReference"/>
        </w:rPr>
        <w:footnoteRef/>
      </w:r>
      <w:r>
        <w:t xml:space="preserve"> </w:t>
      </w:r>
      <w:r w:rsidRPr="00B24582">
        <w:rPr>
          <w:sz w:val="20"/>
          <w:szCs w:val="20"/>
        </w:rPr>
        <w:t xml:space="preserve">Kenneth B. Noble, “French Devaluation of African Currency Brings Wide Unrest,” </w:t>
      </w:r>
      <w:r w:rsidRPr="00B24582">
        <w:rPr>
          <w:i/>
          <w:sz w:val="20"/>
          <w:szCs w:val="20"/>
        </w:rPr>
        <w:t>The New York Times,</w:t>
      </w:r>
      <w:r>
        <w:rPr>
          <w:sz w:val="20"/>
          <w:szCs w:val="20"/>
        </w:rPr>
        <w:t xml:space="preserve"> February 23, 1994, accessed</w:t>
      </w:r>
      <w:r w:rsidRPr="00B24582">
        <w:rPr>
          <w:sz w:val="20"/>
          <w:szCs w:val="20"/>
        </w:rPr>
        <w:t xml:space="preserve"> Jan</w:t>
      </w:r>
      <w:r>
        <w:rPr>
          <w:sz w:val="20"/>
          <w:szCs w:val="20"/>
        </w:rPr>
        <w:t>uary 29,</w:t>
      </w:r>
      <w:r w:rsidRPr="00B24582">
        <w:rPr>
          <w:sz w:val="20"/>
          <w:szCs w:val="20"/>
        </w:rPr>
        <w:t xml:space="preserve"> 2017</w:t>
      </w:r>
      <w:r>
        <w:rPr>
          <w:sz w:val="20"/>
          <w:szCs w:val="20"/>
        </w:rPr>
        <w:t xml:space="preserve">, </w:t>
      </w:r>
      <w:r w:rsidRPr="00D03829">
        <w:rPr>
          <w:rFonts w:cs="Times New Roman"/>
          <w:sz w:val="20"/>
          <w:szCs w:val="20"/>
        </w:rPr>
        <w:t>http://www.nytimes.com/1994/02/23/world/french-devaluation-of-african-currency-brings-wide-unrest.html?pagewanted=all.</w:t>
      </w:r>
    </w:p>
  </w:footnote>
  <w:footnote w:id="161">
    <w:p w14:paraId="76E3D1A6" w14:textId="77777777" w:rsidR="004A1BEE" w:rsidRPr="00A465C9" w:rsidRDefault="004A1BEE" w:rsidP="00DF5D73">
      <w:pPr>
        <w:pStyle w:val="FootnoteText"/>
      </w:pPr>
      <w:r>
        <w:rPr>
          <w:rStyle w:val="FootnoteReference"/>
        </w:rPr>
        <w:footnoteRef/>
      </w:r>
      <w:r>
        <w:t xml:space="preserve"> </w:t>
      </w:r>
      <w:r w:rsidRPr="00A465C9">
        <w:rPr>
          <w:sz w:val="20"/>
          <w:szCs w:val="20"/>
        </w:rPr>
        <w:t xml:space="preserve">Peggy Hollinger, “Foreign Relations: Life Become More Competitive for the French,” </w:t>
      </w:r>
      <w:r w:rsidRPr="00A465C9">
        <w:rPr>
          <w:i/>
          <w:sz w:val="20"/>
          <w:szCs w:val="20"/>
        </w:rPr>
        <w:t xml:space="preserve">The Financial Times, </w:t>
      </w:r>
      <w:r>
        <w:rPr>
          <w:sz w:val="20"/>
          <w:szCs w:val="20"/>
        </w:rPr>
        <w:t>J</w:t>
      </w:r>
      <w:r w:rsidRPr="00A465C9">
        <w:rPr>
          <w:sz w:val="20"/>
          <w:szCs w:val="20"/>
        </w:rPr>
        <w:t>un</w:t>
      </w:r>
      <w:r>
        <w:rPr>
          <w:sz w:val="20"/>
          <w:szCs w:val="20"/>
        </w:rPr>
        <w:t xml:space="preserve">e 4, 2012, accessed </w:t>
      </w:r>
      <w:r w:rsidRPr="00A465C9">
        <w:rPr>
          <w:sz w:val="20"/>
          <w:szCs w:val="20"/>
        </w:rPr>
        <w:t>Jan</w:t>
      </w:r>
      <w:r>
        <w:rPr>
          <w:sz w:val="20"/>
          <w:szCs w:val="20"/>
        </w:rPr>
        <w:t>uary 30,</w:t>
      </w:r>
      <w:r w:rsidRPr="00A465C9">
        <w:rPr>
          <w:sz w:val="20"/>
          <w:szCs w:val="20"/>
        </w:rPr>
        <w:t xml:space="preserve"> 2017</w:t>
      </w:r>
      <w:r>
        <w:rPr>
          <w:sz w:val="20"/>
          <w:szCs w:val="20"/>
        </w:rPr>
        <w:t xml:space="preserve">, </w:t>
      </w:r>
      <w:r w:rsidRPr="00815719">
        <w:rPr>
          <w:rFonts w:cs="Times New Roman"/>
          <w:sz w:val="20"/>
          <w:szCs w:val="20"/>
        </w:rPr>
        <w:t>https://www.ft.com/content/2b665aae-ae5b-11e1-b842-00144feabdc0.</w:t>
      </w:r>
    </w:p>
  </w:footnote>
  <w:footnote w:id="162">
    <w:p w14:paraId="1CEEC5F1" w14:textId="77777777" w:rsidR="004A1BEE" w:rsidRPr="00D37112" w:rsidRDefault="004A1BEE" w:rsidP="00DF5D73">
      <w:pPr>
        <w:pStyle w:val="FootnoteText"/>
      </w:pPr>
      <w:r>
        <w:rPr>
          <w:rStyle w:val="FootnoteReference"/>
        </w:rPr>
        <w:footnoteRef/>
      </w:r>
      <w:r>
        <w:t xml:space="preserve"> </w:t>
      </w:r>
      <w:r w:rsidRPr="00D37112">
        <w:rPr>
          <w:sz w:val="20"/>
          <w:szCs w:val="20"/>
        </w:rPr>
        <w:t xml:space="preserve">Lucy Ash, “Breaking France’s Africa habit,” </w:t>
      </w:r>
      <w:r w:rsidRPr="00D37112">
        <w:rPr>
          <w:i/>
          <w:sz w:val="20"/>
          <w:szCs w:val="20"/>
        </w:rPr>
        <w:t xml:space="preserve">BBC News, </w:t>
      </w:r>
      <w:r>
        <w:rPr>
          <w:sz w:val="20"/>
          <w:szCs w:val="20"/>
        </w:rPr>
        <w:t>April 1, 2007, accessed</w:t>
      </w:r>
      <w:r w:rsidRPr="00D37112">
        <w:rPr>
          <w:sz w:val="20"/>
          <w:szCs w:val="20"/>
        </w:rPr>
        <w:t xml:space="preserve"> Oct</w:t>
      </w:r>
      <w:r>
        <w:rPr>
          <w:sz w:val="20"/>
          <w:szCs w:val="20"/>
        </w:rPr>
        <w:t>ober 27,</w:t>
      </w:r>
      <w:r w:rsidRPr="00D37112">
        <w:rPr>
          <w:sz w:val="20"/>
          <w:szCs w:val="20"/>
        </w:rPr>
        <w:t xml:space="preserve"> 2016</w:t>
      </w:r>
      <w:r>
        <w:rPr>
          <w:sz w:val="20"/>
          <w:szCs w:val="20"/>
        </w:rPr>
        <w:t xml:space="preserve">, </w:t>
      </w:r>
      <w:r w:rsidRPr="00D03829">
        <w:rPr>
          <w:rFonts w:cs="Times New Roman"/>
          <w:sz w:val="20"/>
          <w:szCs w:val="20"/>
        </w:rPr>
        <w:t>http://news.bbc.co.uk/2/hi/europe/6511963.stm.</w:t>
      </w:r>
    </w:p>
  </w:footnote>
  <w:footnote w:id="163">
    <w:p w14:paraId="0F2C731D" w14:textId="77777777" w:rsidR="004A1BEE" w:rsidRDefault="004A1BEE" w:rsidP="00DF5D73">
      <w:pPr>
        <w:pStyle w:val="FootnoteText"/>
      </w:pPr>
      <w:r>
        <w:rPr>
          <w:rStyle w:val="FootnoteReference"/>
        </w:rPr>
        <w:footnoteRef/>
      </w:r>
      <w:r>
        <w:t xml:space="preserve"> </w:t>
      </w:r>
      <w:r w:rsidRPr="00904D1D">
        <w:rPr>
          <w:sz w:val="20"/>
          <w:szCs w:val="20"/>
        </w:rPr>
        <w:t xml:space="preserve">“The French African Connection,” </w:t>
      </w:r>
      <w:r>
        <w:rPr>
          <w:sz w:val="20"/>
          <w:szCs w:val="20"/>
        </w:rPr>
        <w:t xml:space="preserve">Part I, </w:t>
      </w:r>
      <w:r w:rsidRPr="00904D1D">
        <w:rPr>
          <w:sz w:val="20"/>
          <w:szCs w:val="20"/>
        </w:rPr>
        <w:t>37:15.</w:t>
      </w:r>
    </w:p>
  </w:footnote>
  <w:footnote w:id="164">
    <w:p w14:paraId="3748DABB" w14:textId="77777777" w:rsidR="004A1BEE" w:rsidRPr="00583CDA" w:rsidRDefault="004A1BEE" w:rsidP="00DF5D73">
      <w:pPr>
        <w:pStyle w:val="FootnoteText"/>
      </w:pPr>
      <w:r>
        <w:rPr>
          <w:rStyle w:val="FootnoteReference"/>
        </w:rPr>
        <w:footnoteRef/>
      </w:r>
      <w:r>
        <w:t xml:space="preserve"> </w:t>
      </w:r>
      <w:r w:rsidRPr="00583CDA">
        <w:rPr>
          <w:sz w:val="20"/>
          <w:szCs w:val="20"/>
        </w:rPr>
        <w:t xml:space="preserve">Henri Astier, “Elf Was ‘Secret Arms of French policy,” </w:t>
      </w:r>
      <w:r w:rsidRPr="00583CDA">
        <w:rPr>
          <w:i/>
          <w:sz w:val="20"/>
          <w:szCs w:val="20"/>
        </w:rPr>
        <w:t xml:space="preserve">BBC News, </w:t>
      </w:r>
      <w:r>
        <w:rPr>
          <w:sz w:val="20"/>
          <w:szCs w:val="20"/>
        </w:rPr>
        <w:t xml:space="preserve">March 19, 2003, accessed </w:t>
      </w:r>
      <w:r w:rsidRPr="00583CDA">
        <w:rPr>
          <w:sz w:val="20"/>
          <w:szCs w:val="20"/>
        </w:rPr>
        <w:t>Jan</w:t>
      </w:r>
      <w:r>
        <w:rPr>
          <w:sz w:val="20"/>
          <w:szCs w:val="20"/>
        </w:rPr>
        <w:t>uary 30,</w:t>
      </w:r>
      <w:r w:rsidRPr="00583CDA">
        <w:rPr>
          <w:sz w:val="20"/>
          <w:szCs w:val="20"/>
        </w:rPr>
        <w:t xml:space="preserve"> 2017</w:t>
      </w:r>
      <w:r>
        <w:rPr>
          <w:sz w:val="20"/>
          <w:szCs w:val="20"/>
        </w:rPr>
        <w:t xml:space="preserve">, </w:t>
      </w:r>
      <w:r w:rsidRPr="00D03829">
        <w:rPr>
          <w:rFonts w:cs="Times New Roman"/>
          <w:sz w:val="20"/>
          <w:szCs w:val="20"/>
        </w:rPr>
        <w:t>http://news.bbc.co.uk/2/hi/europe/2862257.stm.</w:t>
      </w:r>
    </w:p>
  </w:footnote>
  <w:footnote w:id="165">
    <w:p w14:paraId="00FBFE72" w14:textId="77777777" w:rsidR="004A1BEE" w:rsidRPr="0043021A" w:rsidRDefault="004A1BEE" w:rsidP="00DF5D73">
      <w:pPr>
        <w:pStyle w:val="FootnoteText"/>
      </w:pPr>
      <w:r>
        <w:rPr>
          <w:rStyle w:val="FootnoteReference"/>
        </w:rPr>
        <w:footnoteRef/>
      </w:r>
      <w:r>
        <w:t xml:space="preserve"> </w:t>
      </w:r>
      <w:r w:rsidRPr="0043021A">
        <w:rPr>
          <w:sz w:val="20"/>
          <w:szCs w:val="20"/>
        </w:rPr>
        <w:t>Smith, “</w:t>
      </w:r>
      <w:r>
        <w:rPr>
          <w:sz w:val="20"/>
          <w:szCs w:val="20"/>
        </w:rPr>
        <w:t>The Story of Laurent Gbagbo.</w:t>
      </w:r>
      <w:r w:rsidRPr="0043021A">
        <w:rPr>
          <w:sz w:val="20"/>
          <w:szCs w:val="20"/>
        </w:rPr>
        <w:t xml:space="preserve">” </w:t>
      </w:r>
    </w:p>
  </w:footnote>
  <w:footnote w:id="166">
    <w:p w14:paraId="5E5D0BF7" w14:textId="77777777" w:rsidR="004A1BEE" w:rsidRPr="00D71333" w:rsidRDefault="004A1BEE" w:rsidP="00DF5D73">
      <w:pPr>
        <w:spacing w:after="0"/>
        <w:rPr>
          <w:rFonts w:cs="Times New Roman"/>
          <w:sz w:val="20"/>
          <w:szCs w:val="20"/>
        </w:rPr>
      </w:pPr>
      <w:r w:rsidRPr="00D71333">
        <w:rPr>
          <w:rStyle w:val="FootnoteReference"/>
          <w:sz w:val="20"/>
          <w:szCs w:val="20"/>
        </w:rPr>
        <w:footnoteRef/>
      </w:r>
      <w:r w:rsidRPr="00D71333">
        <w:rPr>
          <w:sz w:val="20"/>
          <w:szCs w:val="20"/>
        </w:rPr>
        <w:t xml:space="preserve"> </w:t>
      </w:r>
      <w:r>
        <w:rPr>
          <w:rFonts w:cs="Times New Roman"/>
          <w:sz w:val="20"/>
          <w:szCs w:val="20"/>
        </w:rPr>
        <w:t>“Press Release: Orange Launch</w:t>
      </w:r>
      <w:r w:rsidRPr="00D71333">
        <w:rPr>
          <w:rFonts w:cs="Times New Roman"/>
          <w:sz w:val="20"/>
          <w:szCs w:val="20"/>
        </w:rPr>
        <w:t xml:space="preserve">es Orange Money </w:t>
      </w:r>
      <w:r>
        <w:rPr>
          <w:rFonts w:cs="Times New Roman"/>
          <w:sz w:val="20"/>
          <w:szCs w:val="20"/>
        </w:rPr>
        <w:t>i</w:t>
      </w:r>
      <w:r w:rsidRPr="00D71333">
        <w:rPr>
          <w:rFonts w:cs="Times New Roman"/>
          <w:sz w:val="20"/>
          <w:szCs w:val="20"/>
        </w:rPr>
        <w:t xml:space="preserve">n France </w:t>
      </w:r>
      <w:r>
        <w:rPr>
          <w:rFonts w:cs="Times New Roman"/>
          <w:sz w:val="20"/>
          <w:szCs w:val="20"/>
        </w:rPr>
        <w:t>to Allow Money Transfers to Three Countries i</w:t>
      </w:r>
      <w:r w:rsidRPr="00D71333">
        <w:rPr>
          <w:rFonts w:cs="Times New Roman"/>
          <w:sz w:val="20"/>
          <w:szCs w:val="20"/>
        </w:rPr>
        <w:t xml:space="preserve">n Africa </w:t>
      </w:r>
      <w:r>
        <w:rPr>
          <w:rFonts w:cs="Times New Roman"/>
          <w:sz w:val="20"/>
          <w:szCs w:val="20"/>
        </w:rPr>
        <w:t>a</w:t>
      </w:r>
      <w:r w:rsidRPr="00D71333">
        <w:rPr>
          <w:rFonts w:cs="Times New Roman"/>
          <w:sz w:val="20"/>
          <w:szCs w:val="20"/>
        </w:rPr>
        <w:t xml:space="preserve">nd Within Mainland France.” </w:t>
      </w:r>
      <w:r w:rsidRPr="00D71333">
        <w:rPr>
          <w:rFonts w:cs="Times New Roman"/>
          <w:i/>
          <w:sz w:val="20"/>
          <w:szCs w:val="20"/>
        </w:rPr>
        <w:t xml:space="preserve">Orange. </w:t>
      </w:r>
      <w:r w:rsidRPr="00D71333">
        <w:rPr>
          <w:rFonts w:cs="Times New Roman"/>
          <w:sz w:val="20"/>
          <w:szCs w:val="20"/>
        </w:rPr>
        <w:t xml:space="preserve">June 15, 2016. Accessed April 14, 2017. https://www.orange.com/en/Press-Room/press-releases-2017/press-releases-2016/Orange-launches-Orange-Money-in-France-to-allow-money-transfers-to-three-countries-in-Africa-and-within-mainland-France. </w:t>
      </w:r>
    </w:p>
  </w:footnote>
  <w:footnote w:id="167">
    <w:p w14:paraId="32A0F78C" w14:textId="77777777" w:rsidR="004A1BEE" w:rsidRPr="00D216DA" w:rsidRDefault="004A1BEE" w:rsidP="00DF5D73">
      <w:pPr>
        <w:pStyle w:val="FootnoteText"/>
      </w:pPr>
      <w:r>
        <w:rPr>
          <w:rStyle w:val="FootnoteReference"/>
        </w:rPr>
        <w:footnoteRef/>
      </w:r>
      <w:r>
        <w:t xml:space="preserve"> </w:t>
      </w:r>
      <w:r w:rsidRPr="00D216DA">
        <w:rPr>
          <w:sz w:val="20"/>
          <w:szCs w:val="20"/>
        </w:rPr>
        <w:t xml:space="preserve">Daniel Flynn and Geert de Clercq, “Special Report: Areva and Niger’s Uranium Fight,” </w:t>
      </w:r>
      <w:r w:rsidRPr="00D216DA">
        <w:rPr>
          <w:i/>
          <w:sz w:val="20"/>
          <w:szCs w:val="20"/>
        </w:rPr>
        <w:t xml:space="preserve">Reuters, </w:t>
      </w:r>
      <w:r w:rsidRPr="00D216DA">
        <w:rPr>
          <w:sz w:val="20"/>
          <w:szCs w:val="20"/>
        </w:rPr>
        <w:t>Feb</w:t>
      </w:r>
      <w:r>
        <w:rPr>
          <w:sz w:val="20"/>
          <w:szCs w:val="20"/>
        </w:rPr>
        <w:t>ruary 5,</w:t>
      </w:r>
      <w:r w:rsidRPr="00D216DA">
        <w:rPr>
          <w:sz w:val="20"/>
          <w:szCs w:val="20"/>
        </w:rPr>
        <w:t xml:space="preserve"> 2014, accesse</w:t>
      </w:r>
      <w:r>
        <w:rPr>
          <w:sz w:val="20"/>
          <w:szCs w:val="20"/>
        </w:rPr>
        <w:t>d</w:t>
      </w:r>
      <w:r w:rsidRPr="00D216DA">
        <w:rPr>
          <w:sz w:val="20"/>
          <w:szCs w:val="20"/>
        </w:rPr>
        <w:t xml:space="preserve"> Jan</w:t>
      </w:r>
      <w:r>
        <w:rPr>
          <w:sz w:val="20"/>
          <w:szCs w:val="20"/>
        </w:rPr>
        <w:t>uary 30,</w:t>
      </w:r>
      <w:r w:rsidRPr="00D216DA">
        <w:rPr>
          <w:sz w:val="20"/>
          <w:szCs w:val="20"/>
        </w:rPr>
        <w:t xml:space="preserve"> 2017</w:t>
      </w:r>
      <w:r>
        <w:rPr>
          <w:sz w:val="20"/>
          <w:szCs w:val="20"/>
        </w:rPr>
        <w:t xml:space="preserve">, </w:t>
      </w:r>
      <w:r w:rsidRPr="00D03829">
        <w:rPr>
          <w:rFonts w:cs="Times New Roman"/>
          <w:sz w:val="20"/>
          <w:szCs w:val="20"/>
        </w:rPr>
        <w:t>http://www.reuters.com/article/us-niger-areva-specialreport-idUSBREA140AA20140205.</w:t>
      </w:r>
    </w:p>
  </w:footnote>
  <w:footnote w:id="168">
    <w:p w14:paraId="64457B9E" w14:textId="186FCA94" w:rsidR="004A1BEE" w:rsidRDefault="004A1BEE" w:rsidP="00DF5D73">
      <w:pPr>
        <w:pStyle w:val="FootnoteText"/>
      </w:pPr>
      <w:r>
        <w:rPr>
          <w:rStyle w:val="FootnoteReference"/>
        </w:rPr>
        <w:footnoteRef/>
      </w:r>
      <w:r>
        <w:t xml:space="preserve"> </w:t>
      </w:r>
      <w:r>
        <w:rPr>
          <w:sz w:val="20"/>
          <w:szCs w:val="20"/>
        </w:rPr>
        <w:t>Ibid.</w:t>
      </w:r>
    </w:p>
  </w:footnote>
  <w:footnote w:id="169">
    <w:p w14:paraId="58A43A5B" w14:textId="77777777" w:rsidR="004A1BEE" w:rsidRDefault="004A1BEE" w:rsidP="00DF5D73">
      <w:pPr>
        <w:pStyle w:val="FootnoteText"/>
      </w:pPr>
      <w:r>
        <w:rPr>
          <w:rStyle w:val="FootnoteReference"/>
        </w:rPr>
        <w:footnoteRef/>
      </w:r>
      <w:r>
        <w:t xml:space="preserve"> </w:t>
      </w:r>
      <w:r w:rsidRPr="00F52B5B">
        <w:rPr>
          <w:sz w:val="20"/>
          <w:szCs w:val="20"/>
        </w:rPr>
        <w:t>Boisbouvier, “50 years later.”</w:t>
      </w:r>
    </w:p>
  </w:footnote>
  <w:footnote w:id="170">
    <w:p w14:paraId="2F5FACB8" w14:textId="77777777" w:rsidR="004A1BEE" w:rsidRPr="00910BF3" w:rsidRDefault="004A1BEE" w:rsidP="00DF5D73">
      <w:pPr>
        <w:spacing w:after="0"/>
        <w:rPr>
          <w:rFonts w:cs="Times New Roman"/>
        </w:rPr>
      </w:pPr>
      <w:r w:rsidRPr="00910BF3">
        <w:rPr>
          <w:rStyle w:val="FootnoteReference"/>
        </w:rPr>
        <w:footnoteRef/>
      </w:r>
      <w:r w:rsidRPr="00910BF3">
        <w:t xml:space="preserve"> </w:t>
      </w:r>
      <w:r w:rsidRPr="00910BF3">
        <w:rPr>
          <w:rFonts w:cs="Times New Roman"/>
          <w:sz w:val="20"/>
          <w:szCs w:val="20"/>
        </w:rPr>
        <w:t xml:space="preserve">“France” </w:t>
      </w:r>
      <w:r w:rsidRPr="00910BF3">
        <w:rPr>
          <w:rFonts w:cs="Times New Roman"/>
          <w:i/>
          <w:sz w:val="20"/>
          <w:szCs w:val="20"/>
        </w:rPr>
        <w:t>O</w:t>
      </w:r>
      <w:r>
        <w:rPr>
          <w:rFonts w:cs="Times New Roman"/>
          <w:i/>
          <w:sz w:val="20"/>
          <w:szCs w:val="20"/>
        </w:rPr>
        <w:t xml:space="preserve">bservatory of </w:t>
      </w:r>
      <w:r w:rsidRPr="00910BF3">
        <w:rPr>
          <w:rFonts w:cs="Times New Roman"/>
          <w:i/>
          <w:sz w:val="20"/>
          <w:szCs w:val="20"/>
        </w:rPr>
        <w:t>E</w:t>
      </w:r>
      <w:r>
        <w:rPr>
          <w:rFonts w:cs="Times New Roman"/>
          <w:i/>
          <w:sz w:val="20"/>
          <w:szCs w:val="20"/>
        </w:rPr>
        <w:t xml:space="preserve">conomic </w:t>
      </w:r>
      <w:r w:rsidRPr="00910BF3">
        <w:rPr>
          <w:rFonts w:cs="Times New Roman"/>
          <w:i/>
          <w:sz w:val="20"/>
          <w:szCs w:val="20"/>
        </w:rPr>
        <w:t>C</w:t>
      </w:r>
      <w:r>
        <w:rPr>
          <w:rFonts w:cs="Times New Roman"/>
          <w:i/>
          <w:sz w:val="20"/>
          <w:szCs w:val="20"/>
        </w:rPr>
        <w:t>omplexity,</w:t>
      </w:r>
      <w:r w:rsidRPr="00910BF3">
        <w:rPr>
          <w:rFonts w:cs="Times New Roman"/>
          <w:i/>
          <w:sz w:val="20"/>
          <w:szCs w:val="20"/>
        </w:rPr>
        <w:t xml:space="preserve"> a</w:t>
      </w:r>
      <w:r w:rsidRPr="00910BF3">
        <w:rPr>
          <w:rFonts w:cs="Times New Roman"/>
          <w:sz w:val="20"/>
          <w:szCs w:val="20"/>
        </w:rPr>
        <w:t>ccessed April 14, 2017, http://atlas.media.mit.edu/en/profile/country/fra/.</w:t>
      </w:r>
    </w:p>
  </w:footnote>
  <w:footnote w:id="171">
    <w:p w14:paraId="0471EBC2" w14:textId="77777777" w:rsidR="004A1BEE" w:rsidRDefault="004A1BEE" w:rsidP="00DF5D73">
      <w:pPr>
        <w:pStyle w:val="FootnoteText"/>
      </w:pPr>
      <w:r>
        <w:rPr>
          <w:rStyle w:val="FootnoteReference"/>
        </w:rPr>
        <w:footnoteRef/>
      </w:r>
      <w:r>
        <w:rPr>
          <w:rFonts w:cs="Times New Roman"/>
          <w:sz w:val="20"/>
          <w:szCs w:val="20"/>
        </w:rPr>
        <w:t>“France and Côte d’Ivoire.</w:t>
      </w:r>
      <w:r w:rsidRPr="000F01CA">
        <w:rPr>
          <w:rFonts w:cs="Times New Roman"/>
          <w:sz w:val="20"/>
          <w:szCs w:val="20"/>
        </w:rPr>
        <w:t xml:space="preserve">” </w:t>
      </w:r>
    </w:p>
  </w:footnote>
  <w:footnote w:id="172">
    <w:p w14:paraId="216E2DF2" w14:textId="77777777" w:rsidR="004A1BEE" w:rsidRDefault="004A1BEE" w:rsidP="00DF5D73">
      <w:pPr>
        <w:pStyle w:val="FootnoteText"/>
      </w:pPr>
      <w:r>
        <w:rPr>
          <w:rStyle w:val="FootnoteReference"/>
        </w:rPr>
        <w:footnoteRef/>
      </w:r>
      <w:r>
        <w:t xml:space="preserve"> </w:t>
      </w:r>
      <w:r w:rsidRPr="00F52B5B">
        <w:rPr>
          <w:sz w:val="20"/>
          <w:szCs w:val="20"/>
        </w:rPr>
        <w:t>Boisbouvier, “50 years later.”</w:t>
      </w:r>
    </w:p>
  </w:footnote>
  <w:footnote w:id="173">
    <w:p w14:paraId="1AE566CC" w14:textId="52A2D31D" w:rsidR="004A1BEE" w:rsidRPr="00F21EC0" w:rsidRDefault="004A1BEE" w:rsidP="00DF5D73">
      <w:pPr>
        <w:pStyle w:val="FootnoteText"/>
      </w:pPr>
      <w:r>
        <w:rPr>
          <w:rStyle w:val="FootnoteReference"/>
        </w:rPr>
        <w:footnoteRef/>
      </w:r>
      <w:r>
        <w:t xml:space="preserve"> </w:t>
      </w:r>
      <w:r>
        <w:rPr>
          <w:i/>
          <w:sz w:val="20"/>
          <w:szCs w:val="20"/>
        </w:rPr>
        <w:t>RF</w:t>
      </w:r>
      <w:r w:rsidRPr="00F21EC0">
        <w:rPr>
          <w:i/>
          <w:sz w:val="20"/>
          <w:szCs w:val="20"/>
        </w:rPr>
        <w:t>I</w:t>
      </w:r>
      <w:r>
        <w:rPr>
          <w:sz w:val="20"/>
          <w:szCs w:val="20"/>
        </w:rPr>
        <w:t xml:space="preserve">, </w:t>
      </w:r>
      <w:r w:rsidRPr="00F21EC0">
        <w:rPr>
          <w:sz w:val="20"/>
          <w:szCs w:val="20"/>
        </w:rPr>
        <w:t xml:space="preserve">“France to Target 16 African </w:t>
      </w:r>
      <w:r>
        <w:rPr>
          <w:sz w:val="20"/>
          <w:szCs w:val="20"/>
        </w:rPr>
        <w:t>Countries f</w:t>
      </w:r>
      <w:r w:rsidRPr="00F21EC0">
        <w:rPr>
          <w:sz w:val="20"/>
          <w:szCs w:val="20"/>
        </w:rPr>
        <w:t>or Aid,” Jul</w:t>
      </w:r>
      <w:r>
        <w:rPr>
          <w:sz w:val="20"/>
          <w:szCs w:val="20"/>
        </w:rPr>
        <w:t xml:space="preserve">y 31, 2013, accessed </w:t>
      </w:r>
      <w:r w:rsidRPr="00F21EC0">
        <w:rPr>
          <w:sz w:val="20"/>
          <w:szCs w:val="20"/>
        </w:rPr>
        <w:t>Oct</w:t>
      </w:r>
      <w:r>
        <w:rPr>
          <w:sz w:val="20"/>
          <w:szCs w:val="20"/>
        </w:rPr>
        <w:t>ober 25,</w:t>
      </w:r>
      <w:r w:rsidRPr="00F21EC0">
        <w:rPr>
          <w:sz w:val="20"/>
          <w:szCs w:val="20"/>
        </w:rPr>
        <w:t xml:space="preserve"> 2016</w:t>
      </w:r>
      <w:r>
        <w:rPr>
          <w:sz w:val="20"/>
          <w:szCs w:val="20"/>
        </w:rPr>
        <w:t xml:space="preserve">, </w:t>
      </w:r>
      <w:r w:rsidRPr="00D03829">
        <w:rPr>
          <w:rFonts w:cs="Times New Roman"/>
          <w:sz w:val="20"/>
          <w:szCs w:val="20"/>
        </w:rPr>
        <w:t>http://en.rfi.fr/economy/20130731-france-target-16-african-countries-aid.</w:t>
      </w:r>
    </w:p>
  </w:footnote>
  <w:footnote w:id="174">
    <w:p w14:paraId="03F42411" w14:textId="77777777" w:rsidR="004A1BEE" w:rsidRDefault="004A1BEE" w:rsidP="006861FC">
      <w:pPr>
        <w:pStyle w:val="FootnoteText"/>
      </w:pPr>
      <w:r>
        <w:rPr>
          <w:rStyle w:val="FootnoteReference"/>
        </w:rPr>
        <w:footnoteRef/>
      </w:r>
      <w:r>
        <w:t xml:space="preserve"> </w:t>
      </w:r>
      <w:r w:rsidRPr="00580367">
        <w:rPr>
          <w:rFonts w:cs="Times New Roman"/>
          <w:sz w:val="20"/>
          <w:szCs w:val="20"/>
        </w:rPr>
        <w:t>“Fr</w:t>
      </w:r>
      <w:r>
        <w:rPr>
          <w:rFonts w:cs="Times New Roman"/>
          <w:sz w:val="20"/>
          <w:szCs w:val="20"/>
        </w:rPr>
        <w:t>ance and Senegal.</w:t>
      </w:r>
      <w:r w:rsidRPr="00580367">
        <w:rPr>
          <w:rFonts w:cs="Times New Roman"/>
          <w:sz w:val="20"/>
          <w:szCs w:val="20"/>
        </w:rPr>
        <w:t>”</w:t>
      </w:r>
    </w:p>
  </w:footnote>
  <w:footnote w:id="175">
    <w:p w14:paraId="48185826" w14:textId="16877FBA" w:rsidR="004A1BEE" w:rsidRDefault="004A1BEE" w:rsidP="006861FC">
      <w:pPr>
        <w:pStyle w:val="FootnoteText"/>
      </w:pPr>
      <w:r>
        <w:rPr>
          <w:rStyle w:val="FootnoteReference"/>
        </w:rPr>
        <w:footnoteRef/>
      </w:r>
      <w:r>
        <w:t xml:space="preserve"> </w:t>
      </w:r>
      <w:r>
        <w:rPr>
          <w:rFonts w:cs="Times New Roman"/>
          <w:sz w:val="20"/>
          <w:szCs w:val="20"/>
        </w:rPr>
        <w:t xml:space="preserve"> Ibid.</w:t>
      </w:r>
    </w:p>
  </w:footnote>
  <w:footnote w:id="176">
    <w:p w14:paraId="50039A2E" w14:textId="77777777" w:rsidR="004A1BEE" w:rsidRPr="00357C97" w:rsidRDefault="004A1BEE" w:rsidP="00DF5D73">
      <w:pPr>
        <w:pStyle w:val="FootnoteText"/>
      </w:pPr>
      <w:r>
        <w:rPr>
          <w:rStyle w:val="FootnoteReference"/>
        </w:rPr>
        <w:footnoteRef/>
      </w:r>
      <w:r>
        <w:t xml:space="preserve"> </w:t>
      </w:r>
      <w:r w:rsidRPr="00357C97">
        <w:rPr>
          <w:sz w:val="20"/>
          <w:szCs w:val="20"/>
        </w:rPr>
        <w:t xml:space="preserve">Paul Melly, “The Cosy Relations Between France and Africa,” </w:t>
      </w:r>
      <w:r w:rsidRPr="00357C97">
        <w:rPr>
          <w:i/>
          <w:sz w:val="20"/>
          <w:szCs w:val="20"/>
        </w:rPr>
        <w:t xml:space="preserve">BBC News, </w:t>
      </w:r>
      <w:r w:rsidRPr="00357C97">
        <w:rPr>
          <w:sz w:val="20"/>
          <w:szCs w:val="20"/>
        </w:rPr>
        <w:t>Sep</w:t>
      </w:r>
      <w:r>
        <w:rPr>
          <w:sz w:val="20"/>
          <w:szCs w:val="20"/>
        </w:rPr>
        <w:t xml:space="preserve">tember 13, 2011, accessed </w:t>
      </w:r>
      <w:r w:rsidRPr="00357C97">
        <w:rPr>
          <w:sz w:val="20"/>
          <w:szCs w:val="20"/>
        </w:rPr>
        <w:t>Nov</w:t>
      </w:r>
      <w:r>
        <w:rPr>
          <w:sz w:val="20"/>
          <w:szCs w:val="20"/>
        </w:rPr>
        <w:t>ember 6,</w:t>
      </w:r>
      <w:r w:rsidRPr="00357C97">
        <w:rPr>
          <w:sz w:val="20"/>
          <w:szCs w:val="20"/>
        </w:rPr>
        <w:t xml:space="preserve"> 2016</w:t>
      </w:r>
      <w:r>
        <w:rPr>
          <w:sz w:val="20"/>
          <w:szCs w:val="20"/>
        </w:rPr>
        <w:t xml:space="preserve">, </w:t>
      </w:r>
      <w:r w:rsidRPr="00D03829">
        <w:rPr>
          <w:rFonts w:cs="Times New Roman"/>
          <w:sz w:val="20"/>
          <w:szCs w:val="20"/>
        </w:rPr>
        <w:t>http://www.bbc.com/news/world-africa-14898197.</w:t>
      </w:r>
    </w:p>
  </w:footnote>
  <w:footnote w:id="177">
    <w:p w14:paraId="353EB7BE" w14:textId="77777777" w:rsidR="004A1BEE" w:rsidRPr="009C2C4C" w:rsidRDefault="004A1BEE" w:rsidP="00DF5D73">
      <w:pPr>
        <w:pStyle w:val="FootnoteText"/>
      </w:pPr>
      <w:r>
        <w:rPr>
          <w:rStyle w:val="FootnoteReference"/>
        </w:rPr>
        <w:footnoteRef/>
      </w:r>
      <w:r>
        <w:t xml:space="preserve"> </w:t>
      </w:r>
      <w:r>
        <w:rPr>
          <w:sz w:val="20"/>
          <w:szCs w:val="20"/>
        </w:rPr>
        <w:t>Henri</w:t>
      </w:r>
      <w:r w:rsidRPr="009C2C4C">
        <w:rPr>
          <w:sz w:val="20"/>
          <w:szCs w:val="20"/>
        </w:rPr>
        <w:t xml:space="preserve"> Astier, “Sarkozy’s Africa policy shift,” </w:t>
      </w:r>
      <w:r w:rsidRPr="009C2C4C">
        <w:rPr>
          <w:i/>
          <w:sz w:val="20"/>
          <w:szCs w:val="20"/>
        </w:rPr>
        <w:t xml:space="preserve">BBC News, </w:t>
      </w:r>
      <w:r w:rsidRPr="009C2C4C">
        <w:rPr>
          <w:sz w:val="20"/>
          <w:szCs w:val="20"/>
        </w:rPr>
        <w:t>Sep</w:t>
      </w:r>
      <w:r>
        <w:rPr>
          <w:sz w:val="20"/>
          <w:szCs w:val="20"/>
        </w:rPr>
        <w:t xml:space="preserve">tember 26, 2007, accessed </w:t>
      </w:r>
      <w:r w:rsidRPr="009C2C4C">
        <w:rPr>
          <w:sz w:val="20"/>
          <w:szCs w:val="20"/>
        </w:rPr>
        <w:t>Nov</w:t>
      </w:r>
      <w:r>
        <w:rPr>
          <w:sz w:val="20"/>
          <w:szCs w:val="20"/>
        </w:rPr>
        <w:t>ember 6,</w:t>
      </w:r>
      <w:r w:rsidRPr="009C2C4C">
        <w:rPr>
          <w:sz w:val="20"/>
          <w:szCs w:val="20"/>
        </w:rPr>
        <w:t xml:space="preserve"> 2016</w:t>
      </w:r>
      <w:r>
        <w:rPr>
          <w:sz w:val="20"/>
          <w:szCs w:val="20"/>
        </w:rPr>
        <w:t xml:space="preserve">, </w:t>
      </w:r>
      <w:r w:rsidRPr="00D03829">
        <w:rPr>
          <w:rFonts w:cs="Times New Roman"/>
          <w:sz w:val="20"/>
          <w:szCs w:val="20"/>
        </w:rPr>
        <w:t>http://news.bbc.co.uk/2/hi/africa/7014776.stm.</w:t>
      </w:r>
    </w:p>
  </w:footnote>
  <w:footnote w:id="178">
    <w:p w14:paraId="421BD67B" w14:textId="3E2FB337" w:rsidR="004A1BEE" w:rsidRPr="00F63A68" w:rsidRDefault="004A1BEE" w:rsidP="00DF5D73">
      <w:pPr>
        <w:pStyle w:val="FootnoteText"/>
      </w:pPr>
      <w:r>
        <w:rPr>
          <w:rStyle w:val="FootnoteReference"/>
        </w:rPr>
        <w:footnoteRef/>
      </w:r>
      <w:r>
        <w:t xml:space="preserve"> </w:t>
      </w:r>
      <w:r w:rsidRPr="00F63A68">
        <w:rPr>
          <w:i/>
          <w:sz w:val="20"/>
          <w:szCs w:val="20"/>
        </w:rPr>
        <w:t xml:space="preserve">BBC News, </w:t>
      </w:r>
      <w:r w:rsidRPr="00F63A68">
        <w:rPr>
          <w:sz w:val="20"/>
          <w:szCs w:val="20"/>
        </w:rPr>
        <w:t>“Franco-African Summit Contrasts,” Feb</w:t>
      </w:r>
      <w:r>
        <w:rPr>
          <w:sz w:val="20"/>
          <w:szCs w:val="20"/>
        </w:rPr>
        <w:t xml:space="preserve">ruary 21, 2003, accessed </w:t>
      </w:r>
      <w:r w:rsidRPr="00F63A68">
        <w:rPr>
          <w:sz w:val="20"/>
          <w:szCs w:val="20"/>
        </w:rPr>
        <w:t>Oct</w:t>
      </w:r>
      <w:r>
        <w:rPr>
          <w:sz w:val="20"/>
          <w:szCs w:val="20"/>
        </w:rPr>
        <w:t xml:space="preserve">ober 25, 2016, </w:t>
      </w:r>
      <w:r w:rsidRPr="00A54FE6">
        <w:rPr>
          <w:rFonts w:cs="Times New Roman"/>
          <w:sz w:val="20"/>
          <w:szCs w:val="20"/>
        </w:rPr>
        <w:t>http://news.bbc.co.uk/2/hi/europe/2787155.stm.</w:t>
      </w:r>
    </w:p>
  </w:footnote>
  <w:footnote w:id="179">
    <w:p w14:paraId="40FFFA16" w14:textId="77777777" w:rsidR="004A1BEE" w:rsidRDefault="004A1BEE" w:rsidP="00DF5D73">
      <w:pPr>
        <w:pStyle w:val="FootnoteText"/>
      </w:pPr>
      <w:r>
        <w:rPr>
          <w:rStyle w:val="FootnoteReference"/>
        </w:rPr>
        <w:footnoteRef/>
      </w:r>
      <w:r>
        <w:t xml:space="preserve"> </w:t>
      </w:r>
      <w:r w:rsidRPr="00F63A68">
        <w:rPr>
          <w:sz w:val="20"/>
          <w:szCs w:val="20"/>
        </w:rPr>
        <w:t>Melly, “The Cosy Relations Between France and Africa”</w:t>
      </w:r>
    </w:p>
  </w:footnote>
  <w:footnote w:id="180">
    <w:p w14:paraId="3729E9D2" w14:textId="77777777" w:rsidR="004A1BEE" w:rsidRDefault="004A1BEE" w:rsidP="00DF5D73">
      <w:pPr>
        <w:pStyle w:val="FootnoteText"/>
      </w:pPr>
      <w:r>
        <w:rPr>
          <w:rStyle w:val="FootnoteReference"/>
        </w:rPr>
        <w:footnoteRef/>
      </w:r>
      <w:r>
        <w:t xml:space="preserve"> </w:t>
      </w:r>
      <w:r w:rsidRPr="00D37112">
        <w:rPr>
          <w:sz w:val="20"/>
          <w:szCs w:val="20"/>
        </w:rPr>
        <w:t>Astier, “Sarkozy’s Africa Policy Shift.”</w:t>
      </w:r>
    </w:p>
  </w:footnote>
  <w:footnote w:id="181">
    <w:p w14:paraId="5DFBF03C" w14:textId="77777777" w:rsidR="004A1BEE" w:rsidRPr="00C75EB8" w:rsidRDefault="004A1BEE" w:rsidP="00DF5D73">
      <w:pPr>
        <w:pStyle w:val="FootnoteText"/>
      </w:pPr>
      <w:r>
        <w:rPr>
          <w:rStyle w:val="FootnoteReference"/>
        </w:rPr>
        <w:footnoteRef/>
      </w:r>
      <w:r>
        <w:t xml:space="preserve"> </w:t>
      </w:r>
      <w:r w:rsidRPr="00526808">
        <w:rPr>
          <w:sz w:val="20"/>
          <w:szCs w:val="20"/>
        </w:rPr>
        <w:t xml:space="preserve">Chris McGreal, “France’s shame?” </w:t>
      </w:r>
      <w:r w:rsidRPr="00526808">
        <w:rPr>
          <w:i/>
          <w:sz w:val="20"/>
          <w:szCs w:val="20"/>
        </w:rPr>
        <w:t xml:space="preserve">The Guardian, </w:t>
      </w:r>
      <w:r>
        <w:rPr>
          <w:sz w:val="20"/>
          <w:szCs w:val="20"/>
        </w:rPr>
        <w:t xml:space="preserve">January 11, 2007, accessed </w:t>
      </w:r>
      <w:r w:rsidRPr="00526808">
        <w:rPr>
          <w:sz w:val="20"/>
          <w:szCs w:val="20"/>
        </w:rPr>
        <w:t>Jan</w:t>
      </w:r>
      <w:r>
        <w:rPr>
          <w:sz w:val="20"/>
          <w:szCs w:val="20"/>
        </w:rPr>
        <w:t>uary 29,</w:t>
      </w:r>
      <w:r w:rsidRPr="00526808">
        <w:rPr>
          <w:sz w:val="20"/>
          <w:szCs w:val="20"/>
        </w:rPr>
        <w:t xml:space="preserve"> 2017</w:t>
      </w:r>
      <w:r>
        <w:rPr>
          <w:sz w:val="20"/>
          <w:szCs w:val="20"/>
        </w:rPr>
        <w:t xml:space="preserve">, </w:t>
      </w:r>
      <w:r w:rsidRPr="00D03829">
        <w:rPr>
          <w:rFonts w:cs="Times New Roman"/>
          <w:sz w:val="20"/>
          <w:szCs w:val="20"/>
        </w:rPr>
        <w:t>https://www.theguardian.com/world/</w:t>
      </w:r>
      <w:r>
        <w:rPr>
          <w:rFonts w:cs="Times New Roman"/>
          <w:sz w:val="20"/>
          <w:szCs w:val="20"/>
        </w:rPr>
        <w:t>2007/jan/11/rwanda.insideafrica</w:t>
      </w:r>
      <w:r>
        <w:rPr>
          <w:sz w:val="20"/>
          <w:szCs w:val="20"/>
        </w:rPr>
        <w:t xml:space="preserve">;  “French Peace Drive in Central Africa,” </w:t>
      </w:r>
      <w:r>
        <w:rPr>
          <w:i/>
          <w:sz w:val="20"/>
          <w:szCs w:val="20"/>
        </w:rPr>
        <w:t xml:space="preserve">BBC News, </w:t>
      </w:r>
      <w:r>
        <w:rPr>
          <w:sz w:val="20"/>
          <w:szCs w:val="20"/>
        </w:rPr>
        <w:t xml:space="preserve">August, 14 2001, accessed October 26, 2016, </w:t>
      </w:r>
      <w:r w:rsidRPr="00815719">
        <w:rPr>
          <w:rFonts w:cs="Times New Roman"/>
          <w:sz w:val="20"/>
          <w:szCs w:val="20"/>
        </w:rPr>
        <w:t>http://www.bbclinksmachine.appspot.com/2/hi/africa/1488112.stm</w:t>
      </w:r>
    </w:p>
  </w:footnote>
  <w:footnote w:id="182">
    <w:p w14:paraId="253C0A8F" w14:textId="77777777" w:rsidR="004A1BEE" w:rsidRPr="00704FCC" w:rsidRDefault="004A1BEE" w:rsidP="00DF5D73">
      <w:pPr>
        <w:pStyle w:val="FootnoteText"/>
      </w:pPr>
      <w:r>
        <w:rPr>
          <w:rStyle w:val="FootnoteReference"/>
        </w:rPr>
        <w:footnoteRef/>
      </w:r>
      <w:r>
        <w:t xml:space="preserve"> </w:t>
      </w:r>
      <w:r w:rsidRPr="00704FCC">
        <w:rPr>
          <w:sz w:val="20"/>
          <w:szCs w:val="20"/>
        </w:rPr>
        <w:t xml:space="preserve">Alissa J. Rubin and Maïa de la Baume, “Claims of French Complicity in Rwanda’s Genocide Rekindle Mutual Resentment,” </w:t>
      </w:r>
      <w:r w:rsidRPr="00704FCC">
        <w:rPr>
          <w:i/>
          <w:sz w:val="20"/>
          <w:szCs w:val="20"/>
        </w:rPr>
        <w:t xml:space="preserve">The New York Times, </w:t>
      </w:r>
      <w:r w:rsidRPr="00704FCC">
        <w:rPr>
          <w:sz w:val="20"/>
          <w:szCs w:val="20"/>
        </w:rPr>
        <w:t>Apr</w:t>
      </w:r>
      <w:r>
        <w:rPr>
          <w:sz w:val="20"/>
          <w:szCs w:val="20"/>
        </w:rPr>
        <w:t xml:space="preserve">il 8, 2014, accessed </w:t>
      </w:r>
      <w:r w:rsidRPr="00704FCC">
        <w:rPr>
          <w:sz w:val="20"/>
          <w:szCs w:val="20"/>
        </w:rPr>
        <w:t>Jan</w:t>
      </w:r>
      <w:r>
        <w:rPr>
          <w:sz w:val="20"/>
          <w:szCs w:val="20"/>
        </w:rPr>
        <w:t>uary 30,</w:t>
      </w:r>
      <w:r w:rsidRPr="00704FCC">
        <w:rPr>
          <w:sz w:val="20"/>
          <w:szCs w:val="20"/>
        </w:rPr>
        <w:t xml:space="preserve"> 2017</w:t>
      </w:r>
      <w:r>
        <w:rPr>
          <w:sz w:val="20"/>
          <w:szCs w:val="20"/>
        </w:rPr>
        <w:t xml:space="preserve">, </w:t>
      </w:r>
      <w:r w:rsidRPr="00815719">
        <w:rPr>
          <w:rFonts w:cs="Times New Roman"/>
          <w:sz w:val="20"/>
          <w:szCs w:val="20"/>
        </w:rPr>
        <w:t>https://www.nytimes.com/2014/04/09/world/africa/claims-of-french-complicity-in-rwandas-genocide-rekindle-mutual-resentment.html.</w:t>
      </w:r>
    </w:p>
  </w:footnote>
  <w:footnote w:id="183">
    <w:p w14:paraId="0B6DE4D9" w14:textId="77777777" w:rsidR="004A1BEE" w:rsidRPr="00C75EB8" w:rsidRDefault="004A1BEE" w:rsidP="00DF5D73">
      <w:pPr>
        <w:pStyle w:val="FootnoteText"/>
      </w:pPr>
      <w:r>
        <w:rPr>
          <w:rStyle w:val="FootnoteReference"/>
        </w:rPr>
        <w:footnoteRef/>
      </w:r>
      <w:r>
        <w:t xml:space="preserve"> </w:t>
      </w:r>
      <w:r w:rsidRPr="00C75EB8">
        <w:rPr>
          <w:sz w:val="20"/>
          <w:szCs w:val="20"/>
        </w:rPr>
        <w:t>C</w:t>
      </w:r>
      <w:r>
        <w:rPr>
          <w:sz w:val="20"/>
          <w:szCs w:val="20"/>
        </w:rPr>
        <w:t>hris McGreal, “Why Rwanda Said A</w:t>
      </w:r>
      <w:r w:rsidRPr="00C75EB8">
        <w:rPr>
          <w:sz w:val="20"/>
          <w:szCs w:val="20"/>
        </w:rPr>
        <w:t xml:space="preserve">dieu to French.” </w:t>
      </w:r>
      <w:r w:rsidRPr="00C75EB8">
        <w:rPr>
          <w:i/>
          <w:sz w:val="20"/>
          <w:szCs w:val="20"/>
        </w:rPr>
        <w:t xml:space="preserve">The Guardian, </w:t>
      </w:r>
      <w:r w:rsidRPr="00C75EB8">
        <w:rPr>
          <w:sz w:val="20"/>
          <w:szCs w:val="20"/>
        </w:rPr>
        <w:t>Jan</w:t>
      </w:r>
      <w:r>
        <w:rPr>
          <w:sz w:val="20"/>
          <w:szCs w:val="20"/>
        </w:rPr>
        <w:t xml:space="preserve">uary 16, 2009, accessed January 29, 2017, </w:t>
      </w:r>
      <w:r w:rsidRPr="00815719">
        <w:rPr>
          <w:rFonts w:cs="Times New Roman"/>
          <w:sz w:val="20"/>
          <w:szCs w:val="20"/>
        </w:rPr>
        <w:t xml:space="preserve">https://www.theguardian.com/education/2009/jan/16/rwanda-english-genocide. </w:t>
      </w:r>
      <w:r w:rsidRPr="00815719">
        <w:rPr>
          <w:sz w:val="20"/>
          <w:szCs w:val="20"/>
        </w:rPr>
        <w:t xml:space="preserve"> </w:t>
      </w:r>
    </w:p>
  </w:footnote>
  <w:footnote w:id="184">
    <w:p w14:paraId="11F10498" w14:textId="77777777" w:rsidR="004A1BEE" w:rsidRPr="00BE0C8D" w:rsidRDefault="004A1BEE" w:rsidP="00DF5D73">
      <w:pPr>
        <w:pStyle w:val="FootnoteText"/>
      </w:pPr>
      <w:r>
        <w:rPr>
          <w:rStyle w:val="FootnoteReference"/>
        </w:rPr>
        <w:footnoteRef/>
      </w:r>
      <w:r>
        <w:t xml:space="preserve"> </w:t>
      </w:r>
      <w:r w:rsidRPr="00BE0C8D">
        <w:rPr>
          <w:sz w:val="20"/>
          <w:szCs w:val="20"/>
        </w:rPr>
        <w:t xml:space="preserve">Transparency International France, “TI-France Re-Files Complaint Targeting Assets Held in France by Five African Heads of State,” </w:t>
      </w:r>
      <w:r w:rsidRPr="00BE0C8D">
        <w:rPr>
          <w:i/>
          <w:sz w:val="20"/>
          <w:szCs w:val="20"/>
        </w:rPr>
        <w:t xml:space="preserve">Transparency International France, </w:t>
      </w:r>
      <w:r w:rsidRPr="00BE0C8D">
        <w:rPr>
          <w:sz w:val="20"/>
          <w:szCs w:val="20"/>
        </w:rPr>
        <w:t>Jul</w:t>
      </w:r>
      <w:r>
        <w:rPr>
          <w:sz w:val="20"/>
          <w:szCs w:val="20"/>
        </w:rPr>
        <w:t xml:space="preserve">y 9, 2008, accessed </w:t>
      </w:r>
      <w:r w:rsidRPr="00BE0C8D">
        <w:rPr>
          <w:sz w:val="20"/>
          <w:szCs w:val="20"/>
        </w:rPr>
        <w:t>Jan</w:t>
      </w:r>
      <w:r>
        <w:rPr>
          <w:sz w:val="20"/>
          <w:szCs w:val="20"/>
        </w:rPr>
        <w:t>uary 15,</w:t>
      </w:r>
      <w:r w:rsidRPr="00BE0C8D">
        <w:rPr>
          <w:sz w:val="20"/>
          <w:szCs w:val="20"/>
        </w:rPr>
        <w:t xml:space="preserve"> 2017</w:t>
      </w:r>
      <w:r>
        <w:rPr>
          <w:sz w:val="20"/>
          <w:szCs w:val="20"/>
        </w:rPr>
        <w:t xml:space="preserve">, </w:t>
      </w:r>
      <w:r w:rsidRPr="00815719">
        <w:rPr>
          <w:rFonts w:cs="Times New Roman"/>
          <w:sz w:val="20"/>
          <w:szCs w:val="20"/>
        </w:rPr>
        <w:t>http://www.transparency.org/news/pressrelease/20080709_ti_france_re_files_complaint_targeting_assets_held_in_france</w:t>
      </w:r>
    </w:p>
  </w:footnote>
  <w:footnote w:id="185">
    <w:p w14:paraId="6649F1B1" w14:textId="77777777" w:rsidR="004A1BEE" w:rsidRPr="00E36175" w:rsidRDefault="004A1BEE" w:rsidP="00DF5D73">
      <w:pPr>
        <w:pStyle w:val="FootnoteText"/>
      </w:pPr>
      <w:r>
        <w:rPr>
          <w:rStyle w:val="FootnoteReference"/>
        </w:rPr>
        <w:footnoteRef/>
      </w:r>
      <w:r>
        <w:t xml:space="preserve"> </w:t>
      </w:r>
      <w:r w:rsidRPr="00E36175">
        <w:rPr>
          <w:sz w:val="20"/>
          <w:szCs w:val="20"/>
        </w:rPr>
        <w:t>Agnès Poirier, “Gabon’s Fre</w:t>
      </w:r>
      <w:r>
        <w:rPr>
          <w:sz w:val="20"/>
          <w:szCs w:val="20"/>
        </w:rPr>
        <w:t>nch Rejection Hits Us Where It H</w:t>
      </w:r>
      <w:r w:rsidRPr="00E36175">
        <w:rPr>
          <w:sz w:val="20"/>
          <w:szCs w:val="20"/>
        </w:rPr>
        <w:t xml:space="preserve">urts,” </w:t>
      </w:r>
      <w:r w:rsidRPr="00E36175">
        <w:rPr>
          <w:i/>
          <w:sz w:val="20"/>
          <w:szCs w:val="20"/>
        </w:rPr>
        <w:t xml:space="preserve">The Guardian, </w:t>
      </w:r>
      <w:r w:rsidRPr="00E36175">
        <w:rPr>
          <w:sz w:val="20"/>
          <w:szCs w:val="20"/>
        </w:rPr>
        <w:t xml:space="preserve">October </w:t>
      </w:r>
      <w:r>
        <w:rPr>
          <w:sz w:val="20"/>
          <w:szCs w:val="20"/>
        </w:rPr>
        <w:t xml:space="preserve">12, </w:t>
      </w:r>
      <w:r w:rsidRPr="00E36175">
        <w:rPr>
          <w:sz w:val="20"/>
          <w:szCs w:val="20"/>
        </w:rPr>
        <w:t>2012</w:t>
      </w:r>
      <w:r>
        <w:rPr>
          <w:sz w:val="20"/>
          <w:szCs w:val="20"/>
        </w:rPr>
        <w:t xml:space="preserve">, accessed January 27, 2017, </w:t>
      </w:r>
      <w:r w:rsidRPr="00815719">
        <w:rPr>
          <w:rFonts w:cs="Times New Roman"/>
          <w:sz w:val="20"/>
          <w:szCs w:val="20"/>
        </w:rPr>
        <w:t>https://www.theguardian.com/commentisfree/2012/oct/12/gabon-french-rejection-hurts.</w:t>
      </w:r>
    </w:p>
  </w:footnote>
  <w:footnote w:id="186">
    <w:p w14:paraId="3DC9EF2A" w14:textId="77777777" w:rsidR="004A1BEE" w:rsidRPr="003F4EC5" w:rsidRDefault="004A1BEE" w:rsidP="00DF5D73">
      <w:pPr>
        <w:pStyle w:val="FootnoteText"/>
      </w:pPr>
      <w:r>
        <w:rPr>
          <w:rStyle w:val="FootnoteReference"/>
        </w:rPr>
        <w:footnoteRef/>
      </w:r>
      <w:r>
        <w:t xml:space="preserve"> </w:t>
      </w:r>
      <w:r w:rsidRPr="003F4EC5">
        <w:rPr>
          <w:i/>
          <w:sz w:val="20"/>
          <w:szCs w:val="20"/>
        </w:rPr>
        <w:t>The Economist,</w:t>
      </w:r>
      <w:r w:rsidRPr="003F4EC5">
        <w:rPr>
          <w:sz w:val="20"/>
          <w:szCs w:val="20"/>
        </w:rPr>
        <w:t xml:space="preserve"> “A French-African </w:t>
      </w:r>
      <w:r>
        <w:rPr>
          <w:sz w:val="20"/>
          <w:szCs w:val="20"/>
        </w:rPr>
        <w:t>Quarrel with t</w:t>
      </w:r>
      <w:r w:rsidRPr="003F4EC5">
        <w:rPr>
          <w:sz w:val="20"/>
          <w:szCs w:val="20"/>
        </w:rPr>
        <w:t>he Former Coloniser,” Jan</w:t>
      </w:r>
      <w:r>
        <w:rPr>
          <w:sz w:val="20"/>
          <w:szCs w:val="20"/>
        </w:rPr>
        <w:t>uary 26,</w:t>
      </w:r>
      <w:r w:rsidRPr="003F4EC5">
        <w:rPr>
          <w:sz w:val="20"/>
          <w:szCs w:val="20"/>
        </w:rPr>
        <w:t xml:space="preserve"> 2016</w:t>
      </w:r>
      <w:r>
        <w:rPr>
          <w:sz w:val="20"/>
          <w:szCs w:val="20"/>
        </w:rPr>
        <w:t xml:space="preserve">, accessed January 20, 2017, </w:t>
      </w:r>
      <w:r w:rsidRPr="00815719">
        <w:rPr>
          <w:sz w:val="20"/>
          <w:szCs w:val="20"/>
        </w:rPr>
        <w:t>http://www.economist.com/news/middle-east-and-africa/21689216-former-colony-and-coloniser-grouse-cling-tight</w:t>
      </w:r>
    </w:p>
  </w:footnote>
  <w:footnote w:id="187">
    <w:p w14:paraId="06E8EC43" w14:textId="77777777" w:rsidR="004A1BEE" w:rsidRDefault="004A1BEE" w:rsidP="00DF5D73">
      <w:pPr>
        <w:pStyle w:val="FootnoteText"/>
      </w:pPr>
      <w:r>
        <w:rPr>
          <w:rStyle w:val="FootnoteReference"/>
        </w:rPr>
        <w:footnoteRef/>
      </w:r>
      <w:r>
        <w:t xml:space="preserve"> </w:t>
      </w:r>
      <w:r w:rsidRPr="00E35766">
        <w:rPr>
          <w:sz w:val="20"/>
          <w:szCs w:val="20"/>
        </w:rPr>
        <w:t xml:space="preserve">Matt Wells, “François Hollande’s ‘Change’ Is More of the Same on Côte d’Ivoire,” </w:t>
      </w:r>
      <w:r w:rsidRPr="00E35766">
        <w:rPr>
          <w:i/>
          <w:sz w:val="20"/>
          <w:szCs w:val="20"/>
        </w:rPr>
        <w:t xml:space="preserve">Human Rights Watch, </w:t>
      </w:r>
      <w:r w:rsidRPr="00E35766">
        <w:rPr>
          <w:sz w:val="20"/>
          <w:szCs w:val="20"/>
        </w:rPr>
        <w:t>February 6, 2013, accessed April 17, 2017, https://www.hrw.org/news/2013/02/06/francois-hollandes-change-more-same-cote-divoire</w:t>
      </w:r>
      <w:r>
        <w:rPr>
          <w:sz w:val="20"/>
          <w:szCs w:val="20"/>
        </w:rPr>
        <w:t>.</w:t>
      </w:r>
    </w:p>
  </w:footnote>
  <w:footnote w:id="188">
    <w:p w14:paraId="30BC7D30" w14:textId="77777777" w:rsidR="004A1BEE" w:rsidRPr="0015685E" w:rsidRDefault="004A1BEE" w:rsidP="00DF5D73">
      <w:pPr>
        <w:pStyle w:val="FootnoteText"/>
      </w:pPr>
      <w:r>
        <w:rPr>
          <w:rStyle w:val="FootnoteReference"/>
        </w:rPr>
        <w:footnoteRef/>
      </w:r>
      <w:r>
        <w:t xml:space="preserve"> </w:t>
      </w:r>
      <w:r w:rsidRPr="0015685E">
        <w:rPr>
          <w:sz w:val="20"/>
          <w:szCs w:val="20"/>
        </w:rPr>
        <w:t xml:space="preserve">Brian Eads, “France Is Slowly Reclaiming Its Old African Empire,” </w:t>
      </w:r>
      <w:r w:rsidRPr="0015685E">
        <w:rPr>
          <w:i/>
          <w:sz w:val="20"/>
          <w:szCs w:val="20"/>
        </w:rPr>
        <w:t xml:space="preserve">Newsweek, </w:t>
      </w:r>
      <w:r w:rsidRPr="0015685E">
        <w:rPr>
          <w:sz w:val="20"/>
          <w:szCs w:val="20"/>
        </w:rPr>
        <w:t>October 30, 2014, accessed April 20, 2017, http://www.newsweek.com/2014/11/07/france-slowly-reclaiming-its-old-african-empire-280635.html.</w:t>
      </w:r>
    </w:p>
  </w:footnote>
  <w:footnote w:id="189">
    <w:p w14:paraId="649B9E8F" w14:textId="77777777" w:rsidR="004A1BEE" w:rsidRDefault="004A1BEE" w:rsidP="00142D2B">
      <w:pPr>
        <w:pStyle w:val="FootnoteText"/>
      </w:pPr>
      <w:r>
        <w:rPr>
          <w:rStyle w:val="FootnoteReference"/>
        </w:rPr>
        <w:footnoteRef/>
      </w:r>
      <w:r>
        <w:t xml:space="preserve"> </w:t>
      </w:r>
      <w:r w:rsidRPr="00C74630">
        <w:rPr>
          <w:sz w:val="20"/>
          <w:szCs w:val="20"/>
        </w:rPr>
        <w:t>Note: Much of the existing literature fails to distinguish between regional statuses of the French colonial empire (colony, protectorate, mandate, and department). Because of this, prior authors have used colony in exchange for possession, and I am in accordance with the use of colony in many instances in this chapter. However, this is not to diminish the importance of the variations in French possessions, as this is a key part in my composition of the “Frenchness” index and my overall argument that regional and individual identity matters for bilateral aid flows. It is mostly for convenience that I use posse</w:t>
      </w:r>
      <w:r>
        <w:rPr>
          <w:sz w:val="20"/>
          <w:szCs w:val="20"/>
        </w:rPr>
        <w:t>ssion and colony interchangeably</w:t>
      </w:r>
      <w:r w:rsidRPr="00C74630">
        <w:rPr>
          <w:sz w:val="20"/>
          <w:szCs w:val="20"/>
        </w:rPr>
        <w:t>. When applicable, however, I will distinguish between various regional statuses in order to clarify my analysis of identity.</w:t>
      </w:r>
    </w:p>
  </w:footnote>
  <w:footnote w:id="190">
    <w:p w14:paraId="411EB85A" w14:textId="77777777" w:rsidR="004A1BEE" w:rsidRPr="00E42142" w:rsidRDefault="004A1BEE" w:rsidP="00142D2B">
      <w:pPr>
        <w:pStyle w:val="FootnoteText"/>
        <w:rPr>
          <w:sz w:val="20"/>
          <w:szCs w:val="20"/>
        </w:rPr>
      </w:pPr>
      <w:r>
        <w:rPr>
          <w:rStyle w:val="FootnoteReference"/>
        </w:rPr>
        <w:footnoteRef/>
      </w:r>
      <w:r>
        <w:t xml:space="preserve"> </w:t>
      </w:r>
      <w:r w:rsidRPr="00E42142">
        <w:rPr>
          <w:sz w:val="20"/>
          <w:szCs w:val="20"/>
        </w:rPr>
        <w:t xml:space="preserve">Daron Acemoglu, Simon Johnson, and James A. Robinson, “The Colonial Origins of Comparative Development: An Empirical Investigation,” </w:t>
      </w:r>
      <w:r w:rsidRPr="00E42142">
        <w:rPr>
          <w:i/>
          <w:sz w:val="20"/>
          <w:szCs w:val="20"/>
        </w:rPr>
        <w:t>American Economic Review</w:t>
      </w:r>
      <w:r w:rsidRPr="00E42142">
        <w:rPr>
          <w:sz w:val="20"/>
          <w:szCs w:val="20"/>
        </w:rPr>
        <w:t xml:space="preserve"> 91 (2001): 1369-1401; Daron Acemoglu, Simon Johnson, and James A. Robinson, “The Reversal of Fortune: Geography and Institutions in the Making of Modern World Income Distribution,” </w:t>
      </w:r>
      <w:r w:rsidRPr="00E42142">
        <w:rPr>
          <w:i/>
          <w:sz w:val="20"/>
          <w:szCs w:val="20"/>
        </w:rPr>
        <w:t xml:space="preserve">Quarterly Journal of Economics </w:t>
      </w:r>
      <w:r w:rsidRPr="00E42142">
        <w:rPr>
          <w:sz w:val="20"/>
          <w:szCs w:val="20"/>
        </w:rPr>
        <w:t xml:space="preserve">117 (2002): 1231-1294; Grazeilla Bertocchi and Fabio Canova, “Did colonization matter for growth? An empirical exploration into the historical causes of Africa’s underdevelopment,” </w:t>
      </w:r>
      <w:r w:rsidRPr="00E42142">
        <w:rPr>
          <w:i/>
          <w:sz w:val="20"/>
          <w:szCs w:val="20"/>
        </w:rPr>
        <w:t xml:space="preserve">European Economic Review </w:t>
      </w:r>
      <w:r w:rsidRPr="00E42142">
        <w:rPr>
          <w:sz w:val="20"/>
          <w:szCs w:val="20"/>
        </w:rPr>
        <w:t xml:space="preserve">46 (2002): 1851-1871; Melissa Dell, “The Persistent Effects of Peru’s Mining </w:t>
      </w:r>
      <w:r w:rsidRPr="00E42142">
        <w:rPr>
          <w:i/>
          <w:sz w:val="20"/>
          <w:szCs w:val="20"/>
        </w:rPr>
        <w:t>Mita</w:t>
      </w:r>
      <w:r w:rsidRPr="00E42142">
        <w:rPr>
          <w:sz w:val="20"/>
          <w:szCs w:val="20"/>
        </w:rPr>
        <w:t xml:space="preserve">,” </w:t>
      </w:r>
      <w:r w:rsidRPr="00E42142">
        <w:rPr>
          <w:i/>
          <w:sz w:val="20"/>
          <w:szCs w:val="20"/>
        </w:rPr>
        <w:t xml:space="preserve">Econometrica </w:t>
      </w:r>
      <w:r>
        <w:rPr>
          <w:sz w:val="20"/>
          <w:szCs w:val="20"/>
        </w:rPr>
        <w:t xml:space="preserve">78.6 (2010): 1863-1903; </w:t>
      </w:r>
      <w:r w:rsidRPr="00E42142">
        <w:rPr>
          <w:sz w:val="20"/>
          <w:szCs w:val="20"/>
        </w:rPr>
        <w:t xml:space="preserve">Robert E. Hall and Charles I. Jones, “Why do Some Countries Produce So Much More Output Per Worker than Others?” </w:t>
      </w:r>
      <w:r w:rsidRPr="00E42142">
        <w:rPr>
          <w:i/>
          <w:sz w:val="20"/>
          <w:szCs w:val="20"/>
        </w:rPr>
        <w:t xml:space="preserve">Quarterly Journal of Economics </w:t>
      </w:r>
      <w:r w:rsidRPr="00E42142">
        <w:rPr>
          <w:sz w:val="20"/>
          <w:szCs w:val="20"/>
        </w:rPr>
        <w:t xml:space="preserve">114.1 (1999): 83-116; Nathan Nunn, “Historical Legacies: A Model Linking Africa’s Past to its Current Underdevelopment,” </w:t>
      </w:r>
      <w:r w:rsidRPr="00E42142">
        <w:rPr>
          <w:i/>
          <w:sz w:val="20"/>
          <w:szCs w:val="20"/>
        </w:rPr>
        <w:t xml:space="preserve">Journal of Development Economics </w:t>
      </w:r>
      <w:r w:rsidRPr="00E42142">
        <w:rPr>
          <w:sz w:val="20"/>
          <w:szCs w:val="20"/>
        </w:rPr>
        <w:t>83.1 (2007): 157-175; Nathan Nunn, “The Long Term Effects of Africa’s Slave Trades.”</w:t>
      </w:r>
    </w:p>
  </w:footnote>
  <w:footnote w:id="191">
    <w:p w14:paraId="52933DD2" w14:textId="77777777" w:rsidR="004A1BEE" w:rsidRPr="007E163E" w:rsidRDefault="004A1BEE" w:rsidP="00142D2B">
      <w:pPr>
        <w:pStyle w:val="FootnoteText"/>
      </w:pPr>
      <w:r>
        <w:rPr>
          <w:rStyle w:val="FootnoteReference"/>
        </w:rPr>
        <w:footnoteRef/>
      </w:r>
      <w:r>
        <w:t xml:space="preserve"> </w:t>
      </w:r>
      <w:r w:rsidRPr="007E163E">
        <w:rPr>
          <w:sz w:val="20"/>
          <w:szCs w:val="20"/>
        </w:rPr>
        <w:t xml:space="preserve">Elise Huillery, “History Matters: The Long-Term Impact of Colonial Public Investments in French West Africa,” </w:t>
      </w:r>
      <w:r w:rsidRPr="007E163E">
        <w:rPr>
          <w:i/>
          <w:sz w:val="20"/>
          <w:szCs w:val="20"/>
        </w:rPr>
        <w:t xml:space="preserve">American Economic Journal: Applied Economics </w:t>
      </w:r>
      <w:r w:rsidRPr="007E163E">
        <w:rPr>
          <w:sz w:val="20"/>
          <w:szCs w:val="20"/>
        </w:rPr>
        <w:t>1.2 (2009): 176-215.</w:t>
      </w:r>
    </w:p>
  </w:footnote>
  <w:footnote w:id="192">
    <w:p w14:paraId="75B7750E" w14:textId="77777777" w:rsidR="004A1BEE" w:rsidRPr="003D6905" w:rsidRDefault="004A1BEE" w:rsidP="00142D2B">
      <w:pPr>
        <w:pStyle w:val="NormalWeb"/>
        <w:spacing w:before="0" w:beforeAutospacing="0" w:after="0" w:afterAutospacing="0"/>
        <w:rPr>
          <w:sz w:val="22"/>
          <w:szCs w:val="22"/>
        </w:rPr>
      </w:pPr>
      <w:r w:rsidRPr="008664A9">
        <w:rPr>
          <w:rStyle w:val="FootnoteReference"/>
          <w:rFonts w:ascii="Times New Roman" w:hAnsi="Times New Roman"/>
          <w:sz w:val="24"/>
          <w:szCs w:val="24"/>
        </w:rPr>
        <w:footnoteRef/>
      </w:r>
      <w:r w:rsidRPr="008664A9">
        <w:rPr>
          <w:rFonts w:ascii="Times New Roman" w:hAnsi="Times New Roman"/>
          <w:sz w:val="24"/>
          <w:szCs w:val="24"/>
        </w:rPr>
        <w:t xml:space="preserve"> </w:t>
      </w:r>
      <w:r w:rsidRPr="003D6905">
        <w:rPr>
          <w:rFonts w:ascii="Times New Roman" w:hAnsi="Times New Roman"/>
        </w:rPr>
        <w:t xml:space="preserve">Cristina Terra and Tania El Kallab, "French Colonial Trade Patterns: European Settlement" </w:t>
      </w:r>
      <w:r w:rsidRPr="003D6905">
        <w:rPr>
          <w:rFonts w:ascii="Times New Roman" w:hAnsi="Times New Roman"/>
          <w:i/>
          <w:iCs/>
        </w:rPr>
        <w:t xml:space="preserve">Thema </w:t>
      </w:r>
      <w:r w:rsidRPr="003D6905">
        <w:rPr>
          <w:rFonts w:ascii="Times New Roman" w:hAnsi="Times New Roman"/>
        </w:rPr>
        <w:t>Working Paper n 2014-27: 1-40.</w:t>
      </w:r>
      <w:r>
        <w:rPr>
          <w:sz w:val="22"/>
          <w:szCs w:val="22"/>
        </w:rPr>
        <w:t xml:space="preserve"> </w:t>
      </w:r>
    </w:p>
  </w:footnote>
  <w:footnote w:id="193">
    <w:p w14:paraId="1A129D23" w14:textId="7A1CAC82" w:rsidR="004A1BEE" w:rsidRDefault="004A1BEE" w:rsidP="00142D2B">
      <w:pPr>
        <w:pStyle w:val="FootnoteText"/>
      </w:pPr>
      <w:r>
        <w:rPr>
          <w:rStyle w:val="FootnoteReference"/>
        </w:rPr>
        <w:footnoteRef/>
      </w:r>
      <w:r>
        <w:t xml:space="preserve"> </w:t>
      </w:r>
      <w:r>
        <w:rPr>
          <w:sz w:val="20"/>
          <w:szCs w:val="20"/>
        </w:rPr>
        <w:t xml:space="preserve">Ibid., </w:t>
      </w:r>
      <w:r w:rsidRPr="003D6905">
        <w:rPr>
          <w:sz w:val="20"/>
          <w:szCs w:val="20"/>
        </w:rPr>
        <w:t>4.</w:t>
      </w:r>
    </w:p>
  </w:footnote>
  <w:footnote w:id="194">
    <w:p w14:paraId="572315B7" w14:textId="77777777" w:rsidR="004A1BEE" w:rsidRPr="00564E05" w:rsidRDefault="004A1BEE" w:rsidP="00142D2B">
      <w:pPr>
        <w:pStyle w:val="FootnoteText"/>
      </w:pPr>
      <w:r>
        <w:rPr>
          <w:rStyle w:val="FootnoteReference"/>
        </w:rPr>
        <w:footnoteRef/>
      </w:r>
      <w:r>
        <w:t xml:space="preserve"> </w:t>
      </w:r>
      <w:r w:rsidRPr="008C6B4E">
        <w:rPr>
          <w:sz w:val="20"/>
          <w:szCs w:val="20"/>
        </w:rPr>
        <w:t xml:space="preserve">Alberto Alesina and David Dollar, "Who Gives Foreign Aid to Whom and Why?" </w:t>
      </w:r>
      <w:r w:rsidRPr="008C6B4E">
        <w:rPr>
          <w:i/>
          <w:iCs/>
          <w:sz w:val="20"/>
          <w:szCs w:val="20"/>
        </w:rPr>
        <w:t xml:space="preserve">Journal of Economic Growth, </w:t>
      </w:r>
      <w:r w:rsidRPr="008C6B4E">
        <w:rPr>
          <w:sz w:val="20"/>
          <w:szCs w:val="20"/>
        </w:rPr>
        <w:t>5.1 (2000): 33-63</w:t>
      </w:r>
      <w:r>
        <w:rPr>
          <w:sz w:val="20"/>
          <w:szCs w:val="20"/>
        </w:rPr>
        <w:t xml:space="preserve">; Jean-Claude Berthelemy, “Bilateral donors’ interest vs. recipients’ development motives in aid allocation: do all donors behave the same?” </w:t>
      </w:r>
      <w:r>
        <w:rPr>
          <w:i/>
          <w:sz w:val="20"/>
          <w:szCs w:val="20"/>
        </w:rPr>
        <w:t xml:space="preserve">Cahiers de Maison des Sciences Economiques </w:t>
      </w:r>
      <w:r>
        <w:rPr>
          <w:sz w:val="20"/>
          <w:szCs w:val="20"/>
        </w:rPr>
        <w:t xml:space="preserve">(2005): 1-36; Alberto Chong and Mark Gradstein, “What determines foreign aid? The donors’ perspective,” </w:t>
      </w:r>
      <w:r>
        <w:rPr>
          <w:i/>
          <w:sz w:val="20"/>
          <w:szCs w:val="20"/>
        </w:rPr>
        <w:t xml:space="preserve">Journal of Development Economics </w:t>
      </w:r>
      <w:r>
        <w:rPr>
          <w:sz w:val="20"/>
          <w:szCs w:val="20"/>
        </w:rPr>
        <w:t xml:space="preserve">87 (2008): 1-13; Paul Collier and David Dollar, “Aid allocation and poverty reduction,” </w:t>
      </w:r>
      <w:r>
        <w:rPr>
          <w:i/>
          <w:sz w:val="20"/>
          <w:szCs w:val="20"/>
        </w:rPr>
        <w:t xml:space="preserve">European Economic Review </w:t>
      </w:r>
      <w:r>
        <w:rPr>
          <w:sz w:val="20"/>
          <w:szCs w:val="20"/>
        </w:rPr>
        <w:t xml:space="preserve">46 (2002): 1475-1500; Alfred Maizels and Machiko K. Nissanke, “Motivations for Aid to Developing Countries,” </w:t>
      </w:r>
      <w:r>
        <w:rPr>
          <w:i/>
          <w:sz w:val="20"/>
          <w:szCs w:val="20"/>
        </w:rPr>
        <w:t xml:space="preserve">World Development </w:t>
      </w:r>
      <w:r>
        <w:rPr>
          <w:sz w:val="20"/>
          <w:szCs w:val="20"/>
        </w:rPr>
        <w:t xml:space="preserve">12.9 (1984): 879-900; R.D. McKinlay and R. Little, “The French Aid Relationship: A Foreign Policy Model of the Distribution of French Bilateral Aid, 1964-70,” </w:t>
      </w:r>
      <w:r>
        <w:rPr>
          <w:i/>
          <w:sz w:val="20"/>
          <w:szCs w:val="20"/>
        </w:rPr>
        <w:t xml:space="preserve">Development and Change </w:t>
      </w:r>
      <w:r>
        <w:rPr>
          <w:sz w:val="20"/>
          <w:szCs w:val="20"/>
        </w:rPr>
        <w:t xml:space="preserve">3(1978): 459-78; Jakob Svensson, “Aid, Growth and Democracy,” </w:t>
      </w:r>
      <w:r>
        <w:rPr>
          <w:i/>
          <w:sz w:val="20"/>
          <w:szCs w:val="20"/>
        </w:rPr>
        <w:t xml:space="preserve">Economics and Politics </w:t>
      </w:r>
      <w:r>
        <w:rPr>
          <w:sz w:val="20"/>
          <w:szCs w:val="20"/>
        </w:rPr>
        <w:t xml:space="preserve">(1985): 275-297; Javed Younas, “Motivation for bilateral aid allocation: Altruism or trade benefits,” </w:t>
      </w:r>
      <w:r>
        <w:rPr>
          <w:i/>
          <w:sz w:val="20"/>
          <w:szCs w:val="20"/>
        </w:rPr>
        <w:t xml:space="preserve">European Journal of Political Economy </w:t>
      </w:r>
      <w:r>
        <w:rPr>
          <w:sz w:val="20"/>
          <w:szCs w:val="20"/>
        </w:rPr>
        <w:t>24 (2008): 661-674.</w:t>
      </w:r>
    </w:p>
  </w:footnote>
  <w:footnote w:id="195">
    <w:p w14:paraId="7804EAB0" w14:textId="153CF6D8" w:rsidR="004A1BEE" w:rsidRPr="00984CAA" w:rsidRDefault="004A1BEE" w:rsidP="00142D2B">
      <w:pPr>
        <w:pStyle w:val="NormalWeb"/>
        <w:spacing w:before="0" w:beforeAutospacing="0" w:after="0" w:afterAutospacing="0"/>
        <w:rPr>
          <w:sz w:val="22"/>
          <w:szCs w:val="22"/>
        </w:rPr>
      </w:pPr>
      <w:r w:rsidRPr="00514439">
        <w:rPr>
          <w:rStyle w:val="FootnoteReference"/>
          <w:rFonts w:ascii="Times New Roman" w:hAnsi="Times New Roman"/>
          <w:sz w:val="24"/>
          <w:szCs w:val="24"/>
        </w:rPr>
        <w:footnoteRef/>
      </w:r>
      <w:r w:rsidRPr="00514439">
        <w:rPr>
          <w:rFonts w:ascii="Times New Roman" w:hAnsi="Times New Roman"/>
          <w:sz w:val="24"/>
          <w:szCs w:val="24"/>
        </w:rPr>
        <w:t xml:space="preserve"> </w:t>
      </w:r>
      <w:r>
        <w:t xml:space="preserve">Alesina and Dollar, 46; </w:t>
      </w:r>
      <w:r w:rsidRPr="00984CAA">
        <w:rPr>
          <w:rFonts w:ascii="Times New Roman" w:hAnsi="Times New Roman"/>
        </w:rPr>
        <w:t xml:space="preserve">Eliana Balla and Gina Yannitell Reinhardt, "Giving and Receiving Foreign Aid: Does Conflict Count? </w:t>
      </w:r>
      <w:r w:rsidRPr="00984CAA">
        <w:rPr>
          <w:rFonts w:ascii="Times New Roman" w:hAnsi="Times New Roman"/>
          <w:i/>
          <w:iCs/>
        </w:rPr>
        <w:t xml:space="preserve">World Development </w:t>
      </w:r>
      <w:r w:rsidRPr="00984CAA">
        <w:rPr>
          <w:rFonts w:ascii="Times New Roman" w:hAnsi="Times New Roman"/>
        </w:rPr>
        <w:t>36.12 (2008)</w:t>
      </w:r>
      <w:r>
        <w:rPr>
          <w:rFonts w:ascii="Times New Roman" w:hAnsi="Times New Roman"/>
        </w:rPr>
        <w:t>,</w:t>
      </w:r>
      <w:r w:rsidRPr="00984CAA">
        <w:rPr>
          <w:rFonts w:ascii="Times New Roman" w:hAnsi="Times New Roman"/>
        </w:rPr>
        <w:t xml:space="preserve"> 2568.</w:t>
      </w:r>
    </w:p>
  </w:footnote>
  <w:footnote w:id="196">
    <w:p w14:paraId="6FAC60A3" w14:textId="77777777" w:rsidR="004A1BEE" w:rsidRDefault="004A1BEE" w:rsidP="00142D2B">
      <w:pPr>
        <w:pStyle w:val="FootnoteText"/>
        <w:tabs>
          <w:tab w:val="left" w:pos="3960"/>
        </w:tabs>
      </w:pPr>
      <w:r>
        <w:rPr>
          <w:rStyle w:val="FootnoteReference"/>
        </w:rPr>
        <w:footnoteRef/>
      </w:r>
      <w:r>
        <w:t xml:space="preserve"> </w:t>
      </w:r>
      <w:r>
        <w:rPr>
          <w:sz w:val="20"/>
          <w:szCs w:val="20"/>
        </w:rPr>
        <w:t>Specifically, “a country that has a relatively long colonial past (1 standard deviation above the mean) receives 87 percent more aid.”</w:t>
      </w:r>
      <w:r w:rsidRPr="00984CAA">
        <w:rPr>
          <w:sz w:val="20"/>
          <w:szCs w:val="20"/>
        </w:rPr>
        <w:t xml:space="preserve"> </w:t>
      </w:r>
      <w:r>
        <w:rPr>
          <w:sz w:val="20"/>
          <w:szCs w:val="20"/>
        </w:rPr>
        <w:t xml:space="preserve">Alesina and Dollar, </w:t>
      </w:r>
      <w:r w:rsidRPr="008C6B4E">
        <w:rPr>
          <w:sz w:val="20"/>
          <w:szCs w:val="20"/>
        </w:rPr>
        <w:t>40</w:t>
      </w:r>
      <w:r>
        <w:rPr>
          <w:sz w:val="20"/>
          <w:szCs w:val="20"/>
        </w:rPr>
        <w:t>.</w:t>
      </w:r>
    </w:p>
  </w:footnote>
  <w:footnote w:id="197">
    <w:p w14:paraId="43045369" w14:textId="5FB856B2" w:rsidR="004A1BEE" w:rsidRPr="00920F36" w:rsidRDefault="004A1BEE" w:rsidP="00142D2B">
      <w:pPr>
        <w:pStyle w:val="NormalWeb"/>
        <w:spacing w:before="0" w:beforeAutospacing="0" w:after="0" w:afterAutospacing="0"/>
        <w:rPr>
          <w:sz w:val="22"/>
          <w:szCs w:val="22"/>
        </w:rPr>
      </w:pPr>
      <w:r w:rsidRPr="00514439">
        <w:rPr>
          <w:rStyle w:val="FootnoteReference"/>
          <w:rFonts w:ascii="Times New Roman" w:hAnsi="Times New Roman"/>
          <w:sz w:val="24"/>
          <w:szCs w:val="24"/>
        </w:rPr>
        <w:footnoteRef/>
      </w:r>
      <w:r w:rsidRPr="00514439">
        <w:rPr>
          <w:rFonts w:ascii="Times New Roman" w:hAnsi="Times New Roman"/>
          <w:sz w:val="24"/>
          <w:szCs w:val="24"/>
        </w:rPr>
        <w:t xml:space="preserve"> </w:t>
      </w:r>
      <w:r w:rsidRPr="00920F36">
        <w:rPr>
          <w:rFonts w:ascii="Times New Roman" w:hAnsi="Times New Roman"/>
        </w:rPr>
        <w:t xml:space="preserve">Alberto Alesina and Beatrice Weder, "Do Corrupt Governments Receive Less Foreign Aid?" </w:t>
      </w:r>
      <w:r w:rsidRPr="00920F36">
        <w:rPr>
          <w:rFonts w:ascii="Times New Roman" w:hAnsi="Times New Roman"/>
          <w:i/>
          <w:iCs/>
        </w:rPr>
        <w:t xml:space="preserve">The American Economic Review </w:t>
      </w:r>
      <w:r w:rsidRPr="00920F36">
        <w:rPr>
          <w:rFonts w:ascii="Times New Roman" w:hAnsi="Times New Roman"/>
        </w:rPr>
        <w:t>92.4 (2002): 1131</w:t>
      </w:r>
      <w:r>
        <w:rPr>
          <w:rFonts w:ascii="Times New Roman" w:hAnsi="Times New Roman"/>
        </w:rPr>
        <w:t xml:space="preserve">; </w:t>
      </w:r>
      <w:r w:rsidRPr="008664A9">
        <w:rPr>
          <w:rFonts w:ascii="Times New Roman" w:hAnsi="Times New Roman"/>
        </w:rPr>
        <w:t xml:space="preserve">Per Lundborg, "Foreign Aid and International Support as Gift Exchange," </w:t>
      </w:r>
      <w:r w:rsidRPr="008664A9">
        <w:rPr>
          <w:rFonts w:ascii="Times New Roman" w:hAnsi="Times New Roman"/>
          <w:i/>
          <w:iCs/>
        </w:rPr>
        <w:t xml:space="preserve">Economics and Politics </w:t>
      </w:r>
      <w:r w:rsidRPr="008664A9">
        <w:rPr>
          <w:rFonts w:ascii="Times New Roman" w:hAnsi="Times New Roman"/>
        </w:rPr>
        <w:t>10.2 (1998): 140</w:t>
      </w:r>
      <w:r>
        <w:rPr>
          <w:rFonts w:ascii="Times New Roman" w:hAnsi="Times New Roman"/>
        </w:rPr>
        <w:t xml:space="preserve">; Svensson, “Aid Growth and Democracy,” 294. </w:t>
      </w:r>
    </w:p>
  </w:footnote>
  <w:footnote w:id="198">
    <w:p w14:paraId="1800C946" w14:textId="78558A5F" w:rsidR="004A1BEE" w:rsidRPr="009F30D6" w:rsidRDefault="004A1BEE" w:rsidP="00142D2B">
      <w:pPr>
        <w:pStyle w:val="NormalWeb"/>
        <w:spacing w:before="0" w:beforeAutospacing="0" w:after="0" w:afterAutospacing="0"/>
        <w:rPr>
          <w:sz w:val="22"/>
          <w:szCs w:val="22"/>
        </w:rPr>
      </w:pPr>
      <w:r w:rsidRPr="000A47FD">
        <w:rPr>
          <w:rStyle w:val="FootnoteReference"/>
          <w:rFonts w:ascii="Times New Roman" w:hAnsi="Times New Roman"/>
          <w:sz w:val="24"/>
          <w:szCs w:val="24"/>
        </w:rPr>
        <w:footnoteRef/>
      </w:r>
      <w:r w:rsidRPr="000A47FD">
        <w:rPr>
          <w:rFonts w:ascii="Times New Roman" w:hAnsi="Times New Roman"/>
          <w:sz w:val="24"/>
          <w:szCs w:val="24"/>
        </w:rPr>
        <w:t xml:space="preserve"> </w:t>
      </w:r>
      <w:r w:rsidRPr="006B0CCF">
        <w:rPr>
          <w:rFonts w:ascii="Times New Roman" w:hAnsi="Times New Roman"/>
        </w:rPr>
        <w:t>Alesina and Weder, "Do Corrupt Governments Receive Less Foreign Aid?”;</w:t>
      </w:r>
      <w:r>
        <w:rPr>
          <w:rFonts w:ascii="Times New Roman" w:hAnsi="Times New Roman"/>
        </w:rPr>
        <w:t xml:space="preserve"> </w:t>
      </w:r>
      <w:r w:rsidRPr="000A47FD">
        <w:rPr>
          <w:rFonts w:ascii="Times New Roman" w:hAnsi="Times New Roman"/>
        </w:rPr>
        <w:t xml:space="preserve">David Dollar and Victoria Levin, "The Increasing Selectivity of Foreign Aid, 1984-2003," </w:t>
      </w:r>
      <w:r w:rsidRPr="000A47FD">
        <w:rPr>
          <w:rFonts w:ascii="Times New Roman" w:hAnsi="Times New Roman"/>
          <w:i/>
          <w:iCs/>
        </w:rPr>
        <w:t xml:space="preserve">World Development </w:t>
      </w:r>
      <w:r w:rsidRPr="000A47FD">
        <w:rPr>
          <w:rFonts w:ascii="Times New Roman" w:hAnsi="Times New Roman"/>
        </w:rPr>
        <w:t>32.12 (2006): 2034-2046;</w:t>
      </w:r>
      <w:r>
        <w:rPr>
          <w:sz w:val="22"/>
          <w:szCs w:val="22"/>
        </w:rPr>
        <w:t xml:space="preserve"> </w:t>
      </w:r>
      <w:r w:rsidRPr="000A47FD">
        <w:rPr>
          <w:rFonts w:ascii="Times New Roman" w:hAnsi="Times New Roman"/>
        </w:rPr>
        <w:t xml:space="preserve">Stephen Knack, "Does Foreign Aid Promote Democracy?"  </w:t>
      </w:r>
      <w:r w:rsidRPr="000A47FD">
        <w:rPr>
          <w:rFonts w:ascii="Times New Roman" w:hAnsi="Times New Roman"/>
          <w:i/>
          <w:iCs/>
        </w:rPr>
        <w:t xml:space="preserve">International Studies Quarterly </w:t>
      </w:r>
      <w:r w:rsidRPr="000A47FD">
        <w:rPr>
          <w:rFonts w:ascii="Times New Roman" w:hAnsi="Times New Roman"/>
        </w:rPr>
        <w:t>48.1 (2004): 251-266;</w:t>
      </w:r>
      <w:r>
        <w:rPr>
          <w:sz w:val="22"/>
          <w:szCs w:val="22"/>
        </w:rPr>
        <w:t xml:space="preserve"> </w:t>
      </w:r>
      <w:r>
        <w:rPr>
          <w:rFonts w:ascii="Times New Roman" w:hAnsi="Times New Roman"/>
        </w:rPr>
        <w:t xml:space="preserve">Maizels and Nissanke (1984); </w:t>
      </w:r>
      <w:r w:rsidRPr="000A47FD">
        <w:rPr>
          <w:rFonts w:ascii="Times New Roman" w:hAnsi="Times New Roman"/>
        </w:rPr>
        <w:t xml:space="preserve">Eric Neumayer, "Is Respect for Human Rights Rewarded? An Analysis of Total Bilateral and Multilateral Aid Flows" </w:t>
      </w:r>
      <w:r w:rsidRPr="000A47FD">
        <w:rPr>
          <w:rFonts w:ascii="Times New Roman" w:hAnsi="Times New Roman"/>
          <w:i/>
          <w:iCs/>
        </w:rPr>
        <w:t xml:space="preserve">Human Rights Quarterly </w:t>
      </w:r>
      <w:r w:rsidRPr="000A47FD">
        <w:rPr>
          <w:rFonts w:ascii="Times New Roman" w:hAnsi="Times New Roman"/>
        </w:rPr>
        <w:t>25.2 (2003): 510-527;</w:t>
      </w:r>
      <w:r>
        <w:rPr>
          <w:rFonts w:ascii="Times New Roman" w:hAnsi="Times New Roman"/>
        </w:rPr>
        <w:t xml:space="preserve"> Svensson, “Aid, Growth, and Democracy.”</w:t>
      </w:r>
    </w:p>
  </w:footnote>
  <w:footnote w:id="199">
    <w:p w14:paraId="71364C02" w14:textId="77777777" w:rsidR="004A1BEE" w:rsidRPr="006F11F5" w:rsidRDefault="004A1BEE" w:rsidP="00142D2B">
      <w:pPr>
        <w:pStyle w:val="FootnoteText"/>
      </w:pPr>
      <w:r>
        <w:rPr>
          <w:rStyle w:val="FootnoteReference"/>
        </w:rPr>
        <w:footnoteRef/>
      </w:r>
      <w:r>
        <w:t xml:space="preserve"> </w:t>
      </w:r>
      <w:r w:rsidRPr="006F11F5">
        <w:rPr>
          <w:sz w:val="20"/>
          <w:szCs w:val="20"/>
        </w:rPr>
        <w:t xml:space="preserve">Craig Burnside and David Dollar, “Aid Policies, and Growth,” </w:t>
      </w:r>
      <w:r w:rsidRPr="006F11F5">
        <w:rPr>
          <w:i/>
          <w:sz w:val="20"/>
          <w:szCs w:val="20"/>
        </w:rPr>
        <w:t xml:space="preserve">The American Economic Review </w:t>
      </w:r>
      <w:r w:rsidRPr="006F11F5">
        <w:rPr>
          <w:sz w:val="20"/>
          <w:szCs w:val="20"/>
        </w:rPr>
        <w:t>90.4 (2000): 850.</w:t>
      </w:r>
    </w:p>
  </w:footnote>
  <w:footnote w:id="200">
    <w:p w14:paraId="4B0ED0CD" w14:textId="2C008B48" w:rsidR="004A1BEE" w:rsidRDefault="004A1BEE" w:rsidP="00142D2B">
      <w:pPr>
        <w:pStyle w:val="FootnoteText"/>
      </w:pPr>
      <w:r>
        <w:rPr>
          <w:rStyle w:val="FootnoteReference"/>
        </w:rPr>
        <w:footnoteRef/>
      </w:r>
      <w:r>
        <w:t xml:space="preserve"> </w:t>
      </w:r>
      <w:r>
        <w:rPr>
          <w:sz w:val="20"/>
          <w:szCs w:val="20"/>
        </w:rPr>
        <w:t xml:space="preserve">Neumayer, “Is Respect for Human Rights Rewarded?” </w:t>
      </w:r>
      <w:r w:rsidRPr="00A87CA2">
        <w:rPr>
          <w:sz w:val="20"/>
          <w:szCs w:val="20"/>
        </w:rPr>
        <w:t>101.</w:t>
      </w:r>
    </w:p>
  </w:footnote>
  <w:footnote w:id="201">
    <w:p w14:paraId="126D2DDB" w14:textId="77777777" w:rsidR="004A1BEE" w:rsidRPr="005361C4" w:rsidRDefault="004A1BEE" w:rsidP="00142D2B">
      <w:pPr>
        <w:pStyle w:val="NormalWeb"/>
        <w:spacing w:before="0" w:beforeAutospacing="0" w:after="0" w:afterAutospacing="0"/>
        <w:rPr>
          <w:sz w:val="22"/>
          <w:szCs w:val="22"/>
        </w:rPr>
      </w:pPr>
      <w:r w:rsidRPr="00A87CA2">
        <w:rPr>
          <w:rStyle w:val="FootnoteReference"/>
          <w:rFonts w:ascii="Times New Roman" w:hAnsi="Times New Roman"/>
          <w:sz w:val="24"/>
          <w:szCs w:val="24"/>
        </w:rPr>
        <w:footnoteRef/>
      </w:r>
      <w:r w:rsidRPr="00A87CA2">
        <w:rPr>
          <w:rFonts w:ascii="Times New Roman" w:hAnsi="Times New Roman"/>
          <w:sz w:val="24"/>
          <w:szCs w:val="24"/>
        </w:rPr>
        <w:t xml:space="preserve"> </w:t>
      </w:r>
      <w:r w:rsidRPr="006B0CCF">
        <w:rPr>
          <w:rFonts w:ascii="Times New Roman" w:hAnsi="Times New Roman"/>
        </w:rPr>
        <w:t>J.M.</w:t>
      </w:r>
      <w:r>
        <w:rPr>
          <w:rFonts w:ascii="Times New Roman" w:hAnsi="Times New Roman"/>
          <w:sz w:val="24"/>
          <w:szCs w:val="24"/>
        </w:rPr>
        <w:t xml:space="preserve"> </w:t>
      </w:r>
      <w:r w:rsidRPr="006B0CCF">
        <w:rPr>
          <w:rFonts w:ascii="Times New Roman" w:hAnsi="Times New Roman"/>
        </w:rPr>
        <w:t>Dowling and Ulrich Hiemenz</w:t>
      </w:r>
      <w:r>
        <w:rPr>
          <w:rFonts w:ascii="Times New Roman" w:hAnsi="Times New Roman"/>
        </w:rPr>
        <w:t xml:space="preserve">, “Biases in the Allocation of Foreign Aid: Some New Evidence,” </w:t>
      </w:r>
      <w:r>
        <w:rPr>
          <w:rFonts w:ascii="Times New Roman" w:hAnsi="Times New Roman"/>
          <w:i/>
        </w:rPr>
        <w:t xml:space="preserve">World Development </w:t>
      </w:r>
      <w:r>
        <w:rPr>
          <w:rFonts w:ascii="Times New Roman" w:hAnsi="Times New Roman"/>
        </w:rPr>
        <w:t>13.4</w:t>
      </w:r>
      <w:r w:rsidRPr="006B0CCF">
        <w:rPr>
          <w:rFonts w:ascii="Times New Roman" w:hAnsi="Times New Roman"/>
        </w:rPr>
        <w:t xml:space="preserve"> (1985)</w:t>
      </w:r>
      <w:r>
        <w:rPr>
          <w:rFonts w:ascii="Times New Roman" w:hAnsi="Times New Roman"/>
        </w:rPr>
        <w:t>: 535-541</w:t>
      </w:r>
      <w:r w:rsidRPr="006B0CCF">
        <w:rPr>
          <w:rFonts w:ascii="Times New Roman" w:hAnsi="Times New Roman"/>
        </w:rPr>
        <w:t>;</w:t>
      </w:r>
      <w:r w:rsidRPr="00A87CA2">
        <w:rPr>
          <w:rFonts w:ascii="Times New Roman" w:hAnsi="Times New Roman"/>
        </w:rPr>
        <w:t xml:space="preserve"> Paul Isenman, "Biases in Aid Allocations Against Poorer and Larger Countries," </w:t>
      </w:r>
      <w:r w:rsidRPr="00A87CA2">
        <w:rPr>
          <w:rFonts w:ascii="Times New Roman" w:hAnsi="Times New Roman"/>
          <w:i/>
          <w:iCs/>
        </w:rPr>
        <w:t xml:space="preserve">World Development </w:t>
      </w:r>
      <w:r w:rsidRPr="00A87CA2">
        <w:rPr>
          <w:rFonts w:ascii="Times New Roman" w:hAnsi="Times New Roman"/>
        </w:rPr>
        <w:t>4.8 (1976): 631-641.</w:t>
      </w:r>
    </w:p>
  </w:footnote>
  <w:footnote w:id="202">
    <w:p w14:paraId="0184D4D3" w14:textId="77777777" w:rsidR="004A1BEE" w:rsidRDefault="004A1BEE" w:rsidP="00142D2B">
      <w:pPr>
        <w:pStyle w:val="FootnoteText"/>
      </w:pPr>
      <w:r>
        <w:rPr>
          <w:rStyle w:val="FootnoteReference"/>
        </w:rPr>
        <w:footnoteRef/>
      </w:r>
      <w:r>
        <w:t xml:space="preserve"> </w:t>
      </w:r>
      <w:r w:rsidRPr="005361C4">
        <w:rPr>
          <w:sz w:val="20"/>
          <w:szCs w:val="20"/>
        </w:rPr>
        <w:t>Although aid flows are available prior to 1973, the data is somewhat sporadic in terms of missing data. Additionally, the time variant variables are of primary interest in the 1970s. In order to maintain the highest level of observations, the data begins in 1973.</w:t>
      </w:r>
      <w:r>
        <w:t xml:space="preserve"> </w:t>
      </w:r>
    </w:p>
  </w:footnote>
  <w:footnote w:id="203">
    <w:p w14:paraId="5FE540D9" w14:textId="77777777" w:rsidR="004A1BEE" w:rsidRDefault="004A1BEE" w:rsidP="00142D2B">
      <w:pPr>
        <w:pStyle w:val="FootnoteText"/>
      </w:pPr>
      <w:r w:rsidRPr="00BB6113">
        <w:rPr>
          <w:rStyle w:val="FootnoteReference"/>
        </w:rPr>
        <w:footnoteRef/>
      </w:r>
      <w:r>
        <w:t xml:space="preserve"> </w:t>
      </w:r>
      <w:r w:rsidRPr="00C65055">
        <w:rPr>
          <w:sz w:val="20"/>
          <w:szCs w:val="20"/>
        </w:rPr>
        <w:t>For more detailed information on how DAC measures bilateral aid flows, see the Appendix</w:t>
      </w:r>
    </w:p>
  </w:footnote>
  <w:footnote w:id="204">
    <w:p w14:paraId="78F5A663" w14:textId="77777777" w:rsidR="004A1BEE" w:rsidRDefault="004A1BEE" w:rsidP="00142D2B">
      <w:pPr>
        <w:pStyle w:val="FootnoteText"/>
      </w:pPr>
      <w:r>
        <w:rPr>
          <w:rStyle w:val="FootnoteReference"/>
        </w:rPr>
        <w:footnoteRef/>
      </w:r>
      <w:r>
        <w:t xml:space="preserve"> </w:t>
      </w:r>
      <w:r w:rsidRPr="00BB6113">
        <w:rPr>
          <w:sz w:val="20"/>
          <w:szCs w:val="20"/>
        </w:rPr>
        <w:t>Although additional channels of Françafrique were presented in the previous chapter, data constraints have limited my ability to use regression analysis for such channels. When I include these additional channels, my sample size is significantly restricted. Moreover, data for things like the number of students attended higher education institutions in France is not consistent overtime. Because of these constraints, I instead use the channels presented in this list.</w:t>
      </w:r>
    </w:p>
  </w:footnote>
  <w:footnote w:id="205">
    <w:p w14:paraId="02FD1C4E" w14:textId="77777777" w:rsidR="004A1BEE" w:rsidRDefault="004A1BEE" w:rsidP="00142D2B">
      <w:pPr>
        <w:pStyle w:val="FootnoteText"/>
      </w:pPr>
      <w:r>
        <w:rPr>
          <w:rStyle w:val="FootnoteReference"/>
        </w:rPr>
        <w:footnoteRef/>
      </w:r>
      <w:r>
        <w:t xml:space="preserve"> </w:t>
      </w:r>
      <w:r w:rsidRPr="00CF06DC">
        <w:rPr>
          <w:sz w:val="20"/>
          <w:szCs w:val="20"/>
        </w:rPr>
        <w:t>Although detailed, this section does not present an exhaustive list of results from regression analysis, and additional regression tables are listed in the Appendix, including a brief section investigating how UN voting affinity (or UN friend according to Alesina and Dollar) relates to “Frenchness” and bilateral aid committed.</w:t>
      </w:r>
      <w:r>
        <w:t xml:space="preserve"> </w:t>
      </w:r>
    </w:p>
  </w:footnote>
  <w:footnote w:id="206">
    <w:p w14:paraId="43338506" w14:textId="2BEC04CD" w:rsidR="004A1BEE" w:rsidRDefault="004A1BEE" w:rsidP="00142D2B">
      <w:pPr>
        <w:pStyle w:val="FootnoteText"/>
      </w:pPr>
      <w:r>
        <w:rPr>
          <w:rStyle w:val="FootnoteReference"/>
        </w:rPr>
        <w:footnoteRef/>
      </w:r>
      <w:r>
        <w:t xml:space="preserve"> </w:t>
      </w:r>
      <w:r w:rsidRPr="00DE785C">
        <w:rPr>
          <w:sz w:val="20"/>
          <w:szCs w:val="20"/>
        </w:rPr>
        <w:t>Collinearity, in this instance, is likely due to the number of dummy variables in classifying regional statuses—colony, mandate, protectorate, or department. As I pare down my analysis to only colonies, these regional statuses are correlated because a former French possession can only have one specific status.</w:t>
      </w:r>
      <w:r>
        <w:rPr>
          <w:sz w:val="20"/>
          <w:szCs w:val="20"/>
        </w:rPr>
        <w:t xml:space="preserve"> While this is unfortunate for understanding, which individual components of “Frenchness” are significant in determining French bilateral aid commitments, collinearity does not weaken the overall argument but rather strengthens the need for using principal component analysis to create an index. </w:t>
      </w:r>
    </w:p>
  </w:footnote>
  <w:footnote w:id="207">
    <w:p w14:paraId="2A8302DC" w14:textId="482BE0DE" w:rsidR="004A1BEE" w:rsidRDefault="004A1BEE" w:rsidP="00142D2B">
      <w:pPr>
        <w:pStyle w:val="FootnoteText"/>
      </w:pPr>
      <w:r>
        <w:rPr>
          <w:rStyle w:val="FootnoteReference"/>
        </w:rPr>
        <w:footnoteRef/>
      </w:r>
      <w:r>
        <w:t xml:space="preserve"> </w:t>
      </w:r>
      <w:r w:rsidRPr="005D798E">
        <w:rPr>
          <w:sz w:val="20"/>
          <w:szCs w:val="20"/>
        </w:rPr>
        <w:t xml:space="preserve">Maizels and Nissanke, </w:t>
      </w:r>
      <w:r>
        <w:rPr>
          <w:sz w:val="20"/>
          <w:szCs w:val="20"/>
        </w:rPr>
        <w:t xml:space="preserve">Motivations for Aid to Developing Countries,” </w:t>
      </w:r>
      <w:r w:rsidRPr="005D798E">
        <w:rPr>
          <w:sz w:val="20"/>
          <w:szCs w:val="20"/>
        </w:rPr>
        <w:t>887.</w:t>
      </w:r>
      <w:r>
        <w:t xml:space="preserve"> </w:t>
      </w:r>
    </w:p>
  </w:footnote>
  <w:footnote w:id="208">
    <w:p w14:paraId="2AC553AE" w14:textId="77777777" w:rsidR="004A1BEE" w:rsidRDefault="004A1BEE" w:rsidP="00A44567">
      <w:pPr>
        <w:pStyle w:val="FootnoteText"/>
      </w:pPr>
      <w:r>
        <w:rPr>
          <w:rStyle w:val="FootnoteReference"/>
        </w:rPr>
        <w:footnoteRef/>
      </w:r>
      <w:r>
        <w:t xml:space="preserve"> </w:t>
      </w:r>
      <w:r w:rsidRPr="008C6B4E">
        <w:rPr>
          <w:sz w:val="20"/>
          <w:szCs w:val="20"/>
        </w:rPr>
        <w:t xml:space="preserve">Alberto Alesina and David Dollar, "Who Gives Foreign Aid to Whom and Why?" </w:t>
      </w:r>
      <w:r w:rsidRPr="008C6B4E">
        <w:rPr>
          <w:i/>
          <w:iCs/>
          <w:sz w:val="20"/>
          <w:szCs w:val="20"/>
        </w:rPr>
        <w:t xml:space="preserve">Journal of Economic Growth, </w:t>
      </w:r>
      <w:r w:rsidRPr="008C6B4E">
        <w:rPr>
          <w:sz w:val="20"/>
          <w:szCs w:val="20"/>
        </w:rPr>
        <w:t>5.1 (2000): 33-63</w:t>
      </w:r>
      <w:r>
        <w:rPr>
          <w:sz w:val="20"/>
          <w:szCs w:val="20"/>
        </w:rPr>
        <w:t xml:space="preserve">; Jean-Claude Berthelemy, “Bilateral donors’ interest vs. recipients’ development motives in aid allocation: do all donors behave the same?” </w:t>
      </w:r>
      <w:r>
        <w:rPr>
          <w:i/>
          <w:sz w:val="20"/>
          <w:szCs w:val="20"/>
        </w:rPr>
        <w:t xml:space="preserve">Cahiers de Maison des Sciences Economiques </w:t>
      </w:r>
      <w:r>
        <w:rPr>
          <w:sz w:val="20"/>
          <w:szCs w:val="20"/>
        </w:rPr>
        <w:t xml:space="preserve">(2005): 1-36; Alberto Chong and Mark Gradstein, “What determines foreign aid? The donors’ perspective,” </w:t>
      </w:r>
      <w:r>
        <w:rPr>
          <w:i/>
          <w:sz w:val="20"/>
          <w:szCs w:val="20"/>
        </w:rPr>
        <w:t xml:space="preserve">Journal of Development Economics </w:t>
      </w:r>
      <w:r>
        <w:rPr>
          <w:sz w:val="20"/>
          <w:szCs w:val="20"/>
        </w:rPr>
        <w:t xml:space="preserve">87 (2008): 1-13; Paul Collier and David Dollar, “Aid allocation and poverty reduction,” </w:t>
      </w:r>
      <w:r>
        <w:rPr>
          <w:i/>
          <w:sz w:val="20"/>
          <w:szCs w:val="20"/>
        </w:rPr>
        <w:t xml:space="preserve">European Economic Review </w:t>
      </w:r>
      <w:r>
        <w:rPr>
          <w:sz w:val="20"/>
          <w:szCs w:val="20"/>
        </w:rPr>
        <w:t xml:space="preserve">46 (2002): 1475-1500; Alfred Maizels and Machiko K. Nissanke, “Motivations for Aid to Developing Countries,” </w:t>
      </w:r>
      <w:r>
        <w:rPr>
          <w:i/>
          <w:sz w:val="20"/>
          <w:szCs w:val="20"/>
        </w:rPr>
        <w:t xml:space="preserve">World Development </w:t>
      </w:r>
      <w:r>
        <w:rPr>
          <w:sz w:val="20"/>
          <w:szCs w:val="20"/>
        </w:rPr>
        <w:t xml:space="preserve">12.9 (1984): 879-900; R.D. McKinlay and R. Little, “The French Aid Relationship: A Foreign Policy Model of the Distribution of French Bilateral Aid, 1964-70,” </w:t>
      </w:r>
      <w:r>
        <w:rPr>
          <w:i/>
          <w:sz w:val="20"/>
          <w:szCs w:val="20"/>
        </w:rPr>
        <w:t xml:space="preserve">Development and Change </w:t>
      </w:r>
      <w:r>
        <w:rPr>
          <w:sz w:val="20"/>
          <w:szCs w:val="20"/>
        </w:rPr>
        <w:t xml:space="preserve">3(1978): 459-78; Jakob Svensson, “Aid, Growth and Democracy,” </w:t>
      </w:r>
      <w:r>
        <w:rPr>
          <w:i/>
          <w:sz w:val="20"/>
          <w:szCs w:val="20"/>
        </w:rPr>
        <w:t xml:space="preserve">Economics and Politics </w:t>
      </w:r>
      <w:r>
        <w:rPr>
          <w:sz w:val="20"/>
          <w:szCs w:val="20"/>
        </w:rPr>
        <w:t xml:space="preserve">(1985): 275-297; Javed Younas, “Motivation for bilateral aid allocation: Altruism or trade benefits,” </w:t>
      </w:r>
      <w:r>
        <w:rPr>
          <w:i/>
          <w:sz w:val="20"/>
          <w:szCs w:val="20"/>
        </w:rPr>
        <w:t xml:space="preserve">European Journal of Political Economy </w:t>
      </w:r>
      <w:r>
        <w:rPr>
          <w:sz w:val="20"/>
          <w:szCs w:val="20"/>
        </w:rPr>
        <w:t>24 (2008): 661-674.</w:t>
      </w:r>
    </w:p>
  </w:footnote>
  <w:footnote w:id="209">
    <w:p w14:paraId="06CC0484" w14:textId="3808AD74" w:rsidR="004A1BEE" w:rsidRDefault="004A1BEE">
      <w:pPr>
        <w:pStyle w:val="FootnoteText"/>
      </w:pPr>
      <w:r>
        <w:rPr>
          <w:rStyle w:val="FootnoteReference"/>
        </w:rPr>
        <w:footnoteRef/>
      </w:r>
      <w:r>
        <w:t xml:space="preserve"> </w:t>
      </w:r>
      <w:r w:rsidRPr="001D7CB6">
        <w:rPr>
          <w:sz w:val="20"/>
          <w:szCs w:val="20"/>
        </w:rPr>
        <w:t>OECD, “Is It ODA: Factsheet – November 2</w:t>
      </w:r>
      <w:r>
        <w:rPr>
          <w:sz w:val="20"/>
          <w:szCs w:val="20"/>
        </w:rPr>
        <w:t xml:space="preserve">008,” accessed April 12, 2017, </w:t>
      </w:r>
      <w:r w:rsidRPr="001D7CB6">
        <w:rPr>
          <w:sz w:val="20"/>
          <w:szCs w:val="20"/>
        </w:rPr>
        <w:t>http://www.oecd.org/dac/stats/34086975.pdf, 1.</w:t>
      </w:r>
    </w:p>
  </w:footnote>
  <w:footnote w:id="210">
    <w:p w14:paraId="5BD5F892" w14:textId="5E47EDEF" w:rsidR="004A1BEE" w:rsidRDefault="004A1BEE" w:rsidP="007229CD">
      <w:pPr>
        <w:pStyle w:val="FootnoteText"/>
      </w:pPr>
      <w:r>
        <w:rPr>
          <w:rStyle w:val="FootnoteReference"/>
        </w:rPr>
        <w:footnoteRef/>
      </w:r>
      <w:r>
        <w:t xml:space="preserve"> </w:t>
      </w:r>
      <w:r w:rsidRPr="008C6B4E">
        <w:rPr>
          <w:sz w:val="20"/>
          <w:szCs w:val="20"/>
        </w:rPr>
        <w:t xml:space="preserve">Alberto Alesina and David Dollar, "Who Gives Foreign Aid to Whom and Why?" </w:t>
      </w:r>
      <w:r w:rsidRPr="008C6B4E">
        <w:rPr>
          <w:i/>
          <w:iCs/>
          <w:sz w:val="20"/>
          <w:szCs w:val="20"/>
        </w:rPr>
        <w:t xml:space="preserve">Journal of Economic Growth, </w:t>
      </w:r>
      <w:r w:rsidRPr="008C6B4E">
        <w:rPr>
          <w:sz w:val="20"/>
          <w:szCs w:val="20"/>
        </w:rPr>
        <w:t xml:space="preserve">5.1 (2000): </w:t>
      </w:r>
      <w:r w:rsidRPr="007D426D">
        <w:rPr>
          <w:sz w:val="20"/>
          <w:szCs w:val="20"/>
        </w:rPr>
        <w:t>46.</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8CA3D" w14:textId="77777777" w:rsidR="004A1BEE" w:rsidRDefault="004A1BEE" w:rsidP="008F1E79">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AE6C9A"/>
    <w:multiLevelType w:val="hybridMultilevel"/>
    <w:tmpl w:val="327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9CD"/>
    <w:rsid w:val="00000149"/>
    <w:rsid w:val="00016C84"/>
    <w:rsid w:val="00022801"/>
    <w:rsid w:val="000567A2"/>
    <w:rsid w:val="00090B64"/>
    <w:rsid w:val="000926DF"/>
    <w:rsid w:val="00093C51"/>
    <w:rsid w:val="000961BA"/>
    <w:rsid w:val="000A21E6"/>
    <w:rsid w:val="000C6506"/>
    <w:rsid w:val="000F626D"/>
    <w:rsid w:val="00105A65"/>
    <w:rsid w:val="00127EC1"/>
    <w:rsid w:val="001418E9"/>
    <w:rsid w:val="00142D2B"/>
    <w:rsid w:val="0019120A"/>
    <w:rsid w:val="0019171D"/>
    <w:rsid w:val="001937B5"/>
    <w:rsid w:val="001C69D5"/>
    <w:rsid w:val="001D2816"/>
    <w:rsid w:val="001D7CB6"/>
    <w:rsid w:val="001F79AB"/>
    <w:rsid w:val="00200C6C"/>
    <w:rsid w:val="002150DE"/>
    <w:rsid w:val="00232784"/>
    <w:rsid w:val="00267EB3"/>
    <w:rsid w:val="00272641"/>
    <w:rsid w:val="002A5FCC"/>
    <w:rsid w:val="002D2BF6"/>
    <w:rsid w:val="002F7AEE"/>
    <w:rsid w:val="002F7E74"/>
    <w:rsid w:val="0030041A"/>
    <w:rsid w:val="00307C7D"/>
    <w:rsid w:val="003277A2"/>
    <w:rsid w:val="00330BA8"/>
    <w:rsid w:val="00344BA9"/>
    <w:rsid w:val="00350938"/>
    <w:rsid w:val="0037063E"/>
    <w:rsid w:val="00381A4C"/>
    <w:rsid w:val="003B5F0F"/>
    <w:rsid w:val="003D0E55"/>
    <w:rsid w:val="003F26E5"/>
    <w:rsid w:val="00440C48"/>
    <w:rsid w:val="00463A32"/>
    <w:rsid w:val="00470AEF"/>
    <w:rsid w:val="00476761"/>
    <w:rsid w:val="004774EB"/>
    <w:rsid w:val="00480156"/>
    <w:rsid w:val="004A055C"/>
    <w:rsid w:val="004A1BEE"/>
    <w:rsid w:val="004A654C"/>
    <w:rsid w:val="004A6766"/>
    <w:rsid w:val="004B2FA8"/>
    <w:rsid w:val="004D1E88"/>
    <w:rsid w:val="005061A7"/>
    <w:rsid w:val="00521562"/>
    <w:rsid w:val="00523DB7"/>
    <w:rsid w:val="005352EC"/>
    <w:rsid w:val="005545A7"/>
    <w:rsid w:val="005745CF"/>
    <w:rsid w:val="00593D11"/>
    <w:rsid w:val="005A27A4"/>
    <w:rsid w:val="005A6E82"/>
    <w:rsid w:val="0060524F"/>
    <w:rsid w:val="006213B6"/>
    <w:rsid w:val="006325BE"/>
    <w:rsid w:val="006517B2"/>
    <w:rsid w:val="006861FC"/>
    <w:rsid w:val="00695075"/>
    <w:rsid w:val="006C31B6"/>
    <w:rsid w:val="006D4C98"/>
    <w:rsid w:val="006D6941"/>
    <w:rsid w:val="006E3567"/>
    <w:rsid w:val="006E46F5"/>
    <w:rsid w:val="00704102"/>
    <w:rsid w:val="00704FF8"/>
    <w:rsid w:val="007063EC"/>
    <w:rsid w:val="00713AD5"/>
    <w:rsid w:val="00722658"/>
    <w:rsid w:val="007229CD"/>
    <w:rsid w:val="00745688"/>
    <w:rsid w:val="007509E5"/>
    <w:rsid w:val="00753059"/>
    <w:rsid w:val="00762169"/>
    <w:rsid w:val="007766DA"/>
    <w:rsid w:val="00786B13"/>
    <w:rsid w:val="007C0606"/>
    <w:rsid w:val="007C57B9"/>
    <w:rsid w:val="007D426D"/>
    <w:rsid w:val="007F6C07"/>
    <w:rsid w:val="00806BC8"/>
    <w:rsid w:val="0082662F"/>
    <w:rsid w:val="008323D4"/>
    <w:rsid w:val="008418B6"/>
    <w:rsid w:val="00854728"/>
    <w:rsid w:val="008649C4"/>
    <w:rsid w:val="0086767A"/>
    <w:rsid w:val="008901F7"/>
    <w:rsid w:val="008A7F70"/>
    <w:rsid w:val="008F1E79"/>
    <w:rsid w:val="008F23CC"/>
    <w:rsid w:val="008F66A7"/>
    <w:rsid w:val="009025F4"/>
    <w:rsid w:val="00912951"/>
    <w:rsid w:val="00927A6A"/>
    <w:rsid w:val="009503B1"/>
    <w:rsid w:val="00950556"/>
    <w:rsid w:val="00956384"/>
    <w:rsid w:val="00964E97"/>
    <w:rsid w:val="0097402C"/>
    <w:rsid w:val="00975582"/>
    <w:rsid w:val="0097663F"/>
    <w:rsid w:val="00981E30"/>
    <w:rsid w:val="00991DCE"/>
    <w:rsid w:val="009A082E"/>
    <w:rsid w:val="009D3A91"/>
    <w:rsid w:val="009E103A"/>
    <w:rsid w:val="00A07EBF"/>
    <w:rsid w:val="00A12CB2"/>
    <w:rsid w:val="00A30128"/>
    <w:rsid w:val="00A431D1"/>
    <w:rsid w:val="00A44567"/>
    <w:rsid w:val="00A632FD"/>
    <w:rsid w:val="00A66B3E"/>
    <w:rsid w:val="00A77C5F"/>
    <w:rsid w:val="00A83691"/>
    <w:rsid w:val="00A84BF1"/>
    <w:rsid w:val="00A85FFD"/>
    <w:rsid w:val="00A86185"/>
    <w:rsid w:val="00AB49D9"/>
    <w:rsid w:val="00AC3E62"/>
    <w:rsid w:val="00AE1490"/>
    <w:rsid w:val="00AF16A8"/>
    <w:rsid w:val="00B01325"/>
    <w:rsid w:val="00B013B9"/>
    <w:rsid w:val="00B272C4"/>
    <w:rsid w:val="00B40B14"/>
    <w:rsid w:val="00B62E8E"/>
    <w:rsid w:val="00B738EE"/>
    <w:rsid w:val="00B75977"/>
    <w:rsid w:val="00BA601E"/>
    <w:rsid w:val="00BA6BAA"/>
    <w:rsid w:val="00BD3D05"/>
    <w:rsid w:val="00C03F9A"/>
    <w:rsid w:val="00C07D75"/>
    <w:rsid w:val="00C24B57"/>
    <w:rsid w:val="00C24C17"/>
    <w:rsid w:val="00C578E1"/>
    <w:rsid w:val="00C61E98"/>
    <w:rsid w:val="00C8575A"/>
    <w:rsid w:val="00C94BFE"/>
    <w:rsid w:val="00CB12A0"/>
    <w:rsid w:val="00CD2CB5"/>
    <w:rsid w:val="00CE5DFD"/>
    <w:rsid w:val="00D01FFA"/>
    <w:rsid w:val="00D0314C"/>
    <w:rsid w:val="00D06BE2"/>
    <w:rsid w:val="00D82B72"/>
    <w:rsid w:val="00D94C6B"/>
    <w:rsid w:val="00D95C5D"/>
    <w:rsid w:val="00D979BF"/>
    <w:rsid w:val="00DA60BF"/>
    <w:rsid w:val="00DB5182"/>
    <w:rsid w:val="00DB5CEA"/>
    <w:rsid w:val="00DC67A2"/>
    <w:rsid w:val="00DD0369"/>
    <w:rsid w:val="00DF508D"/>
    <w:rsid w:val="00DF5D73"/>
    <w:rsid w:val="00E00126"/>
    <w:rsid w:val="00E104F1"/>
    <w:rsid w:val="00E16833"/>
    <w:rsid w:val="00E22331"/>
    <w:rsid w:val="00E2362F"/>
    <w:rsid w:val="00E25EDD"/>
    <w:rsid w:val="00E463E5"/>
    <w:rsid w:val="00E60067"/>
    <w:rsid w:val="00E60AAE"/>
    <w:rsid w:val="00E73489"/>
    <w:rsid w:val="00E8307B"/>
    <w:rsid w:val="00E842BA"/>
    <w:rsid w:val="00EA01B9"/>
    <w:rsid w:val="00EB4418"/>
    <w:rsid w:val="00EB454D"/>
    <w:rsid w:val="00EC0842"/>
    <w:rsid w:val="00EC31FA"/>
    <w:rsid w:val="00ED7AA0"/>
    <w:rsid w:val="00F3492C"/>
    <w:rsid w:val="00F434F6"/>
    <w:rsid w:val="00F602F7"/>
    <w:rsid w:val="00F618FE"/>
    <w:rsid w:val="00F739D5"/>
    <w:rsid w:val="00F86CB6"/>
    <w:rsid w:val="00FA2B80"/>
    <w:rsid w:val="00FC2DF2"/>
    <w:rsid w:val="00FC6BEF"/>
    <w:rsid w:val="00FE1BB4"/>
    <w:rsid w:val="00FE1BEE"/>
    <w:rsid w:val="00FF0CAA"/>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71117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229C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229CD"/>
    <w:pPr>
      <w:spacing w:after="0"/>
    </w:pPr>
  </w:style>
  <w:style w:type="character" w:customStyle="1" w:styleId="FootnoteTextChar">
    <w:name w:val="Footnote Text Char"/>
    <w:basedOn w:val="DefaultParagraphFont"/>
    <w:link w:val="FootnoteText"/>
    <w:uiPriority w:val="99"/>
    <w:rsid w:val="007229CD"/>
    <w:rPr>
      <w:rFonts w:ascii="Times New Roman" w:hAnsi="Times New Roman"/>
    </w:rPr>
  </w:style>
  <w:style w:type="character" w:styleId="FootnoteReference">
    <w:name w:val="footnote reference"/>
    <w:basedOn w:val="DefaultParagraphFont"/>
    <w:uiPriority w:val="99"/>
    <w:unhideWhenUsed/>
    <w:rsid w:val="007229CD"/>
    <w:rPr>
      <w:vertAlign w:val="superscript"/>
    </w:rPr>
  </w:style>
  <w:style w:type="character" w:styleId="CommentReference">
    <w:name w:val="annotation reference"/>
    <w:basedOn w:val="DefaultParagraphFont"/>
    <w:uiPriority w:val="99"/>
    <w:semiHidden/>
    <w:unhideWhenUsed/>
    <w:rsid w:val="007229CD"/>
    <w:rPr>
      <w:sz w:val="18"/>
      <w:szCs w:val="18"/>
    </w:rPr>
  </w:style>
  <w:style w:type="paragraph" w:styleId="CommentText">
    <w:name w:val="annotation text"/>
    <w:basedOn w:val="Normal"/>
    <w:link w:val="CommentTextChar"/>
    <w:uiPriority w:val="99"/>
    <w:semiHidden/>
    <w:unhideWhenUsed/>
    <w:rsid w:val="007229CD"/>
  </w:style>
  <w:style w:type="character" w:customStyle="1" w:styleId="CommentTextChar">
    <w:name w:val="Comment Text Char"/>
    <w:basedOn w:val="DefaultParagraphFont"/>
    <w:link w:val="CommentText"/>
    <w:uiPriority w:val="99"/>
    <w:semiHidden/>
    <w:rsid w:val="007229CD"/>
    <w:rPr>
      <w:rFonts w:ascii="Times New Roman" w:hAnsi="Times New Roman"/>
    </w:rPr>
  </w:style>
  <w:style w:type="paragraph" w:styleId="BalloonText">
    <w:name w:val="Balloon Text"/>
    <w:basedOn w:val="Normal"/>
    <w:link w:val="BalloonTextChar"/>
    <w:uiPriority w:val="99"/>
    <w:semiHidden/>
    <w:unhideWhenUsed/>
    <w:rsid w:val="007229CD"/>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29CD"/>
    <w:rPr>
      <w:rFonts w:ascii="Lucida Grande" w:hAnsi="Lucida Grande" w:cs="Lucida Grande"/>
      <w:sz w:val="18"/>
      <w:szCs w:val="18"/>
    </w:rPr>
  </w:style>
  <w:style w:type="table" w:styleId="TableGrid">
    <w:name w:val="Table Grid"/>
    <w:basedOn w:val="TableNormal"/>
    <w:uiPriority w:val="59"/>
    <w:rsid w:val="00964E9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F1E79"/>
    <w:pPr>
      <w:tabs>
        <w:tab w:val="center" w:pos="4320"/>
        <w:tab w:val="right" w:pos="8640"/>
      </w:tabs>
      <w:spacing w:after="0"/>
    </w:pPr>
  </w:style>
  <w:style w:type="character" w:customStyle="1" w:styleId="HeaderChar">
    <w:name w:val="Header Char"/>
    <w:basedOn w:val="DefaultParagraphFont"/>
    <w:link w:val="Header"/>
    <w:uiPriority w:val="99"/>
    <w:rsid w:val="008F1E79"/>
    <w:rPr>
      <w:rFonts w:ascii="Times New Roman" w:hAnsi="Times New Roman"/>
    </w:rPr>
  </w:style>
  <w:style w:type="paragraph" w:styleId="Footer">
    <w:name w:val="footer"/>
    <w:basedOn w:val="Normal"/>
    <w:link w:val="FooterChar"/>
    <w:uiPriority w:val="99"/>
    <w:unhideWhenUsed/>
    <w:rsid w:val="008F1E79"/>
    <w:pPr>
      <w:tabs>
        <w:tab w:val="center" w:pos="4320"/>
        <w:tab w:val="right" w:pos="8640"/>
      </w:tabs>
      <w:spacing w:after="0"/>
    </w:pPr>
  </w:style>
  <w:style w:type="character" w:customStyle="1" w:styleId="FooterChar">
    <w:name w:val="Footer Char"/>
    <w:basedOn w:val="DefaultParagraphFont"/>
    <w:link w:val="Footer"/>
    <w:uiPriority w:val="99"/>
    <w:rsid w:val="008F1E79"/>
    <w:rPr>
      <w:rFonts w:ascii="Times New Roman" w:hAnsi="Times New Roman"/>
    </w:rPr>
  </w:style>
  <w:style w:type="paragraph" w:styleId="NormalWeb">
    <w:name w:val="Normal (Web)"/>
    <w:basedOn w:val="Normal"/>
    <w:uiPriority w:val="99"/>
    <w:unhideWhenUsed/>
    <w:rsid w:val="00593D11"/>
    <w:pPr>
      <w:spacing w:before="100" w:beforeAutospacing="1" w:after="100" w:afterAutospacing="1"/>
    </w:pPr>
    <w:rPr>
      <w:rFonts w:ascii="Times" w:hAnsi="Times" w:cs="Times New Roman"/>
      <w:sz w:val="20"/>
      <w:szCs w:val="20"/>
      <w:lang w:eastAsia="en-US"/>
    </w:rPr>
  </w:style>
  <w:style w:type="paragraph" w:styleId="ListParagraph">
    <w:name w:val="List Paragraph"/>
    <w:basedOn w:val="Normal"/>
    <w:uiPriority w:val="34"/>
    <w:qFormat/>
    <w:rsid w:val="00593D11"/>
    <w:pPr>
      <w:ind w:left="720"/>
      <w:contextualSpacing/>
    </w:pPr>
  </w:style>
  <w:style w:type="character" w:styleId="PageNumber">
    <w:name w:val="page number"/>
    <w:basedOn w:val="DefaultParagraphFont"/>
    <w:uiPriority w:val="99"/>
    <w:semiHidden/>
    <w:unhideWhenUsed/>
    <w:rsid w:val="00593D11"/>
  </w:style>
  <w:style w:type="paragraph" w:styleId="CommentSubject">
    <w:name w:val="annotation subject"/>
    <w:basedOn w:val="CommentText"/>
    <w:next w:val="CommentText"/>
    <w:link w:val="CommentSubjectChar"/>
    <w:uiPriority w:val="99"/>
    <w:semiHidden/>
    <w:unhideWhenUsed/>
    <w:rsid w:val="00593D11"/>
    <w:rPr>
      <w:b/>
      <w:bCs/>
      <w:sz w:val="20"/>
      <w:szCs w:val="20"/>
    </w:rPr>
  </w:style>
  <w:style w:type="character" w:customStyle="1" w:styleId="CommentSubjectChar">
    <w:name w:val="Comment Subject Char"/>
    <w:basedOn w:val="CommentTextChar"/>
    <w:link w:val="CommentSubject"/>
    <w:uiPriority w:val="99"/>
    <w:semiHidden/>
    <w:rsid w:val="00593D1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35260">
      <w:bodyDiv w:val="1"/>
      <w:marLeft w:val="0"/>
      <w:marRight w:val="0"/>
      <w:marTop w:val="0"/>
      <w:marBottom w:val="0"/>
      <w:divBdr>
        <w:top w:val="none" w:sz="0" w:space="0" w:color="auto"/>
        <w:left w:val="none" w:sz="0" w:space="0" w:color="auto"/>
        <w:bottom w:val="none" w:sz="0" w:space="0" w:color="auto"/>
        <w:right w:val="none" w:sz="0" w:space="0" w:color="auto"/>
      </w:divBdr>
    </w:div>
    <w:div w:id="46225413">
      <w:bodyDiv w:val="1"/>
      <w:marLeft w:val="0"/>
      <w:marRight w:val="0"/>
      <w:marTop w:val="0"/>
      <w:marBottom w:val="0"/>
      <w:divBdr>
        <w:top w:val="none" w:sz="0" w:space="0" w:color="auto"/>
        <w:left w:val="none" w:sz="0" w:space="0" w:color="auto"/>
        <w:bottom w:val="none" w:sz="0" w:space="0" w:color="auto"/>
        <w:right w:val="none" w:sz="0" w:space="0" w:color="auto"/>
      </w:divBdr>
    </w:div>
    <w:div w:id="51931711">
      <w:bodyDiv w:val="1"/>
      <w:marLeft w:val="0"/>
      <w:marRight w:val="0"/>
      <w:marTop w:val="0"/>
      <w:marBottom w:val="0"/>
      <w:divBdr>
        <w:top w:val="none" w:sz="0" w:space="0" w:color="auto"/>
        <w:left w:val="none" w:sz="0" w:space="0" w:color="auto"/>
        <w:bottom w:val="none" w:sz="0" w:space="0" w:color="auto"/>
        <w:right w:val="none" w:sz="0" w:space="0" w:color="auto"/>
      </w:divBdr>
    </w:div>
    <w:div w:id="94329087">
      <w:bodyDiv w:val="1"/>
      <w:marLeft w:val="0"/>
      <w:marRight w:val="0"/>
      <w:marTop w:val="0"/>
      <w:marBottom w:val="0"/>
      <w:divBdr>
        <w:top w:val="none" w:sz="0" w:space="0" w:color="auto"/>
        <w:left w:val="none" w:sz="0" w:space="0" w:color="auto"/>
        <w:bottom w:val="none" w:sz="0" w:space="0" w:color="auto"/>
        <w:right w:val="none" w:sz="0" w:space="0" w:color="auto"/>
      </w:divBdr>
    </w:div>
    <w:div w:id="161549959">
      <w:bodyDiv w:val="1"/>
      <w:marLeft w:val="0"/>
      <w:marRight w:val="0"/>
      <w:marTop w:val="0"/>
      <w:marBottom w:val="0"/>
      <w:divBdr>
        <w:top w:val="none" w:sz="0" w:space="0" w:color="auto"/>
        <w:left w:val="none" w:sz="0" w:space="0" w:color="auto"/>
        <w:bottom w:val="none" w:sz="0" w:space="0" w:color="auto"/>
        <w:right w:val="none" w:sz="0" w:space="0" w:color="auto"/>
      </w:divBdr>
    </w:div>
    <w:div w:id="179203979">
      <w:bodyDiv w:val="1"/>
      <w:marLeft w:val="0"/>
      <w:marRight w:val="0"/>
      <w:marTop w:val="0"/>
      <w:marBottom w:val="0"/>
      <w:divBdr>
        <w:top w:val="none" w:sz="0" w:space="0" w:color="auto"/>
        <w:left w:val="none" w:sz="0" w:space="0" w:color="auto"/>
        <w:bottom w:val="none" w:sz="0" w:space="0" w:color="auto"/>
        <w:right w:val="none" w:sz="0" w:space="0" w:color="auto"/>
      </w:divBdr>
    </w:div>
    <w:div w:id="253132006">
      <w:bodyDiv w:val="1"/>
      <w:marLeft w:val="0"/>
      <w:marRight w:val="0"/>
      <w:marTop w:val="0"/>
      <w:marBottom w:val="0"/>
      <w:divBdr>
        <w:top w:val="none" w:sz="0" w:space="0" w:color="auto"/>
        <w:left w:val="none" w:sz="0" w:space="0" w:color="auto"/>
        <w:bottom w:val="none" w:sz="0" w:space="0" w:color="auto"/>
        <w:right w:val="none" w:sz="0" w:space="0" w:color="auto"/>
      </w:divBdr>
    </w:div>
    <w:div w:id="261189729">
      <w:bodyDiv w:val="1"/>
      <w:marLeft w:val="0"/>
      <w:marRight w:val="0"/>
      <w:marTop w:val="0"/>
      <w:marBottom w:val="0"/>
      <w:divBdr>
        <w:top w:val="none" w:sz="0" w:space="0" w:color="auto"/>
        <w:left w:val="none" w:sz="0" w:space="0" w:color="auto"/>
        <w:bottom w:val="none" w:sz="0" w:space="0" w:color="auto"/>
        <w:right w:val="none" w:sz="0" w:space="0" w:color="auto"/>
      </w:divBdr>
    </w:div>
    <w:div w:id="299649814">
      <w:bodyDiv w:val="1"/>
      <w:marLeft w:val="0"/>
      <w:marRight w:val="0"/>
      <w:marTop w:val="0"/>
      <w:marBottom w:val="0"/>
      <w:divBdr>
        <w:top w:val="none" w:sz="0" w:space="0" w:color="auto"/>
        <w:left w:val="none" w:sz="0" w:space="0" w:color="auto"/>
        <w:bottom w:val="none" w:sz="0" w:space="0" w:color="auto"/>
        <w:right w:val="none" w:sz="0" w:space="0" w:color="auto"/>
      </w:divBdr>
    </w:div>
    <w:div w:id="432553807">
      <w:bodyDiv w:val="1"/>
      <w:marLeft w:val="0"/>
      <w:marRight w:val="0"/>
      <w:marTop w:val="0"/>
      <w:marBottom w:val="0"/>
      <w:divBdr>
        <w:top w:val="none" w:sz="0" w:space="0" w:color="auto"/>
        <w:left w:val="none" w:sz="0" w:space="0" w:color="auto"/>
        <w:bottom w:val="none" w:sz="0" w:space="0" w:color="auto"/>
        <w:right w:val="none" w:sz="0" w:space="0" w:color="auto"/>
      </w:divBdr>
    </w:div>
    <w:div w:id="473450430">
      <w:bodyDiv w:val="1"/>
      <w:marLeft w:val="0"/>
      <w:marRight w:val="0"/>
      <w:marTop w:val="0"/>
      <w:marBottom w:val="0"/>
      <w:divBdr>
        <w:top w:val="none" w:sz="0" w:space="0" w:color="auto"/>
        <w:left w:val="none" w:sz="0" w:space="0" w:color="auto"/>
        <w:bottom w:val="none" w:sz="0" w:space="0" w:color="auto"/>
        <w:right w:val="none" w:sz="0" w:space="0" w:color="auto"/>
      </w:divBdr>
    </w:div>
    <w:div w:id="546373906">
      <w:bodyDiv w:val="1"/>
      <w:marLeft w:val="0"/>
      <w:marRight w:val="0"/>
      <w:marTop w:val="0"/>
      <w:marBottom w:val="0"/>
      <w:divBdr>
        <w:top w:val="none" w:sz="0" w:space="0" w:color="auto"/>
        <w:left w:val="none" w:sz="0" w:space="0" w:color="auto"/>
        <w:bottom w:val="none" w:sz="0" w:space="0" w:color="auto"/>
        <w:right w:val="none" w:sz="0" w:space="0" w:color="auto"/>
      </w:divBdr>
    </w:div>
    <w:div w:id="607810008">
      <w:bodyDiv w:val="1"/>
      <w:marLeft w:val="0"/>
      <w:marRight w:val="0"/>
      <w:marTop w:val="0"/>
      <w:marBottom w:val="0"/>
      <w:divBdr>
        <w:top w:val="none" w:sz="0" w:space="0" w:color="auto"/>
        <w:left w:val="none" w:sz="0" w:space="0" w:color="auto"/>
        <w:bottom w:val="none" w:sz="0" w:space="0" w:color="auto"/>
        <w:right w:val="none" w:sz="0" w:space="0" w:color="auto"/>
      </w:divBdr>
    </w:div>
    <w:div w:id="656148260">
      <w:bodyDiv w:val="1"/>
      <w:marLeft w:val="0"/>
      <w:marRight w:val="0"/>
      <w:marTop w:val="0"/>
      <w:marBottom w:val="0"/>
      <w:divBdr>
        <w:top w:val="none" w:sz="0" w:space="0" w:color="auto"/>
        <w:left w:val="none" w:sz="0" w:space="0" w:color="auto"/>
        <w:bottom w:val="none" w:sz="0" w:space="0" w:color="auto"/>
        <w:right w:val="none" w:sz="0" w:space="0" w:color="auto"/>
      </w:divBdr>
    </w:div>
    <w:div w:id="732629478">
      <w:bodyDiv w:val="1"/>
      <w:marLeft w:val="0"/>
      <w:marRight w:val="0"/>
      <w:marTop w:val="0"/>
      <w:marBottom w:val="0"/>
      <w:divBdr>
        <w:top w:val="none" w:sz="0" w:space="0" w:color="auto"/>
        <w:left w:val="none" w:sz="0" w:space="0" w:color="auto"/>
        <w:bottom w:val="none" w:sz="0" w:space="0" w:color="auto"/>
        <w:right w:val="none" w:sz="0" w:space="0" w:color="auto"/>
      </w:divBdr>
    </w:div>
    <w:div w:id="787357612">
      <w:bodyDiv w:val="1"/>
      <w:marLeft w:val="0"/>
      <w:marRight w:val="0"/>
      <w:marTop w:val="0"/>
      <w:marBottom w:val="0"/>
      <w:divBdr>
        <w:top w:val="none" w:sz="0" w:space="0" w:color="auto"/>
        <w:left w:val="none" w:sz="0" w:space="0" w:color="auto"/>
        <w:bottom w:val="none" w:sz="0" w:space="0" w:color="auto"/>
        <w:right w:val="none" w:sz="0" w:space="0" w:color="auto"/>
      </w:divBdr>
    </w:div>
    <w:div w:id="795804179">
      <w:bodyDiv w:val="1"/>
      <w:marLeft w:val="0"/>
      <w:marRight w:val="0"/>
      <w:marTop w:val="0"/>
      <w:marBottom w:val="0"/>
      <w:divBdr>
        <w:top w:val="none" w:sz="0" w:space="0" w:color="auto"/>
        <w:left w:val="none" w:sz="0" w:space="0" w:color="auto"/>
        <w:bottom w:val="none" w:sz="0" w:space="0" w:color="auto"/>
        <w:right w:val="none" w:sz="0" w:space="0" w:color="auto"/>
      </w:divBdr>
    </w:div>
    <w:div w:id="969285246">
      <w:bodyDiv w:val="1"/>
      <w:marLeft w:val="0"/>
      <w:marRight w:val="0"/>
      <w:marTop w:val="0"/>
      <w:marBottom w:val="0"/>
      <w:divBdr>
        <w:top w:val="none" w:sz="0" w:space="0" w:color="auto"/>
        <w:left w:val="none" w:sz="0" w:space="0" w:color="auto"/>
        <w:bottom w:val="none" w:sz="0" w:space="0" w:color="auto"/>
        <w:right w:val="none" w:sz="0" w:space="0" w:color="auto"/>
      </w:divBdr>
    </w:div>
    <w:div w:id="1000502474">
      <w:bodyDiv w:val="1"/>
      <w:marLeft w:val="0"/>
      <w:marRight w:val="0"/>
      <w:marTop w:val="0"/>
      <w:marBottom w:val="0"/>
      <w:divBdr>
        <w:top w:val="none" w:sz="0" w:space="0" w:color="auto"/>
        <w:left w:val="none" w:sz="0" w:space="0" w:color="auto"/>
        <w:bottom w:val="none" w:sz="0" w:space="0" w:color="auto"/>
        <w:right w:val="none" w:sz="0" w:space="0" w:color="auto"/>
      </w:divBdr>
    </w:div>
    <w:div w:id="1051928990">
      <w:bodyDiv w:val="1"/>
      <w:marLeft w:val="0"/>
      <w:marRight w:val="0"/>
      <w:marTop w:val="0"/>
      <w:marBottom w:val="0"/>
      <w:divBdr>
        <w:top w:val="none" w:sz="0" w:space="0" w:color="auto"/>
        <w:left w:val="none" w:sz="0" w:space="0" w:color="auto"/>
        <w:bottom w:val="none" w:sz="0" w:space="0" w:color="auto"/>
        <w:right w:val="none" w:sz="0" w:space="0" w:color="auto"/>
      </w:divBdr>
    </w:div>
    <w:div w:id="1053771710">
      <w:bodyDiv w:val="1"/>
      <w:marLeft w:val="0"/>
      <w:marRight w:val="0"/>
      <w:marTop w:val="0"/>
      <w:marBottom w:val="0"/>
      <w:divBdr>
        <w:top w:val="none" w:sz="0" w:space="0" w:color="auto"/>
        <w:left w:val="none" w:sz="0" w:space="0" w:color="auto"/>
        <w:bottom w:val="none" w:sz="0" w:space="0" w:color="auto"/>
        <w:right w:val="none" w:sz="0" w:space="0" w:color="auto"/>
      </w:divBdr>
    </w:div>
    <w:div w:id="1064715556">
      <w:bodyDiv w:val="1"/>
      <w:marLeft w:val="0"/>
      <w:marRight w:val="0"/>
      <w:marTop w:val="0"/>
      <w:marBottom w:val="0"/>
      <w:divBdr>
        <w:top w:val="none" w:sz="0" w:space="0" w:color="auto"/>
        <w:left w:val="none" w:sz="0" w:space="0" w:color="auto"/>
        <w:bottom w:val="none" w:sz="0" w:space="0" w:color="auto"/>
        <w:right w:val="none" w:sz="0" w:space="0" w:color="auto"/>
      </w:divBdr>
    </w:div>
    <w:div w:id="1098910783">
      <w:bodyDiv w:val="1"/>
      <w:marLeft w:val="0"/>
      <w:marRight w:val="0"/>
      <w:marTop w:val="0"/>
      <w:marBottom w:val="0"/>
      <w:divBdr>
        <w:top w:val="none" w:sz="0" w:space="0" w:color="auto"/>
        <w:left w:val="none" w:sz="0" w:space="0" w:color="auto"/>
        <w:bottom w:val="none" w:sz="0" w:space="0" w:color="auto"/>
        <w:right w:val="none" w:sz="0" w:space="0" w:color="auto"/>
      </w:divBdr>
    </w:div>
    <w:div w:id="1150710819">
      <w:bodyDiv w:val="1"/>
      <w:marLeft w:val="0"/>
      <w:marRight w:val="0"/>
      <w:marTop w:val="0"/>
      <w:marBottom w:val="0"/>
      <w:divBdr>
        <w:top w:val="none" w:sz="0" w:space="0" w:color="auto"/>
        <w:left w:val="none" w:sz="0" w:space="0" w:color="auto"/>
        <w:bottom w:val="none" w:sz="0" w:space="0" w:color="auto"/>
        <w:right w:val="none" w:sz="0" w:space="0" w:color="auto"/>
      </w:divBdr>
    </w:div>
    <w:div w:id="1156726887">
      <w:bodyDiv w:val="1"/>
      <w:marLeft w:val="0"/>
      <w:marRight w:val="0"/>
      <w:marTop w:val="0"/>
      <w:marBottom w:val="0"/>
      <w:divBdr>
        <w:top w:val="none" w:sz="0" w:space="0" w:color="auto"/>
        <w:left w:val="none" w:sz="0" w:space="0" w:color="auto"/>
        <w:bottom w:val="none" w:sz="0" w:space="0" w:color="auto"/>
        <w:right w:val="none" w:sz="0" w:space="0" w:color="auto"/>
      </w:divBdr>
    </w:div>
    <w:div w:id="1171602015">
      <w:bodyDiv w:val="1"/>
      <w:marLeft w:val="0"/>
      <w:marRight w:val="0"/>
      <w:marTop w:val="0"/>
      <w:marBottom w:val="0"/>
      <w:divBdr>
        <w:top w:val="none" w:sz="0" w:space="0" w:color="auto"/>
        <w:left w:val="none" w:sz="0" w:space="0" w:color="auto"/>
        <w:bottom w:val="none" w:sz="0" w:space="0" w:color="auto"/>
        <w:right w:val="none" w:sz="0" w:space="0" w:color="auto"/>
      </w:divBdr>
    </w:div>
    <w:div w:id="1210726285">
      <w:bodyDiv w:val="1"/>
      <w:marLeft w:val="0"/>
      <w:marRight w:val="0"/>
      <w:marTop w:val="0"/>
      <w:marBottom w:val="0"/>
      <w:divBdr>
        <w:top w:val="none" w:sz="0" w:space="0" w:color="auto"/>
        <w:left w:val="none" w:sz="0" w:space="0" w:color="auto"/>
        <w:bottom w:val="none" w:sz="0" w:space="0" w:color="auto"/>
        <w:right w:val="none" w:sz="0" w:space="0" w:color="auto"/>
      </w:divBdr>
    </w:div>
    <w:div w:id="1288659155">
      <w:bodyDiv w:val="1"/>
      <w:marLeft w:val="0"/>
      <w:marRight w:val="0"/>
      <w:marTop w:val="0"/>
      <w:marBottom w:val="0"/>
      <w:divBdr>
        <w:top w:val="none" w:sz="0" w:space="0" w:color="auto"/>
        <w:left w:val="none" w:sz="0" w:space="0" w:color="auto"/>
        <w:bottom w:val="none" w:sz="0" w:space="0" w:color="auto"/>
        <w:right w:val="none" w:sz="0" w:space="0" w:color="auto"/>
      </w:divBdr>
    </w:div>
    <w:div w:id="1320889248">
      <w:bodyDiv w:val="1"/>
      <w:marLeft w:val="0"/>
      <w:marRight w:val="0"/>
      <w:marTop w:val="0"/>
      <w:marBottom w:val="0"/>
      <w:divBdr>
        <w:top w:val="none" w:sz="0" w:space="0" w:color="auto"/>
        <w:left w:val="none" w:sz="0" w:space="0" w:color="auto"/>
        <w:bottom w:val="none" w:sz="0" w:space="0" w:color="auto"/>
        <w:right w:val="none" w:sz="0" w:space="0" w:color="auto"/>
      </w:divBdr>
    </w:div>
    <w:div w:id="1469931261">
      <w:bodyDiv w:val="1"/>
      <w:marLeft w:val="0"/>
      <w:marRight w:val="0"/>
      <w:marTop w:val="0"/>
      <w:marBottom w:val="0"/>
      <w:divBdr>
        <w:top w:val="none" w:sz="0" w:space="0" w:color="auto"/>
        <w:left w:val="none" w:sz="0" w:space="0" w:color="auto"/>
        <w:bottom w:val="none" w:sz="0" w:space="0" w:color="auto"/>
        <w:right w:val="none" w:sz="0" w:space="0" w:color="auto"/>
      </w:divBdr>
    </w:div>
    <w:div w:id="1488938349">
      <w:bodyDiv w:val="1"/>
      <w:marLeft w:val="0"/>
      <w:marRight w:val="0"/>
      <w:marTop w:val="0"/>
      <w:marBottom w:val="0"/>
      <w:divBdr>
        <w:top w:val="none" w:sz="0" w:space="0" w:color="auto"/>
        <w:left w:val="none" w:sz="0" w:space="0" w:color="auto"/>
        <w:bottom w:val="none" w:sz="0" w:space="0" w:color="auto"/>
        <w:right w:val="none" w:sz="0" w:space="0" w:color="auto"/>
      </w:divBdr>
    </w:div>
    <w:div w:id="1490095012">
      <w:bodyDiv w:val="1"/>
      <w:marLeft w:val="0"/>
      <w:marRight w:val="0"/>
      <w:marTop w:val="0"/>
      <w:marBottom w:val="0"/>
      <w:divBdr>
        <w:top w:val="none" w:sz="0" w:space="0" w:color="auto"/>
        <w:left w:val="none" w:sz="0" w:space="0" w:color="auto"/>
        <w:bottom w:val="none" w:sz="0" w:space="0" w:color="auto"/>
        <w:right w:val="none" w:sz="0" w:space="0" w:color="auto"/>
      </w:divBdr>
    </w:div>
    <w:div w:id="1516723685">
      <w:bodyDiv w:val="1"/>
      <w:marLeft w:val="0"/>
      <w:marRight w:val="0"/>
      <w:marTop w:val="0"/>
      <w:marBottom w:val="0"/>
      <w:divBdr>
        <w:top w:val="none" w:sz="0" w:space="0" w:color="auto"/>
        <w:left w:val="none" w:sz="0" w:space="0" w:color="auto"/>
        <w:bottom w:val="none" w:sz="0" w:space="0" w:color="auto"/>
        <w:right w:val="none" w:sz="0" w:space="0" w:color="auto"/>
      </w:divBdr>
    </w:div>
    <w:div w:id="1519926006">
      <w:bodyDiv w:val="1"/>
      <w:marLeft w:val="0"/>
      <w:marRight w:val="0"/>
      <w:marTop w:val="0"/>
      <w:marBottom w:val="0"/>
      <w:divBdr>
        <w:top w:val="none" w:sz="0" w:space="0" w:color="auto"/>
        <w:left w:val="none" w:sz="0" w:space="0" w:color="auto"/>
        <w:bottom w:val="none" w:sz="0" w:space="0" w:color="auto"/>
        <w:right w:val="none" w:sz="0" w:space="0" w:color="auto"/>
      </w:divBdr>
    </w:div>
    <w:div w:id="1521161945">
      <w:bodyDiv w:val="1"/>
      <w:marLeft w:val="0"/>
      <w:marRight w:val="0"/>
      <w:marTop w:val="0"/>
      <w:marBottom w:val="0"/>
      <w:divBdr>
        <w:top w:val="none" w:sz="0" w:space="0" w:color="auto"/>
        <w:left w:val="none" w:sz="0" w:space="0" w:color="auto"/>
        <w:bottom w:val="none" w:sz="0" w:space="0" w:color="auto"/>
        <w:right w:val="none" w:sz="0" w:space="0" w:color="auto"/>
      </w:divBdr>
    </w:div>
    <w:div w:id="1641299086">
      <w:bodyDiv w:val="1"/>
      <w:marLeft w:val="0"/>
      <w:marRight w:val="0"/>
      <w:marTop w:val="0"/>
      <w:marBottom w:val="0"/>
      <w:divBdr>
        <w:top w:val="none" w:sz="0" w:space="0" w:color="auto"/>
        <w:left w:val="none" w:sz="0" w:space="0" w:color="auto"/>
        <w:bottom w:val="none" w:sz="0" w:space="0" w:color="auto"/>
        <w:right w:val="none" w:sz="0" w:space="0" w:color="auto"/>
      </w:divBdr>
    </w:div>
    <w:div w:id="1692104694">
      <w:bodyDiv w:val="1"/>
      <w:marLeft w:val="0"/>
      <w:marRight w:val="0"/>
      <w:marTop w:val="0"/>
      <w:marBottom w:val="0"/>
      <w:divBdr>
        <w:top w:val="none" w:sz="0" w:space="0" w:color="auto"/>
        <w:left w:val="none" w:sz="0" w:space="0" w:color="auto"/>
        <w:bottom w:val="none" w:sz="0" w:space="0" w:color="auto"/>
        <w:right w:val="none" w:sz="0" w:space="0" w:color="auto"/>
      </w:divBdr>
    </w:div>
    <w:div w:id="1699551240">
      <w:bodyDiv w:val="1"/>
      <w:marLeft w:val="0"/>
      <w:marRight w:val="0"/>
      <w:marTop w:val="0"/>
      <w:marBottom w:val="0"/>
      <w:divBdr>
        <w:top w:val="none" w:sz="0" w:space="0" w:color="auto"/>
        <w:left w:val="none" w:sz="0" w:space="0" w:color="auto"/>
        <w:bottom w:val="none" w:sz="0" w:space="0" w:color="auto"/>
        <w:right w:val="none" w:sz="0" w:space="0" w:color="auto"/>
      </w:divBdr>
    </w:div>
    <w:div w:id="1734616177">
      <w:bodyDiv w:val="1"/>
      <w:marLeft w:val="0"/>
      <w:marRight w:val="0"/>
      <w:marTop w:val="0"/>
      <w:marBottom w:val="0"/>
      <w:divBdr>
        <w:top w:val="none" w:sz="0" w:space="0" w:color="auto"/>
        <w:left w:val="none" w:sz="0" w:space="0" w:color="auto"/>
        <w:bottom w:val="none" w:sz="0" w:space="0" w:color="auto"/>
        <w:right w:val="none" w:sz="0" w:space="0" w:color="auto"/>
      </w:divBdr>
    </w:div>
    <w:div w:id="1910190615">
      <w:bodyDiv w:val="1"/>
      <w:marLeft w:val="0"/>
      <w:marRight w:val="0"/>
      <w:marTop w:val="0"/>
      <w:marBottom w:val="0"/>
      <w:divBdr>
        <w:top w:val="none" w:sz="0" w:space="0" w:color="auto"/>
        <w:left w:val="none" w:sz="0" w:space="0" w:color="auto"/>
        <w:bottom w:val="none" w:sz="0" w:space="0" w:color="auto"/>
        <w:right w:val="none" w:sz="0" w:space="0" w:color="auto"/>
      </w:divBdr>
    </w:div>
    <w:div w:id="1982033132">
      <w:bodyDiv w:val="1"/>
      <w:marLeft w:val="0"/>
      <w:marRight w:val="0"/>
      <w:marTop w:val="0"/>
      <w:marBottom w:val="0"/>
      <w:divBdr>
        <w:top w:val="none" w:sz="0" w:space="0" w:color="auto"/>
        <w:left w:val="none" w:sz="0" w:space="0" w:color="auto"/>
        <w:bottom w:val="none" w:sz="0" w:space="0" w:color="auto"/>
        <w:right w:val="none" w:sz="0" w:space="0" w:color="auto"/>
      </w:divBdr>
    </w:div>
    <w:div w:id="1987513346">
      <w:bodyDiv w:val="1"/>
      <w:marLeft w:val="0"/>
      <w:marRight w:val="0"/>
      <w:marTop w:val="0"/>
      <w:marBottom w:val="0"/>
      <w:divBdr>
        <w:top w:val="none" w:sz="0" w:space="0" w:color="auto"/>
        <w:left w:val="none" w:sz="0" w:space="0" w:color="auto"/>
        <w:bottom w:val="none" w:sz="0" w:space="0" w:color="auto"/>
        <w:right w:val="none" w:sz="0" w:space="0" w:color="auto"/>
      </w:divBdr>
    </w:div>
    <w:div w:id="1989673664">
      <w:bodyDiv w:val="1"/>
      <w:marLeft w:val="0"/>
      <w:marRight w:val="0"/>
      <w:marTop w:val="0"/>
      <w:marBottom w:val="0"/>
      <w:divBdr>
        <w:top w:val="none" w:sz="0" w:space="0" w:color="auto"/>
        <w:left w:val="none" w:sz="0" w:space="0" w:color="auto"/>
        <w:bottom w:val="none" w:sz="0" w:space="0" w:color="auto"/>
        <w:right w:val="none" w:sz="0" w:space="0" w:color="auto"/>
      </w:divBdr>
    </w:div>
    <w:div w:id="2041976868">
      <w:bodyDiv w:val="1"/>
      <w:marLeft w:val="0"/>
      <w:marRight w:val="0"/>
      <w:marTop w:val="0"/>
      <w:marBottom w:val="0"/>
      <w:divBdr>
        <w:top w:val="none" w:sz="0" w:space="0" w:color="auto"/>
        <w:left w:val="none" w:sz="0" w:space="0" w:color="auto"/>
        <w:bottom w:val="none" w:sz="0" w:space="0" w:color="auto"/>
        <w:right w:val="none" w:sz="0" w:space="0" w:color="auto"/>
      </w:divBdr>
    </w:div>
    <w:div w:id="2057970340">
      <w:bodyDiv w:val="1"/>
      <w:marLeft w:val="0"/>
      <w:marRight w:val="0"/>
      <w:marTop w:val="0"/>
      <w:marBottom w:val="0"/>
      <w:divBdr>
        <w:top w:val="none" w:sz="0" w:space="0" w:color="auto"/>
        <w:left w:val="none" w:sz="0" w:space="0" w:color="auto"/>
        <w:bottom w:val="none" w:sz="0" w:space="0" w:color="auto"/>
        <w:right w:val="none" w:sz="0" w:space="0" w:color="auto"/>
      </w:divBdr>
    </w:div>
    <w:div w:id="2058167385">
      <w:bodyDiv w:val="1"/>
      <w:marLeft w:val="0"/>
      <w:marRight w:val="0"/>
      <w:marTop w:val="0"/>
      <w:marBottom w:val="0"/>
      <w:divBdr>
        <w:top w:val="none" w:sz="0" w:space="0" w:color="auto"/>
        <w:left w:val="none" w:sz="0" w:space="0" w:color="auto"/>
        <w:bottom w:val="none" w:sz="0" w:space="0" w:color="auto"/>
        <w:right w:val="none" w:sz="0" w:space="0" w:color="auto"/>
      </w:divBdr>
    </w:div>
    <w:div w:id="2089301784">
      <w:bodyDiv w:val="1"/>
      <w:marLeft w:val="0"/>
      <w:marRight w:val="0"/>
      <w:marTop w:val="0"/>
      <w:marBottom w:val="0"/>
      <w:divBdr>
        <w:top w:val="none" w:sz="0" w:space="0" w:color="auto"/>
        <w:left w:val="none" w:sz="0" w:space="0" w:color="auto"/>
        <w:bottom w:val="none" w:sz="0" w:space="0" w:color="auto"/>
        <w:right w:val="none" w:sz="0" w:space="0" w:color="auto"/>
      </w:divBdr>
    </w:div>
    <w:div w:id="2131001148">
      <w:bodyDiv w:val="1"/>
      <w:marLeft w:val="0"/>
      <w:marRight w:val="0"/>
      <w:marTop w:val="0"/>
      <w:marBottom w:val="0"/>
      <w:divBdr>
        <w:top w:val="none" w:sz="0" w:space="0" w:color="auto"/>
        <w:left w:val="none" w:sz="0" w:space="0" w:color="auto"/>
        <w:bottom w:val="none" w:sz="0" w:space="0" w:color="auto"/>
        <w:right w:val="none" w:sz="0" w:space="0" w:color="auto"/>
      </w:divBdr>
    </w:div>
    <w:div w:id="21375297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3.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chart" Target="charts/chart1.xml"/><Relationship Id="rId11" Type="http://schemas.openxmlformats.org/officeDocument/2006/relationships/image" Target="media/image1.png"/><Relationship Id="rId12" Type="http://schemas.openxmlformats.org/officeDocument/2006/relationships/chart" Target="charts/chart2.xml"/><Relationship Id="rId13" Type="http://schemas.openxmlformats.org/officeDocument/2006/relationships/chart" Target="charts/chart3.xml"/><Relationship Id="rId14" Type="http://schemas.openxmlformats.org/officeDocument/2006/relationships/image" Target="media/image2.jpeg"/><Relationship Id="rId15" Type="http://schemas.microsoft.com/office/2007/relationships/hdphoto" Target="media/hdphoto1.wdp"/><Relationship Id="rId16" Type="http://schemas.openxmlformats.org/officeDocument/2006/relationships/chart" Target="charts/chart4.xml"/><Relationship Id="rId17" Type="http://schemas.openxmlformats.org/officeDocument/2006/relationships/chart" Target="charts/chart5.xml"/><Relationship Id="rId18" Type="http://schemas.openxmlformats.org/officeDocument/2006/relationships/header" Target="header1.xml"/><Relationship Id="rId19" Type="http://schemas.openxmlformats.org/officeDocument/2006/relationships/footer" Target="footer4.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Workbook4"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Workbook2"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Workbook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Nicole:Desktop:Frenchness%20Index.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Nicole:Desktop:Frenchness%20Inde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pieChart>
        <c:varyColors val="1"/>
        <c:ser>
          <c:idx val="0"/>
          <c:order val="0"/>
          <c:explosion val="25"/>
          <c:dLbls>
            <c:dLbl>
              <c:idx val="0"/>
              <c:layout>
                <c:manualLayout>
                  <c:x val="-0.0152602799650044"/>
                  <c:y val="0.158183194757998"/>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0.0599574332054647"/>
                  <c:y val="-0.0503672705247508"/>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0.0481593646947978"/>
                  <c:y val="-0.0465555310830901"/>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0.0265214684702874"/>
                  <c:y val="-0.0817631187709927"/>
                </c:manualLayout>
              </c:layout>
              <c:showLegendKey val="0"/>
              <c:showVal val="1"/>
              <c:showCatName val="1"/>
              <c:showSerName val="0"/>
              <c:showPercent val="0"/>
              <c:showBubbleSize val="0"/>
              <c:extLst>
                <c:ext xmlns:c15="http://schemas.microsoft.com/office/drawing/2012/chart" uri="{CE6537A1-D6FC-4f65-9D91-7224C49458BB}"/>
              </c:extLst>
            </c:dLbl>
            <c:dLbl>
              <c:idx val="6"/>
              <c:layout>
                <c:manualLayout>
                  <c:x val="0.015096069722054"/>
                  <c:y val="0.00467843180441606"/>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a:lstStyle/>
              <a:p>
                <a:pPr>
                  <a:defRPr>
                    <a:latin typeface="Times New Roman"/>
                    <a:cs typeface="Times New Roman"/>
                  </a:defRPr>
                </a:pPr>
                <a:endParaRPr lang="en-US"/>
              </a:p>
            </c:txPr>
            <c:showLegendKey val="0"/>
            <c:showVal val="1"/>
            <c:showCatName val="1"/>
            <c:showSerName val="0"/>
            <c:showPercent val="0"/>
            <c:showBubbleSize val="0"/>
            <c:showLeaderLines val="1"/>
            <c:extLst>
              <c:ext xmlns:c15="http://schemas.microsoft.com/office/drawing/2012/chart" uri="{CE6537A1-D6FC-4f65-9D91-7224C49458BB}"/>
            </c:extLst>
          </c:dLbls>
          <c:cat>
            <c:strRef>
              <c:f>Sheet1!$A$2:$A$8</c:f>
              <c:strCache>
                <c:ptCount val="7"/>
                <c:pt idx="0">
                  <c:v>Sub-Saharan Africa</c:v>
                </c:pt>
                <c:pt idx="1">
                  <c:v>South and Central Asia</c:v>
                </c:pt>
                <c:pt idx="2">
                  <c:v>Other Asia and Oceania</c:v>
                </c:pt>
                <c:pt idx="3">
                  <c:v>Middle East and North Africa</c:v>
                </c:pt>
                <c:pt idx="4">
                  <c:v>Latin America and Caribbean</c:v>
                </c:pt>
                <c:pt idx="5">
                  <c:v>Europe</c:v>
                </c:pt>
                <c:pt idx="6">
                  <c:v>Unspecified</c:v>
                </c:pt>
              </c:strCache>
            </c:strRef>
          </c:cat>
          <c:val>
            <c:numRef>
              <c:f>Sheet1!$B$2:$B$8</c:f>
              <c:numCache>
                <c:formatCode>General</c:formatCode>
                <c:ptCount val="7"/>
                <c:pt idx="0" formatCode="#,##0">
                  <c:v>3893.0</c:v>
                </c:pt>
                <c:pt idx="1">
                  <c:v>313.0</c:v>
                </c:pt>
                <c:pt idx="2" formatCode="#,##0">
                  <c:v>1326.0</c:v>
                </c:pt>
                <c:pt idx="3" formatCode="#,##0">
                  <c:v>1272.0</c:v>
                </c:pt>
                <c:pt idx="4">
                  <c:v>568.0</c:v>
                </c:pt>
                <c:pt idx="5">
                  <c:v>295.0</c:v>
                </c:pt>
                <c:pt idx="6" formatCode="#,##0">
                  <c:v>1205.0</c:v>
                </c:pt>
              </c:numCache>
            </c:numRef>
          </c:val>
        </c:ser>
        <c:dLbls>
          <c:showLegendKey val="0"/>
          <c:showVal val="1"/>
          <c:showCatName val="1"/>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spPr>
            <a:solidFill>
              <a:schemeClr val="tx1"/>
            </a:solidFill>
          </c:spPr>
          <c:invertIfNegative val="0"/>
          <c:cat>
            <c:numRef>
              <c:f>Sheet1!$J$54:$O$54</c:f>
              <c:numCache>
                <c:formatCode>General</c:formatCode>
                <c:ptCount val="6"/>
                <c:pt idx="0">
                  <c:v>1990.0</c:v>
                </c:pt>
                <c:pt idx="1">
                  <c:v>1995.0</c:v>
                </c:pt>
                <c:pt idx="2">
                  <c:v>2000.0</c:v>
                </c:pt>
                <c:pt idx="3">
                  <c:v>2005.0</c:v>
                </c:pt>
                <c:pt idx="4">
                  <c:v>2010.0</c:v>
                </c:pt>
                <c:pt idx="5">
                  <c:v>2015.0</c:v>
                </c:pt>
              </c:numCache>
            </c:numRef>
          </c:cat>
          <c:val>
            <c:numRef>
              <c:f>Sheet1!$J$62:$O$62</c:f>
              <c:numCache>
                <c:formatCode>#\ ###\ ###\ ##0;\-#\ ###\ ###\ ##0;0</c:formatCode>
                <c:ptCount val="6"/>
                <c:pt idx="0">
                  <c:v>18106.0</c:v>
                </c:pt>
                <c:pt idx="1">
                  <c:v>18815.0</c:v>
                </c:pt>
                <c:pt idx="2">
                  <c:v>17478.0</c:v>
                </c:pt>
                <c:pt idx="3">
                  <c:v>27282.0</c:v>
                </c:pt>
                <c:pt idx="4">
                  <c:v>38210.0</c:v>
                </c:pt>
                <c:pt idx="5">
                  <c:v>40677.0</c:v>
                </c:pt>
              </c:numCache>
            </c:numRef>
          </c:val>
        </c:ser>
        <c:dLbls>
          <c:showLegendKey val="0"/>
          <c:showVal val="0"/>
          <c:showCatName val="0"/>
          <c:showSerName val="0"/>
          <c:showPercent val="0"/>
          <c:showBubbleSize val="0"/>
        </c:dLbls>
        <c:gapWidth val="150"/>
        <c:axId val="-1727558208"/>
        <c:axId val="-1784895056"/>
      </c:barChart>
      <c:catAx>
        <c:axId val="-1727558208"/>
        <c:scaling>
          <c:orientation val="minMax"/>
        </c:scaling>
        <c:delete val="0"/>
        <c:axPos val="b"/>
        <c:title>
          <c:tx>
            <c:rich>
              <a:bodyPr/>
              <a:lstStyle/>
              <a:p>
                <a:pPr>
                  <a:defRPr/>
                </a:pPr>
                <a:r>
                  <a:rPr lang="en-US"/>
                  <a:t>Year</a:t>
                </a:r>
              </a:p>
            </c:rich>
          </c:tx>
          <c:overlay val="0"/>
        </c:title>
        <c:numFmt formatCode="General" sourceLinked="1"/>
        <c:majorTickMark val="out"/>
        <c:minorTickMark val="none"/>
        <c:tickLblPos val="nextTo"/>
        <c:crossAx val="-1784895056"/>
        <c:crosses val="autoZero"/>
        <c:auto val="1"/>
        <c:lblAlgn val="ctr"/>
        <c:lblOffset val="100"/>
        <c:noMultiLvlLbl val="0"/>
      </c:catAx>
      <c:valAx>
        <c:axId val="-1784895056"/>
        <c:scaling>
          <c:orientation val="minMax"/>
        </c:scaling>
        <c:delete val="0"/>
        <c:axPos val="l"/>
        <c:majorGridlines/>
        <c:title>
          <c:tx>
            <c:rich>
              <a:bodyPr rot="-5400000" vert="horz"/>
              <a:lstStyle/>
              <a:p>
                <a:pPr>
                  <a:defRPr/>
                </a:pPr>
                <a:r>
                  <a:rPr lang="en-US"/>
                  <a:t>Number of French migrants</a:t>
                </a:r>
              </a:p>
            </c:rich>
          </c:tx>
          <c:overlay val="0"/>
        </c:title>
        <c:numFmt formatCode="#,##0" sourceLinked="0"/>
        <c:majorTickMark val="out"/>
        <c:minorTickMark val="none"/>
        <c:tickLblPos val="nextTo"/>
        <c:crossAx val="-1727558208"/>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spPr>
            <a:solidFill>
              <a:schemeClr val="tx1"/>
            </a:solidFill>
          </c:spPr>
          <c:invertIfNegative val="0"/>
          <c:cat>
            <c:numRef>
              <c:f>Sheet1!$J$31:$O$31</c:f>
              <c:numCache>
                <c:formatCode>General</c:formatCode>
                <c:ptCount val="6"/>
                <c:pt idx="0">
                  <c:v>1990.0</c:v>
                </c:pt>
                <c:pt idx="1">
                  <c:v>1995.0</c:v>
                </c:pt>
                <c:pt idx="2">
                  <c:v>2000.0</c:v>
                </c:pt>
                <c:pt idx="3">
                  <c:v>2005.0</c:v>
                </c:pt>
                <c:pt idx="4">
                  <c:v>2010.0</c:v>
                </c:pt>
                <c:pt idx="5">
                  <c:v>2015.0</c:v>
                </c:pt>
              </c:numCache>
            </c:numRef>
          </c:cat>
          <c:val>
            <c:numRef>
              <c:f>Sheet1!$J$39:$O$39</c:f>
              <c:numCache>
                <c:formatCode>#\ ###\ ###\ ##0;\-#\ ###\ ###\ ##0;0</c:formatCode>
                <c:ptCount val="6"/>
                <c:pt idx="0">
                  <c:v>36766.0</c:v>
                </c:pt>
                <c:pt idx="1">
                  <c:v>37010.0</c:v>
                </c:pt>
                <c:pt idx="2">
                  <c:v>38416.0</c:v>
                </c:pt>
                <c:pt idx="3">
                  <c:v>28013.0</c:v>
                </c:pt>
                <c:pt idx="4">
                  <c:v>32745.0</c:v>
                </c:pt>
                <c:pt idx="5">
                  <c:v>34909.0</c:v>
                </c:pt>
              </c:numCache>
            </c:numRef>
          </c:val>
        </c:ser>
        <c:dLbls>
          <c:showLegendKey val="0"/>
          <c:showVal val="0"/>
          <c:showCatName val="0"/>
          <c:showSerName val="0"/>
          <c:showPercent val="0"/>
          <c:showBubbleSize val="0"/>
        </c:dLbls>
        <c:gapWidth val="150"/>
        <c:axId val="-1784299504"/>
        <c:axId val="-1784518992"/>
      </c:barChart>
      <c:catAx>
        <c:axId val="-1784299504"/>
        <c:scaling>
          <c:orientation val="minMax"/>
        </c:scaling>
        <c:delete val="0"/>
        <c:axPos val="b"/>
        <c:title>
          <c:tx>
            <c:rich>
              <a:bodyPr/>
              <a:lstStyle/>
              <a:p>
                <a:pPr>
                  <a:defRPr/>
                </a:pPr>
                <a:r>
                  <a:rPr lang="en-US"/>
                  <a:t>Year</a:t>
                </a:r>
              </a:p>
            </c:rich>
          </c:tx>
          <c:overlay val="0"/>
        </c:title>
        <c:numFmt formatCode="General" sourceLinked="1"/>
        <c:majorTickMark val="out"/>
        <c:minorTickMark val="none"/>
        <c:tickLblPos val="nextTo"/>
        <c:crossAx val="-1784518992"/>
        <c:crosses val="autoZero"/>
        <c:auto val="1"/>
        <c:lblAlgn val="ctr"/>
        <c:lblOffset val="100"/>
        <c:noMultiLvlLbl val="0"/>
      </c:catAx>
      <c:valAx>
        <c:axId val="-1784518992"/>
        <c:scaling>
          <c:orientation val="minMax"/>
        </c:scaling>
        <c:delete val="0"/>
        <c:axPos val="l"/>
        <c:majorGridlines/>
        <c:title>
          <c:tx>
            <c:rich>
              <a:bodyPr rot="-5400000" vert="horz"/>
              <a:lstStyle/>
              <a:p>
                <a:pPr>
                  <a:defRPr/>
                </a:pPr>
                <a:r>
                  <a:rPr lang="en-US"/>
                  <a:t>Number of French migrants</a:t>
                </a:r>
              </a:p>
            </c:rich>
          </c:tx>
          <c:overlay val="0"/>
        </c:title>
        <c:numFmt formatCode="#,##0" sourceLinked="0"/>
        <c:majorTickMark val="out"/>
        <c:minorTickMark val="none"/>
        <c:tickLblPos val="nextTo"/>
        <c:crossAx val="-178429950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spPr>
            <a:solidFill>
              <a:schemeClr val="tx1"/>
            </a:solidFill>
            <a:ln>
              <a:solidFill>
                <a:schemeClr val="tx1"/>
              </a:solidFill>
            </a:ln>
          </c:spPr>
          <c:invertIfNegative val="0"/>
          <c:cat>
            <c:strRef>
              <c:f>Sheet2!$F$2:$F$23</c:f>
              <c:strCache>
                <c:ptCount val="22"/>
                <c:pt idx="0">
                  <c:v>Algeria</c:v>
                </c:pt>
                <c:pt idx="1">
                  <c:v>Benin</c:v>
                </c:pt>
                <c:pt idx="2">
                  <c:v>Burkina Faso</c:v>
                </c:pt>
                <c:pt idx="3">
                  <c:v>Cameroon</c:v>
                </c:pt>
                <c:pt idx="4">
                  <c:v>Central African Rep.</c:v>
                </c:pt>
                <c:pt idx="5">
                  <c:v>Chad</c:v>
                </c:pt>
                <c:pt idx="6">
                  <c:v>Comoros</c:v>
                </c:pt>
                <c:pt idx="7">
                  <c:v>Congo, Rep.</c:v>
                </c:pt>
                <c:pt idx="8">
                  <c:v>Cote d'Ivoire</c:v>
                </c:pt>
                <c:pt idx="9">
                  <c:v>Djibouti</c:v>
                </c:pt>
                <c:pt idx="10">
                  <c:v>Gabon</c:v>
                </c:pt>
                <c:pt idx="11">
                  <c:v>Guinea</c:v>
                </c:pt>
                <c:pt idx="12">
                  <c:v>Madagascar</c:v>
                </c:pt>
                <c:pt idx="13">
                  <c:v>Mali</c:v>
                </c:pt>
                <c:pt idx="14">
                  <c:v>Mauritania</c:v>
                </c:pt>
                <c:pt idx="15">
                  <c:v>Morocco</c:v>
                </c:pt>
                <c:pt idx="16">
                  <c:v>Niger</c:v>
                </c:pt>
                <c:pt idx="17">
                  <c:v>Reunion</c:v>
                </c:pt>
                <c:pt idx="18">
                  <c:v>Senegal</c:v>
                </c:pt>
                <c:pt idx="19">
                  <c:v>Seychelles</c:v>
                </c:pt>
                <c:pt idx="20">
                  <c:v>Togo</c:v>
                </c:pt>
                <c:pt idx="21">
                  <c:v>Tunisia</c:v>
                </c:pt>
              </c:strCache>
            </c:strRef>
          </c:cat>
          <c:val>
            <c:numRef>
              <c:f>Sheet2!$G$2:$G$23</c:f>
              <c:numCache>
                <c:formatCode>General</c:formatCode>
                <c:ptCount val="22"/>
                <c:pt idx="0">
                  <c:v>1.572898</c:v>
                </c:pt>
                <c:pt idx="1">
                  <c:v>2.50512</c:v>
                </c:pt>
                <c:pt idx="2">
                  <c:v>2.436672999999991</c:v>
                </c:pt>
                <c:pt idx="3">
                  <c:v>-0.4588607</c:v>
                </c:pt>
                <c:pt idx="4">
                  <c:v>1.584849</c:v>
                </c:pt>
                <c:pt idx="5">
                  <c:v>1.669325</c:v>
                </c:pt>
                <c:pt idx="6">
                  <c:v>0.2514021</c:v>
                </c:pt>
                <c:pt idx="7">
                  <c:v>2.119277</c:v>
                </c:pt>
                <c:pt idx="8">
                  <c:v>4.660888999999988</c:v>
                </c:pt>
                <c:pt idx="9">
                  <c:v>1.635805</c:v>
                </c:pt>
                <c:pt idx="10">
                  <c:v>3.790691</c:v>
                </c:pt>
                <c:pt idx="11">
                  <c:v>2.175377</c:v>
                </c:pt>
                <c:pt idx="12">
                  <c:v>1.398388</c:v>
                </c:pt>
                <c:pt idx="13">
                  <c:v>2.772391</c:v>
                </c:pt>
                <c:pt idx="14">
                  <c:v>0.8141685</c:v>
                </c:pt>
                <c:pt idx="15">
                  <c:v>0.1743279</c:v>
                </c:pt>
                <c:pt idx="16">
                  <c:v>1.943354</c:v>
                </c:pt>
                <c:pt idx="17">
                  <c:v>3.26535</c:v>
                </c:pt>
                <c:pt idx="18">
                  <c:v>7.765352</c:v>
                </c:pt>
                <c:pt idx="19">
                  <c:v>-0.3136101</c:v>
                </c:pt>
                <c:pt idx="20">
                  <c:v>-0.0124845</c:v>
                </c:pt>
                <c:pt idx="21">
                  <c:v>-0.5480233</c:v>
                </c:pt>
              </c:numCache>
            </c:numRef>
          </c:val>
        </c:ser>
        <c:dLbls>
          <c:showLegendKey val="0"/>
          <c:showVal val="0"/>
          <c:showCatName val="0"/>
          <c:showSerName val="0"/>
          <c:showPercent val="0"/>
          <c:showBubbleSize val="0"/>
        </c:dLbls>
        <c:gapWidth val="150"/>
        <c:axId val="-1726454640"/>
        <c:axId val="-1779702800"/>
      </c:barChart>
      <c:catAx>
        <c:axId val="-1726454640"/>
        <c:scaling>
          <c:orientation val="minMax"/>
        </c:scaling>
        <c:delete val="0"/>
        <c:axPos val="b"/>
        <c:title>
          <c:tx>
            <c:rich>
              <a:bodyPr/>
              <a:lstStyle/>
              <a:p>
                <a:pPr>
                  <a:defRPr>
                    <a:latin typeface="Times New Roman"/>
                    <a:cs typeface="Times New Roman"/>
                  </a:defRPr>
                </a:pPr>
                <a:r>
                  <a:rPr lang="en-US">
                    <a:latin typeface="Times New Roman"/>
                    <a:cs typeface="Times New Roman"/>
                  </a:rPr>
                  <a:t>Country</a:t>
                </a:r>
              </a:p>
            </c:rich>
          </c:tx>
          <c:layout>
            <c:manualLayout>
              <c:xMode val="edge"/>
              <c:yMode val="edge"/>
              <c:x val="0.484035433070866"/>
              <c:y val="0.902777777777778"/>
            </c:manualLayout>
          </c:layout>
          <c:overlay val="0"/>
        </c:title>
        <c:numFmt formatCode="General" sourceLinked="0"/>
        <c:majorTickMark val="out"/>
        <c:minorTickMark val="none"/>
        <c:tickLblPos val="low"/>
        <c:txPr>
          <a:bodyPr/>
          <a:lstStyle/>
          <a:p>
            <a:pPr>
              <a:defRPr>
                <a:latin typeface="Times New Roman"/>
                <a:cs typeface="Times New Roman"/>
              </a:defRPr>
            </a:pPr>
            <a:endParaRPr lang="en-US"/>
          </a:p>
        </c:txPr>
        <c:crossAx val="-1779702800"/>
        <c:crosses val="autoZero"/>
        <c:auto val="1"/>
        <c:lblAlgn val="ctr"/>
        <c:lblOffset val="100"/>
        <c:noMultiLvlLbl val="0"/>
      </c:catAx>
      <c:valAx>
        <c:axId val="-1779702800"/>
        <c:scaling>
          <c:orientation val="minMax"/>
        </c:scaling>
        <c:delete val="0"/>
        <c:axPos val="l"/>
        <c:majorGridlines/>
        <c:title>
          <c:tx>
            <c:rich>
              <a:bodyPr rot="-5400000" vert="horz"/>
              <a:lstStyle/>
              <a:p>
                <a:pPr>
                  <a:defRPr>
                    <a:latin typeface="Times New Roman"/>
                    <a:cs typeface="Times New Roman"/>
                  </a:defRPr>
                </a:pPr>
                <a:r>
                  <a:rPr lang="en-US">
                    <a:latin typeface="Times New Roman"/>
                    <a:cs typeface="Times New Roman"/>
                  </a:rPr>
                  <a:t>Level of "Frenchness"</a:t>
                </a:r>
              </a:p>
            </c:rich>
          </c:tx>
          <c:overlay val="0"/>
        </c:title>
        <c:numFmt formatCode="General" sourceLinked="1"/>
        <c:majorTickMark val="out"/>
        <c:minorTickMark val="none"/>
        <c:tickLblPos val="nextTo"/>
        <c:txPr>
          <a:bodyPr/>
          <a:lstStyle/>
          <a:p>
            <a:pPr>
              <a:defRPr>
                <a:latin typeface="Times New Roman"/>
                <a:cs typeface="Times New Roman"/>
              </a:defRPr>
            </a:pPr>
            <a:endParaRPr lang="en-US"/>
          </a:p>
        </c:txPr>
        <c:crossAx val="-1726454640"/>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Sheet2!$B$1</c:f>
              <c:strCache>
                <c:ptCount val="1"/>
                <c:pt idx="0">
                  <c:v>frenchness</c:v>
                </c:pt>
              </c:strCache>
            </c:strRef>
          </c:tx>
          <c:spPr>
            <a:solidFill>
              <a:schemeClr val="tx1"/>
            </a:solidFill>
          </c:spPr>
          <c:invertIfNegative val="0"/>
          <c:cat>
            <c:strRef>
              <c:f>Sheet2!$A$2:$A$33</c:f>
              <c:strCache>
                <c:ptCount val="32"/>
                <c:pt idx="0">
                  <c:v>Angola</c:v>
                </c:pt>
                <c:pt idx="1">
                  <c:v>Botswana</c:v>
                </c:pt>
                <c:pt idx="2">
                  <c:v>Burundi</c:v>
                </c:pt>
                <c:pt idx="3">
                  <c:v>Cape Verde</c:v>
                </c:pt>
                <c:pt idx="4">
                  <c:v>Congo, Dem. Rep.</c:v>
                </c:pt>
                <c:pt idx="5">
                  <c:v>Egypt</c:v>
                </c:pt>
                <c:pt idx="6">
                  <c:v>Equatorial Guinea</c:v>
                </c:pt>
                <c:pt idx="7">
                  <c:v>Eritrea</c:v>
                </c:pt>
                <c:pt idx="8">
                  <c:v>Ethiopia</c:v>
                </c:pt>
                <c:pt idx="9">
                  <c:v>Gambia</c:v>
                </c:pt>
                <c:pt idx="10">
                  <c:v>Ghana</c:v>
                </c:pt>
                <c:pt idx="11">
                  <c:v>Guinea-Bissau</c:v>
                </c:pt>
                <c:pt idx="12">
                  <c:v>Kenya</c:v>
                </c:pt>
                <c:pt idx="13">
                  <c:v>Lesotho</c:v>
                </c:pt>
                <c:pt idx="14">
                  <c:v>Liberia</c:v>
                </c:pt>
                <c:pt idx="15">
                  <c:v>Libya</c:v>
                </c:pt>
                <c:pt idx="16">
                  <c:v>Malawi</c:v>
                </c:pt>
                <c:pt idx="17">
                  <c:v>Mauritius</c:v>
                </c:pt>
                <c:pt idx="18">
                  <c:v>Mozambique</c:v>
                </c:pt>
                <c:pt idx="19">
                  <c:v>Namibia</c:v>
                </c:pt>
                <c:pt idx="20">
                  <c:v>Nigeria</c:v>
                </c:pt>
                <c:pt idx="21">
                  <c:v>Rwanda</c:v>
                </c:pt>
                <c:pt idx="22">
                  <c:v>Sao Tome &amp; Principe</c:v>
                </c:pt>
                <c:pt idx="23">
                  <c:v>Sierra Leone</c:v>
                </c:pt>
                <c:pt idx="24">
                  <c:v>Somalia</c:v>
                </c:pt>
                <c:pt idx="25">
                  <c:v>South Africa</c:v>
                </c:pt>
                <c:pt idx="26">
                  <c:v>Sudan</c:v>
                </c:pt>
                <c:pt idx="27">
                  <c:v>Swaziland</c:v>
                </c:pt>
                <c:pt idx="28">
                  <c:v>Tanzania</c:v>
                </c:pt>
                <c:pt idx="29">
                  <c:v>Uganda</c:v>
                </c:pt>
                <c:pt idx="30">
                  <c:v>Zambia</c:v>
                </c:pt>
                <c:pt idx="31">
                  <c:v>Zimbabwe</c:v>
                </c:pt>
              </c:strCache>
            </c:strRef>
          </c:cat>
          <c:val>
            <c:numRef>
              <c:f>Sheet2!$B$2:$B$33</c:f>
              <c:numCache>
                <c:formatCode>General</c:formatCode>
                <c:ptCount val="32"/>
                <c:pt idx="0">
                  <c:v>-1.970061</c:v>
                </c:pt>
                <c:pt idx="1">
                  <c:v>-1.970061</c:v>
                </c:pt>
                <c:pt idx="2">
                  <c:v>-1.319731</c:v>
                </c:pt>
                <c:pt idx="3">
                  <c:v>-1.970061</c:v>
                </c:pt>
                <c:pt idx="4">
                  <c:v>-1.381857</c:v>
                </c:pt>
                <c:pt idx="5">
                  <c:v>-1.582952</c:v>
                </c:pt>
                <c:pt idx="6">
                  <c:v>-0.9756788</c:v>
                </c:pt>
                <c:pt idx="7">
                  <c:v>-1.970061</c:v>
                </c:pt>
                <c:pt idx="8">
                  <c:v>-1.970061</c:v>
                </c:pt>
                <c:pt idx="9">
                  <c:v>-1.970061</c:v>
                </c:pt>
                <c:pt idx="10">
                  <c:v>-1.970061</c:v>
                </c:pt>
                <c:pt idx="11">
                  <c:v>-1.096406</c:v>
                </c:pt>
                <c:pt idx="12">
                  <c:v>-1.970061</c:v>
                </c:pt>
                <c:pt idx="13">
                  <c:v>-1.970061</c:v>
                </c:pt>
                <c:pt idx="14">
                  <c:v>-1.970061</c:v>
                </c:pt>
                <c:pt idx="15">
                  <c:v>-1.524879</c:v>
                </c:pt>
                <c:pt idx="16">
                  <c:v>-1.970061</c:v>
                </c:pt>
                <c:pt idx="17">
                  <c:v>-1.387769</c:v>
                </c:pt>
                <c:pt idx="18">
                  <c:v>-1.970061</c:v>
                </c:pt>
                <c:pt idx="19">
                  <c:v>-1.970061</c:v>
                </c:pt>
                <c:pt idx="20">
                  <c:v>-1.481011</c:v>
                </c:pt>
                <c:pt idx="21">
                  <c:v>-1.347651</c:v>
                </c:pt>
                <c:pt idx="22">
                  <c:v>-1.764739</c:v>
                </c:pt>
                <c:pt idx="23">
                  <c:v>-1.970061</c:v>
                </c:pt>
                <c:pt idx="24">
                  <c:v>-1.524879</c:v>
                </c:pt>
                <c:pt idx="25">
                  <c:v>-1.970061</c:v>
                </c:pt>
                <c:pt idx="26">
                  <c:v>-1.970061</c:v>
                </c:pt>
                <c:pt idx="27">
                  <c:v>-1.970061</c:v>
                </c:pt>
                <c:pt idx="28">
                  <c:v>-1.970061</c:v>
                </c:pt>
                <c:pt idx="29">
                  <c:v>-1.970061</c:v>
                </c:pt>
                <c:pt idx="30">
                  <c:v>-1.970061</c:v>
                </c:pt>
                <c:pt idx="31">
                  <c:v>-1.970061</c:v>
                </c:pt>
              </c:numCache>
            </c:numRef>
          </c:val>
        </c:ser>
        <c:dLbls>
          <c:showLegendKey val="0"/>
          <c:showVal val="0"/>
          <c:showCatName val="0"/>
          <c:showSerName val="0"/>
          <c:showPercent val="0"/>
          <c:showBubbleSize val="0"/>
        </c:dLbls>
        <c:gapWidth val="150"/>
        <c:axId val="-1824113616"/>
        <c:axId val="-1824110496"/>
      </c:barChart>
      <c:catAx>
        <c:axId val="-1824113616"/>
        <c:scaling>
          <c:orientation val="minMax"/>
        </c:scaling>
        <c:delete val="0"/>
        <c:axPos val="b"/>
        <c:title>
          <c:tx>
            <c:rich>
              <a:bodyPr/>
              <a:lstStyle/>
              <a:p>
                <a:pPr>
                  <a:defRPr>
                    <a:latin typeface="Times New Roman"/>
                    <a:cs typeface="Times New Roman"/>
                  </a:defRPr>
                </a:pPr>
                <a:r>
                  <a:rPr lang="en-US">
                    <a:latin typeface="Times New Roman"/>
                    <a:cs typeface="Times New Roman"/>
                  </a:rPr>
                  <a:t>Country</a:t>
                </a:r>
              </a:p>
            </c:rich>
          </c:tx>
          <c:overlay val="0"/>
        </c:title>
        <c:numFmt formatCode="General" sourceLinked="0"/>
        <c:majorTickMark val="out"/>
        <c:minorTickMark val="none"/>
        <c:tickLblPos val="low"/>
        <c:txPr>
          <a:bodyPr lIns="0">
            <a:noAutofit/>
          </a:bodyPr>
          <a:lstStyle/>
          <a:p>
            <a:pPr>
              <a:defRPr sz="800">
                <a:latin typeface="Times New Roman"/>
                <a:cs typeface="Times New Roman"/>
              </a:defRPr>
            </a:pPr>
            <a:endParaRPr lang="en-US"/>
          </a:p>
        </c:txPr>
        <c:crossAx val="-1824110496"/>
        <c:crosses val="autoZero"/>
        <c:auto val="1"/>
        <c:lblAlgn val="ctr"/>
        <c:lblOffset val="100"/>
        <c:noMultiLvlLbl val="0"/>
      </c:catAx>
      <c:valAx>
        <c:axId val="-1824110496"/>
        <c:scaling>
          <c:orientation val="minMax"/>
        </c:scaling>
        <c:delete val="0"/>
        <c:axPos val="l"/>
        <c:majorGridlines/>
        <c:title>
          <c:tx>
            <c:rich>
              <a:bodyPr rot="-5400000" vert="horz"/>
              <a:lstStyle/>
              <a:p>
                <a:pPr>
                  <a:defRPr>
                    <a:latin typeface="Times New Roman"/>
                    <a:cs typeface="Times New Roman"/>
                  </a:defRPr>
                </a:pPr>
                <a:r>
                  <a:rPr lang="en-US">
                    <a:latin typeface="Times New Roman"/>
                    <a:cs typeface="Times New Roman"/>
                  </a:rPr>
                  <a:t>Level of "Frenchness"</a:t>
                </a:r>
              </a:p>
            </c:rich>
          </c:tx>
          <c:overlay val="0"/>
        </c:title>
        <c:numFmt formatCode="General" sourceLinked="1"/>
        <c:majorTickMark val="out"/>
        <c:minorTickMark val="none"/>
        <c:tickLblPos val="nextTo"/>
        <c:crossAx val="-1824113616"/>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150</Pages>
  <Words>30553</Words>
  <Characters>174154</Characters>
  <Application>Microsoft Macintosh Word</Application>
  <DocSecurity>0</DocSecurity>
  <Lines>1451</Lines>
  <Paragraphs>408</Paragraphs>
  <ScaleCrop>false</ScaleCrop>
  <Company/>
  <LinksUpToDate>false</LinksUpToDate>
  <CharactersWithSpaces>204299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Smith</dc:creator>
  <cp:keywords/>
  <dc:description/>
  <cp:lastModifiedBy>Smith, Nicole A.</cp:lastModifiedBy>
  <cp:revision>2</cp:revision>
  <cp:lastPrinted>2017-05-03T15:03:00Z</cp:lastPrinted>
  <dcterms:created xsi:type="dcterms:W3CDTF">2017-05-22T13:53:00Z</dcterms:created>
  <dcterms:modified xsi:type="dcterms:W3CDTF">2017-05-22T13:53:00Z</dcterms:modified>
</cp:coreProperties>
</file>