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4AB16" w14:textId="62080296" w:rsidR="009700D1" w:rsidRPr="00AA3319" w:rsidRDefault="009700D1" w:rsidP="009700D1">
      <w:pPr>
        <w:jc w:val="center"/>
        <w:rPr>
          <w:rFonts w:cs="Times New Roman"/>
          <w:szCs w:val="24"/>
        </w:rPr>
      </w:pPr>
      <w:r w:rsidRPr="00AA3319">
        <w:rPr>
          <w:rFonts w:cs="Times New Roman"/>
          <w:szCs w:val="24"/>
        </w:rPr>
        <w:t>UNIVERSITY OF OKLAHOMA</w:t>
      </w:r>
    </w:p>
    <w:p w14:paraId="015A8AE5" w14:textId="031DCE51" w:rsidR="00A47EE9" w:rsidRPr="00AA3319" w:rsidRDefault="009700D1" w:rsidP="00A47EE9">
      <w:pPr>
        <w:jc w:val="center"/>
        <w:rPr>
          <w:rFonts w:cs="Times New Roman"/>
          <w:smallCaps/>
          <w:szCs w:val="24"/>
        </w:rPr>
      </w:pPr>
      <w:r w:rsidRPr="00AA3319">
        <w:rPr>
          <w:rFonts w:cs="Times New Roman"/>
          <w:szCs w:val="24"/>
        </w:rPr>
        <w:t>GRADUATE COLLEG</w:t>
      </w:r>
      <w:r w:rsidR="00A47EE9" w:rsidRPr="00AA3319">
        <w:rPr>
          <w:rFonts w:cs="Times New Roman"/>
          <w:szCs w:val="24"/>
        </w:rPr>
        <w:t>E</w:t>
      </w:r>
    </w:p>
    <w:p w14:paraId="6CC6D581" w14:textId="184F8058" w:rsidR="009700D1" w:rsidRPr="00AA3319" w:rsidRDefault="009700D1" w:rsidP="009700D1">
      <w:pPr>
        <w:jc w:val="center"/>
        <w:rPr>
          <w:rFonts w:cs="Times New Roman"/>
          <w:szCs w:val="24"/>
        </w:rPr>
      </w:pPr>
    </w:p>
    <w:p w14:paraId="3CFB6000" w14:textId="129EA40A" w:rsidR="007B6C24" w:rsidRPr="00AA3319" w:rsidRDefault="007B6C24" w:rsidP="009700D1">
      <w:pPr>
        <w:jc w:val="center"/>
        <w:rPr>
          <w:rFonts w:cs="Times New Roman"/>
          <w:szCs w:val="24"/>
        </w:rPr>
      </w:pPr>
    </w:p>
    <w:p w14:paraId="1E0D7E6F" w14:textId="0700B7DA" w:rsidR="00A63F9B" w:rsidRDefault="00A63F9B" w:rsidP="00A63F9B">
      <w:pPr>
        <w:jc w:val="center"/>
      </w:pPr>
      <w:r>
        <w:t>EARTH OBSERVATION AND MOSQUITO</w:t>
      </w:r>
      <w:r w:rsidR="00E068C1">
        <w:t>-</w:t>
      </w:r>
      <w:r>
        <w:t>BORNE DISEASES: ASSESSING ENVIRONMENTAL RISK FACTORS FOR DISEASE TRANSMISSION VIA REMOTE SENSING DATA</w:t>
      </w:r>
    </w:p>
    <w:p w14:paraId="585F06DF" w14:textId="4743F54F" w:rsidR="0055121B" w:rsidRPr="00AA3319" w:rsidRDefault="0055121B" w:rsidP="00765816">
      <w:pPr>
        <w:rPr>
          <w:rFonts w:cs="Times New Roman"/>
          <w:szCs w:val="24"/>
        </w:rPr>
      </w:pPr>
    </w:p>
    <w:p w14:paraId="1526B8E2" w14:textId="77777777" w:rsidR="0055121B" w:rsidRPr="00AA3319" w:rsidRDefault="0055121B" w:rsidP="00765816">
      <w:pPr>
        <w:rPr>
          <w:rFonts w:cs="Times New Roman"/>
          <w:szCs w:val="24"/>
        </w:rPr>
      </w:pPr>
    </w:p>
    <w:p w14:paraId="158845B1" w14:textId="77777777" w:rsidR="009700D1" w:rsidRPr="00AA3319" w:rsidRDefault="009700D1" w:rsidP="009700D1">
      <w:pPr>
        <w:jc w:val="center"/>
        <w:rPr>
          <w:rFonts w:cs="Times New Roman"/>
          <w:szCs w:val="24"/>
        </w:rPr>
      </w:pPr>
      <w:r w:rsidRPr="00AA3319">
        <w:rPr>
          <w:rFonts w:cs="Times New Roman"/>
          <w:szCs w:val="24"/>
        </w:rPr>
        <w:t xml:space="preserve">A DISSERTATION </w:t>
      </w:r>
    </w:p>
    <w:p w14:paraId="27E64EF9" w14:textId="77777777" w:rsidR="009700D1" w:rsidRPr="00AA3319" w:rsidRDefault="009700D1" w:rsidP="009700D1">
      <w:pPr>
        <w:jc w:val="center"/>
        <w:rPr>
          <w:rFonts w:cs="Times New Roman"/>
          <w:szCs w:val="24"/>
        </w:rPr>
      </w:pPr>
      <w:r w:rsidRPr="00AA3319">
        <w:rPr>
          <w:rFonts w:cs="Times New Roman"/>
          <w:szCs w:val="24"/>
        </w:rPr>
        <w:t>SUBMITTED TO THE GRADUATE FACULTY</w:t>
      </w:r>
    </w:p>
    <w:p w14:paraId="49707EB9" w14:textId="572C469D" w:rsidR="009700D1" w:rsidRPr="00AA3319" w:rsidRDefault="009700D1" w:rsidP="009700D1">
      <w:pPr>
        <w:jc w:val="center"/>
        <w:rPr>
          <w:rFonts w:cs="Times New Roman"/>
          <w:szCs w:val="24"/>
        </w:rPr>
      </w:pPr>
      <w:r w:rsidRPr="00AA3319">
        <w:rPr>
          <w:rFonts w:cs="Times New Roman"/>
          <w:szCs w:val="24"/>
        </w:rPr>
        <w:t>In partial ful</w:t>
      </w:r>
      <w:r w:rsidR="00C84653" w:rsidRPr="00AA3319">
        <w:rPr>
          <w:rFonts w:cs="Times New Roman"/>
          <w:szCs w:val="24"/>
        </w:rPr>
        <w:t>f</w:t>
      </w:r>
      <w:r w:rsidRPr="00AA3319">
        <w:rPr>
          <w:rFonts w:cs="Times New Roman"/>
          <w:szCs w:val="24"/>
        </w:rPr>
        <w:t>illment of the requirements for the</w:t>
      </w:r>
    </w:p>
    <w:p w14:paraId="7BBA57FE" w14:textId="77777777" w:rsidR="009700D1" w:rsidRPr="00AA3319" w:rsidRDefault="009700D1" w:rsidP="009700D1">
      <w:pPr>
        <w:jc w:val="center"/>
        <w:rPr>
          <w:rFonts w:cs="Times New Roman"/>
          <w:szCs w:val="24"/>
        </w:rPr>
      </w:pPr>
      <w:r w:rsidRPr="00AA3319">
        <w:rPr>
          <w:rFonts w:cs="Times New Roman"/>
          <w:szCs w:val="24"/>
        </w:rPr>
        <w:t>Degree of</w:t>
      </w:r>
    </w:p>
    <w:p w14:paraId="32FC88D4" w14:textId="09C88859" w:rsidR="009700D1" w:rsidRPr="00AA3319" w:rsidRDefault="009700D1" w:rsidP="00765816">
      <w:pPr>
        <w:jc w:val="center"/>
        <w:rPr>
          <w:rFonts w:cs="Times New Roman"/>
          <w:szCs w:val="24"/>
        </w:rPr>
      </w:pPr>
      <w:r w:rsidRPr="00AA3319">
        <w:rPr>
          <w:rFonts w:cs="Times New Roman"/>
          <w:szCs w:val="24"/>
        </w:rPr>
        <w:t>DOCT</w:t>
      </w:r>
      <w:r w:rsidR="00765816" w:rsidRPr="00AA3319">
        <w:rPr>
          <w:rFonts w:cs="Times New Roman"/>
          <w:szCs w:val="24"/>
        </w:rPr>
        <w:t>O</w:t>
      </w:r>
      <w:r w:rsidRPr="00AA3319">
        <w:rPr>
          <w:rFonts w:cs="Times New Roman"/>
          <w:szCs w:val="24"/>
        </w:rPr>
        <w:t>R OF PHILOSOPHY</w:t>
      </w:r>
    </w:p>
    <w:p w14:paraId="1FB5C71C" w14:textId="1BA42F74" w:rsidR="007B6C24" w:rsidRPr="00AA3319" w:rsidRDefault="007B6C24" w:rsidP="0055121B">
      <w:pPr>
        <w:rPr>
          <w:rFonts w:cs="Times New Roman"/>
          <w:szCs w:val="24"/>
        </w:rPr>
      </w:pPr>
    </w:p>
    <w:p w14:paraId="04BD240D" w14:textId="77777777" w:rsidR="007B6C24" w:rsidRPr="00AA3319" w:rsidRDefault="007B6C24" w:rsidP="0055121B">
      <w:pPr>
        <w:rPr>
          <w:rFonts w:cs="Times New Roman"/>
          <w:szCs w:val="24"/>
        </w:rPr>
      </w:pPr>
    </w:p>
    <w:p w14:paraId="4178F841" w14:textId="264E1191" w:rsidR="009700D1" w:rsidRPr="00AA3319" w:rsidRDefault="009700D1" w:rsidP="0055121B">
      <w:pPr>
        <w:spacing w:line="240" w:lineRule="auto"/>
        <w:jc w:val="center"/>
        <w:rPr>
          <w:rFonts w:cs="Times New Roman"/>
          <w:szCs w:val="24"/>
        </w:rPr>
      </w:pPr>
      <w:r w:rsidRPr="00AA3319">
        <w:rPr>
          <w:rFonts w:cs="Times New Roman"/>
          <w:szCs w:val="24"/>
        </w:rPr>
        <w:t>By</w:t>
      </w:r>
    </w:p>
    <w:p w14:paraId="58D8BA77" w14:textId="3E10299B" w:rsidR="009700D1" w:rsidRPr="00AA3319" w:rsidRDefault="009700D1" w:rsidP="0055121B">
      <w:pPr>
        <w:spacing w:line="240" w:lineRule="auto"/>
        <w:jc w:val="center"/>
        <w:rPr>
          <w:rFonts w:cs="Times New Roman"/>
          <w:szCs w:val="24"/>
        </w:rPr>
      </w:pPr>
      <w:r w:rsidRPr="00AA3319">
        <w:rPr>
          <w:rFonts w:cs="Times New Roman"/>
          <w:szCs w:val="24"/>
        </w:rPr>
        <w:t xml:space="preserve">ANDREA </w:t>
      </w:r>
      <w:r w:rsidRPr="00020D92">
        <w:rPr>
          <w:rFonts w:cs="Times New Roman"/>
          <w:caps/>
          <w:szCs w:val="24"/>
        </w:rPr>
        <w:t>M</w:t>
      </w:r>
      <w:r w:rsidR="00020D92">
        <w:rPr>
          <w:rFonts w:cs="Times New Roman"/>
          <w:caps/>
          <w:szCs w:val="24"/>
        </w:rPr>
        <w:t>c</w:t>
      </w:r>
      <w:r w:rsidRPr="00020D92">
        <w:rPr>
          <w:rFonts w:cs="Times New Roman"/>
          <w:caps/>
          <w:szCs w:val="24"/>
        </w:rPr>
        <w:t>MAHON</w:t>
      </w:r>
    </w:p>
    <w:p w14:paraId="0D7653CE" w14:textId="77777777" w:rsidR="009700D1" w:rsidRPr="00AA3319" w:rsidRDefault="009700D1" w:rsidP="0055121B">
      <w:pPr>
        <w:spacing w:line="240" w:lineRule="auto"/>
        <w:jc w:val="center"/>
        <w:rPr>
          <w:rFonts w:cs="Times New Roman"/>
          <w:szCs w:val="24"/>
        </w:rPr>
      </w:pPr>
      <w:r w:rsidRPr="00AA3319">
        <w:rPr>
          <w:rFonts w:cs="Times New Roman"/>
          <w:szCs w:val="24"/>
        </w:rPr>
        <w:t>Norman, Oklahoma</w:t>
      </w:r>
    </w:p>
    <w:p w14:paraId="0F79C0E2" w14:textId="70A284CD" w:rsidR="009700D1" w:rsidRPr="00AA3319" w:rsidRDefault="009700D1" w:rsidP="0055121B">
      <w:pPr>
        <w:spacing w:line="240" w:lineRule="auto"/>
        <w:jc w:val="center"/>
        <w:rPr>
          <w:rFonts w:cs="Times New Roman"/>
          <w:szCs w:val="24"/>
        </w:rPr>
      </w:pPr>
      <w:r w:rsidRPr="00AA3319">
        <w:rPr>
          <w:rFonts w:cs="Times New Roman"/>
          <w:szCs w:val="24"/>
        </w:rPr>
        <w:t>2021</w:t>
      </w:r>
    </w:p>
    <w:p w14:paraId="785A179F" w14:textId="41DC475B" w:rsidR="00A63F9B" w:rsidRDefault="00A63F9B" w:rsidP="00A63F9B">
      <w:pPr>
        <w:jc w:val="center"/>
      </w:pPr>
      <w:r>
        <w:lastRenderedPageBreak/>
        <w:t>EARTH OBSERVATION AND MOSQUITO</w:t>
      </w:r>
      <w:r w:rsidR="00E068C1">
        <w:t>-</w:t>
      </w:r>
      <w:r>
        <w:t>BORNE DISEASES: ASSESSING ENVIRONMENTAL RISK FACTORS FOR DISEASE TRANSMISSION VIA REMOTE SENSING DATA</w:t>
      </w:r>
    </w:p>
    <w:p w14:paraId="6304C8E0" w14:textId="499B1370" w:rsidR="0035588C" w:rsidRDefault="0035588C" w:rsidP="00686613">
      <w:pPr>
        <w:rPr>
          <w:rFonts w:cs="Times New Roman"/>
          <w:szCs w:val="24"/>
        </w:rPr>
      </w:pPr>
    </w:p>
    <w:p w14:paraId="5D459643" w14:textId="77777777" w:rsidR="0035588C" w:rsidRPr="00AA3319" w:rsidRDefault="0035588C" w:rsidP="00686613">
      <w:pPr>
        <w:rPr>
          <w:rFonts w:cs="Times New Roman"/>
          <w:szCs w:val="24"/>
        </w:rPr>
      </w:pPr>
    </w:p>
    <w:p w14:paraId="5941B45B" w14:textId="77777777" w:rsidR="00A47EE9" w:rsidRPr="00AA3319" w:rsidRDefault="00686613" w:rsidP="00A47EE9">
      <w:pPr>
        <w:spacing w:line="360" w:lineRule="auto"/>
        <w:jc w:val="center"/>
        <w:rPr>
          <w:rFonts w:cs="Times New Roman"/>
          <w:szCs w:val="24"/>
        </w:rPr>
      </w:pPr>
      <w:r w:rsidRPr="00AA3319">
        <w:rPr>
          <w:rFonts w:cs="Times New Roman"/>
          <w:szCs w:val="24"/>
        </w:rPr>
        <w:t xml:space="preserve">A DISSERTATION APPROVED FOR THE </w:t>
      </w:r>
    </w:p>
    <w:p w14:paraId="6C007A2D" w14:textId="4EE59994" w:rsidR="00686613" w:rsidRPr="00AA3319" w:rsidRDefault="00686613" w:rsidP="00A47EE9">
      <w:pPr>
        <w:spacing w:line="360" w:lineRule="auto"/>
        <w:jc w:val="center"/>
        <w:rPr>
          <w:rFonts w:cs="Times New Roman"/>
          <w:szCs w:val="24"/>
        </w:rPr>
      </w:pPr>
      <w:r w:rsidRPr="00AA3319">
        <w:rPr>
          <w:rFonts w:cs="Times New Roman"/>
          <w:szCs w:val="24"/>
        </w:rPr>
        <w:t>DEPARTMENT OF GEOGRAPHY AND ENVIRONMENTAL SUSTAINABILITY</w:t>
      </w:r>
    </w:p>
    <w:p w14:paraId="695BF5A6" w14:textId="77777777" w:rsidR="00686613" w:rsidRPr="00AA3319" w:rsidRDefault="00686613" w:rsidP="00686613">
      <w:pPr>
        <w:jc w:val="center"/>
        <w:rPr>
          <w:rFonts w:cs="Times New Roman"/>
          <w:szCs w:val="24"/>
        </w:rPr>
      </w:pPr>
    </w:p>
    <w:p w14:paraId="07EBD154" w14:textId="77777777" w:rsidR="00686613" w:rsidRPr="00AA3319" w:rsidRDefault="00686613" w:rsidP="00686613">
      <w:pPr>
        <w:jc w:val="center"/>
        <w:rPr>
          <w:rFonts w:cs="Times New Roman"/>
          <w:szCs w:val="24"/>
        </w:rPr>
      </w:pPr>
    </w:p>
    <w:p w14:paraId="721A3D8F" w14:textId="65C59214" w:rsidR="00686613" w:rsidRPr="00AA3319" w:rsidRDefault="001D475B" w:rsidP="00686613">
      <w:pPr>
        <w:jc w:val="center"/>
        <w:rPr>
          <w:rFonts w:cs="Times New Roman"/>
          <w:szCs w:val="24"/>
        </w:rPr>
      </w:pPr>
      <w:r w:rsidRPr="00AA3319">
        <w:rPr>
          <w:rFonts w:cs="Times New Roman"/>
          <w:szCs w:val="24"/>
        </w:rPr>
        <w:t>BY THE COMMITTEE CONSISTING OF</w:t>
      </w:r>
    </w:p>
    <w:p w14:paraId="6781E952" w14:textId="7DE0E9BE" w:rsidR="001D475B" w:rsidRPr="00AA3319" w:rsidRDefault="001D475B" w:rsidP="00686613">
      <w:pPr>
        <w:jc w:val="center"/>
        <w:rPr>
          <w:rFonts w:cs="Times New Roman"/>
          <w:szCs w:val="24"/>
        </w:rPr>
      </w:pPr>
    </w:p>
    <w:p w14:paraId="38742100" w14:textId="7C691C45" w:rsidR="001D475B" w:rsidRPr="00AA3319" w:rsidRDefault="001D475B" w:rsidP="00686613">
      <w:pPr>
        <w:jc w:val="center"/>
        <w:rPr>
          <w:rFonts w:cs="Times New Roman"/>
          <w:szCs w:val="24"/>
        </w:rPr>
      </w:pPr>
      <w:r w:rsidRPr="00AA3319">
        <w:rPr>
          <w:rFonts w:cs="Times New Roman"/>
          <w:szCs w:val="24"/>
        </w:rPr>
        <w:tab/>
      </w:r>
      <w:r w:rsidR="000B08CE">
        <w:rPr>
          <w:rFonts w:cs="Times New Roman"/>
          <w:szCs w:val="24"/>
        </w:rPr>
        <w:t xml:space="preserve"> </w:t>
      </w:r>
    </w:p>
    <w:tbl>
      <w:tblPr>
        <w:tblStyle w:val="TableGrid"/>
        <w:tblpPr w:leftFromText="180" w:rightFromText="180" w:vertAnchor="text" w:tblpY="1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3410"/>
      </w:tblGrid>
      <w:tr w:rsidR="00686613" w:rsidRPr="00AA3319" w14:paraId="71B3268A" w14:textId="77777777" w:rsidTr="00E926CD">
        <w:tc>
          <w:tcPr>
            <w:tcW w:w="5220" w:type="dxa"/>
          </w:tcPr>
          <w:p w14:paraId="73B8876A" w14:textId="77777777" w:rsidR="00686613" w:rsidRPr="00AA3319" w:rsidRDefault="00686613" w:rsidP="006E2151">
            <w:pPr>
              <w:jc w:val="center"/>
              <w:rPr>
                <w:rFonts w:cs="Times New Roman"/>
                <w:szCs w:val="24"/>
              </w:rPr>
            </w:pPr>
          </w:p>
        </w:tc>
        <w:tc>
          <w:tcPr>
            <w:tcW w:w="3410" w:type="dxa"/>
          </w:tcPr>
          <w:p w14:paraId="092FE014" w14:textId="77777777" w:rsidR="00686613" w:rsidRPr="00AA3319" w:rsidRDefault="00686613" w:rsidP="006E2151">
            <w:pPr>
              <w:jc w:val="right"/>
              <w:rPr>
                <w:rFonts w:cs="Times New Roman"/>
                <w:szCs w:val="24"/>
              </w:rPr>
            </w:pPr>
            <w:r w:rsidRPr="00AA3319">
              <w:rPr>
                <w:rFonts w:cs="Times New Roman"/>
                <w:szCs w:val="24"/>
              </w:rPr>
              <w:t>Dr. Michael C. Wimberly, Chair</w:t>
            </w:r>
          </w:p>
          <w:p w14:paraId="0CB40868" w14:textId="77777777" w:rsidR="00686613" w:rsidRPr="00AA3319" w:rsidRDefault="00686613" w:rsidP="00E926CD">
            <w:pPr>
              <w:rPr>
                <w:rFonts w:cs="Times New Roman"/>
                <w:szCs w:val="24"/>
              </w:rPr>
            </w:pPr>
          </w:p>
        </w:tc>
      </w:tr>
      <w:tr w:rsidR="00686613" w:rsidRPr="00AA3319" w14:paraId="401F3B2B" w14:textId="77777777" w:rsidTr="00E926CD">
        <w:tc>
          <w:tcPr>
            <w:tcW w:w="5220" w:type="dxa"/>
          </w:tcPr>
          <w:p w14:paraId="00DA7525" w14:textId="77777777" w:rsidR="00686613" w:rsidRPr="00AA3319" w:rsidRDefault="00686613" w:rsidP="006E2151">
            <w:pPr>
              <w:jc w:val="center"/>
              <w:rPr>
                <w:rFonts w:cs="Times New Roman"/>
                <w:szCs w:val="24"/>
              </w:rPr>
            </w:pPr>
          </w:p>
        </w:tc>
        <w:tc>
          <w:tcPr>
            <w:tcW w:w="3410" w:type="dxa"/>
          </w:tcPr>
          <w:p w14:paraId="57CCCD67" w14:textId="54E640B6" w:rsidR="00686613" w:rsidRPr="00AA3319" w:rsidRDefault="00686613" w:rsidP="006E2151">
            <w:pPr>
              <w:jc w:val="right"/>
              <w:rPr>
                <w:rFonts w:cs="Times New Roman"/>
                <w:szCs w:val="24"/>
                <w:lang w:val="de-DE"/>
              </w:rPr>
            </w:pPr>
            <w:r w:rsidRPr="00AA3319">
              <w:rPr>
                <w:rFonts w:cs="Times New Roman"/>
                <w:szCs w:val="24"/>
                <w:lang w:val="de-DE"/>
              </w:rPr>
              <w:t xml:space="preserve">Dr. Kirsten </w:t>
            </w:r>
            <w:r w:rsidR="00D42D11" w:rsidRPr="00AA3319">
              <w:rPr>
                <w:rFonts w:cs="Times New Roman"/>
                <w:szCs w:val="24"/>
                <w:lang w:val="de-DE"/>
              </w:rPr>
              <w:t>d</w:t>
            </w:r>
            <w:r w:rsidRPr="00AA3319">
              <w:rPr>
                <w:rFonts w:cs="Times New Roman"/>
                <w:szCs w:val="24"/>
                <w:lang w:val="de-DE"/>
              </w:rPr>
              <w:t>e</w:t>
            </w:r>
            <w:r w:rsidR="00D42D11" w:rsidRPr="00AA3319">
              <w:rPr>
                <w:rFonts w:cs="Times New Roman"/>
                <w:szCs w:val="24"/>
                <w:lang w:val="de-DE"/>
              </w:rPr>
              <w:t xml:space="preserve"> </w:t>
            </w:r>
            <w:r w:rsidRPr="00AA3319">
              <w:rPr>
                <w:rFonts w:cs="Times New Roman"/>
                <w:szCs w:val="24"/>
                <w:lang w:val="de-DE"/>
              </w:rPr>
              <w:t>Beurs</w:t>
            </w:r>
          </w:p>
          <w:p w14:paraId="66F0D4C3" w14:textId="77777777" w:rsidR="00686613" w:rsidRPr="00AA3319" w:rsidRDefault="00686613" w:rsidP="006E2151">
            <w:pPr>
              <w:jc w:val="right"/>
              <w:rPr>
                <w:rFonts w:cs="Times New Roman"/>
                <w:szCs w:val="24"/>
              </w:rPr>
            </w:pPr>
          </w:p>
        </w:tc>
      </w:tr>
      <w:tr w:rsidR="00686613" w:rsidRPr="00AA3319" w14:paraId="148F8975" w14:textId="77777777" w:rsidTr="00E926CD">
        <w:tc>
          <w:tcPr>
            <w:tcW w:w="5220" w:type="dxa"/>
          </w:tcPr>
          <w:p w14:paraId="092DC3E8" w14:textId="77777777" w:rsidR="00686613" w:rsidRPr="00AA3319" w:rsidRDefault="00686613" w:rsidP="006E2151">
            <w:pPr>
              <w:jc w:val="center"/>
              <w:rPr>
                <w:rFonts w:cs="Times New Roman"/>
                <w:szCs w:val="24"/>
              </w:rPr>
            </w:pPr>
          </w:p>
        </w:tc>
        <w:tc>
          <w:tcPr>
            <w:tcW w:w="3410" w:type="dxa"/>
          </w:tcPr>
          <w:p w14:paraId="3BC1423F" w14:textId="77777777" w:rsidR="00686613" w:rsidRPr="00AA3319" w:rsidRDefault="00686613" w:rsidP="006E2151">
            <w:pPr>
              <w:jc w:val="right"/>
              <w:rPr>
                <w:rFonts w:cs="Times New Roman"/>
                <w:szCs w:val="24"/>
                <w:lang w:val="de-DE"/>
              </w:rPr>
            </w:pPr>
            <w:r w:rsidRPr="00AA3319">
              <w:rPr>
                <w:rFonts w:cs="Times New Roman"/>
                <w:szCs w:val="24"/>
                <w:lang w:val="de-DE"/>
              </w:rPr>
              <w:t>Dr. John S. Greene</w:t>
            </w:r>
          </w:p>
          <w:p w14:paraId="00172FC0" w14:textId="77777777" w:rsidR="00686613" w:rsidRPr="00AA3319" w:rsidRDefault="00686613" w:rsidP="006E2151">
            <w:pPr>
              <w:jc w:val="right"/>
              <w:rPr>
                <w:rFonts w:cs="Times New Roman"/>
                <w:szCs w:val="24"/>
              </w:rPr>
            </w:pPr>
          </w:p>
        </w:tc>
      </w:tr>
      <w:tr w:rsidR="00686613" w:rsidRPr="00AA3319" w14:paraId="4B922A00" w14:textId="77777777" w:rsidTr="00E926CD">
        <w:tc>
          <w:tcPr>
            <w:tcW w:w="5220" w:type="dxa"/>
          </w:tcPr>
          <w:p w14:paraId="61990387" w14:textId="77777777" w:rsidR="00686613" w:rsidRPr="00AA3319" w:rsidRDefault="00686613" w:rsidP="006E2151">
            <w:pPr>
              <w:jc w:val="center"/>
              <w:rPr>
                <w:rFonts w:cs="Times New Roman"/>
                <w:szCs w:val="24"/>
              </w:rPr>
            </w:pPr>
          </w:p>
        </w:tc>
        <w:tc>
          <w:tcPr>
            <w:tcW w:w="3410" w:type="dxa"/>
          </w:tcPr>
          <w:p w14:paraId="4629381D" w14:textId="77777777" w:rsidR="00686613" w:rsidRPr="00AA3319" w:rsidRDefault="00686613" w:rsidP="006E2151">
            <w:pPr>
              <w:jc w:val="right"/>
              <w:rPr>
                <w:rFonts w:cs="Times New Roman"/>
                <w:szCs w:val="24"/>
                <w:lang w:val="de-DE"/>
              </w:rPr>
            </w:pPr>
            <w:r w:rsidRPr="00AA3319">
              <w:rPr>
                <w:rFonts w:cs="Times New Roman"/>
                <w:szCs w:val="24"/>
                <w:lang w:val="de-DE"/>
              </w:rPr>
              <w:t>Dr. Katherine Hirschfeld</w:t>
            </w:r>
          </w:p>
          <w:p w14:paraId="365A91A5" w14:textId="77777777" w:rsidR="00686613" w:rsidRPr="00AA3319" w:rsidRDefault="00686613" w:rsidP="006E2151">
            <w:pPr>
              <w:jc w:val="right"/>
              <w:rPr>
                <w:rFonts w:cs="Times New Roman"/>
                <w:szCs w:val="24"/>
              </w:rPr>
            </w:pPr>
          </w:p>
        </w:tc>
      </w:tr>
    </w:tbl>
    <w:p w14:paraId="416231A5" w14:textId="77777777" w:rsidR="00686613" w:rsidRPr="00AA3319" w:rsidRDefault="00686613" w:rsidP="00686613">
      <w:pPr>
        <w:jc w:val="center"/>
        <w:rPr>
          <w:rFonts w:cs="Times New Roman"/>
          <w:szCs w:val="24"/>
        </w:rPr>
      </w:pPr>
    </w:p>
    <w:p w14:paraId="6F175324" w14:textId="77777777" w:rsidR="00686613" w:rsidRPr="00AA3319" w:rsidRDefault="00686613" w:rsidP="00686613">
      <w:pPr>
        <w:jc w:val="center"/>
        <w:rPr>
          <w:rFonts w:cs="Times New Roman"/>
          <w:szCs w:val="24"/>
        </w:rPr>
      </w:pPr>
    </w:p>
    <w:p w14:paraId="08CBE9CF" w14:textId="1C99A9BB" w:rsidR="00686613" w:rsidRPr="00AA3319" w:rsidRDefault="00686613" w:rsidP="00552B02">
      <w:pPr>
        <w:rPr>
          <w:rFonts w:cs="Times New Roman"/>
          <w:szCs w:val="24"/>
        </w:rPr>
      </w:pPr>
    </w:p>
    <w:p w14:paraId="11D55AAE" w14:textId="77777777" w:rsidR="00686613" w:rsidRPr="00AA3319" w:rsidRDefault="00686613" w:rsidP="00686613">
      <w:pPr>
        <w:rPr>
          <w:rFonts w:cs="Times New Roman"/>
          <w:szCs w:val="24"/>
          <w:lang w:val="de-DE"/>
        </w:rPr>
      </w:pPr>
    </w:p>
    <w:p w14:paraId="41048CB1" w14:textId="77777777" w:rsidR="00686613" w:rsidRPr="00AA3319" w:rsidRDefault="00686613" w:rsidP="00686613">
      <w:pPr>
        <w:rPr>
          <w:rFonts w:cs="Times New Roman"/>
          <w:szCs w:val="24"/>
          <w:lang w:val="de-DE"/>
        </w:rPr>
      </w:pPr>
    </w:p>
    <w:p w14:paraId="66964714" w14:textId="77777777" w:rsidR="00686613" w:rsidRPr="00AA3319" w:rsidRDefault="00686613" w:rsidP="00686613">
      <w:pPr>
        <w:rPr>
          <w:rFonts w:cs="Times New Roman"/>
          <w:szCs w:val="24"/>
          <w:lang w:val="de-DE"/>
        </w:rPr>
      </w:pPr>
    </w:p>
    <w:p w14:paraId="2E31AFDF" w14:textId="77777777" w:rsidR="00686613" w:rsidRPr="00AA3319" w:rsidRDefault="00686613" w:rsidP="00686613">
      <w:pPr>
        <w:rPr>
          <w:rFonts w:cs="Times New Roman"/>
          <w:szCs w:val="24"/>
          <w:lang w:val="de-DE"/>
        </w:rPr>
      </w:pPr>
    </w:p>
    <w:p w14:paraId="4334BD2D" w14:textId="77777777" w:rsidR="00686613" w:rsidRPr="00AA3319" w:rsidRDefault="00686613" w:rsidP="00686613">
      <w:pPr>
        <w:rPr>
          <w:rFonts w:cs="Times New Roman"/>
          <w:szCs w:val="24"/>
          <w:lang w:val="de-DE"/>
        </w:rPr>
      </w:pPr>
    </w:p>
    <w:p w14:paraId="594A45E8" w14:textId="77777777" w:rsidR="00686613" w:rsidRPr="00AA3319" w:rsidRDefault="00686613" w:rsidP="00686613">
      <w:pPr>
        <w:rPr>
          <w:rFonts w:cs="Times New Roman"/>
          <w:szCs w:val="24"/>
          <w:lang w:val="de-DE"/>
        </w:rPr>
      </w:pPr>
    </w:p>
    <w:p w14:paraId="61E5BE4F" w14:textId="77777777" w:rsidR="00686613" w:rsidRPr="00AA3319" w:rsidRDefault="00686613" w:rsidP="00686613">
      <w:pPr>
        <w:rPr>
          <w:rFonts w:cs="Times New Roman"/>
          <w:szCs w:val="24"/>
          <w:lang w:val="de-DE"/>
        </w:rPr>
      </w:pPr>
    </w:p>
    <w:p w14:paraId="45C2D735" w14:textId="77777777" w:rsidR="00686613" w:rsidRPr="00AA3319" w:rsidRDefault="00686613" w:rsidP="00686613">
      <w:pPr>
        <w:rPr>
          <w:rFonts w:cs="Times New Roman"/>
          <w:szCs w:val="24"/>
          <w:lang w:val="de-DE"/>
        </w:rPr>
      </w:pPr>
    </w:p>
    <w:p w14:paraId="5EC6E56B" w14:textId="4E113B8E" w:rsidR="00686613" w:rsidRPr="00AA3319" w:rsidRDefault="00686613" w:rsidP="00686613">
      <w:pPr>
        <w:rPr>
          <w:rFonts w:cs="Times New Roman"/>
          <w:szCs w:val="24"/>
          <w:lang w:val="de-DE"/>
        </w:rPr>
      </w:pPr>
    </w:p>
    <w:p w14:paraId="0626A183" w14:textId="130ED9C9" w:rsidR="00552B02" w:rsidRPr="00AA3319" w:rsidRDefault="00552B02" w:rsidP="00686613">
      <w:pPr>
        <w:rPr>
          <w:rFonts w:cs="Times New Roman"/>
          <w:szCs w:val="24"/>
          <w:lang w:val="de-DE"/>
        </w:rPr>
      </w:pPr>
    </w:p>
    <w:p w14:paraId="3BC5BA87" w14:textId="2B91A3F6" w:rsidR="00552B02" w:rsidRPr="00AA3319" w:rsidRDefault="00552B02" w:rsidP="00686613">
      <w:pPr>
        <w:rPr>
          <w:rFonts w:cs="Times New Roman"/>
          <w:szCs w:val="24"/>
          <w:lang w:val="de-DE"/>
        </w:rPr>
      </w:pPr>
    </w:p>
    <w:p w14:paraId="0D4BE2D2" w14:textId="77777777" w:rsidR="00552B02" w:rsidRPr="00AA3319" w:rsidRDefault="00552B02" w:rsidP="00686613">
      <w:pPr>
        <w:rPr>
          <w:rFonts w:cs="Times New Roman"/>
          <w:szCs w:val="24"/>
          <w:lang w:val="de-DE"/>
        </w:rPr>
      </w:pPr>
    </w:p>
    <w:p w14:paraId="0F5C198F" w14:textId="77777777" w:rsidR="00686613" w:rsidRPr="00AA3319" w:rsidRDefault="00686613" w:rsidP="00686613">
      <w:pPr>
        <w:spacing w:line="240" w:lineRule="auto"/>
        <w:jc w:val="right"/>
        <w:rPr>
          <w:rFonts w:cs="Times New Roman"/>
          <w:szCs w:val="24"/>
          <w:lang w:val="de-DE"/>
        </w:rPr>
      </w:pPr>
    </w:p>
    <w:p w14:paraId="5B4D34B3" w14:textId="77777777" w:rsidR="00686613" w:rsidRPr="00AA3319" w:rsidRDefault="00686613" w:rsidP="00686613">
      <w:pPr>
        <w:spacing w:line="240" w:lineRule="auto"/>
        <w:jc w:val="center"/>
        <w:rPr>
          <w:rFonts w:cs="Times New Roman"/>
          <w:szCs w:val="24"/>
        </w:rPr>
      </w:pPr>
      <w:r w:rsidRPr="00AA3319">
        <w:rPr>
          <w:rFonts w:cs="Times New Roman"/>
          <w:szCs w:val="24"/>
        </w:rPr>
        <w:t>© Copyright by ANDREA MCMAHON 2021</w:t>
      </w:r>
    </w:p>
    <w:p w14:paraId="3BEBA83F" w14:textId="235B0F29" w:rsidR="00686613" w:rsidRPr="00AA3319" w:rsidRDefault="00686613" w:rsidP="00686613">
      <w:pPr>
        <w:spacing w:line="240" w:lineRule="auto"/>
        <w:jc w:val="center"/>
        <w:rPr>
          <w:rFonts w:cs="Times New Roman"/>
          <w:szCs w:val="24"/>
        </w:rPr>
      </w:pPr>
      <w:r w:rsidRPr="00AA3319">
        <w:rPr>
          <w:rFonts w:cs="Times New Roman"/>
          <w:szCs w:val="24"/>
        </w:rPr>
        <w:t>All Rights Reserved.</w:t>
      </w:r>
    </w:p>
    <w:p w14:paraId="77616C7C" w14:textId="6F8BD405" w:rsidR="00686613" w:rsidRPr="00AA3319" w:rsidRDefault="00686613" w:rsidP="00686613">
      <w:pPr>
        <w:spacing w:line="240" w:lineRule="auto"/>
        <w:jc w:val="center"/>
        <w:rPr>
          <w:rFonts w:cs="Times New Roman"/>
          <w:szCs w:val="24"/>
        </w:rPr>
      </w:pPr>
    </w:p>
    <w:p w14:paraId="6251B123" w14:textId="76D04190" w:rsidR="00686613" w:rsidRPr="00AA3319" w:rsidRDefault="00686613">
      <w:pPr>
        <w:spacing w:line="259" w:lineRule="auto"/>
        <w:jc w:val="left"/>
        <w:rPr>
          <w:rFonts w:cs="Times New Roman"/>
          <w:szCs w:val="24"/>
        </w:rPr>
      </w:pPr>
    </w:p>
    <w:p w14:paraId="6D1017FD" w14:textId="77777777" w:rsidR="00AF3C34" w:rsidRPr="00AA3319" w:rsidRDefault="00AF3C34" w:rsidP="00686613">
      <w:pPr>
        <w:rPr>
          <w:rFonts w:cs="Times New Roman"/>
          <w:szCs w:val="24"/>
        </w:rPr>
        <w:sectPr w:rsidR="00AF3C34" w:rsidRPr="00AA3319" w:rsidSect="00686613">
          <w:footerReference w:type="first" r:id="rId8"/>
          <w:pgSz w:w="12240" w:h="15840"/>
          <w:pgMar w:top="1440" w:right="1440" w:bottom="1440" w:left="2160" w:header="720" w:footer="720" w:gutter="0"/>
          <w:pgNumType w:fmt="lowerRoman" w:chapStyle="1"/>
          <w:cols w:space="720"/>
          <w:docGrid w:linePitch="360"/>
        </w:sectPr>
      </w:pPr>
    </w:p>
    <w:p w14:paraId="2B160466" w14:textId="77777777" w:rsidR="00E672B9" w:rsidRDefault="00E672B9" w:rsidP="00E672B9">
      <w:pPr>
        <w:spacing w:line="240" w:lineRule="auto"/>
        <w:jc w:val="center"/>
        <w:rPr>
          <w:rFonts w:cs="Times New Roman"/>
          <w:i/>
          <w:iCs/>
          <w:szCs w:val="24"/>
        </w:rPr>
      </w:pPr>
      <w:r w:rsidRPr="007D273E">
        <w:rPr>
          <w:rFonts w:cs="Times New Roman"/>
          <w:i/>
          <w:iCs/>
          <w:szCs w:val="24"/>
        </w:rPr>
        <w:lastRenderedPageBreak/>
        <w:t xml:space="preserve">To all the women who have come before me and have trodden the path </w:t>
      </w:r>
    </w:p>
    <w:p w14:paraId="06B39566" w14:textId="77777777" w:rsidR="00E672B9" w:rsidRPr="00AA3319" w:rsidRDefault="00E672B9" w:rsidP="00E672B9">
      <w:pPr>
        <w:spacing w:line="240" w:lineRule="auto"/>
        <w:jc w:val="center"/>
        <w:rPr>
          <w:rFonts w:cs="Times New Roman"/>
          <w:b/>
          <w:bCs/>
          <w:szCs w:val="24"/>
        </w:rPr>
      </w:pPr>
      <w:r w:rsidRPr="007D273E">
        <w:rPr>
          <w:rFonts w:cs="Times New Roman"/>
          <w:i/>
          <w:iCs/>
          <w:szCs w:val="24"/>
        </w:rPr>
        <w:t>on which I now walk.</w:t>
      </w:r>
    </w:p>
    <w:p w14:paraId="7A730F11" w14:textId="32772373" w:rsidR="00E672B9" w:rsidRDefault="00E672B9">
      <w:pPr>
        <w:spacing w:line="259" w:lineRule="auto"/>
        <w:jc w:val="left"/>
        <w:rPr>
          <w:rFonts w:eastAsiaTheme="majorEastAsia" w:cs="Times New Roman"/>
          <w:sz w:val="36"/>
          <w:szCs w:val="32"/>
        </w:rPr>
      </w:pPr>
      <w:r>
        <w:rPr>
          <w:rFonts w:cs="Times New Roman"/>
        </w:rPr>
        <w:br w:type="page"/>
      </w:r>
    </w:p>
    <w:p w14:paraId="573A2D47" w14:textId="1F7584C4" w:rsidR="00B779CC" w:rsidRPr="00AA3319" w:rsidRDefault="00B779CC" w:rsidP="00932EE3">
      <w:pPr>
        <w:pStyle w:val="Heading1"/>
        <w:numPr>
          <w:ilvl w:val="0"/>
          <w:numId w:val="0"/>
        </w:numPr>
        <w:ind w:left="432" w:hanging="432"/>
        <w:jc w:val="center"/>
        <w:rPr>
          <w:rFonts w:cs="Times New Roman"/>
        </w:rPr>
      </w:pPr>
      <w:bookmarkStart w:id="0" w:name="_Toc78889176"/>
      <w:r w:rsidRPr="00AA3319">
        <w:rPr>
          <w:rFonts w:cs="Times New Roman"/>
        </w:rPr>
        <w:lastRenderedPageBreak/>
        <w:t>Acknowledgements</w:t>
      </w:r>
      <w:bookmarkEnd w:id="0"/>
    </w:p>
    <w:p w14:paraId="35AD5D13" w14:textId="77777777" w:rsidR="00020C46" w:rsidRPr="00AA3319" w:rsidRDefault="00020C46" w:rsidP="00020C46">
      <w:pPr>
        <w:rPr>
          <w:rFonts w:cs="Times New Roman"/>
          <w:szCs w:val="24"/>
        </w:rPr>
      </w:pPr>
      <w:r w:rsidRPr="00AA3319">
        <w:rPr>
          <w:rFonts w:cs="Times New Roman"/>
          <w:szCs w:val="24"/>
        </w:rPr>
        <w:t xml:space="preserve">Over the course of the last five years, I have received tremendous support from so many people, and I want to express my deepest gratitude to all of them. </w:t>
      </w:r>
    </w:p>
    <w:p w14:paraId="56D86CAE" w14:textId="77777777" w:rsidR="00020C46" w:rsidRPr="00AA3319" w:rsidRDefault="00020C46" w:rsidP="00020C46">
      <w:pPr>
        <w:rPr>
          <w:rFonts w:cs="Times New Roman"/>
          <w:szCs w:val="24"/>
        </w:rPr>
      </w:pPr>
      <w:r w:rsidRPr="00AA3319">
        <w:rPr>
          <w:rFonts w:cs="Times New Roman"/>
          <w:szCs w:val="24"/>
        </w:rPr>
        <w:t>First and foremost, I would like to thank my advisor Dr. Michael Wimberly. They say an advisor can make or break the PhD experience. I sincerely want to thank you for giving me the opportunity to do this exciting research, and for your patience and ongoing support without which I would not have made it to this point.</w:t>
      </w:r>
    </w:p>
    <w:p w14:paraId="47CE33B1" w14:textId="46524701" w:rsidR="00020C46" w:rsidRPr="00AA3319" w:rsidRDefault="00020C46" w:rsidP="00020C46">
      <w:pPr>
        <w:rPr>
          <w:rFonts w:cs="Times New Roman"/>
          <w:szCs w:val="24"/>
        </w:rPr>
      </w:pPr>
      <w:r w:rsidRPr="00AA3319">
        <w:rPr>
          <w:rFonts w:cs="Times New Roman"/>
          <w:szCs w:val="24"/>
        </w:rPr>
        <w:t xml:space="preserve">I would also like to thank my committee members, each of whom has supported me on different segments of my PhD journey. I would like to thank Dr. Geoffrey Henebry and Dr. Michael Hildreth who served on my committee during my </w:t>
      </w:r>
      <w:r w:rsidR="004126B8" w:rsidRPr="00AA3319">
        <w:rPr>
          <w:rFonts w:cs="Times New Roman"/>
          <w:szCs w:val="24"/>
        </w:rPr>
        <w:t>time</w:t>
      </w:r>
      <w:r w:rsidRPr="00AA3319">
        <w:rPr>
          <w:rFonts w:cs="Times New Roman"/>
          <w:szCs w:val="24"/>
        </w:rPr>
        <w:t xml:space="preserve"> at South Dakota State University and who have been supporting in framing my research ideas. I would also like to thank all of my committee members at the University of Oklahoma: Drs. Kirsten de Beurs, Katherine Hirschfeld, Scott Greene, Hernan Moreno, and Matthew Miller. I thank you all for your time, your support, and your insightful advice. Special shout out to those who served on my committee during my last year. Writing a dissertation is hard</w:t>
      </w:r>
      <w:r w:rsidR="00B77F32">
        <w:rPr>
          <w:rFonts w:cs="Times New Roman"/>
          <w:szCs w:val="24"/>
        </w:rPr>
        <w:t xml:space="preserve"> </w:t>
      </w:r>
      <w:r w:rsidRPr="00AA3319">
        <w:rPr>
          <w:rFonts w:cs="Times New Roman"/>
          <w:szCs w:val="24"/>
        </w:rPr>
        <w:t xml:space="preserve">and writing one during a global pandemic is even harder. I am tremendously grateful for how flexible and supportive you all were during this time. </w:t>
      </w:r>
    </w:p>
    <w:p w14:paraId="4CA1D708" w14:textId="77777777" w:rsidR="00020C46" w:rsidRPr="00AA3319" w:rsidRDefault="00020C46" w:rsidP="00020C46">
      <w:pPr>
        <w:rPr>
          <w:rFonts w:cs="Times New Roman"/>
          <w:szCs w:val="24"/>
        </w:rPr>
      </w:pPr>
      <w:r w:rsidRPr="00AA3319">
        <w:rPr>
          <w:rFonts w:cs="Times New Roman"/>
          <w:szCs w:val="24"/>
        </w:rPr>
        <w:t xml:space="preserve">Any of this work in this dissertation would have been impossible without all those who were involved as co-authors in each of the case studies, and I wholeheartedly want to thank them as well. This includes Dr. Justin Davis who always had an open ear for questions of a statistical nature, Dr. Caio França who helped me learn how to identify mosquitoes, and </w:t>
      </w:r>
      <w:r w:rsidRPr="00AA3319">
        <w:rPr>
          <w:rFonts w:cs="Times New Roman"/>
          <w:szCs w:val="24"/>
        </w:rPr>
        <w:lastRenderedPageBreak/>
        <w:t>our colleagues in Ethiopia who made our malaria research possible: Dr. Abere Mihretie, Adem Agmas Ahmed, Mastewal Lake, and Worku Awoke.</w:t>
      </w:r>
    </w:p>
    <w:p w14:paraId="77C31D8D" w14:textId="6A30F137" w:rsidR="00020C46" w:rsidRPr="00AA3319" w:rsidRDefault="00020C46" w:rsidP="00020C46">
      <w:pPr>
        <w:rPr>
          <w:rFonts w:cs="Times New Roman"/>
          <w:szCs w:val="24"/>
        </w:rPr>
      </w:pPr>
      <w:r w:rsidRPr="00AA3319">
        <w:rPr>
          <w:rFonts w:cs="Times New Roman"/>
          <w:szCs w:val="24"/>
        </w:rPr>
        <w:t xml:space="preserve">A very big thank you also goes to past and present EcoGRAPH Lab members who gave valuable feedback during lab meetings and were always there when I needed help. Special thanks go to Dr. Dawn Nekorchuk who has been endlessly supportive and has become a </w:t>
      </w:r>
      <w:r w:rsidR="00813164" w:rsidRPr="00AA3319">
        <w:rPr>
          <w:rFonts w:cs="Times New Roman"/>
          <w:szCs w:val="24"/>
        </w:rPr>
        <w:t>dear</w:t>
      </w:r>
      <w:r w:rsidRPr="00AA3319">
        <w:rPr>
          <w:rFonts w:cs="Times New Roman"/>
          <w:szCs w:val="24"/>
        </w:rPr>
        <w:t xml:space="preserve"> friend.</w:t>
      </w:r>
    </w:p>
    <w:p w14:paraId="1351ADA6" w14:textId="27033C96" w:rsidR="00020C46" w:rsidRPr="00AA3319" w:rsidRDefault="00020C46" w:rsidP="00020C46">
      <w:pPr>
        <w:rPr>
          <w:rFonts w:cs="Times New Roman"/>
          <w:szCs w:val="24"/>
        </w:rPr>
      </w:pPr>
      <w:r w:rsidRPr="00AA3319">
        <w:rPr>
          <w:rFonts w:cs="Times New Roman"/>
          <w:szCs w:val="24"/>
        </w:rPr>
        <w:t>And since I transferred half-way through my studies, I would like to thank everybody at the Geospatial Sciences Center of Excellence at SDSU and at the Department of Geography and Environmental Sustainability at OU. This goes to faculty members for teaching such interesting classes, to department staff who relentlessly help with every problem graduate student</w:t>
      </w:r>
      <w:r w:rsidR="004126B8" w:rsidRPr="00AA3319">
        <w:rPr>
          <w:rFonts w:cs="Times New Roman"/>
          <w:szCs w:val="24"/>
        </w:rPr>
        <w:t>s</w:t>
      </w:r>
      <w:r w:rsidRPr="00AA3319">
        <w:rPr>
          <w:rFonts w:cs="Times New Roman"/>
          <w:szCs w:val="24"/>
        </w:rPr>
        <w:t xml:space="preserve"> come up with, and to fellow students who have become great friends along the way.</w:t>
      </w:r>
    </w:p>
    <w:p w14:paraId="3F7F83DC" w14:textId="77777777" w:rsidR="00020C46" w:rsidRPr="00AA3319" w:rsidRDefault="00020C46" w:rsidP="00020C46">
      <w:pPr>
        <w:rPr>
          <w:rFonts w:cs="Times New Roman"/>
          <w:szCs w:val="24"/>
        </w:rPr>
      </w:pPr>
      <w:r w:rsidRPr="00AA3319">
        <w:rPr>
          <w:rFonts w:cs="Times New Roman"/>
          <w:szCs w:val="24"/>
        </w:rPr>
        <w:t>Last but not least, I want to thank my biggest champions: my parents who are always there for me even when I’m far away, my PhD support puppy Hazel whose cold snout is what gets me up in the morning, and of course my husband Kenny who quit his job to be with me while I worked on my degree and who was crazy enough to marry me during a pandemic.</w:t>
      </w:r>
    </w:p>
    <w:p w14:paraId="408D6090" w14:textId="77777777" w:rsidR="00B779CC" w:rsidRPr="00AA3319" w:rsidRDefault="00B779CC" w:rsidP="00B779CC">
      <w:pPr>
        <w:jc w:val="center"/>
        <w:rPr>
          <w:rFonts w:cs="Times New Roman"/>
          <w:szCs w:val="24"/>
        </w:rPr>
      </w:pPr>
    </w:p>
    <w:p w14:paraId="0ABE5D37" w14:textId="77777777" w:rsidR="00B779CC" w:rsidRPr="00AA3319" w:rsidRDefault="00B779CC" w:rsidP="00B779CC">
      <w:pPr>
        <w:jc w:val="center"/>
        <w:rPr>
          <w:rFonts w:cs="Times New Roman"/>
          <w:szCs w:val="24"/>
        </w:rPr>
      </w:pPr>
    </w:p>
    <w:p w14:paraId="164211D5" w14:textId="77777777" w:rsidR="00B779CC" w:rsidRPr="00AA3319" w:rsidRDefault="00B779CC" w:rsidP="009674C4">
      <w:pPr>
        <w:rPr>
          <w:rFonts w:cs="Times New Roman"/>
          <w:szCs w:val="24"/>
        </w:rPr>
      </w:pPr>
      <w:r w:rsidRPr="00AA3319">
        <w:rPr>
          <w:rFonts w:cs="Times New Roman"/>
        </w:rPr>
        <w:br w:type="page"/>
      </w:r>
    </w:p>
    <w:sdt>
      <w:sdtPr>
        <w:rPr>
          <w:rFonts w:eastAsiaTheme="minorHAnsi" w:cs="Times New Roman"/>
          <w:sz w:val="24"/>
          <w:szCs w:val="22"/>
        </w:rPr>
        <w:id w:val="-793362635"/>
        <w:docPartObj>
          <w:docPartGallery w:val="Table of Contents"/>
          <w:docPartUnique/>
        </w:docPartObj>
      </w:sdtPr>
      <w:sdtEndPr>
        <w:rPr>
          <w:b/>
          <w:bCs/>
          <w:noProof/>
        </w:rPr>
      </w:sdtEndPr>
      <w:sdtContent>
        <w:p w14:paraId="7092F64F" w14:textId="7ED91085" w:rsidR="004762E0" w:rsidRPr="00AA3319" w:rsidRDefault="004762E0" w:rsidP="00BE7C0C">
          <w:pPr>
            <w:pStyle w:val="TOCHeading"/>
            <w:numPr>
              <w:ilvl w:val="0"/>
              <w:numId w:val="0"/>
            </w:numPr>
            <w:ind w:left="432" w:hanging="432"/>
            <w:rPr>
              <w:rFonts w:cs="Times New Roman"/>
            </w:rPr>
          </w:pPr>
          <w:r w:rsidRPr="00AA3319">
            <w:rPr>
              <w:rFonts w:cs="Times New Roman"/>
            </w:rPr>
            <w:t>Contents</w:t>
          </w:r>
        </w:p>
        <w:p w14:paraId="29FD0BB5" w14:textId="041438DB" w:rsidR="00145A92" w:rsidRDefault="00893839">
          <w:pPr>
            <w:pStyle w:val="TOC1"/>
            <w:rPr>
              <w:rFonts w:asciiTheme="minorHAnsi" w:eastAsiaTheme="minorEastAsia" w:hAnsiTheme="minorHAnsi"/>
              <w:b w:val="0"/>
              <w:noProof/>
              <w:sz w:val="22"/>
            </w:rPr>
          </w:pPr>
          <w:r w:rsidRPr="00AA3319">
            <w:rPr>
              <w:rFonts w:cs="Times New Roman"/>
            </w:rPr>
            <w:fldChar w:fldCharType="begin"/>
          </w:r>
          <w:r w:rsidRPr="00AA3319">
            <w:rPr>
              <w:rFonts w:cs="Times New Roman"/>
            </w:rPr>
            <w:instrText xml:space="preserve"> TOC \o "1-3" \u </w:instrText>
          </w:r>
          <w:r w:rsidRPr="00AA3319">
            <w:rPr>
              <w:rFonts w:cs="Times New Roman"/>
            </w:rPr>
            <w:fldChar w:fldCharType="separate"/>
          </w:r>
          <w:r w:rsidR="00145A92" w:rsidRPr="0074089D">
            <w:rPr>
              <w:rFonts w:cs="Times New Roman"/>
              <w:noProof/>
            </w:rPr>
            <w:t>Acknowledgements</w:t>
          </w:r>
          <w:r w:rsidR="00145A92">
            <w:rPr>
              <w:noProof/>
            </w:rPr>
            <w:tab/>
          </w:r>
          <w:r w:rsidR="00145A92">
            <w:rPr>
              <w:noProof/>
            </w:rPr>
            <w:fldChar w:fldCharType="begin"/>
          </w:r>
          <w:r w:rsidR="00145A92">
            <w:rPr>
              <w:noProof/>
            </w:rPr>
            <w:instrText xml:space="preserve"> PAGEREF _Toc78889176 \h </w:instrText>
          </w:r>
          <w:r w:rsidR="00145A92">
            <w:rPr>
              <w:noProof/>
            </w:rPr>
          </w:r>
          <w:r w:rsidR="00145A92">
            <w:rPr>
              <w:noProof/>
            </w:rPr>
            <w:fldChar w:fldCharType="separate"/>
          </w:r>
          <w:r w:rsidR="00F243F7">
            <w:rPr>
              <w:noProof/>
            </w:rPr>
            <w:t>v</w:t>
          </w:r>
          <w:r w:rsidR="00145A92">
            <w:rPr>
              <w:noProof/>
            </w:rPr>
            <w:fldChar w:fldCharType="end"/>
          </w:r>
        </w:p>
        <w:p w14:paraId="6BB6F37F" w14:textId="2445C2B0" w:rsidR="00145A92" w:rsidRDefault="00145A92">
          <w:pPr>
            <w:pStyle w:val="TOC1"/>
            <w:rPr>
              <w:rFonts w:asciiTheme="minorHAnsi" w:eastAsiaTheme="minorEastAsia" w:hAnsiTheme="minorHAnsi"/>
              <w:b w:val="0"/>
              <w:noProof/>
              <w:sz w:val="22"/>
            </w:rPr>
          </w:pPr>
          <w:r w:rsidRPr="0074089D">
            <w:rPr>
              <w:rFonts w:cs="Times New Roman"/>
              <w:noProof/>
            </w:rPr>
            <w:t>List of Tables</w:t>
          </w:r>
          <w:r>
            <w:rPr>
              <w:noProof/>
            </w:rPr>
            <w:tab/>
          </w:r>
          <w:r>
            <w:rPr>
              <w:noProof/>
            </w:rPr>
            <w:fldChar w:fldCharType="begin"/>
          </w:r>
          <w:r>
            <w:rPr>
              <w:noProof/>
            </w:rPr>
            <w:instrText xml:space="preserve"> PAGEREF _Toc78889177 \h </w:instrText>
          </w:r>
          <w:r>
            <w:rPr>
              <w:noProof/>
            </w:rPr>
          </w:r>
          <w:r>
            <w:rPr>
              <w:noProof/>
            </w:rPr>
            <w:fldChar w:fldCharType="separate"/>
          </w:r>
          <w:r w:rsidR="00F243F7">
            <w:rPr>
              <w:noProof/>
            </w:rPr>
            <w:t>x</w:t>
          </w:r>
          <w:r>
            <w:rPr>
              <w:noProof/>
            </w:rPr>
            <w:fldChar w:fldCharType="end"/>
          </w:r>
        </w:p>
        <w:p w14:paraId="64A839AF" w14:textId="7F78DDA8" w:rsidR="00145A92" w:rsidRDefault="00145A92">
          <w:pPr>
            <w:pStyle w:val="TOC1"/>
            <w:rPr>
              <w:rFonts w:asciiTheme="minorHAnsi" w:eastAsiaTheme="minorEastAsia" w:hAnsiTheme="minorHAnsi"/>
              <w:b w:val="0"/>
              <w:noProof/>
              <w:sz w:val="22"/>
            </w:rPr>
          </w:pPr>
          <w:r w:rsidRPr="0074089D">
            <w:rPr>
              <w:rFonts w:cs="Times New Roman"/>
              <w:noProof/>
            </w:rPr>
            <w:t>List of Figures</w:t>
          </w:r>
          <w:r>
            <w:rPr>
              <w:noProof/>
            </w:rPr>
            <w:tab/>
          </w:r>
          <w:r>
            <w:rPr>
              <w:noProof/>
            </w:rPr>
            <w:fldChar w:fldCharType="begin"/>
          </w:r>
          <w:r>
            <w:rPr>
              <w:noProof/>
            </w:rPr>
            <w:instrText xml:space="preserve"> PAGEREF _Toc78889178 \h </w:instrText>
          </w:r>
          <w:r>
            <w:rPr>
              <w:noProof/>
            </w:rPr>
          </w:r>
          <w:r>
            <w:rPr>
              <w:noProof/>
            </w:rPr>
            <w:fldChar w:fldCharType="separate"/>
          </w:r>
          <w:r w:rsidR="00F243F7">
            <w:rPr>
              <w:noProof/>
            </w:rPr>
            <w:t>xi</w:t>
          </w:r>
          <w:r>
            <w:rPr>
              <w:noProof/>
            </w:rPr>
            <w:fldChar w:fldCharType="end"/>
          </w:r>
        </w:p>
        <w:p w14:paraId="24B9D3CE" w14:textId="57406714" w:rsidR="00145A92" w:rsidRDefault="00145A92">
          <w:pPr>
            <w:pStyle w:val="TOC1"/>
            <w:rPr>
              <w:rFonts w:asciiTheme="minorHAnsi" w:eastAsiaTheme="minorEastAsia" w:hAnsiTheme="minorHAnsi"/>
              <w:b w:val="0"/>
              <w:noProof/>
              <w:sz w:val="22"/>
            </w:rPr>
          </w:pPr>
          <w:r w:rsidRPr="0074089D">
            <w:rPr>
              <w:rFonts w:cs="Times New Roman"/>
              <w:noProof/>
            </w:rPr>
            <w:t>Abstract</w:t>
          </w:r>
          <w:r>
            <w:rPr>
              <w:noProof/>
            </w:rPr>
            <w:tab/>
          </w:r>
          <w:r>
            <w:rPr>
              <w:noProof/>
            </w:rPr>
            <w:fldChar w:fldCharType="begin"/>
          </w:r>
          <w:r>
            <w:rPr>
              <w:noProof/>
            </w:rPr>
            <w:instrText xml:space="preserve"> PAGEREF _Toc78889179 \h </w:instrText>
          </w:r>
          <w:r>
            <w:rPr>
              <w:noProof/>
            </w:rPr>
          </w:r>
          <w:r>
            <w:rPr>
              <w:noProof/>
            </w:rPr>
            <w:fldChar w:fldCharType="separate"/>
          </w:r>
          <w:r w:rsidR="00F243F7">
            <w:rPr>
              <w:noProof/>
            </w:rPr>
            <w:t>xiv</w:t>
          </w:r>
          <w:r>
            <w:rPr>
              <w:noProof/>
            </w:rPr>
            <w:fldChar w:fldCharType="end"/>
          </w:r>
        </w:p>
        <w:p w14:paraId="07FF4887" w14:textId="2F7C7ECD" w:rsidR="00145A92" w:rsidRDefault="00145A92">
          <w:pPr>
            <w:pStyle w:val="TOC1"/>
            <w:rPr>
              <w:rFonts w:asciiTheme="minorHAnsi" w:eastAsiaTheme="minorEastAsia" w:hAnsiTheme="minorHAnsi"/>
              <w:b w:val="0"/>
              <w:noProof/>
              <w:sz w:val="22"/>
            </w:rPr>
          </w:pPr>
          <w:r w:rsidRPr="0074089D">
            <w:rPr>
              <w:rFonts w:cs="Times New Roman"/>
              <w:noProof/>
            </w:rPr>
            <w:t>1</w:t>
          </w:r>
          <w:r>
            <w:rPr>
              <w:rFonts w:asciiTheme="minorHAnsi" w:eastAsiaTheme="minorEastAsia" w:hAnsiTheme="minorHAnsi"/>
              <w:b w:val="0"/>
              <w:noProof/>
              <w:sz w:val="22"/>
            </w:rPr>
            <w:tab/>
          </w:r>
          <w:r w:rsidRPr="0074089D">
            <w:rPr>
              <w:rFonts w:cs="Times New Roman"/>
              <w:noProof/>
            </w:rPr>
            <w:t>Introduction</w:t>
          </w:r>
          <w:r>
            <w:rPr>
              <w:noProof/>
            </w:rPr>
            <w:tab/>
          </w:r>
          <w:r>
            <w:rPr>
              <w:noProof/>
            </w:rPr>
            <w:fldChar w:fldCharType="begin"/>
          </w:r>
          <w:r>
            <w:rPr>
              <w:noProof/>
            </w:rPr>
            <w:instrText xml:space="preserve"> PAGEREF _Toc78889180 \h </w:instrText>
          </w:r>
          <w:r>
            <w:rPr>
              <w:noProof/>
            </w:rPr>
          </w:r>
          <w:r>
            <w:rPr>
              <w:noProof/>
            </w:rPr>
            <w:fldChar w:fldCharType="separate"/>
          </w:r>
          <w:r w:rsidR="00F243F7">
            <w:rPr>
              <w:noProof/>
            </w:rPr>
            <w:t>1</w:t>
          </w:r>
          <w:r>
            <w:rPr>
              <w:noProof/>
            </w:rPr>
            <w:fldChar w:fldCharType="end"/>
          </w:r>
        </w:p>
        <w:p w14:paraId="678E097B" w14:textId="25AB633F" w:rsidR="00145A92" w:rsidRDefault="00145A92">
          <w:pPr>
            <w:pStyle w:val="TOC2"/>
            <w:rPr>
              <w:rFonts w:asciiTheme="minorHAnsi" w:eastAsiaTheme="minorEastAsia" w:hAnsiTheme="minorHAnsi"/>
              <w:noProof/>
              <w:sz w:val="22"/>
            </w:rPr>
          </w:pPr>
          <w:r w:rsidRPr="0074089D">
            <w:rPr>
              <w:rFonts w:cs="Times New Roman"/>
              <w:bCs/>
              <w:noProof/>
            </w:rPr>
            <w:t>1.1</w:t>
          </w:r>
          <w:r>
            <w:rPr>
              <w:rFonts w:asciiTheme="minorHAnsi" w:eastAsiaTheme="minorEastAsia" w:hAnsiTheme="minorHAnsi"/>
              <w:noProof/>
              <w:sz w:val="22"/>
            </w:rPr>
            <w:tab/>
          </w:r>
          <w:r w:rsidRPr="0074089D">
            <w:rPr>
              <w:rFonts w:cs="Times New Roman"/>
              <w:noProof/>
            </w:rPr>
            <w:t>Challenges in combatting mosquito-borne diseases</w:t>
          </w:r>
          <w:r>
            <w:rPr>
              <w:noProof/>
            </w:rPr>
            <w:tab/>
          </w:r>
          <w:r>
            <w:rPr>
              <w:noProof/>
            </w:rPr>
            <w:fldChar w:fldCharType="begin"/>
          </w:r>
          <w:r>
            <w:rPr>
              <w:noProof/>
            </w:rPr>
            <w:instrText xml:space="preserve"> PAGEREF _Toc78889181 \h </w:instrText>
          </w:r>
          <w:r>
            <w:rPr>
              <w:noProof/>
            </w:rPr>
          </w:r>
          <w:r>
            <w:rPr>
              <w:noProof/>
            </w:rPr>
            <w:fldChar w:fldCharType="separate"/>
          </w:r>
          <w:r w:rsidR="00F243F7">
            <w:rPr>
              <w:noProof/>
            </w:rPr>
            <w:t>2</w:t>
          </w:r>
          <w:r>
            <w:rPr>
              <w:noProof/>
            </w:rPr>
            <w:fldChar w:fldCharType="end"/>
          </w:r>
        </w:p>
        <w:p w14:paraId="4F0E947E" w14:textId="34A6EAA3" w:rsidR="00145A92" w:rsidRDefault="00145A92">
          <w:pPr>
            <w:pStyle w:val="TOC2"/>
            <w:rPr>
              <w:rFonts w:asciiTheme="minorHAnsi" w:eastAsiaTheme="minorEastAsia" w:hAnsiTheme="minorHAnsi"/>
              <w:noProof/>
              <w:sz w:val="22"/>
            </w:rPr>
          </w:pPr>
          <w:r w:rsidRPr="0074089D">
            <w:rPr>
              <w:rFonts w:cs="Times New Roman"/>
              <w:bCs/>
              <w:noProof/>
            </w:rPr>
            <w:t>1.2</w:t>
          </w:r>
          <w:r>
            <w:rPr>
              <w:rFonts w:asciiTheme="minorHAnsi" w:eastAsiaTheme="minorEastAsia" w:hAnsiTheme="minorHAnsi"/>
              <w:noProof/>
              <w:sz w:val="22"/>
            </w:rPr>
            <w:tab/>
          </w:r>
          <w:r w:rsidRPr="0074089D">
            <w:rPr>
              <w:rFonts w:cs="Times New Roman"/>
              <w:noProof/>
            </w:rPr>
            <w:t>Ecology of mosquito-borne diseases on a landscape scale</w:t>
          </w:r>
          <w:r>
            <w:rPr>
              <w:noProof/>
            </w:rPr>
            <w:tab/>
          </w:r>
          <w:r>
            <w:rPr>
              <w:noProof/>
            </w:rPr>
            <w:fldChar w:fldCharType="begin"/>
          </w:r>
          <w:r>
            <w:rPr>
              <w:noProof/>
            </w:rPr>
            <w:instrText xml:space="preserve"> PAGEREF _Toc78889182 \h </w:instrText>
          </w:r>
          <w:r>
            <w:rPr>
              <w:noProof/>
            </w:rPr>
          </w:r>
          <w:r>
            <w:rPr>
              <w:noProof/>
            </w:rPr>
            <w:fldChar w:fldCharType="separate"/>
          </w:r>
          <w:r w:rsidR="00F243F7">
            <w:rPr>
              <w:noProof/>
            </w:rPr>
            <w:t>4</w:t>
          </w:r>
          <w:r>
            <w:rPr>
              <w:noProof/>
            </w:rPr>
            <w:fldChar w:fldCharType="end"/>
          </w:r>
        </w:p>
        <w:p w14:paraId="7D637352" w14:textId="28D6858B" w:rsidR="00145A92" w:rsidRDefault="00145A92">
          <w:pPr>
            <w:pStyle w:val="TOC2"/>
            <w:rPr>
              <w:rFonts w:asciiTheme="minorHAnsi" w:eastAsiaTheme="minorEastAsia" w:hAnsiTheme="minorHAnsi"/>
              <w:noProof/>
              <w:sz w:val="22"/>
            </w:rPr>
          </w:pPr>
          <w:r w:rsidRPr="0074089D">
            <w:rPr>
              <w:rFonts w:cs="Times New Roman"/>
              <w:bCs/>
              <w:noProof/>
            </w:rPr>
            <w:t>1.3</w:t>
          </w:r>
          <w:r>
            <w:rPr>
              <w:rFonts w:asciiTheme="minorHAnsi" w:eastAsiaTheme="minorEastAsia" w:hAnsiTheme="minorHAnsi"/>
              <w:noProof/>
              <w:sz w:val="22"/>
            </w:rPr>
            <w:tab/>
          </w:r>
          <w:r w:rsidRPr="0074089D">
            <w:rPr>
              <w:rFonts w:cs="Times New Roman"/>
              <w:noProof/>
            </w:rPr>
            <w:t>The use of satellite data to study mosquito-borne diseases</w:t>
          </w:r>
          <w:r>
            <w:rPr>
              <w:noProof/>
            </w:rPr>
            <w:tab/>
          </w:r>
          <w:r>
            <w:rPr>
              <w:noProof/>
            </w:rPr>
            <w:fldChar w:fldCharType="begin"/>
          </w:r>
          <w:r>
            <w:rPr>
              <w:noProof/>
            </w:rPr>
            <w:instrText xml:space="preserve"> PAGEREF _Toc78889183 \h </w:instrText>
          </w:r>
          <w:r>
            <w:rPr>
              <w:noProof/>
            </w:rPr>
          </w:r>
          <w:r>
            <w:rPr>
              <w:noProof/>
            </w:rPr>
            <w:fldChar w:fldCharType="separate"/>
          </w:r>
          <w:r w:rsidR="00F243F7">
            <w:rPr>
              <w:noProof/>
            </w:rPr>
            <w:t>7</w:t>
          </w:r>
          <w:r>
            <w:rPr>
              <w:noProof/>
            </w:rPr>
            <w:fldChar w:fldCharType="end"/>
          </w:r>
        </w:p>
        <w:p w14:paraId="6B4C10EA" w14:textId="1EEC6FE6" w:rsidR="00145A92" w:rsidRDefault="00145A92">
          <w:pPr>
            <w:pStyle w:val="TOC2"/>
            <w:rPr>
              <w:rFonts w:asciiTheme="minorHAnsi" w:eastAsiaTheme="minorEastAsia" w:hAnsiTheme="minorHAnsi"/>
              <w:noProof/>
              <w:sz w:val="22"/>
            </w:rPr>
          </w:pPr>
          <w:r w:rsidRPr="0074089D">
            <w:rPr>
              <w:rFonts w:cs="Times New Roman"/>
              <w:bCs/>
              <w:noProof/>
            </w:rPr>
            <w:t>1.4</w:t>
          </w:r>
          <w:r>
            <w:rPr>
              <w:rFonts w:asciiTheme="minorHAnsi" w:eastAsiaTheme="minorEastAsia" w:hAnsiTheme="minorHAnsi"/>
              <w:noProof/>
              <w:sz w:val="22"/>
            </w:rPr>
            <w:tab/>
          </w:r>
          <w:r w:rsidRPr="0074089D">
            <w:rPr>
              <w:rFonts w:cs="Times New Roman"/>
              <w:noProof/>
            </w:rPr>
            <w:t>Research overview</w:t>
          </w:r>
          <w:r>
            <w:rPr>
              <w:noProof/>
            </w:rPr>
            <w:tab/>
          </w:r>
          <w:r>
            <w:rPr>
              <w:noProof/>
            </w:rPr>
            <w:fldChar w:fldCharType="begin"/>
          </w:r>
          <w:r>
            <w:rPr>
              <w:noProof/>
            </w:rPr>
            <w:instrText xml:space="preserve"> PAGEREF _Toc78889184 \h </w:instrText>
          </w:r>
          <w:r>
            <w:rPr>
              <w:noProof/>
            </w:rPr>
          </w:r>
          <w:r>
            <w:rPr>
              <w:noProof/>
            </w:rPr>
            <w:fldChar w:fldCharType="separate"/>
          </w:r>
          <w:r w:rsidR="00F243F7">
            <w:rPr>
              <w:noProof/>
            </w:rPr>
            <w:t>9</w:t>
          </w:r>
          <w:r>
            <w:rPr>
              <w:noProof/>
            </w:rPr>
            <w:fldChar w:fldCharType="end"/>
          </w:r>
        </w:p>
        <w:p w14:paraId="6031D239" w14:textId="22FD8103" w:rsidR="00145A92" w:rsidRDefault="00145A92">
          <w:pPr>
            <w:pStyle w:val="TOC1"/>
            <w:rPr>
              <w:rFonts w:asciiTheme="minorHAnsi" w:eastAsiaTheme="minorEastAsia" w:hAnsiTheme="minorHAnsi"/>
              <w:b w:val="0"/>
              <w:noProof/>
              <w:sz w:val="22"/>
            </w:rPr>
          </w:pPr>
          <w:r w:rsidRPr="0074089D">
            <w:rPr>
              <w:rFonts w:cs="Times New Roman"/>
              <w:bCs/>
              <w:noProof/>
            </w:rPr>
            <w:t>2</w:t>
          </w:r>
          <w:r>
            <w:rPr>
              <w:rFonts w:asciiTheme="minorHAnsi" w:eastAsiaTheme="minorEastAsia" w:hAnsiTheme="minorHAnsi"/>
              <w:b w:val="0"/>
              <w:noProof/>
              <w:sz w:val="22"/>
            </w:rPr>
            <w:tab/>
          </w:r>
          <w:r w:rsidRPr="0074089D">
            <w:rPr>
              <w:rFonts w:cs="Times New Roman"/>
              <w:bCs/>
              <w:noProof/>
            </w:rPr>
            <w:t>Remote sensing of environmental risk factors for malaria in different geographic contexts</w:t>
          </w:r>
          <w:r>
            <w:rPr>
              <w:noProof/>
            </w:rPr>
            <w:tab/>
          </w:r>
          <w:r>
            <w:rPr>
              <w:noProof/>
            </w:rPr>
            <w:fldChar w:fldCharType="begin"/>
          </w:r>
          <w:r>
            <w:rPr>
              <w:noProof/>
            </w:rPr>
            <w:instrText xml:space="preserve"> PAGEREF _Toc78889185 \h </w:instrText>
          </w:r>
          <w:r>
            <w:rPr>
              <w:noProof/>
            </w:rPr>
          </w:r>
          <w:r>
            <w:rPr>
              <w:noProof/>
            </w:rPr>
            <w:fldChar w:fldCharType="separate"/>
          </w:r>
          <w:r w:rsidR="00F243F7">
            <w:rPr>
              <w:noProof/>
            </w:rPr>
            <w:t>11</w:t>
          </w:r>
          <w:r>
            <w:rPr>
              <w:noProof/>
            </w:rPr>
            <w:fldChar w:fldCharType="end"/>
          </w:r>
        </w:p>
        <w:p w14:paraId="725AC03A" w14:textId="430E20C3" w:rsidR="00145A92" w:rsidRDefault="00145A92">
          <w:pPr>
            <w:pStyle w:val="TOC2"/>
            <w:rPr>
              <w:rFonts w:asciiTheme="minorHAnsi" w:eastAsiaTheme="minorEastAsia" w:hAnsiTheme="minorHAnsi"/>
              <w:noProof/>
              <w:sz w:val="22"/>
            </w:rPr>
          </w:pPr>
          <w:r w:rsidRPr="0074089D">
            <w:rPr>
              <w:rFonts w:cs="Times New Roman"/>
              <w:bCs/>
              <w:noProof/>
            </w:rPr>
            <w:t>2.1</w:t>
          </w:r>
          <w:r>
            <w:rPr>
              <w:rFonts w:asciiTheme="minorHAnsi" w:eastAsiaTheme="minorEastAsia" w:hAnsiTheme="minorHAnsi"/>
              <w:noProof/>
              <w:sz w:val="22"/>
            </w:rPr>
            <w:tab/>
          </w:r>
          <w:r w:rsidRPr="0074089D">
            <w:rPr>
              <w:rFonts w:cs="Times New Roman"/>
              <w:noProof/>
            </w:rPr>
            <w:t>Introduction</w:t>
          </w:r>
          <w:r>
            <w:rPr>
              <w:noProof/>
            </w:rPr>
            <w:tab/>
          </w:r>
          <w:r>
            <w:rPr>
              <w:noProof/>
            </w:rPr>
            <w:fldChar w:fldCharType="begin"/>
          </w:r>
          <w:r>
            <w:rPr>
              <w:noProof/>
            </w:rPr>
            <w:instrText xml:space="preserve"> PAGEREF _Toc78889186 \h </w:instrText>
          </w:r>
          <w:r>
            <w:rPr>
              <w:noProof/>
            </w:rPr>
          </w:r>
          <w:r>
            <w:rPr>
              <w:noProof/>
            </w:rPr>
            <w:fldChar w:fldCharType="separate"/>
          </w:r>
          <w:r w:rsidR="00F243F7">
            <w:rPr>
              <w:noProof/>
            </w:rPr>
            <w:t>12</w:t>
          </w:r>
          <w:r>
            <w:rPr>
              <w:noProof/>
            </w:rPr>
            <w:fldChar w:fldCharType="end"/>
          </w:r>
        </w:p>
        <w:p w14:paraId="1E8D6403" w14:textId="2AEC993B" w:rsidR="00145A92" w:rsidRDefault="00145A92">
          <w:pPr>
            <w:pStyle w:val="TOC2"/>
            <w:rPr>
              <w:rFonts w:asciiTheme="minorHAnsi" w:eastAsiaTheme="minorEastAsia" w:hAnsiTheme="minorHAnsi"/>
              <w:noProof/>
              <w:sz w:val="22"/>
            </w:rPr>
          </w:pPr>
          <w:r w:rsidRPr="0074089D">
            <w:rPr>
              <w:rFonts w:cs="Times New Roman"/>
              <w:bCs/>
              <w:noProof/>
            </w:rPr>
            <w:t>2.2</w:t>
          </w:r>
          <w:r>
            <w:rPr>
              <w:rFonts w:asciiTheme="minorHAnsi" w:eastAsiaTheme="minorEastAsia" w:hAnsiTheme="minorHAnsi"/>
              <w:noProof/>
              <w:sz w:val="22"/>
            </w:rPr>
            <w:tab/>
          </w:r>
          <w:r w:rsidRPr="0074089D">
            <w:rPr>
              <w:rFonts w:cs="Times New Roman"/>
              <w:noProof/>
            </w:rPr>
            <w:t>Methods</w:t>
          </w:r>
          <w:r>
            <w:rPr>
              <w:noProof/>
            </w:rPr>
            <w:tab/>
          </w:r>
          <w:r>
            <w:rPr>
              <w:noProof/>
            </w:rPr>
            <w:fldChar w:fldCharType="begin"/>
          </w:r>
          <w:r>
            <w:rPr>
              <w:noProof/>
            </w:rPr>
            <w:instrText xml:space="preserve"> PAGEREF _Toc78889187 \h </w:instrText>
          </w:r>
          <w:r>
            <w:rPr>
              <w:noProof/>
            </w:rPr>
          </w:r>
          <w:r>
            <w:rPr>
              <w:noProof/>
            </w:rPr>
            <w:fldChar w:fldCharType="separate"/>
          </w:r>
          <w:r w:rsidR="00F243F7">
            <w:rPr>
              <w:noProof/>
            </w:rPr>
            <w:t>16</w:t>
          </w:r>
          <w:r>
            <w:rPr>
              <w:noProof/>
            </w:rPr>
            <w:fldChar w:fldCharType="end"/>
          </w:r>
        </w:p>
        <w:p w14:paraId="31429325" w14:textId="2F9098C7"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2.2.1</w:t>
          </w:r>
          <w:r>
            <w:rPr>
              <w:rFonts w:asciiTheme="minorHAnsi" w:eastAsiaTheme="minorEastAsia" w:hAnsiTheme="minorHAnsi"/>
              <w:noProof/>
              <w:sz w:val="22"/>
            </w:rPr>
            <w:tab/>
          </w:r>
          <w:r w:rsidRPr="0074089D">
            <w:rPr>
              <w:rFonts w:cs="Times New Roman"/>
              <w:noProof/>
            </w:rPr>
            <w:t>Study area</w:t>
          </w:r>
          <w:r>
            <w:rPr>
              <w:noProof/>
            </w:rPr>
            <w:tab/>
          </w:r>
          <w:r>
            <w:rPr>
              <w:noProof/>
            </w:rPr>
            <w:fldChar w:fldCharType="begin"/>
          </w:r>
          <w:r>
            <w:rPr>
              <w:noProof/>
            </w:rPr>
            <w:instrText xml:space="preserve"> PAGEREF _Toc78889188 \h </w:instrText>
          </w:r>
          <w:r>
            <w:rPr>
              <w:noProof/>
            </w:rPr>
          </w:r>
          <w:r>
            <w:rPr>
              <w:noProof/>
            </w:rPr>
            <w:fldChar w:fldCharType="separate"/>
          </w:r>
          <w:r w:rsidR="00F243F7">
            <w:rPr>
              <w:noProof/>
            </w:rPr>
            <w:t>16</w:t>
          </w:r>
          <w:r>
            <w:rPr>
              <w:noProof/>
            </w:rPr>
            <w:fldChar w:fldCharType="end"/>
          </w:r>
        </w:p>
        <w:p w14:paraId="6213B3ED" w14:textId="4FB73F93"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2.2.2</w:t>
          </w:r>
          <w:r>
            <w:rPr>
              <w:rFonts w:asciiTheme="minorHAnsi" w:eastAsiaTheme="minorEastAsia" w:hAnsiTheme="minorHAnsi"/>
              <w:noProof/>
              <w:sz w:val="22"/>
            </w:rPr>
            <w:tab/>
          </w:r>
          <w:r w:rsidRPr="0074089D">
            <w:rPr>
              <w:rFonts w:cs="Times New Roman"/>
              <w:noProof/>
            </w:rPr>
            <w:t>Malaria data</w:t>
          </w:r>
          <w:r>
            <w:rPr>
              <w:noProof/>
            </w:rPr>
            <w:tab/>
          </w:r>
          <w:r>
            <w:rPr>
              <w:noProof/>
            </w:rPr>
            <w:fldChar w:fldCharType="begin"/>
          </w:r>
          <w:r>
            <w:rPr>
              <w:noProof/>
            </w:rPr>
            <w:instrText xml:space="preserve"> PAGEREF _Toc78889189 \h </w:instrText>
          </w:r>
          <w:r>
            <w:rPr>
              <w:noProof/>
            </w:rPr>
          </w:r>
          <w:r>
            <w:rPr>
              <w:noProof/>
            </w:rPr>
            <w:fldChar w:fldCharType="separate"/>
          </w:r>
          <w:r w:rsidR="00F243F7">
            <w:rPr>
              <w:noProof/>
            </w:rPr>
            <w:t>19</w:t>
          </w:r>
          <w:r>
            <w:rPr>
              <w:noProof/>
            </w:rPr>
            <w:fldChar w:fldCharType="end"/>
          </w:r>
        </w:p>
        <w:p w14:paraId="28EA81DC" w14:textId="07237DD6"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2.2.3</w:t>
          </w:r>
          <w:r>
            <w:rPr>
              <w:rFonts w:asciiTheme="minorHAnsi" w:eastAsiaTheme="minorEastAsia" w:hAnsiTheme="minorHAnsi"/>
              <w:noProof/>
              <w:sz w:val="22"/>
            </w:rPr>
            <w:tab/>
          </w:r>
          <w:r w:rsidRPr="0074089D">
            <w:rPr>
              <w:rFonts w:cs="Times New Roman"/>
              <w:noProof/>
            </w:rPr>
            <w:t>Environmental variables</w:t>
          </w:r>
          <w:r>
            <w:rPr>
              <w:noProof/>
            </w:rPr>
            <w:tab/>
          </w:r>
          <w:r>
            <w:rPr>
              <w:noProof/>
            </w:rPr>
            <w:fldChar w:fldCharType="begin"/>
          </w:r>
          <w:r>
            <w:rPr>
              <w:noProof/>
            </w:rPr>
            <w:instrText xml:space="preserve"> PAGEREF _Toc78889190 \h </w:instrText>
          </w:r>
          <w:r>
            <w:rPr>
              <w:noProof/>
            </w:rPr>
          </w:r>
          <w:r>
            <w:rPr>
              <w:noProof/>
            </w:rPr>
            <w:fldChar w:fldCharType="separate"/>
          </w:r>
          <w:r w:rsidR="00F243F7">
            <w:rPr>
              <w:noProof/>
            </w:rPr>
            <w:t>21</w:t>
          </w:r>
          <w:r>
            <w:rPr>
              <w:noProof/>
            </w:rPr>
            <w:fldChar w:fldCharType="end"/>
          </w:r>
        </w:p>
        <w:p w14:paraId="4784AAF0" w14:textId="2F35FD9B"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2.2.4</w:t>
          </w:r>
          <w:r>
            <w:rPr>
              <w:rFonts w:asciiTheme="minorHAnsi" w:eastAsiaTheme="minorEastAsia" w:hAnsiTheme="minorHAnsi"/>
              <w:noProof/>
              <w:sz w:val="22"/>
            </w:rPr>
            <w:tab/>
          </w:r>
          <w:r w:rsidRPr="0074089D">
            <w:rPr>
              <w:rFonts w:cs="Times New Roman"/>
              <w:noProof/>
            </w:rPr>
            <w:t>Statistical analysis</w:t>
          </w:r>
          <w:r>
            <w:rPr>
              <w:noProof/>
            </w:rPr>
            <w:tab/>
          </w:r>
          <w:r>
            <w:rPr>
              <w:noProof/>
            </w:rPr>
            <w:fldChar w:fldCharType="begin"/>
          </w:r>
          <w:r>
            <w:rPr>
              <w:noProof/>
            </w:rPr>
            <w:instrText xml:space="preserve"> PAGEREF _Toc78889191 \h </w:instrText>
          </w:r>
          <w:r>
            <w:rPr>
              <w:noProof/>
            </w:rPr>
          </w:r>
          <w:r>
            <w:rPr>
              <w:noProof/>
            </w:rPr>
            <w:fldChar w:fldCharType="separate"/>
          </w:r>
          <w:r w:rsidR="00F243F7">
            <w:rPr>
              <w:noProof/>
            </w:rPr>
            <w:t>26</w:t>
          </w:r>
          <w:r>
            <w:rPr>
              <w:noProof/>
            </w:rPr>
            <w:fldChar w:fldCharType="end"/>
          </w:r>
        </w:p>
        <w:p w14:paraId="479EA71B" w14:textId="000806DD" w:rsidR="00145A92" w:rsidRDefault="00145A92">
          <w:pPr>
            <w:pStyle w:val="TOC2"/>
            <w:rPr>
              <w:rFonts w:asciiTheme="minorHAnsi" w:eastAsiaTheme="minorEastAsia" w:hAnsiTheme="minorHAnsi"/>
              <w:noProof/>
              <w:sz w:val="22"/>
            </w:rPr>
          </w:pPr>
          <w:r w:rsidRPr="0074089D">
            <w:rPr>
              <w:rFonts w:cs="Times New Roman"/>
              <w:bCs/>
              <w:noProof/>
            </w:rPr>
            <w:t>2.3</w:t>
          </w:r>
          <w:r>
            <w:rPr>
              <w:rFonts w:asciiTheme="minorHAnsi" w:eastAsiaTheme="minorEastAsia" w:hAnsiTheme="minorHAnsi"/>
              <w:noProof/>
              <w:sz w:val="22"/>
            </w:rPr>
            <w:tab/>
          </w:r>
          <w:r w:rsidRPr="0074089D">
            <w:rPr>
              <w:rFonts w:cs="Times New Roman"/>
              <w:noProof/>
            </w:rPr>
            <w:t>Results</w:t>
          </w:r>
          <w:r>
            <w:rPr>
              <w:noProof/>
            </w:rPr>
            <w:tab/>
          </w:r>
          <w:r>
            <w:rPr>
              <w:noProof/>
            </w:rPr>
            <w:fldChar w:fldCharType="begin"/>
          </w:r>
          <w:r>
            <w:rPr>
              <w:noProof/>
            </w:rPr>
            <w:instrText xml:space="preserve"> PAGEREF _Toc78889192 \h </w:instrText>
          </w:r>
          <w:r>
            <w:rPr>
              <w:noProof/>
            </w:rPr>
          </w:r>
          <w:r>
            <w:rPr>
              <w:noProof/>
            </w:rPr>
            <w:fldChar w:fldCharType="separate"/>
          </w:r>
          <w:r w:rsidR="00F243F7">
            <w:rPr>
              <w:noProof/>
            </w:rPr>
            <w:t>27</w:t>
          </w:r>
          <w:r>
            <w:rPr>
              <w:noProof/>
            </w:rPr>
            <w:fldChar w:fldCharType="end"/>
          </w:r>
        </w:p>
        <w:p w14:paraId="2C7DA28F" w14:textId="33FFF3FB"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2.3.1</w:t>
          </w:r>
          <w:r>
            <w:rPr>
              <w:rFonts w:asciiTheme="minorHAnsi" w:eastAsiaTheme="minorEastAsia" w:hAnsiTheme="minorHAnsi"/>
              <w:noProof/>
              <w:sz w:val="22"/>
            </w:rPr>
            <w:tab/>
          </w:r>
          <w:r w:rsidRPr="0074089D">
            <w:rPr>
              <w:rFonts w:cs="Times New Roman"/>
              <w:noProof/>
            </w:rPr>
            <w:t>Spatio-temporal patterns in malaria cases</w:t>
          </w:r>
          <w:r>
            <w:rPr>
              <w:noProof/>
            </w:rPr>
            <w:tab/>
          </w:r>
          <w:r>
            <w:rPr>
              <w:noProof/>
            </w:rPr>
            <w:fldChar w:fldCharType="begin"/>
          </w:r>
          <w:r>
            <w:rPr>
              <w:noProof/>
            </w:rPr>
            <w:instrText xml:space="preserve"> PAGEREF _Toc78889193 \h </w:instrText>
          </w:r>
          <w:r>
            <w:rPr>
              <w:noProof/>
            </w:rPr>
          </w:r>
          <w:r>
            <w:rPr>
              <w:noProof/>
            </w:rPr>
            <w:fldChar w:fldCharType="separate"/>
          </w:r>
          <w:r w:rsidR="00F243F7">
            <w:rPr>
              <w:noProof/>
            </w:rPr>
            <w:t>27</w:t>
          </w:r>
          <w:r>
            <w:rPr>
              <w:noProof/>
            </w:rPr>
            <w:fldChar w:fldCharType="end"/>
          </w:r>
        </w:p>
        <w:p w14:paraId="6AD20311" w14:textId="0FC610BD"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2.3.2</w:t>
          </w:r>
          <w:r>
            <w:rPr>
              <w:rFonts w:asciiTheme="minorHAnsi" w:eastAsiaTheme="minorEastAsia" w:hAnsiTheme="minorHAnsi"/>
              <w:noProof/>
              <w:sz w:val="22"/>
            </w:rPr>
            <w:tab/>
          </w:r>
          <w:r w:rsidRPr="0074089D">
            <w:rPr>
              <w:rFonts w:cs="Times New Roman"/>
              <w:noProof/>
            </w:rPr>
            <w:t>Association between malaria and environmental variables</w:t>
          </w:r>
          <w:r>
            <w:rPr>
              <w:noProof/>
            </w:rPr>
            <w:tab/>
          </w:r>
          <w:r>
            <w:rPr>
              <w:noProof/>
            </w:rPr>
            <w:fldChar w:fldCharType="begin"/>
          </w:r>
          <w:r>
            <w:rPr>
              <w:noProof/>
            </w:rPr>
            <w:instrText xml:space="preserve"> PAGEREF _Toc78889194 \h </w:instrText>
          </w:r>
          <w:r>
            <w:rPr>
              <w:noProof/>
            </w:rPr>
          </w:r>
          <w:r>
            <w:rPr>
              <w:noProof/>
            </w:rPr>
            <w:fldChar w:fldCharType="separate"/>
          </w:r>
          <w:r w:rsidR="00F243F7">
            <w:rPr>
              <w:noProof/>
            </w:rPr>
            <w:t>32</w:t>
          </w:r>
          <w:r>
            <w:rPr>
              <w:noProof/>
            </w:rPr>
            <w:fldChar w:fldCharType="end"/>
          </w:r>
        </w:p>
        <w:p w14:paraId="15CC8915" w14:textId="1A4CE41E" w:rsidR="00145A92" w:rsidRDefault="00145A92">
          <w:pPr>
            <w:pStyle w:val="TOC2"/>
            <w:rPr>
              <w:rFonts w:asciiTheme="minorHAnsi" w:eastAsiaTheme="minorEastAsia" w:hAnsiTheme="minorHAnsi"/>
              <w:noProof/>
              <w:sz w:val="22"/>
            </w:rPr>
          </w:pPr>
          <w:r w:rsidRPr="0074089D">
            <w:rPr>
              <w:rFonts w:cs="Times New Roman"/>
              <w:bCs/>
              <w:noProof/>
            </w:rPr>
            <w:t>2.4</w:t>
          </w:r>
          <w:r>
            <w:rPr>
              <w:rFonts w:asciiTheme="minorHAnsi" w:eastAsiaTheme="minorEastAsia" w:hAnsiTheme="minorHAnsi"/>
              <w:noProof/>
              <w:sz w:val="22"/>
            </w:rPr>
            <w:tab/>
          </w:r>
          <w:r w:rsidRPr="0074089D">
            <w:rPr>
              <w:rFonts w:cs="Times New Roman"/>
              <w:noProof/>
            </w:rPr>
            <w:t>Discussion</w:t>
          </w:r>
          <w:r>
            <w:rPr>
              <w:noProof/>
            </w:rPr>
            <w:tab/>
          </w:r>
          <w:r>
            <w:rPr>
              <w:noProof/>
            </w:rPr>
            <w:fldChar w:fldCharType="begin"/>
          </w:r>
          <w:r>
            <w:rPr>
              <w:noProof/>
            </w:rPr>
            <w:instrText xml:space="preserve"> PAGEREF _Toc78889195 \h </w:instrText>
          </w:r>
          <w:r>
            <w:rPr>
              <w:noProof/>
            </w:rPr>
          </w:r>
          <w:r>
            <w:rPr>
              <w:noProof/>
            </w:rPr>
            <w:fldChar w:fldCharType="separate"/>
          </w:r>
          <w:r w:rsidR="00F243F7">
            <w:rPr>
              <w:noProof/>
            </w:rPr>
            <w:t>34</w:t>
          </w:r>
          <w:r>
            <w:rPr>
              <w:noProof/>
            </w:rPr>
            <w:fldChar w:fldCharType="end"/>
          </w:r>
        </w:p>
        <w:p w14:paraId="62B39F4D" w14:textId="04AD2039" w:rsidR="00145A92" w:rsidRDefault="00145A92">
          <w:pPr>
            <w:pStyle w:val="TOC2"/>
            <w:rPr>
              <w:rFonts w:asciiTheme="minorHAnsi" w:eastAsiaTheme="minorEastAsia" w:hAnsiTheme="minorHAnsi"/>
              <w:noProof/>
              <w:sz w:val="22"/>
            </w:rPr>
          </w:pPr>
          <w:r w:rsidRPr="0074089D">
            <w:rPr>
              <w:rFonts w:cs="Times New Roman"/>
              <w:bCs/>
              <w:noProof/>
            </w:rPr>
            <w:t>2.5</w:t>
          </w:r>
          <w:r>
            <w:rPr>
              <w:rFonts w:asciiTheme="minorHAnsi" w:eastAsiaTheme="minorEastAsia" w:hAnsiTheme="minorHAnsi"/>
              <w:noProof/>
              <w:sz w:val="22"/>
            </w:rPr>
            <w:tab/>
          </w:r>
          <w:r w:rsidRPr="0074089D">
            <w:rPr>
              <w:rFonts w:cs="Times New Roman"/>
              <w:noProof/>
            </w:rPr>
            <w:t>Conclusion</w:t>
          </w:r>
          <w:r>
            <w:rPr>
              <w:noProof/>
            </w:rPr>
            <w:tab/>
          </w:r>
          <w:r>
            <w:rPr>
              <w:noProof/>
            </w:rPr>
            <w:fldChar w:fldCharType="begin"/>
          </w:r>
          <w:r>
            <w:rPr>
              <w:noProof/>
            </w:rPr>
            <w:instrText xml:space="preserve"> PAGEREF _Toc78889196 \h </w:instrText>
          </w:r>
          <w:r>
            <w:rPr>
              <w:noProof/>
            </w:rPr>
          </w:r>
          <w:r>
            <w:rPr>
              <w:noProof/>
            </w:rPr>
            <w:fldChar w:fldCharType="separate"/>
          </w:r>
          <w:r w:rsidR="00F243F7">
            <w:rPr>
              <w:noProof/>
            </w:rPr>
            <w:t>40</w:t>
          </w:r>
          <w:r>
            <w:rPr>
              <w:noProof/>
            </w:rPr>
            <w:fldChar w:fldCharType="end"/>
          </w:r>
        </w:p>
        <w:p w14:paraId="1FF3416A" w14:textId="75DDFF1F" w:rsidR="00145A92" w:rsidRDefault="00145A92">
          <w:pPr>
            <w:pStyle w:val="TOC2"/>
            <w:rPr>
              <w:rFonts w:asciiTheme="minorHAnsi" w:eastAsiaTheme="minorEastAsia" w:hAnsiTheme="minorHAnsi"/>
              <w:noProof/>
              <w:sz w:val="22"/>
            </w:rPr>
          </w:pPr>
          <w:r w:rsidRPr="0074089D">
            <w:rPr>
              <w:bCs/>
              <w:noProof/>
            </w:rPr>
            <w:lastRenderedPageBreak/>
            <w:t>2.6</w:t>
          </w:r>
          <w:r>
            <w:rPr>
              <w:rFonts w:asciiTheme="minorHAnsi" w:eastAsiaTheme="minorEastAsia" w:hAnsiTheme="minorHAnsi"/>
              <w:noProof/>
              <w:sz w:val="22"/>
            </w:rPr>
            <w:tab/>
          </w:r>
          <w:r>
            <w:rPr>
              <w:noProof/>
            </w:rPr>
            <w:t>Supplemental material</w:t>
          </w:r>
          <w:r>
            <w:rPr>
              <w:noProof/>
            </w:rPr>
            <w:tab/>
          </w:r>
          <w:r>
            <w:rPr>
              <w:noProof/>
            </w:rPr>
            <w:fldChar w:fldCharType="begin"/>
          </w:r>
          <w:r>
            <w:rPr>
              <w:noProof/>
            </w:rPr>
            <w:instrText xml:space="preserve"> PAGEREF _Toc78889197 \h </w:instrText>
          </w:r>
          <w:r>
            <w:rPr>
              <w:noProof/>
            </w:rPr>
          </w:r>
          <w:r>
            <w:rPr>
              <w:noProof/>
            </w:rPr>
            <w:fldChar w:fldCharType="separate"/>
          </w:r>
          <w:r w:rsidR="00F243F7">
            <w:rPr>
              <w:noProof/>
            </w:rPr>
            <w:t>41</w:t>
          </w:r>
          <w:r>
            <w:rPr>
              <w:noProof/>
            </w:rPr>
            <w:fldChar w:fldCharType="end"/>
          </w:r>
        </w:p>
        <w:p w14:paraId="52213D53" w14:textId="40791BCF" w:rsidR="00145A92" w:rsidRDefault="00145A92">
          <w:pPr>
            <w:pStyle w:val="TOC1"/>
            <w:rPr>
              <w:rFonts w:asciiTheme="minorHAnsi" w:eastAsiaTheme="minorEastAsia" w:hAnsiTheme="minorHAnsi"/>
              <w:b w:val="0"/>
              <w:noProof/>
              <w:sz w:val="22"/>
            </w:rPr>
          </w:pPr>
          <w:r w:rsidRPr="0074089D">
            <w:rPr>
              <w:rFonts w:cs="Times New Roman"/>
              <w:noProof/>
            </w:rPr>
            <w:t>3</w:t>
          </w:r>
          <w:r>
            <w:rPr>
              <w:rFonts w:asciiTheme="minorHAnsi" w:eastAsiaTheme="minorEastAsia" w:hAnsiTheme="minorHAnsi"/>
              <w:b w:val="0"/>
              <w:noProof/>
              <w:sz w:val="22"/>
            </w:rPr>
            <w:tab/>
          </w:r>
          <w:r w:rsidRPr="0074089D">
            <w:rPr>
              <w:rFonts w:cs="Times New Roman"/>
              <w:noProof/>
            </w:rPr>
            <w:t>Identifying environmental risk factors and mapping the distribution of West Nile virus in an endemic region of North America</w:t>
          </w:r>
          <w:r>
            <w:rPr>
              <w:noProof/>
            </w:rPr>
            <w:tab/>
          </w:r>
          <w:r>
            <w:rPr>
              <w:noProof/>
            </w:rPr>
            <w:fldChar w:fldCharType="begin"/>
          </w:r>
          <w:r>
            <w:rPr>
              <w:noProof/>
            </w:rPr>
            <w:instrText xml:space="preserve"> PAGEREF _Toc78889198 \h </w:instrText>
          </w:r>
          <w:r>
            <w:rPr>
              <w:noProof/>
            </w:rPr>
          </w:r>
          <w:r>
            <w:rPr>
              <w:noProof/>
            </w:rPr>
            <w:fldChar w:fldCharType="separate"/>
          </w:r>
          <w:r w:rsidR="00F243F7">
            <w:rPr>
              <w:noProof/>
            </w:rPr>
            <w:t>45</w:t>
          </w:r>
          <w:r>
            <w:rPr>
              <w:noProof/>
            </w:rPr>
            <w:fldChar w:fldCharType="end"/>
          </w:r>
        </w:p>
        <w:p w14:paraId="603A6D5F" w14:textId="2B5C98F3" w:rsidR="00145A92" w:rsidRDefault="00145A92">
          <w:pPr>
            <w:pStyle w:val="TOC2"/>
            <w:rPr>
              <w:rFonts w:asciiTheme="minorHAnsi" w:eastAsiaTheme="minorEastAsia" w:hAnsiTheme="minorHAnsi"/>
              <w:noProof/>
              <w:sz w:val="22"/>
            </w:rPr>
          </w:pPr>
          <w:r w:rsidRPr="0074089D">
            <w:rPr>
              <w:rFonts w:cs="Times New Roman"/>
              <w:bCs/>
              <w:noProof/>
            </w:rPr>
            <w:t>3.1</w:t>
          </w:r>
          <w:r>
            <w:rPr>
              <w:rFonts w:asciiTheme="minorHAnsi" w:eastAsiaTheme="minorEastAsia" w:hAnsiTheme="minorHAnsi"/>
              <w:noProof/>
              <w:sz w:val="22"/>
            </w:rPr>
            <w:tab/>
          </w:r>
          <w:r w:rsidRPr="0074089D">
            <w:rPr>
              <w:rFonts w:cs="Times New Roman"/>
              <w:noProof/>
            </w:rPr>
            <w:t>Introduction</w:t>
          </w:r>
          <w:r>
            <w:rPr>
              <w:noProof/>
            </w:rPr>
            <w:tab/>
          </w:r>
          <w:r>
            <w:rPr>
              <w:noProof/>
            </w:rPr>
            <w:fldChar w:fldCharType="begin"/>
          </w:r>
          <w:r>
            <w:rPr>
              <w:noProof/>
            </w:rPr>
            <w:instrText xml:space="preserve"> PAGEREF _Toc78889199 \h </w:instrText>
          </w:r>
          <w:r>
            <w:rPr>
              <w:noProof/>
            </w:rPr>
          </w:r>
          <w:r>
            <w:rPr>
              <w:noProof/>
            </w:rPr>
            <w:fldChar w:fldCharType="separate"/>
          </w:r>
          <w:r w:rsidR="00F243F7">
            <w:rPr>
              <w:noProof/>
            </w:rPr>
            <w:t>47</w:t>
          </w:r>
          <w:r>
            <w:rPr>
              <w:noProof/>
            </w:rPr>
            <w:fldChar w:fldCharType="end"/>
          </w:r>
        </w:p>
        <w:p w14:paraId="3C82B5A5" w14:textId="1C5943CE" w:rsidR="00145A92" w:rsidRDefault="00145A92">
          <w:pPr>
            <w:pStyle w:val="TOC2"/>
            <w:rPr>
              <w:rFonts w:asciiTheme="minorHAnsi" w:eastAsiaTheme="minorEastAsia" w:hAnsiTheme="minorHAnsi"/>
              <w:noProof/>
              <w:sz w:val="22"/>
            </w:rPr>
          </w:pPr>
          <w:r w:rsidRPr="0074089D">
            <w:rPr>
              <w:rFonts w:cs="Times New Roman"/>
              <w:bCs/>
              <w:noProof/>
            </w:rPr>
            <w:t>3.2</w:t>
          </w:r>
          <w:r>
            <w:rPr>
              <w:rFonts w:asciiTheme="minorHAnsi" w:eastAsiaTheme="minorEastAsia" w:hAnsiTheme="minorHAnsi"/>
              <w:noProof/>
              <w:sz w:val="22"/>
            </w:rPr>
            <w:tab/>
          </w:r>
          <w:r w:rsidRPr="0074089D">
            <w:rPr>
              <w:rFonts w:cs="Times New Roman"/>
              <w:noProof/>
            </w:rPr>
            <w:t>Methods</w:t>
          </w:r>
          <w:r>
            <w:rPr>
              <w:noProof/>
            </w:rPr>
            <w:tab/>
          </w:r>
          <w:r>
            <w:rPr>
              <w:noProof/>
            </w:rPr>
            <w:fldChar w:fldCharType="begin"/>
          </w:r>
          <w:r>
            <w:rPr>
              <w:noProof/>
            </w:rPr>
            <w:instrText xml:space="preserve"> PAGEREF _Toc78889200 \h </w:instrText>
          </w:r>
          <w:r>
            <w:rPr>
              <w:noProof/>
            </w:rPr>
          </w:r>
          <w:r>
            <w:rPr>
              <w:noProof/>
            </w:rPr>
            <w:fldChar w:fldCharType="separate"/>
          </w:r>
          <w:r w:rsidR="00F243F7">
            <w:rPr>
              <w:noProof/>
            </w:rPr>
            <w:t>51</w:t>
          </w:r>
          <w:r>
            <w:rPr>
              <w:noProof/>
            </w:rPr>
            <w:fldChar w:fldCharType="end"/>
          </w:r>
        </w:p>
        <w:p w14:paraId="7D7F5680" w14:textId="1BE3ED19"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3.2.1</w:t>
          </w:r>
          <w:r>
            <w:rPr>
              <w:rFonts w:asciiTheme="minorHAnsi" w:eastAsiaTheme="minorEastAsia" w:hAnsiTheme="minorHAnsi"/>
              <w:noProof/>
              <w:sz w:val="22"/>
            </w:rPr>
            <w:tab/>
          </w:r>
          <w:r w:rsidRPr="0074089D">
            <w:rPr>
              <w:rFonts w:cs="Times New Roman"/>
              <w:noProof/>
            </w:rPr>
            <w:t>West Nile virus case and control data</w:t>
          </w:r>
          <w:r>
            <w:rPr>
              <w:noProof/>
            </w:rPr>
            <w:tab/>
          </w:r>
          <w:r>
            <w:rPr>
              <w:noProof/>
            </w:rPr>
            <w:fldChar w:fldCharType="begin"/>
          </w:r>
          <w:r>
            <w:rPr>
              <w:noProof/>
            </w:rPr>
            <w:instrText xml:space="preserve"> PAGEREF _Toc78889201 \h </w:instrText>
          </w:r>
          <w:r>
            <w:rPr>
              <w:noProof/>
            </w:rPr>
          </w:r>
          <w:r>
            <w:rPr>
              <w:noProof/>
            </w:rPr>
            <w:fldChar w:fldCharType="separate"/>
          </w:r>
          <w:r w:rsidR="00F243F7">
            <w:rPr>
              <w:noProof/>
            </w:rPr>
            <w:t>52</w:t>
          </w:r>
          <w:r>
            <w:rPr>
              <w:noProof/>
            </w:rPr>
            <w:fldChar w:fldCharType="end"/>
          </w:r>
        </w:p>
        <w:p w14:paraId="19266B5B" w14:textId="608CA7D4"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3.2.2</w:t>
          </w:r>
          <w:r>
            <w:rPr>
              <w:rFonts w:asciiTheme="minorHAnsi" w:eastAsiaTheme="minorEastAsia" w:hAnsiTheme="minorHAnsi"/>
              <w:noProof/>
              <w:sz w:val="22"/>
            </w:rPr>
            <w:tab/>
          </w:r>
          <w:r w:rsidRPr="0074089D">
            <w:rPr>
              <w:rFonts w:cs="Times New Roman"/>
              <w:noProof/>
            </w:rPr>
            <w:t>Exploratory analysis</w:t>
          </w:r>
          <w:r>
            <w:rPr>
              <w:noProof/>
            </w:rPr>
            <w:tab/>
          </w:r>
          <w:r>
            <w:rPr>
              <w:noProof/>
            </w:rPr>
            <w:fldChar w:fldCharType="begin"/>
          </w:r>
          <w:r>
            <w:rPr>
              <w:noProof/>
            </w:rPr>
            <w:instrText xml:space="preserve"> PAGEREF _Toc78889202 \h </w:instrText>
          </w:r>
          <w:r>
            <w:rPr>
              <w:noProof/>
            </w:rPr>
          </w:r>
          <w:r>
            <w:rPr>
              <w:noProof/>
            </w:rPr>
            <w:fldChar w:fldCharType="separate"/>
          </w:r>
          <w:r w:rsidR="00F243F7">
            <w:rPr>
              <w:noProof/>
            </w:rPr>
            <w:t>53</w:t>
          </w:r>
          <w:r>
            <w:rPr>
              <w:noProof/>
            </w:rPr>
            <w:fldChar w:fldCharType="end"/>
          </w:r>
        </w:p>
        <w:p w14:paraId="71F14976" w14:textId="5D722000"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3.2.3</w:t>
          </w:r>
          <w:r>
            <w:rPr>
              <w:rFonts w:asciiTheme="minorHAnsi" w:eastAsiaTheme="minorEastAsia" w:hAnsiTheme="minorHAnsi"/>
              <w:noProof/>
              <w:sz w:val="22"/>
            </w:rPr>
            <w:tab/>
          </w:r>
          <w:r w:rsidRPr="0074089D">
            <w:rPr>
              <w:rFonts w:cs="Times New Roman"/>
              <w:noProof/>
            </w:rPr>
            <w:t>Environmental variables</w:t>
          </w:r>
          <w:r>
            <w:rPr>
              <w:noProof/>
            </w:rPr>
            <w:tab/>
          </w:r>
          <w:r>
            <w:rPr>
              <w:noProof/>
            </w:rPr>
            <w:fldChar w:fldCharType="begin"/>
          </w:r>
          <w:r>
            <w:rPr>
              <w:noProof/>
            </w:rPr>
            <w:instrText xml:space="preserve"> PAGEREF _Toc78889203 \h </w:instrText>
          </w:r>
          <w:r>
            <w:rPr>
              <w:noProof/>
            </w:rPr>
          </w:r>
          <w:r>
            <w:rPr>
              <w:noProof/>
            </w:rPr>
            <w:fldChar w:fldCharType="separate"/>
          </w:r>
          <w:r w:rsidR="00F243F7">
            <w:rPr>
              <w:noProof/>
            </w:rPr>
            <w:t>54</w:t>
          </w:r>
          <w:r>
            <w:rPr>
              <w:noProof/>
            </w:rPr>
            <w:fldChar w:fldCharType="end"/>
          </w:r>
        </w:p>
        <w:p w14:paraId="509C380A" w14:textId="5890B008"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3.2.4</w:t>
          </w:r>
          <w:r>
            <w:rPr>
              <w:rFonts w:asciiTheme="minorHAnsi" w:eastAsiaTheme="minorEastAsia" w:hAnsiTheme="minorHAnsi"/>
              <w:noProof/>
              <w:sz w:val="22"/>
            </w:rPr>
            <w:tab/>
          </w:r>
          <w:r w:rsidRPr="0074089D">
            <w:rPr>
              <w:rFonts w:cs="Times New Roman"/>
              <w:noProof/>
            </w:rPr>
            <w:t>Statistical modelling</w:t>
          </w:r>
          <w:r>
            <w:rPr>
              <w:noProof/>
            </w:rPr>
            <w:tab/>
          </w:r>
          <w:r>
            <w:rPr>
              <w:noProof/>
            </w:rPr>
            <w:fldChar w:fldCharType="begin"/>
          </w:r>
          <w:r>
            <w:rPr>
              <w:noProof/>
            </w:rPr>
            <w:instrText xml:space="preserve"> PAGEREF _Toc78889204 \h </w:instrText>
          </w:r>
          <w:r>
            <w:rPr>
              <w:noProof/>
            </w:rPr>
          </w:r>
          <w:r>
            <w:rPr>
              <w:noProof/>
            </w:rPr>
            <w:fldChar w:fldCharType="separate"/>
          </w:r>
          <w:r w:rsidR="00F243F7">
            <w:rPr>
              <w:noProof/>
            </w:rPr>
            <w:t>58</w:t>
          </w:r>
          <w:r>
            <w:rPr>
              <w:noProof/>
            </w:rPr>
            <w:fldChar w:fldCharType="end"/>
          </w:r>
        </w:p>
        <w:p w14:paraId="141EC15C" w14:textId="34DA4BEA" w:rsidR="00145A92" w:rsidRDefault="00145A92">
          <w:pPr>
            <w:pStyle w:val="TOC2"/>
            <w:rPr>
              <w:rFonts w:asciiTheme="minorHAnsi" w:eastAsiaTheme="minorEastAsia" w:hAnsiTheme="minorHAnsi"/>
              <w:noProof/>
              <w:sz w:val="22"/>
            </w:rPr>
          </w:pPr>
          <w:r w:rsidRPr="0074089D">
            <w:rPr>
              <w:rFonts w:cs="Times New Roman"/>
              <w:bCs/>
              <w:noProof/>
            </w:rPr>
            <w:t>3.3</w:t>
          </w:r>
          <w:r>
            <w:rPr>
              <w:rFonts w:asciiTheme="minorHAnsi" w:eastAsiaTheme="minorEastAsia" w:hAnsiTheme="minorHAnsi"/>
              <w:noProof/>
              <w:sz w:val="22"/>
            </w:rPr>
            <w:tab/>
          </w:r>
          <w:r w:rsidRPr="0074089D">
            <w:rPr>
              <w:rFonts w:cs="Times New Roman"/>
              <w:noProof/>
            </w:rPr>
            <w:t>Results</w:t>
          </w:r>
          <w:r>
            <w:rPr>
              <w:noProof/>
            </w:rPr>
            <w:tab/>
          </w:r>
          <w:r>
            <w:rPr>
              <w:noProof/>
            </w:rPr>
            <w:fldChar w:fldCharType="begin"/>
          </w:r>
          <w:r>
            <w:rPr>
              <w:noProof/>
            </w:rPr>
            <w:instrText xml:space="preserve"> PAGEREF _Toc78889205 \h </w:instrText>
          </w:r>
          <w:r>
            <w:rPr>
              <w:noProof/>
            </w:rPr>
          </w:r>
          <w:r>
            <w:rPr>
              <w:noProof/>
            </w:rPr>
            <w:fldChar w:fldCharType="separate"/>
          </w:r>
          <w:r w:rsidR="00F243F7">
            <w:rPr>
              <w:noProof/>
            </w:rPr>
            <w:t>63</w:t>
          </w:r>
          <w:r>
            <w:rPr>
              <w:noProof/>
            </w:rPr>
            <w:fldChar w:fldCharType="end"/>
          </w:r>
        </w:p>
        <w:p w14:paraId="7AECA535" w14:textId="370C7062"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3.3.1</w:t>
          </w:r>
          <w:r>
            <w:rPr>
              <w:rFonts w:asciiTheme="minorHAnsi" w:eastAsiaTheme="minorEastAsia" w:hAnsiTheme="minorHAnsi"/>
              <w:noProof/>
              <w:sz w:val="22"/>
            </w:rPr>
            <w:tab/>
          </w:r>
          <w:r w:rsidRPr="0074089D">
            <w:rPr>
              <w:rFonts w:cs="Times New Roman"/>
              <w:noProof/>
            </w:rPr>
            <w:t>Spatial patterns</w:t>
          </w:r>
          <w:r>
            <w:rPr>
              <w:noProof/>
            </w:rPr>
            <w:tab/>
          </w:r>
          <w:r>
            <w:rPr>
              <w:noProof/>
            </w:rPr>
            <w:fldChar w:fldCharType="begin"/>
          </w:r>
          <w:r>
            <w:rPr>
              <w:noProof/>
            </w:rPr>
            <w:instrText xml:space="preserve"> PAGEREF _Toc78889206 \h </w:instrText>
          </w:r>
          <w:r>
            <w:rPr>
              <w:noProof/>
            </w:rPr>
          </w:r>
          <w:r>
            <w:rPr>
              <w:noProof/>
            </w:rPr>
            <w:fldChar w:fldCharType="separate"/>
          </w:r>
          <w:r w:rsidR="00F243F7">
            <w:rPr>
              <w:noProof/>
            </w:rPr>
            <w:t>63</w:t>
          </w:r>
          <w:r>
            <w:rPr>
              <w:noProof/>
            </w:rPr>
            <w:fldChar w:fldCharType="end"/>
          </w:r>
        </w:p>
        <w:p w14:paraId="638AEAB2" w14:textId="00788648" w:rsidR="00145A92" w:rsidRDefault="00145A92">
          <w:pPr>
            <w:pStyle w:val="TOC3"/>
            <w:tabs>
              <w:tab w:val="left" w:pos="1320"/>
              <w:tab w:val="right" w:leader="dot" w:pos="8630"/>
            </w:tabs>
            <w:rPr>
              <w:rFonts w:asciiTheme="minorHAnsi" w:eastAsiaTheme="minorEastAsia" w:hAnsiTheme="minorHAnsi"/>
              <w:noProof/>
              <w:sz w:val="22"/>
            </w:rPr>
          </w:pPr>
          <w:r w:rsidRPr="0074089D">
            <w:rPr>
              <w:rFonts w:eastAsia="Times New Roman" w:cs="Times New Roman"/>
              <w:noProof/>
            </w:rPr>
            <w:t>3.3.2</w:t>
          </w:r>
          <w:r>
            <w:rPr>
              <w:rFonts w:asciiTheme="minorHAnsi" w:eastAsiaTheme="minorEastAsia" w:hAnsiTheme="minorHAnsi"/>
              <w:noProof/>
              <w:sz w:val="22"/>
            </w:rPr>
            <w:tab/>
          </w:r>
          <w:r w:rsidRPr="0074089D">
            <w:rPr>
              <w:rFonts w:cs="Times New Roman"/>
              <w:noProof/>
            </w:rPr>
            <w:t>Environmental data analysis</w:t>
          </w:r>
          <w:r>
            <w:rPr>
              <w:noProof/>
            </w:rPr>
            <w:tab/>
          </w:r>
          <w:r>
            <w:rPr>
              <w:noProof/>
            </w:rPr>
            <w:fldChar w:fldCharType="begin"/>
          </w:r>
          <w:r>
            <w:rPr>
              <w:noProof/>
            </w:rPr>
            <w:instrText xml:space="preserve"> PAGEREF _Toc78889207 \h </w:instrText>
          </w:r>
          <w:r>
            <w:rPr>
              <w:noProof/>
            </w:rPr>
          </w:r>
          <w:r>
            <w:rPr>
              <w:noProof/>
            </w:rPr>
            <w:fldChar w:fldCharType="separate"/>
          </w:r>
          <w:r w:rsidR="00F243F7">
            <w:rPr>
              <w:noProof/>
            </w:rPr>
            <w:t>67</w:t>
          </w:r>
          <w:r>
            <w:rPr>
              <w:noProof/>
            </w:rPr>
            <w:fldChar w:fldCharType="end"/>
          </w:r>
        </w:p>
        <w:p w14:paraId="635AA606" w14:textId="414F4899" w:rsidR="00145A92" w:rsidRDefault="00145A92">
          <w:pPr>
            <w:pStyle w:val="TOC2"/>
            <w:rPr>
              <w:rFonts w:asciiTheme="minorHAnsi" w:eastAsiaTheme="minorEastAsia" w:hAnsiTheme="minorHAnsi"/>
              <w:noProof/>
              <w:sz w:val="22"/>
            </w:rPr>
          </w:pPr>
          <w:r w:rsidRPr="0074089D">
            <w:rPr>
              <w:rFonts w:cs="Times New Roman"/>
              <w:bCs/>
              <w:noProof/>
            </w:rPr>
            <w:t>3.4</w:t>
          </w:r>
          <w:r>
            <w:rPr>
              <w:rFonts w:asciiTheme="minorHAnsi" w:eastAsiaTheme="minorEastAsia" w:hAnsiTheme="minorHAnsi"/>
              <w:noProof/>
              <w:sz w:val="22"/>
            </w:rPr>
            <w:tab/>
          </w:r>
          <w:r w:rsidRPr="0074089D">
            <w:rPr>
              <w:rFonts w:cs="Times New Roman"/>
              <w:noProof/>
            </w:rPr>
            <w:t>Discussion</w:t>
          </w:r>
          <w:r>
            <w:rPr>
              <w:noProof/>
            </w:rPr>
            <w:tab/>
          </w:r>
          <w:r>
            <w:rPr>
              <w:noProof/>
            </w:rPr>
            <w:fldChar w:fldCharType="begin"/>
          </w:r>
          <w:r>
            <w:rPr>
              <w:noProof/>
            </w:rPr>
            <w:instrText xml:space="preserve"> PAGEREF _Toc78889208 \h </w:instrText>
          </w:r>
          <w:r>
            <w:rPr>
              <w:noProof/>
            </w:rPr>
          </w:r>
          <w:r>
            <w:rPr>
              <w:noProof/>
            </w:rPr>
            <w:fldChar w:fldCharType="separate"/>
          </w:r>
          <w:r w:rsidR="00F243F7">
            <w:rPr>
              <w:noProof/>
            </w:rPr>
            <w:t>69</w:t>
          </w:r>
          <w:r>
            <w:rPr>
              <w:noProof/>
            </w:rPr>
            <w:fldChar w:fldCharType="end"/>
          </w:r>
        </w:p>
        <w:p w14:paraId="27A01B95" w14:textId="4AFE872F" w:rsidR="00145A92" w:rsidRDefault="00145A92">
          <w:pPr>
            <w:pStyle w:val="TOC2"/>
            <w:rPr>
              <w:rFonts w:asciiTheme="minorHAnsi" w:eastAsiaTheme="minorEastAsia" w:hAnsiTheme="minorHAnsi"/>
              <w:noProof/>
              <w:sz w:val="22"/>
            </w:rPr>
          </w:pPr>
          <w:r w:rsidRPr="0074089D">
            <w:rPr>
              <w:rFonts w:cs="Times New Roman"/>
              <w:bCs/>
              <w:noProof/>
            </w:rPr>
            <w:t>3.5</w:t>
          </w:r>
          <w:r>
            <w:rPr>
              <w:rFonts w:asciiTheme="minorHAnsi" w:eastAsiaTheme="minorEastAsia" w:hAnsiTheme="minorHAnsi"/>
              <w:noProof/>
              <w:sz w:val="22"/>
            </w:rPr>
            <w:tab/>
          </w:r>
          <w:r w:rsidRPr="0074089D">
            <w:rPr>
              <w:rFonts w:cs="Times New Roman"/>
              <w:noProof/>
            </w:rPr>
            <w:t>Acknowledgments</w:t>
          </w:r>
          <w:r>
            <w:rPr>
              <w:noProof/>
            </w:rPr>
            <w:tab/>
          </w:r>
          <w:r>
            <w:rPr>
              <w:noProof/>
            </w:rPr>
            <w:fldChar w:fldCharType="begin"/>
          </w:r>
          <w:r>
            <w:rPr>
              <w:noProof/>
            </w:rPr>
            <w:instrText xml:space="preserve"> PAGEREF _Toc78889209 \h </w:instrText>
          </w:r>
          <w:r>
            <w:rPr>
              <w:noProof/>
            </w:rPr>
          </w:r>
          <w:r>
            <w:rPr>
              <w:noProof/>
            </w:rPr>
            <w:fldChar w:fldCharType="separate"/>
          </w:r>
          <w:r w:rsidR="00F243F7">
            <w:rPr>
              <w:noProof/>
            </w:rPr>
            <w:t>74</w:t>
          </w:r>
          <w:r>
            <w:rPr>
              <w:noProof/>
            </w:rPr>
            <w:fldChar w:fldCharType="end"/>
          </w:r>
        </w:p>
        <w:p w14:paraId="444EF015" w14:textId="6BCA1E66" w:rsidR="00145A92" w:rsidRDefault="00145A92">
          <w:pPr>
            <w:pStyle w:val="TOC1"/>
            <w:rPr>
              <w:rFonts w:asciiTheme="minorHAnsi" w:eastAsiaTheme="minorEastAsia" w:hAnsiTheme="minorHAnsi"/>
              <w:b w:val="0"/>
              <w:noProof/>
              <w:sz w:val="22"/>
            </w:rPr>
          </w:pPr>
          <w:r w:rsidRPr="0074089D">
            <w:rPr>
              <w:rFonts w:cs="Times New Roman"/>
              <w:noProof/>
            </w:rPr>
            <w:t>4</w:t>
          </w:r>
          <w:r>
            <w:rPr>
              <w:rFonts w:asciiTheme="minorHAnsi" w:eastAsiaTheme="minorEastAsia" w:hAnsiTheme="minorHAnsi"/>
              <w:b w:val="0"/>
              <w:noProof/>
              <w:sz w:val="22"/>
            </w:rPr>
            <w:tab/>
          </w:r>
          <w:r w:rsidRPr="0074089D">
            <w:rPr>
              <w:rFonts w:cs="Times New Roman"/>
              <w:noProof/>
            </w:rPr>
            <w:t xml:space="preserve">Comparing satellite data and </w:t>
          </w:r>
          <w:r w:rsidRPr="0074089D">
            <w:rPr>
              <w:rFonts w:cs="Times New Roman"/>
              <w:i/>
              <w:iCs/>
              <w:noProof/>
            </w:rPr>
            <w:t>in-situ</w:t>
          </w:r>
          <w:r w:rsidRPr="0074089D">
            <w:rPr>
              <w:rFonts w:cs="Times New Roman"/>
              <w:noProof/>
            </w:rPr>
            <w:t xml:space="preserve"> measurements in studying vector mosquito habitats in an urban environment</w:t>
          </w:r>
          <w:r>
            <w:rPr>
              <w:noProof/>
            </w:rPr>
            <w:tab/>
          </w:r>
          <w:r>
            <w:rPr>
              <w:noProof/>
            </w:rPr>
            <w:fldChar w:fldCharType="begin"/>
          </w:r>
          <w:r>
            <w:rPr>
              <w:noProof/>
            </w:rPr>
            <w:instrText xml:space="preserve"> PAGEREF _Toc78889210 \h </w:instrText>
          </w:r>
          <w:r>
            <w:rPr>
              <w:noProof/>
            </w:rPr>
          </w:r>
          <w:r>
            <w:rPr>
              <w:noProof/>
            </w:rPr>
            <w:fldChar w:fldCharType="separate"/>
          </w:r>
          <w:r w:rsidR="00F243F7">
            <w:rPr>
              <w:noProof/>
            </w:rPr>
            <w:t>75</w:t>
          </w:r>
          <w:r>
            <w:rPr>
              <w:noProof/>
            </w:rPr>
            <w:fldChar w:fldCharType="end"/>
          </w:r>
        </w:p>
        <w:p w14:paraId="235D1E03" w14:textId="610B1FBE" w:rsidR="00145A92" w:rsidRDefault="00145A92">
          <w:pPr>
            <w:pStyle w:val="TOC2"/>
            <w:rPr>
              <w:rFonts w:asciiTheme="minorHAnsi" w:eastAsiaTheme="minorEastAsia" w:hAnsiTheme="minorHAnsi"/>
              <w:noProof/>
              <w:sz w:val="22"/>
            </w:rPr>
          </w:pPr>
          <w:r w:rsidRPr="0074089D">
            <w:rPr>
              <w:rFonts w:cs="Times New Roman"/>
              <w:bCs/>
              <w:noProof/>
            </w:rPr>
            <w:t>4.1</w:t>
          </w:r>
          <w:r>
            <w:rPr>
              <w:rFonts w:asciiTheme="minorHAnsi" w:eastAsiaTheme="minorEastAsia" w:hAnsiTheme="minorHAnsi"/>
              <w:noProof/>
              <w:sz w:val="22"/>
            </w:rPr>
            <w:tab/>
          </w:r>
          <w:r w:rsidRPr="0074089D">
            <w:rPr>
              <w:rFonts w:cs="Times New Roman"/>
              <w:noProof/>
            </w:rPr>
            <w:t>Introduction</w:t>
          </w:r>
          <w:r>
            <w:rPr>
              <w:noProof/>
            </w:rPr>
            <w:tab/>
          </w:r>
          <w:r>
            <w:rPr>
              <w:noProof/>
            </w:rPr>
            <w:fldChar w:fldCharType="begin"/>
          </w:r>
          <w:r>
            <w:rPr>
              <w:noProof/>
            </w:rPr>
            <w:instrText xml:space="preserve"> PAGEREF _Toc78889211 \h </w:instrText>
          </w:r>
          <w:r>
            <w:rPr>
              <w:noProof/>
            </w:rPr>
          </w:r>
          <w:r>
            <w:rPr>
              <w:noProof/>
            </w:rPr>
            <w:fldChar w:fldCharType="separate"/>
          </w:r>
          <w:r w:rsidR="00F243F7">
            <w:rPr>
              <w:noProof/>
            </w:rPr>
            <w:t>77</w:t>
          </w:r>
          <w:r>
            <w:rPr>
              <w:noProof/>
            </w:rPr>
            <w:fldChar w:fldCharType="end"/>
          </w:r>
        </w:p>
        <w:p w14:paraId="46551E66" w14:textId="25A75DB0" w:rsidR="00145A92" w:rsidRDefault="00145A92">
          <w:pPr>
            <w:pStyle w:val="TOC2"/>
            <w:rPr>
              <w:rFonts w:asciiTheme="minorHAnsi" w:eastAsiaTheme="minorEastAsia" w:hAnsiTheme="minorHAnsi"/>
              <w:noProof/>
              <w:sz w:val="22"/>
            </w:rPr>
          </w:pPr>
          <w:r w:rsidRPr="0074089D">
            <w:rPr>
              <w:rFonts w:cs="Times New Roman"/>
              <w:bCs/>
              <w:noProof/>
            </w:rPr>
            <w:t>4.2</w:t>
          </w:r>
          <w:r>
            <w:rPr>
              <w:rFonts w:asciiTheme="minorHAnsi" w:eastAsiaTheme="minorEastAsia" w:hAnsiTheme="minorHAnsi"/>
              <w:noProof/>
              <w:sz w:val="22"/>
            </w:rPr>
            <w:tab/>
          </w:r>
          <w:r w:rsidRPr="0074089D">
            <w:rPr>
              <w:rFonts w:cs="Times New Roman"/>
              <w:noProof/>
            </w:rPr>
            <w:t>Materials and Methods</w:t>
          </w:r>
          <w:r>
            <w:rPr>
              <w:noProof/>
            </w:rPr>
            <w:tab/>
          </w:r>
          <w:r>
            <w:rPr>
              <w:noProof/>
            </w:rPr>
            <w:fldChar w:fldCharType="begin"/>
          </w:r>
          <w:r>
            <w:rPr>
              <w:noProof/>
            </w:rPr>
            <w:instrText xml:space="preserve"> PAGEREF _Toc78889212 \h </w:instrText>
          </w:r>
          <w:r>
            <w:rPr>
              <w:noProof/>
            </w:rPr>
          </w:r>
          <w:r>
            <w:rPr>
              <w:noProof/>
            </w:rPr>
            <w:fldChar w:fldCharType="separate"/>
          </w:r>
          <w:r w:rsidR="00F243F7">
            <w:rPr>
              <w:noProof/>
            </w:rPr>
            <w:t>79</w:t>
          </w:r>
          <w:r>
            <w:rPr>
              <w:noProof/>
            </w:rPr>
            <w:fldChar w:fldCharType="end"/>
          </w:r>
        </w:p>
        <w:p w14:paraId="4A7C0991" w14:textId="4DD79622"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4.2.1</w:t>
          </w:r>
          <w:r>
            <w:rPr>
              <w:rFonts w:asciiTheme="minorHAnsi" w:eastAsiaTheme="minorEastAsia" w:hAnsiTheme="minorHAnsi"/>
              <w:noProof/>
              <w:sz w:val="22"/>
            </w:rPr>
            <w:tab/>
          </w:r>
          <w:r w:rsidRPr="0074089D">
            <w:rPr>
              <w:rFonts w:cs="Times New Roman"/>
              <w:noProof/>
            </w:rPr>
            <w:t>Study area</w:t>
          </w:r>
          <w:r>
            <w:rPr>
              <w:noProof/>
            </w:rPr>
            <w:tab/>
          </w:r>
          <w:r>
            <w:rPr>
              <w:noProof/>
            </w:rPr>
            <w:fldChar w:fldCharType="begin"/>
          </w:r>
          <w:r>
            <w:rPr>
              <w:noProof/>
            </w:rPr>
            <w:instrText xml:space="preserve"> PAGEREF _Toc78889213 \h </w:instrText>
          </w:r>
          <w:r>
            <w:rPr>
              <w:noProof/>
            </w:rPr>
          </w:r>
          <w:r>
            <w:rPr>
              <w:noProof/>
            </w:rPr>
            <w:fldChar w:fldCharType="separate"/>
          </w:r>
          <w:r w:rsidR="00F243F7">
            <w:rPr>
              <w:noProof/>
            </w:rPr>
            <w:t>79</w:t>
          </w:r>
          <w:r>
            <w:rPr>
              <w:noProof/>
            </w:rPr>
            <w:fldChar w:fldCharType="end"/>
          </w:r>
        </w:p>
        <w:p w14:paraId="1387E9B4" w14:textId="4AE9EC18"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4.2.2</w:t>
          </w:r>
          <w:r>
            <w:rPr>
              <w:rFonts w:asciiTheme="minorHAnsi" w:eastAsiaTheme="minorEastAsia" w:hAnsiTheme="minorHAnsi"/>
              <w:noProof/>
              <w:sz w:val="22"/>
            </w:rPr>
            <w:tab/>
          </w:r>
          <w:r w:rsidRPr="0074089D">
            <w:rPr>
              <w:rFonts w:cs="Times New Roman"/>
              <w:noProof/>
            </w:rPr>
            <w:t>Mosquito trapping and processing</w:t>
          </w:r>
          <w:r>
            <w:rPr>
              <w:noProof/>
            </w:rPr>
            <w:tab/>
          </w:r>
          <w:r>
            <w:rPr>
              <w:noProof/>
            </w:rPr>
            <w:fldChar w:fldCharType="begin"/>
          </w:r>
          <w:r>
            <w:rPr>
              <w:noProof/>
            </w:rPr>
            <w:instrText xml:space="preserve"> PAGEREF _Toc78889214 \h </w:instrText>
          </w:r>
          <w:r>
            <w:rPr>
              <w:noProof/>
            </w:rPr>
          </w:r>
          <w:r>
            <w:rPr>
              <w:noProof/>
            </w:rPr>
            <w:fldChar w:fldCharType="separate"/>
          </w:r>
          <w:r w:rsidR="00F243F7">
            <w:rPr>
              <w:noProof/>
            </w:rPr>
            <w:t>81</w:t>
          </w:r>
          <w:r>
            <w:rPr>
              <w:noProof/>
            </w:rPr>
            <w:fldChar w:fldCharType="end"/>
          </w:r>
        </w:p>
        <w:p w14:paraId="601D52B0" w14:textId="7C8E975B"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4.2.3</w:t>
          </w:r>
          <w:r>
            <w:rPr>
              <w:rFonts w:asciiTheme="minorHAnsi" w:eastAsiaTheme="minorEastAsia" w:hAnsiTheme="minorHAnsi"/>
              <w:noProof/>
              <w:sz w:val="22"/>
            </w:rPr>
            <w:tab/>
          </w:r>
          <w:r w:rsidRPr="0074089D">
            <w:rPr>
              <w:rFonts w:cs="Times New Roman"/>
              <w:noProof/>
            </w:rPr>
            <w:t>Environmental data collection</w:t>
          </w:r>
          <w:r>
            <w:rPr>
              <w:noProof/>
            </w:rPr>
            <w:tab/>
          </w:r>
          <w:r>
            <w:rPr>
              <w:noProof/>
            </w:rPr>
            <w:fldChar w:fldCharType="begin"/>
          </w:r>
          <w:r>
            <w:rPr>
              <w:noProof/>
            </w:rPr>
            <w:instrText xml:space="preserve"> PAGEREF _Toc78889215 \h </w:instrText>
          </w:r>
          <w:r>
            <w:rPr>
              <w:noProof/>
            </w:rPr>
          </w:r>
          <w:r>
            <w:rPr>
              <w:noProof/>
            </w:rPr>
            <w:fldChar w:fldCharType="separate"/>
          </w:r>
          <w:r w:rsidR="00F243F7">
            <w:rPr>
              <w:noProof/>
            </w:rPr>
            <w:t>81</w:t>
          </w:r>
          <w:r>
            <w:rPr>
              <w:noProof/>
            </w:rPr>
            <w:fldChar w:fldCharType="end"/>
          </w:r>
        </w:p>
        <w:p w14:paraId="5FFA21E5" w14:textId="218B2BEB"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4.2.4</w:t>
          </w:r>
          <w:r>
            <w:rPr>
              <w:rFonts w:asciiTheme="minorHAnsi" w:eastAsiaTheme="minorEastAsia" w:hAnsiTheme="minorHAnsi"/>
              <w:noProof/>
              <w:sz w:val="22"/>
            </w:rPr>
            <w:tab/>
          </w:r>
          <w:r w:rsidRPr="0074089D">
            <w:rPr>
              <w:rFonts w:cs="Times New Roman"/>
              <w:noProof/>
            </w:rPr>
            <w:t>Analysis</w:t>
          </w:r>
          <w:r>
            <w:rPr>
              <w:noProof/>
            </w:rPr>
            <w:tab/>
          </w:r>
          <w:r>
            <w:rPr>
              <w:noProof/>
            </w:rPr>
            <w:fldChar w:fldCharType="begin"/>
          </w:r>
          <w:r>
            <w:rPr>
              <w:noProof/>
            </w:rPr>
            <w:instrText xml:space="preserve"> PAGEREF _Toc78889216 \h </w:instrText>
          </w:r>
          <w:r>
            <w:rPr>
              <w:noProof/>
            </w:rPr>
          </w:r>
          <w:r>
            <w:rPr>
              <w:noProof/>
            </w:rPr>
            <w:fldChar w:fldCharType="separate"/>
          </w:r>
          <w:r w:rsidR="00F243F7">
            <w:rPr>
              <w:noProof/>
            </w:rPr>
            <w:t>88</w:t>
          </w:r>
          <w:r>
            <w:rPr>
              <w:noProof/>
            </w:rPr>
            <w:fldChar w:fldCharType="end"/>
          </w:r>
        </w:p>
        <w:p w14:paraId="19F346FA" w14:textId="4440A564" w:rsidR="00145A92" w:rsidRDefault="00145A92">
          <w:pPr>
            <w:pStyle w:val="TOC2"/>
            <w:rPr>
              <w:rFonts w:asciiTheme="minorHAnsi" w:eastAsiaTheme="minorEastAsia" w:hAnsiTheme="minorHAnsi"/>
              <w:noProof/>
              <w:sz w:val="22"/>
            </w:rPr>
          </w:pPr>
          <w:r w:rsidRPr="0074089D">
            <w:rPr>
              <w:rFonts w:cs="Times New Roman"/>
              <w:bCs/>
              <w:noProof/>
            </w:rPr>
            <w:lastRenderedPageBreak/>
            <w:t>4.3</w:t>
          </w:r>
          <w:r>
            <w:rPr>
              <w:rFonts w:asciiTheme="minorHAnsi" w:eastAsiaTheme="minorEastAsia" w:hAnsiTheme="minorHAnsi"/>
              <w:noProof/>
              <w:sz w:val="22"/>
            </w:rPr>
            <w:tab/>
          </w:r>
          <w:r w:rsidRPr="0074089D">
            <w:rPr>
              <w:rFonts w:cs="Times New Roman"/>
              <w:noProof/>
            </w:rPr>
            <w:t>Results</w:t>
          </w:r>
          <w:r>
            <w:rPr>
              <w:noProof/>
            </w:rPr>
            <w:tab/>
          </w:r>
          <w:r>
            <w:rPr>
              <w:noProof/>
            </w:rPr>
            <w:fldChar w:fldCharType="begin"/>
          </w:r>
          <w:r>
            <w:rPr>
              <w:noProof/>
            </w:rPr>
            <w:instrText xml:space="preserve"> PAGEREF _Toc78889217 \h </w:instrText>
          </w:r>
          <w:r>
            <w:rPr>
              <w:noProof/>
            </w:rPr>
          </w:r>
          <w:r>
            <w:rPr>
              <w:noProof/>
            </w:rPr>
            <w:fldChar w:fldCharType="separate"/>
          </w:r>
          <w:r w:rsidR="00F243F7">
            <w:rPr>
              <w:noProof/>
            </w:rPr>
            <w:t>89</w:t>
          </w:r>
          <w:r>
            <w:rPr>
              <w:noProof/>
            </w:rPr>
            <w:fldChar w:fldCharType="end"/>
          </w:r>
        </w:p>
        <w:p w14:paraId="24F6B72B" w14:textId="7F58E761" w:rsidR="00145A92" w:rsidRDefault="00145A92">
          <w:pPr>
            <w:pStyle w:val="TOC2"/>
            <w:rPr>
              <w:rFonts w:asciiTheme="minorHAnsi" w:eastAsiaTheme="minorEastAsia" w:hAnsiTheme="minorHAnsi"/>
              <w:noProof/>
              <w:sz w:val="22"/>
            </w:rPr>
          </w:pPr>
          <w:r w:rsidRPr="0074089D">
            <w:rPr>
              <w:rFonts w:cs="Times New Roman"/>
              <w:bCs/>
              <w:noProof/>
            </w:rPr>
            <w:t>4.4</w:t>
          </w:r>
          <w:r>
            <w:rPr>
              <w:rFonts w:asciiTheme="minorHAnsi" w:eastAsiaTheme="minorEastAsia" w:hAnsiTheme="minorHAnsi"/>
              <w:noProof/>
              <w:sz w:val="22"/>
            </w:rPr>
            <w:tab/>
          </w:r>
          <w:r w:rsidRPr="0074089D">
            <w:rPr>
              <w:rFonts w:cs="Times New Roman"/>
              <w:noProof/>
            </w:rPr>
            <w:t>Discussion</w:t>
          </w:r>
          <w:r>
            <w:rPr>
              <w:noProof/>
            </w:rPr>
            <w:tab/>
          </w:r>
          <w:r>
            <w:rPr>
              <w:noProof/>
            </w:rPr>
            <w:fldChar w:fldCharType="begin"/>
          </w:r>
          <w:r>
            <w:rPr>
              <w:noProof/>
            </w:rPr>
            <w:instrText xml:space="preserve"> PAGEREF _Toc78889218 \h </w:instrText>
          </w:r>
          <w:r>
            <w:rPr>
              <w:noProof/>
            </w:rPr>
          </w:r>
          <w:r>
            <w:rPr>
              <w:noProof/>
            </w:rPr>
            <w:fldChar w:fldCharType="separate"/>
          </w:r>
          <w:r w:rsidR="00F243F7">
            <w:rPr>
              <w:noProof/>
            </w:rPr>
            <w:t>98</w:t>
          </w:r>
          <w:r>
            <w:rPr>
              <w:noProof/>
            </w:rPr>
            <w:fldChar w:fldCharType="end"/>
          </w:r>
        </w:p>
        <w:p w14:paraId="27DDB800" w14:textId="01CFF02F" w:rsidR="00145A92" w:rsidRDefault="00145A92">
          <w:pPr>
            <w:pStyle w:val="TOC1"/>
            <w:rPr>
              <w:rFonts w:asciiTheme="minorHAnsi" w:eastAsiaTheme="minorEastAsia" w:hAnsiTheme="minorHAnsi"/>
              <w:b w:val="0"/>
              <w:noProof/>
              <w:sz w:val="22"/>
            </w:rPr>
          </w:pPr>
          <w:r w:rsidRPr="0074089D">
            <w:rPr>
              <w:rFonts w:cs="Times New Roman"/>
              <w:noProof/>
            </w:rPr>
            <w:t>5</w:t>
          </w:r>
          <w:r>
            <w:rPr>
              <w:rFonts w:asciiTheme="minorHAnsi" w:eastAsiaTheme="minorEastAsia" w:hAnsiTheme="minorHAnsi"/>
              <w:b w:val="0"/>
              <w:noProof/>
              <w:sz w:val="22"/>
            </w:rPr>
            <w:tab/>
          </w:r>
          <w:r w:rsidRPr="0074089D">
            <w:rPr>
              <w:rFonts w:cs="Times New Roman"/>
              <w:noProof/>
            </w:rPr>
            <w:t>Synthesis</w:t>
          </w:r>
          <w:r>
            <w:rPr>
              <w:noProof/>
            </w:rPr>
            <w:tab/>
          </w:r>
          <w:r>
            <w:rPr>
              <w:noProof/>
            </w:rPr>
            <w:fldChar w:fldCharType="begin"/>
          </w:r>
          <w:r>
            <w:rPr>
              <w:noProof/>
            </w:rPr>
            <w:instrText xml:space="preserve"> PAGEREF _Toc78889219 \h </w:instrText>
          </w:r>
          <w:r>
            <w:rPr>
              <w:noProof/>
            </w:rPr>
          </w:r>
          <w:r>
            <w:rPr>
              <w:noProof/>
            </w:rPr>
            <w:fldChar w:fldCharType="separate"/>
          </w:r>
          <w:r w:rsidR="00F243F7">
            <w:rPr>
              <w:noProof/>
            </w:rPr>
            <w:t>104</w:t>
          </w:r>
          <w:r>
            <w:rPr>
              <w:noProof/>
            </w:rPr>
            <w:fldChar w:fldCharType="end"/>
          </w:r>
        </w:p>
        <w:p w14:paraId="7FE8A77F" w14:textId="5DCAA1DB" w:rsidR="00145A92" w:rsidRDefault="00145A92">
          <w:pPr>
            <w:pStyle w:val="TOC2"/>
            <w:rPr>
              <w:rFonts w:asciiTheme="minorHAnsi" w:eastAsiaTheme="minorEastAsia" w:hAnsiTheme="minorHAnsi"/>
              <w:noProof/>
              <w:sz w:val="22"/>
            </w:rPr>
          </w:pPr>
          <w:r w:rsidRPr="0074089D">
            <w:rPr>
              <w:rFonts w:cs="Times New Roman"/>
              <w:bCs/>
              <w:noProof/>
            </w:rPr>
            <w:t>5.1</w:t>
          </w:r>
          <w:r>
            <w:rPr>
              <w:rFonts w:asciiTheme="minorHAnsi" w:eastAsiaTheme="minorEastAsia" w:hAnsiTheme="minorHAnsi"/>
              <w:noProof/>
              <w:sz w:val="22"/>
            </w:rPr>
            <w:tab/>
          </w:r>
          <w:r w:rsidRPr="0074089D">
            <w:rPr>
              <w:rFonts w:cs="Times New Roman"/>
              <w:noProof/>
            </w:rPr>
            <w:t>Summary</w:t>
          </w:r>
          <w:r>
            <w:rPr>
              <w:noProof/>
            </w:rPr>
            <w:tab/>
          </w:r>
          <w:r>
            <w:rPr>
              <w:noProof/>
            </w:rPr>
            <w:fldChar w:fldCharType="begin"/>
          </w:r>
          <w:r>
            <w:rPr>
              <w:noProof/>
            </w:rPr>
            <w:instrText xml:space="preserve"> PAGEREF _Toc78889220 \h </w:instrText>
          </w:r>
          <w:r>
            <w:rPr>
              <w:noProof/>
            </w:rPr>
          </w:r>
          <w:r>
            <w:rPr>
              <w:noProof/>
            </w:rPr>
            <w:fldChar w:fldCharType="separate"/>
          </w:r>
          <w:r w:rsidR="00F243F7">
            <w:rPr>
              <w:noProof/>
            </w:rPr>
            <w:t>104</w:t>
          </w:r>
          <w:r>
            <w:rPr>
              <w:noProof/>
            </w:rPr>
            <w:fldChar w:fldCharType="end"/>
          </w:r>
        </w:p>
        <w:p w14:paraId="1B6EA8A0" w14:textId="1FE20D85" w:rsidR="00145A92" w:rsidRDefault="00145A92">
          <w:pPr>
            <w:pStyle w:val="TOC2"/>
            <w:rPr>
              <w:rFonts w:asciiTheme="minorHAnsi" w:eastAsiaTheme="minorEastAsia" w:hAnsiTheme="minorHAnsi"/>
              <w:noProof/>
              <w:sz w:val="22"/>
            </w:rPr>
          </w:pPr>
          <w:r w:rsidRPr="0074089D">
            <w:rPr>
              <w:rFonts w:cs="Times New Roman"/>
              <w:bCs/>
              <w:noProof/>
            </w:rPr>
            <w:t>5.2</w:t>
          </w:r>
          <w:r>
            <w:rPr>
              <w:rFonts w:asciiTheme="minorHAnsi" w:eastAsiaTheme="minorEastAsia" w:hAnsiTheme="minorHAnsi"/>
              <w:noProof/>
              <w:sz w:val="22"/>
            </w:rPr>
            <w:tab/>
          </w:r>
          <w:r w:rsidRPr="0074089D">
            <w:rPr>
              <w:rFonts w:cs="Times New Roman"/>
              <w:noProof/>
            </w:rPr>
            <w:t>General considerations</w:t>
          </w:r>
          <w:r>
            <w:rPr>
              <w:noProof/>
            </w:rPr>
            <w:tab/>
          </w:r>
          <w:r>
            <w:rPr>
              <w:noProof/>
            </w:rPr>
            <w:fldChar w:fldCharType="begin"/>
          </w:r>
          <w:r>
            <w:rPr>
              <w:noProof/>
            </w:rPr>
            <w:instrText xml:space="preserve"> PAGEREF _Toc78889221 \h </w:instrText>
          </w:r>
          <w:r>
            <w:rPr>
              <w:noProof/>
            </w:rPr>
          </w:r>
          <w:r>
            <w:rPr>
              <w:noProof/>
            </w:rPr>
            <w:fldChar w:fldCharType="separate"/>
          </w:r>
          <w:r w:rsidR="00F243F7">
            <w:rPr>
              <w:noProof/>
            </w:rPr>
            <w:t>107</w:t>
          </w:r>
          <w:r>
            <w:rPr>
              <w:noProof/>
            </w:rPr>
            <w:fldChar w:fldCharType="end"/>
          </w:r>
        </w:p>
        <w:p w14:paraId="7F47D4C4" w14:textId="6F2316D8"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5.2.1</w:t>
          </w:r>
          <w:r>
            <w:rPr>
              <w:rFonts w:asciiTheme="minorHAnsi" w:eastAsiaTheme="minorEastAsia" w:hAnsiTheme="minorHAnsi"/>
              <w:noProof/>
              <w:sz w:val="22"/>
            </w:rPr>
            <w:tab/>
          </w:r>
          <w:r w:rsidRPr="0074089D">
            <w:rPr>
              <w:rFonts w:cs="Times New Roman"/>
              <w:noProof/>
            </w:rPr>
            <w:t>Remotely-sensed variables influencing disease risk</w:t>
          </w:r>
          <w:r>
            <w:rPr>
              <w:noProof/>
            </w:rPr>
            <w:tab/>
          </w:r>
          <w:r>
            <w:rPr>
              <w:noProof/>
            </w:rPr>
            <w:fldChar w:fldCharType="begin"/>
          </w:r>
          <w:r>
            <w:rPr>
              <w:noProof/>
            </w:rPr>
            <w:instrText xml:space="preserve"> PAGEREF _Toc78889222 \h </w:instrText>
          </w:r>
          <w:r>
            <w:rPr>
              <w:noProof/>
            </w:rPr>
          </w:r>
          <w:r>
            <w:rPr>
              <w:noProof/>
            </w:rPr>
            <w:fldChar w:fldCharType="separate"/>
          </w:r>
          <w:r w:rsidR="00F243F7">
            <w:rPr>
              <w:noProof/>
            </w:rPr>
            <w:t>108</w:t>
          </w:r>
          <w:r>
            <w:rPr>
              <w:noProof/>
            </w:rPr>
            <w:fldChar w:fldCharType="end"/>
          </w:r>
        </w:p>
        <w:p w14:paraId="01BA70D2" w14:textId="47F3202A"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5.2.2</w:t>
          </w:r>
          <w:r>
            <w:rPr>
              <w:rFonts w:asciiTheme="minorHAnsi" w:eastAsiaTheme="minorEastAsia" w:hAnsiTheme="minorHAnsi"/>
              <w:noProof/>
              <w:sz w:val="22"/>
            </w:rPr>
            <w:tab/>
          </w:r>
          <w:r w:rsidRPr="0074089D">
            <w:rPr>
              <w:rFonts w:cs="Times New Roman"/>
              <w:noProof/>
            </w:rPr>
            <w:t>The importance of landscape context</w:t>
          </w:r>
          <w:r>
            <w:rPr>
              <w:noProof/>
            </w:rPr>
            <w:tab/>
          </w:r>
          <w:r>
            <w:rPr>
              <w:noProof/>
            </w:rPr>
            <w:fldChar w:fldCharType="begin"/>
          </w:r>
          <w:r>
            <w:rPr>
              <w:noProof/>
            </w:rPr>
            <w:instrText xml:space="preserve"> PAGEREF _Toc78889223 \h </w:instrText>
          </w:r>
          <w:r>
            <w:rPr>
              <w:noProof/>
            </w:rPr>
          </w:r>
          <w:r>
            <w:rPr>
              <w:noProof/>
            </w:rPr>
            <w:fldChar w:fldCharType="separate"/>
          </w:r>
          <w:r w:rsidR="00F243F7">
            <w:rPr>
              <w:noProof/>
            </w:rPr>
            <w:t>110</w:t>
          </w:r>
          <w:r>
            <w:rPr>
              <w:noProof/>
            </w:rPr>
            <w:fldChar w:fldCharType="end"/>
          </w:r>
        </w:p>
        <w:p w14:paraId="6886E774" w14:textId="272C290E" w:rsidR="00145A92" w:rsidRDefault="00145A92">
          <w:pPr>
            <w:pStyle w:val="TOC3"/>
            <w:tabs>
              <w:tab w:val="left" w:pos="1320"/>
              <w:tab w:val="right" w:leader="dot" w:pos="8630"/>
            </w:tabs>
            <w:rPr>
              <w:rFonts w:asciiTheme="minorHAnsi" w:eastAsiaTheme="minorEastAsia" w:hAnsiTheme="minorHAnsi"/>
              <w:noProof/>
              <w:sz w:val="22"/>
            </w:rPr>
          </w:pPr>
          <w:r w:rsidRPr="0074089D">
            <w:rPr>
              <w:rFonts w:cs="Times New Roman"/>
              <w:noProof/>
            </w:rPr>
            <w:t>5.2.3</w:t>
          </w:r>
          <w:r>
            <w:rPr>
              <w:rFonts w:asciiTheme="minorHAnsi" w:eastAsiaTheme="minorEastAsia" w:hAnsiTheme="minorHAnsi"/>
              <w:noProof/>
              <w:sz w:val="22"/>
            </w:rPr>
            <w:tab/>
          </w:r>
          <w:r w:rsidRPr="0074089D">
            <w:rPr>
              <w:rFonts w:cs="Times New Roman"/>
              <w:noProof/>
            </w:rPr>
            <w:t>The case for remote sensing data in disease risk applications</w:t>
          </w:r>
          <w:r>
            <w:rPr>
              <w:noProof/>
            </w:rPr>
            <w:tab/>
          </w:r>
          <w:r>
            <w:rPr>
              <w:noProof/>
            </w:rPr>
            <w:fldChar w:fldCharType="begin"/>
          </w:r>
          <w:r>
            <w:rPr>
              <w:noProof/>
            </w:rPr>
            <w:instrText xml:space="preserve"> PAGEREF _Toc78889224 \h </w:instrText>
          </w:r>
          <w:r>
            <w:rPr>
              <w:noProof/>
            </w:rPr>
          </w:r>
          <w:r>
            <w:rPr>
              <w:noProof/>
            </w:rPr>
            <w:fldChar w:fldCharType="separate"/>
          </w:r>
          <w:r w:rsidR="00F243F7">
            <w:rPr>
              <w:noProof/>
            </w:rPr>
            <w:t>111</w:t>
          </w:r>
          <w:r>
            <w:rPr>
              <w:noProof/>
            </w:rPr>
            <w:fldChar w:fldCharType="end"/>
          </w:r>
        </w:p>
        <w:p w14:paraId="1A6A2BB5" w14:textId="177073D2" w:rsidR="00145A92" w:rsidRDefault="00145A92">
          <w:pPr>
            <w:pStyle w:val="TOC2"/>
            <w:rPr>
              <w:rFonts w:asciiTheme="minorHAnsi" w:eastAsiaTheme="minorEastAsia" w:hAnsiTheme="minorHAnsi"/>
              <w:noProof/>
              <w:sz w:val="22"/>
            </w:rPr>
          </w:pPr>
          <w:r w:rsidRPr="0074089D">
            <w:rPr>
              <w:rFonts w:cs="Times New Roman"/>
              <w:bCs/>
              <w:noProof/>
            </w:rPr>
            <w:t>5.3</w:t>
          </w:r>
          <w:r>
            <w:rPr>
              <w:rFonts w:asciiTheme="minorHAnsi" w:eastAsiaTheme="minorEastAsia" w:hAnsiTheme="minorHAnsi"/>
              <w:noProof/>
              <w:sz w:val="22"/>
            </w:rPr>
            <w:tab/>
          </w:r>
          <w:r w:rsidRPr="0074089D">
            <w:rPr>
              <w:rFonts w:cs="Times New Roman"/>
              <w:noProof/>
            </w:rPr>
            <w:t>Conclusion and future outlook</w:t>
          </w:r>
          <w:r>
            <w:rPr>
              <w:noProof/>
            </w:rPr>
            <w:tab/>
          </w:r>
          <w:r>
            <w:rPr>
              <w:noProof/>
            </w:rPr>
            <w:fldChar w:fldCharType="begin"/>
          </w:r>
          <w:r>
            <w:rPr>
              <w:noProof/>
            </w:rPr>
            <w:instrText xml:space="preserve"> PAGEREF _Toc78889225 \h </w:instrText>
          </w:r>
          <w:r>
            <w:rPr>
              <w:noProof/>
            </w:rPr>
          </w:r>
          <w:r>
            <w:rPr>
              <w:noProof/>
            </w:rPr>
            <w:fldChar w:fldCharType="separate"/>
          </w:r>
          <w:r w:rsidR="00F243F7">
            <w:rPr>
              <w:noProof/>
            </w:rPr>
            <w:t>112</w:t>
          </w:r>
          <w:r>
            <w:rPr>
              <w:noProof/>
            </w:rPr>
            <w:fldChar w:fldCharType="end"/>
          </w:r>
        </w:p>
        <w:p w14:paraId="761B6BB5" w14:textId="425BB448" w:rsidR="00145A92" w:rsidRDefault="00145A92">
          <w:pPr>
            <w:pStyle w:val="TOC1"/>
            <w:rPr>
              <w:rFonts w:asciiTheme="minorHAnsi" w:eastAsiaTheme="minorEastAsia" w:hAnsiTheme="minorHAnsi"/>
              <w:b w:val="0"/>
              <w:noProof/>
              <w:sz w:val="22"/>
            </w:rPr>
          </w:pPr>
          <w:r w:rsidRPr="0074089D">
            <w:rPr>
              <w:rFonts w:cs="Times New Roman"/>
              <w:noProof/>
            </w:rPr>
            <w:t>Bibliography</w:t>
          </w:r>
          <w:r>
            <w:rPr>
              <w:noProof/>
            </w:rPr>
            <w:tab/>
          </w:r>
          <w:r>
            <w:rPr>
              <w:noProof/>
            </w:rPr>
            <w:fldChar w:fldCharType="begin"/>
          </w:r>
          <w:r>
            <w:rPr>
              <w:noProof/>
            </w:rPr>
            <w:instrText xml:space="preserve"> PAGEREF _Toc78889226 \h </w:instrText>
          </w:r>
          <w:r>
            <w:rPr>
              <w:noProof/>
            </w:rPr>
          </w:r>
          <w:r>
            <w:rPr>
              <w:noProof/>
            </w:rPr>
            <w:fldChar w:fldCharType="separate"/>
          </w:r>
          <w:r w:rsidR="00F243F7">
            <w:rPr>
              <w:noProof/>
            </w:rPr>
            <w:t>116</w:t>
          </w:r>
          <w:r>
            <w:rPr>
              <w:noProof/>
            </w:rPr>
            <w:fldChar w:fldCharType="end"/>
          </w:r>
        </w:p>
        <w:p w14:paraId="5100307B" w14:textId="14FFFE5C" w:rsidR="004762E0" w:rsidRPr="00AA3319" w:rsidRDefault="00893839">
          <w:pPr>
            <w:rPr>
              <w:rFonts w:cs="Times New Roman"/>
            </w:rPr>
          </w:pPr>
          <w:r w:rsidRPr="00AA3319">
            <w:rPr>
              <w:rFonts w:cs="Times New Roman"/>
              <w:b/>
            </w:rPr>
            <w:fldChar w:fldCharType="end"/>
          </w:r>
        </w:p>
      </w:sdtContent>
    </w:sdt>
    <w:p w14:paraId="78251A81" w14:textId="4EAE9152" w:rsidR="00B779CC" w:rsidRPr="00AA3319" w:rsidRDefault="00B779CC">
      <w:pPr>
        <w:spacing w:line="259" w:lineRule="auto"/>
        <w:rPr>
          <w:rFonts w:eastAsiaTheme="majorEastAsia" w:cs="Times New Roman"/>
          <w:color w:val="2F5496" w:themeColor="accent1" w:themeShade="BF"/>
          <w:sz w:val="32"/>
          <w:szCs w:val="32"/>
        </w:rPr>
      </w:pPr>
      <w:r w:rsidRPr="00AA3319">
        <w:rPr>
          <w:rFonts w:eastAsiaTheme="majorEastAsia" w:cs="Times New Roman"/>
          <w:color w:val="2F5496" w:themeColor="accent1" w:themeShade="BF"/>
          <w:sz w:val="32"/>
          <w:szCs w:val="32"/>
        </w:rPr>
        <w:br w:type="page"/>
      </w:r>
    </w:p>
    <w:p w14:paraId="2E203A78" w14:textId="5BDC494E" w:rsidR="00B779CC" w:rsidRPr="00AA3319" w:rsidRDefault="00B779CC" w:rsidP="00B17053">
      <w:pPr>
        <w:pStyle w:val="Heading1"/>
        <w:numPr>
          <w:ilvl w:val="0"/>
          <w:numId w:val="0"/>
        </w:numPr>
        <w:rPr>
          <w:rFonts w:cs="Times New Roman"/>
        </w:rPr>
      </w:pPr>
      <w:bookmarkStart w:id="1" w:name="_Toc78889177"/>
      <w:r w:rsidRPr="00AA3319">
        <w:rPr>
          <w:rFonts w:cs="Times New Roman"/>
        </w:rPr>
        <w:lastRenderedPageBreak/>
        <w:t>List of Tables</w:t>
      </w:r>
      <w:bookmarkEnd w:id="1"/>
    </w:p>
    <w:p w14:paraId="40A5E070" w14:textId="09F10691" w:rsidR="00463C02" w:rsidRDefault="004E75B2" w:rsidP="00463C02">
      <w:pPr>
        <w:pStyle w:val="Lists"/>
        <w:rPr>
          <w:rFonts w:asciiTheme="minorHAnsi" w:eastAsiaTheme="minorEastAsia" w:hAnsiTheme="minorHAnsi"/>
          <w:noProof/>
          <w:sz w:val="22"/>
        </w:rPr>
      </w:pPr>
      <w:r w:rsidRPr="00AA3319">
        <w:fldChar w:fldCharType="begin"/>
      </w:r>
      <w:r w:rsidRPr="00AA3319">
        <w:instrText xml:space="preserve"> TOC \h \z \c "Table" </w:instrText>
      </w:r>
      <w:r w:rsidRPr="00AA3319">
        <w:fldChar w:fldCharType="separate"/>
      </w:r>
      <w:hyperlink w:anchor="_Toc78879968" w:history="1">
        <w:r w:rsidR="00463C02" w:rsidRPr="00147132">
          <w:rPr>
            <w:rStyle w:val="Hyperlink"/>
            <w:noProof/>
          </w:rPr>
          <w:t>Table 2</w:t>
        </w:r>
        <w:r w:rsidR="00463C02" w:rsidRPr="00147132">
          <w:rPr>
            <w:rStyle w:val="Hyperlink"/>
            <w:noProof/>
          </w:rPr>
          <w:noBreakHyphen/>
          <w:t>1: List of static and dynamic variables used to predict malaria proportion.</w:t>
        </w:r>
        <w:r w:rsidR="00463C02">
          <w:rPr>
            <w:noProof/>
            <w:webHidden/>
          </w:rPr>
          <w:tab/>
        </w:r>
        <w:r w:rsidR="00463C02">
          <w:rPr>
            <w:noProof/>
            <w:webHidden/>
          </w:rPr>
          <w:fldChar w:fldCharType="begin"/>
        </w:r>
        <w:r w:rsidR="00463C02">
          <w:rPr>
            <w:noProof/>
            <w:webHidden/>
          </w:rPr>
          <w:instrText xml:space="preserve"> PAGEREF _Toc78879968 \h </w:instrText>
        </w:r>
        <w:r w:rsidR="00463C02">
          <w:rPr>
            <w:noProof/>
            <w:webHidden/>
          </w:rPr>
        </w:r>
        <w:r w:rsidR="00463C02">
          <w:rPr>
            <w:noProof/>
            <w:webHidden/>
          </w:rPr>
          <w:fldChar w:fldCharType="separate"/>
        </w:r>
        <w:r w:rsidR="00F243F7">
          <w:rPr>
            <w:noProof/>
            <w:webHidden/>
          </w:rPr>
          <w:t>21</w:t>
        </w:r>
        <w:r w:rsidR="00463C02">
          <w:rPr>
            <w:noProof/>
            <w:webHidden/>
          </w:rPr>
          <w:fldChar w:fldCharType="end"/>
        </w:r>
      </w:hyperlink>
    </w:p>
    <w:p w14:paraId="369FEE86" w14:textId="4C29FAA0" w:rsidR="00463C02" w:rsidRDefault="00E61F20" w:rsidP="00463C02">
      <w:pPr>
        <w:pStyle w:val="Lists"/>
        <w:rPr>
          <w:rFonts w:asciiTheme="minorHAnsi" w:eastAsiaTheme="minorEastAsia" w:hAnsiTheme="minorHAnsi"/>
          <w:noProof/>
          <w:sz w:val="22"/>
        </w:rPr>
      </w:pPr>
      <w:hyperlink w:anchor="_Toc78879969" w:history="1">
        <w:r w:rsidR="00463C02" w:rsidRPr="00147132">
          <w:rPr>
            <w:rStyle w:val="Hyperlink"/>
            <w:noProof/>
          </w:rPr>
          <w:t>Table 2</w:t>
        </w:r>
        <w:r w:rsidR="00463C02" w:rsidRPr="00147132">
          <w:rPr>
            <w:rStyle w:val="Hyperlink"/>
            <w:noProof/>
          </w:rPr>
          <w:noBreakHyphen/>
          <w:t>2: Total malaria case numbers, as well as case number by species, from 2014-2017. The number of traveled cases represents all diagnosed malaria cases that indicated a travel history. Outpatient numbers were the total numbers of patients seeking care at health facilities. Outpatient numbers were used to calculate the proportion of outpatients diagnosed with malaria (the malaria proportion).</w:t>
        </w:r>
        <w:r w:rsidR="00463C02">
          <w:rPr>
            <w:noProof/>
            <w:webHidden/>
          </w:rPr>
          <w:tab/>
        </w:r>
        <w:r w:rsidR="00463C02">
          <w:rPr>
            <w:noProof/>
            <w:webHidden/>
          </w:rPr>
          <w:fldChar w:fldCharType="begin"/>
        </w:r>
        <w:r w:rsidR="00463C02">
          <w:rPr>
            <w:noProof/>
            <w:webHidden/>
          </w:rPr>
          <w:instrText xml:space="preserve"> PAGEREF _Toc78879969 \h </w:instrText>
        </w:r>
        <w:r w:rsidR="00463C02">
          <w:rPr>
            <w:noProof/>
            <w:webHidden/>
          </w:rPr>
        </w:r>
        <w:r w:rsidR="00463C02">
          <w:rPr>
            <w:noProof/>
            <w:webHidden/>
          </w:rPr>
          <w:fldChar w:fldCharType="separate"/>
        </w:r>
        <w:r w:rsidR="00F243F7">
          <w:rPr>
            <w:noProof/>
            <w:webHidden/>
          </w:rPr>
          <w:t>28</w:t>
        </w:r>
        <w:r w:rsidR="00463C02">
          <w:rPr>
            <w:noProof/>
            <w:webHidden/>
          </w:rPr>
          <w:fldChar w:fldCharType="end"/>
        </w:r>
      </w:hyperlink>
    </w:p>
    <w:p w14:paraId="308E493F" w14:textId="3F3808BB" w:rsidR="00463C02" w:rsidRDefault="00E61F20" w:rsidP="00463C02">
      <w:pPr>
        <w:pStyle w:val="Lists"/>
        <w:rPr>
          <w:rFonts w:asciiTheme="minorHAnsi" w:eastAsiaTheme="minorEastAsia" w:hAnsiTheme="minorHAnsi"/>
          <w:noProof/>
          <w:sz w:val="22"/>
        </w:rPr>
      </w:pPr>
      <w:hyperlink w:anchor="_Toc78879970" w:history="1">
        <w:r w:rsidR="00463C02" w:rsidRPr="00147132">
          <w:rPr>
            <w:rStyle w:val="Hyperlink"/>
            <w:noProof/>
          </w:rPr>
          <w:t>Table 2</w:t>
        </w:r>
        <w:r w:rsidR="00463C02" w:rsidRPr="00147132">
          <w:rPr>
            <w:rStyle w:val="Hyperlink"/>
            <w:noProof/>
          </w:rPr>
          <w:noBreakHyphen/>
          <w:t>3: Mecha and Bahir Dar Zuryia variable importance measures. Shown are all variables used to train a Boosted Regression Tree Model, and their variable importance measure (%). Variables are ranked in descending order, according to their contribution in fitting the model.</w:t>
        </w:r>
        <w:r w:rsidR="00463C02">
          <w:rPr>
            <w:noProof/>
            <w:webHidden/>
          </w:rPr>
          <w:tab/>
        </w:r>
        <w:r w:rsidR="00463C02">
          <w:rPr>
            <w:noProof/>
            <w:webHidden/>
          </w:rPr>
          <w:fldChar w:fldCharType="begin"/>
        </w:r>
        <w:r w:rsidR="00463C02">
          <w:rPr>
            <w:noProof/>
            <w:webHidden/>
          </w:rPr>
          <w:instrText xml:space="preserve"> PAGEREF _Toc78879970 \h </w:instrText>
        </w:r>
        <w:r w:rsidR="00463C02">
          <w:rPr>
            <w:noProof/>
            <w:webHidden/>
          </w:rPr>
        </w:r>
        <w:r w:rsidR="00463C02">
          <w:rPr>
            <w:noProof/>
            <w:webHidden/>
          </w:rPr>
          <w:fldChar w:fldCharType="separate"/>
        </w:r>
        <w:r w:rsidR="00F243F7">
          <w:rPr>
            <w:noProof/>
            <w:webHidden/>
          </w:rPr>
          <w:t>44</w:t>
        </w:r>
        <w:r w:rsidR="00463C02">
          <w:rPr>
            <w:noProof/>
            <w:webHidden/>
          </w:rPr>
          <w:fldChar w:fldCharType="end"/>
        </w:r>
      </w:hyperlink>
    </w:p>
    <w:p w14:paraId="5D9CC310" w14:textId="0290D93E" w:rsidR="00463C02" w:rsidRDefault="00E61F20" w:rsidP="00463C02">
      <w:pPr>
        <w:pStyle w:val="Lists"/>
        <w:rPr>
          <w:rFonts w:asciiTheme="minorHAnsi" w:eastAsiaTheme="minorEastAsia" w:hAnsiTheme="minorHAnsi"/>
          <w:noProof/>
          <w:sz w:val="22"/>
        </w:rPr>
      </w:pPr>
      <w:hyperlink w:anchor="_Toc78879971" w:history="1">
        <w:r w:rsidR="00463C02" w:rsidRPr="00147132">
          <w:rPr>
            <w:rStyle w:val="Hyperlink"/>
            <w:noProof/>
          </w:rPr>
          <w:t>Table 3</w:t>
        </w:r>
        <w:r w:rsidR="00463C02" w:rsidRPr="00147132">
          <w:rPr>
            <w:rStyle w:val="Hyperlink"/>
            <w:noProof/>
          </w:rPr>
          <w:noBreakHyphen/>
          <w:t>1: Environmental datasets used as explanatory variables.</w:t>
        </w:r>
        <w:r w:rsidR="00463C02">
          <w:rPr>
            <w:noProof/>
            <w:webHidden/>
          </w:rPr>
          <w:tab/>
        </w:r>
        <w:r w:rsidR="00463C02">
          <w:rPr>
            <w:noProof/>
            <w:webHidden/>
          </w:rPr>
          <w:fldChar w:fldCharType="begin"/>
        </w:r>
        <w:r w:rsidR="00463C02">
          <w:rPr>
            <w:noProof/>
            <w:webHidden/>
          </w:rPr>
          <w:instrText xml:space="preserve"> PAGEREF _Toc78879971 \h </w:instrText>
        </w:r>
        <w:r w:rsidR="00463C02">
          <w:rPr>
            <w:noProof/>
            <w:webHidden/>
          </w:rPr>
        </w:r>
        <w:r w:rsidR="00463C02">
          <w:rPr>
            <w:noProof/>
            <w:webHidden/>
          </w:rPr>
          <w:fldChar w:fldCharType="separate"/>
        </w:r>
        <w:r w:rsidR="00F243F7">
          <w:rPr>
            <w:noProof/>
            <w:webHidden/>
          </w:rPr>
          <w:t>55</w:t>
        </w:r>
        <w:r w:rsidR="00463C02">
          <w:rPr>
            <w:noProof/>
            <w:webHidden/>
          </w:rPr>
          <w:fldChar w:fldCharType="end"/>
        </w:r>
      </w:hyperlink>
    </w:p>
    <w:p w14:paraId="61F41A19" w14:textId="111D93A2" w:rsidR="00463C02" w:rsidRDefault="00E61F20" w:rsidP="00463C02">
      <w:pPr>
        <w:pStyle w:val="Lists"/>
        <w:rPr>
          <w:rFonts w:asciiTheme="minorHAnsi" w:eastAsiaTheme="minorEastAsia" w:hAnsiTheme="minorHAnsi"/>
          <w:noProof/>
          <w:sz w:val="22"/>
        </w:rPr>
      </w:pPr>
      <w:hyperlink w:anchor="_Toc78879972" w:history="1">
        <w:r w:rsidR="00463C02" w:rsidRPr="00147132">
          <w:rPr>
            <w:rStyle w:val="Hyperlink"/>
            <w:noProof/>
          </w:rPr>
          <w:t>Table 3</w:t>
        </w:r>
        <w:r w:rsidR="00463C02" w:rsidRPr="00147132">
          <w:rPr>
            <w:rStyle w:val="Hyperlink"/>
            <w:noProof/>
          </w:rPr>
          <w:noBreakHyphen/>
          <w:t>2: List of environmental variables and their abbreviations.</w:t>
        </w:r>
        <w:r w:rsidR="00463C02">
          <w:rPr>
            <w:noProof/>
            <w:webHidden/>
          </w:rPr>
          <w:tab/>
        </w:r>
        <w:r w:rsidR="00463C02">
          <w:rPr>
            <w:noProof/>
            <w:webHidden/>
          </w:rPr>
          <w:fldChar w:fldCharType="begin"/>
        </w:r>
        <w:r w:rsidR="00463C02">
          <w:rPr>
            <w:noProof/>
            <w:webHidden/>
          </w:rPr>
          <w:instrText xml:space="preserve"> PAGEREF _Toc78879972 \h </w:instrText>
        </w:r>
        <w:r w:rsidR="00463C02">
          <w:rPr>
            <w:noProof/>
            <w:webHidden/>
          </w:rPr>
        </w:r>
        <w:r w:rsidR="00463C02">
          <w:rPr>
            <w:noProof/>
            <w:webHidden/>
          </w:rPr>
          <w:fldChar w:fldCharType="separate"/>
        </w:r>
        <w:r w:rsidR="00F243F7">
          <w:rPr>
            <w:noProof/>
            <w:webHidden/>
          </w:rPr>
          <w:t>56</w:t>
        </w:r>
        <w:r w:rsidR="00463C02">
          <w:rPr>
            <w:noProof/>
            <w:webHidden/>
          </w:rPr>
          <w:fldChar w:fldCharType="end"/>
        </w:r>
      </w:hyperlink>
    </w:p>
    <w:p w14:paraId="6C9A1063" w14:textId="69ADAED4" w:rsidR="00463C02" w:rsidRDefault="00E61F20" w:rsidP="00463C02">
      <w:pPr>
        <w:pStyle w:val="Lists"/>
        <w:rPr>
          <w:rFonts w:asciiTheme="minorHAnsi" w:eastAsiaTheme="minorEastAsia" w:hAnsiTheme="minorHAnsi"/>
          <w:noProof/>
          <w:sz w:val="22"/>
        </w:rPr>
      </w:pPr>
      <w:hyperlink w:anchor="_Toc78879973" w:history="1">
        <w:r w:rsidR="00463C02" w:rsidRPr="00147132">
          <w:rPr>
            <w:rStyle w:val="Hyperlink"/>
            <w:noProof/>
          </w:rPr>
          <w:t>Table 4</w:t>
        </w:r>
        <w:r w:rsidR="00463C02" w:rsidRPr="00147132">
          <w:rPr>
            <w:rStyle w:val="Hyperlink"/>
            <w:noProof/>
          </w:rPr>
          <w:noBreakHyphen/>
          <w:t>1: Dynamic variables summarized for the three temporal data sources: microclimate data, weather station data, satellite data</w:t>
        </w:r>
        <w:r w:rsidR="00463C02">
          <w:rPr>
            <w:noProof/>
            <w:webHidden/>
          </w:rPr>
          <w:tab/>
        </w:r>
        <w:r w:rsidR="00463C02">
          <w:rPr>
            <w:noProof/>
            <w:webHidden/>
          </w:rPr>
          <w:fldChar w:fldCharType="begin"/>
        </w:r>
        <w:r w:rsidR="00463C02">
          <w:rPr>
            <w:noProof/>
            <w:webHidden/>
          </w:rPr>
          <w:instrText xml:space="preserve"> PAGEREF _Toc78879973 \h </w:instrText>
        </w:r>
        <w:r w:rsidR="00463C02">
          <w:rPr>
            <w:noProof/>
            <w:webHidden/>
          </w:rPr>
        </w:r>
        <w:r w:rsidR="00463C02">
          <w:rPr>
            <w:noProof/>
            <w:webHidden/>
          </w:rPr>
          <w:fldChar w:fldCharType="separate"/>
        </w:r>
        <w:r w:rsidR="00F243F7">
          <w:rPr>
            <w:noProof/>
            <w:webHidden/>
          </w:rPr>
          <w:t>83</w:t>
        </w:r>
        <w:r w:rsidR="00463C02">
          <w:rPr>
            <w:noProof/>
            <w:webHidden/>
          </w:rPr>
          <w:fldChar w:fldCharType="end"/>
        </w:r>
      </w:hyperlink>
    </w:p>
    <w:p w14:paraId="6D73A7F7" w14:textId="222E5EC1" w:rsidR="00463C02" w:rsidRDefault="00E61F20" w:rsidP="00463C02">
      <w:pPr>
        <w:pStyle w:val="Lists"/>
        <w:rPr>
          <w:rFonts w:asciiTheme="minorHAnsi" w:eastAsiaTheme="minorEastAsia" w:hAnsiTheme="minorHAnsi"/>
          <w:noProof/>
          <w:sz w:val="22"/>
        </w:rPr>
      </w:pPr>
      <w:hyperlink w:anchor="_Toc78879974" w:history="1">
        <w:r w:rsidR="00463C02" w:rsidRPr="00147132">
          <w:rPr>
            <w:rStyle w:val="Hyperlink"/>
            <w:noProof/>
          </w:rPr>
          <w:t>Table 4</w:t>
        </w:r>
        <w:r w:rsidR="00463C02" w:rsidRPr="00147132">
          <w:rPr>
            <w:rStyle w:val="Hyperlink"/>
            <w:noProof/>
          </w:rPr>
          <w:noBreakHyphen/>
          <w:t>2: Mosquito abundances by species for 2019 and 2020. Displayed are abundances for all species, as well as their relative abundance.</w:t>
        </w:r>
        <w:r w:rsidR="00463C02">
          <w:rPr>
            <w:noProof/>
            <w:webHidden/>
          </w:rPr>
          <w:tab/>
        </w:r>
        <w:r w:rsidR="00463C02">
          <w:rPr>
            <w:noProof/>
            <w:webHidden/>
          </w:rPr>
          <w:fldChar w:fldCharType="begin"/>
        </w:r>
        <w:r w:rsidR="00463C02">
          <w:rPr>
            <w:noProof/>
            <w:webHidden/>
          </w:rPr>
          <w:instrText xml:space="preserve"> PAGEREF _Toc78879974 \h </w:instrText>
        </w:r>
        <w:r w:rsidR="00463C02">
          <w:rPr>
            <w:noProof/>
            <w:webHidden/>
          </w:rPr>
        </w:r>
        <w:r w:rsidR="00463C02">
          <w:rPr>
            <w:noProof/>
            <w:webHidden/>
          </w:rPr>
          <w:fldChar w:fldCharType="separate"/>
        </w:r>
        <w:r w:rsidR="00F243F7">
          <w:rPr>
            <w:noProof/>
            <w:webHidden/>
          </w:rPr>
          <w:t>90</w:t>
        </w:r>
        <w:r w:rsidR="00463C02">
          <w:rPr>
            <w:noProof/>
            <w:webHidden/>
          </w:rPr>
          <w:fldChar w:fldCharType="end"/>
        </w:r>
      </w:hyperlink>
    </w:p>
    <w:p w14:paraId="08FF8E45" w14:textId="5CC38B58" w:rsidR="00463C02" w:rsidRDefault="00E61F20" w:rsidP="00463C02">
      <w:pPr>
        <w:pStyle w:val="Lists"/>
        <w:rPr>
          <w:rFonts w:asciiTheme="minorHAnsi" w:eastAsiaTheme="minorEastAsia" w:hAnsiTheme="minorHAnsi"/>
          <w:noProof/>
          <w:sz w:val="22"/>
        </w:rPr>
      </w:pPr>
      <w:hyperlink w:anchor="_Toc78879975" w:history="1">
        <w:r w:rsidR="00463C02" w:rsidRPr="00147132">
          <w:rPr>
            <w:rStyle w:val="Hyperlink"/>
            <w:noProof/>
          </w:rPr>
          <w:t>Table 4</w:t>
        </w:r>
        <w:r w:rsidR="00463C02" w:rsidRPr="00147132">
          <w:rPr>
            <w:rStyle w:val="Hyperlink"/>
            <w:noProof/>
          </w:rPr>
          <w:noBreakHyphen/>
          <w:t>3: Comparison of negative binomial fixed effect models for each variable type individually: Landcover data from NLCD data set, microclimate loggers, Mesonet weather station data, and satellite time series data.</w:t>
        </w:r>
        <w:r w:rsidR="00463C02">
          <w:rPr>
            <w:noProof/>
            <w:webHidden/>
          </w:rPr>
          <w:tab/>
        </w:r>
        <w:r w:rsidR="00463C02">
          <w:rPr>
            <w:noProof/>
            <w:webHidden/>
          </w:rPr>
          <w:fldChar w:fldCharType="begin"/>
        </w:r>
        <w:r w:rsidR="00463C02">
          <w:rPr>
            <w:noProof/>
            <w:webHidden/>
          </w:rPr>
          <w:instrText xml:space="preserve"> PAGEREF _Toc78879975 \h </w:instrText>
        </w:r>
        <w:r w:rsidR="00463C02">
          <w:rPr>
            <w:noProof/>
            <w:webHidden/>
          </w:rPr>
        </w:r>
        <w:r w:rsidR="00463C02">
          <w:rPr>
            <w:noProof/>
            <w:webHidden/>
          </w:rPr>
          <w:fldChar w:fldCharType="separate"/>
        </w:r>
        <w:r w:rsidR="00F243F7">
          <w:rPr>
            <w:noProof/>
            <w:webHidden/>
          </w:rPr>
          <w:t>94</w:t>
        </w:r>
        <w:r w:rsidR="00463C02">
          <w:rPr>
            <w:noProof/>
            <w:webHidden/>
          </w:rPr>
          <w:fldChar w:fldCharType="end"/>
        </w:r>
      </w:hyperlink>
    </w:p>
    <w:p w14:paraId="4F0190F5" w14:textId="388BA578" w:rsidR="00463C02" w:rsidRDefault="00E61F20" w:rsidP="00463C02">
      <w:pPr>
        <w:pStyle w:val="Lists"/>
        <w:rPr>
          <w:rFonts w:asciiTheme="minorHAnsi" w:eastAsiaTheme="minorEastAsia" w:hAnsiTheme="minorHAnsi"/>
          <w:noProof/>
          <w:sz w:val="22"/>
        </w:rPr>
      </w:pPr>
      <w:hyperlink w:anchor="_Toc78879976" w:history="1">
        <w:r w:rsidR="00463C02" w:rsidRPr="00147132">
          <w:rPr>
            <w:rStyle w:val="Hyperlink"/>
            <w:noProof/>
          </w:rPr>
          <w:t>Table 4</w:t>
        </w:r>
        <w:r w:rsidR="00463C02" w:rsidRPr="00147132">
          <w:rPr>
            <w:rStyle w:val="Hyperlink"/>
            <w:noProof/>
          </w:rPr>
          <w:noBreakHyphen/>
          <w:t>4: Comparison of negative binomial fixed effect models for each temporal variable type in combination with land cover data</w:t>
        </w:r>
        <w:r w:rsidR="00463C02">
          <w:rPr>
            <w:noProof/>
            <w:webHidden/>
          </w:rPr>
          <w:tab/>
        </w:r>
        <w:r w:rsidR="00463C02">
          <w:rPr>
            <w:noProof/>
            <w:webHidden/>
          </w:rPr>
          <w:fldChar w:fldCharType="begin"/>
        </w:r>
        <w:r w:rsidR="00463C02">
          <w:rPr>
            <w:noProof/>
            <w:webHidden/>
          </w:rPr>
          <w:instrText xml:space="preserve"> PAGEREF _Toc78879976 \h </w:instrText>
        </w:r>
        <w:r w:rsidR="00463C02">
          <w:rPr>
            <w:noProof/>
            <w:webHidden/>
          </w:rPr>
        </w:r>
        <w:r w:rsidR="00463C02">
          <w:rPr>
            <w:noProof/>
            <w:webHidden/>
          </w:rPr>
          <w:fldChar w:fldCharType="separate"/>
        </w:r>
        <w:r w:rsidR="00F243F7">
          <w:rPr>
            <w:noProof/>
            <w:webHidden/>
          </w:rPr>
          <w:t>95</w:t>
        </w:r>
        <w:r w:rsidR="00463C02">
          <w:rPr>
            <w:noProof/>
            <w:webHidden/>
          </w:rPr>
          <w:fldChar w:fldCharType="end"/>
        </w:r>
      </w:hyperlink>
    </w:p>
    <w:p w14:paraId="4E7EFC7B" w14:textId="0A22E112" w:rsidR="00B779CC" w:rsidRPr="00AA3319" w:rsidRDefault="004E75B2" w:rsidP="00463C02">
      <w:pPr>
        <w:pStyle w:val="Lists"/>
      </w:pPr>
      <w:r w:rsidRPr="00AA3319">
        <w:fldChar w:fldCharType="end"/>
      </w:r>
    </w:p>
    <w:p w14:paraId="78A8E6F4" w14:textId="77777777" w:rsidR="00B779CC" w:rsidRPr="00AA3319" w:rsidRDefault="00B779CC" w:rsidP="00B779CC">
      <w:pPr>
        <w:rPr>
          <w:rFonts w:cs="Times New Roman"/>
          <w:szCs w:val="24"/>
        </w:rPr>
      </w:pPr>
      <w:r w:rsidRPr="00AA3319">
        <w:rPr>
          <w:rFonts w:cs="Times New Roman"/>
          <w:szCs w:val="24"/>
        </w:rPr>
        <w:br w:type="page"/>
      </w:r>
    </w:p>
    <w:p w14:paraId="02B10A8B" w14:textId="37244273" w:rsidR="00B779CC" w:rsidRPr="00AA3319" w:rsidRDefault="00B779CC" w:rsidP="00F91DBC">
      <w:pPr>
        <w:pStyle w:val="Heading1"/>
        <w:numPr>
          <w:ilvl w:val="0"/>
          <w:numId w:val="0"/>
        </w:numPr>
        <w:ind w:left="432" w:hanging="432"/>
        <w:rPr>
          <w:rFonts w:cs="Times New Roman"/>
        </w:rPr>
      </w:pPr>
      <w:bookmarkStart w:id="2" w:name="_Toc78889178"/>
      <w:r w:rsidRPr="00AA3319">
        <w:rPr>
          <w:rFonts w:cs="Times New Roman"/>
        </w:rPr>
        <w:lastRenderedPageBreak/>
        <w:t>List of Figures</w:t>
      </w:r>
      <w:bookmarkEnd w:id="2"/>
    </w:p>
    <w:p w14:paraId="4B9D31F6" w14:textId="1F53A54E" w:rsidR="0021152F" w:rsidRDefault="00E56FF8" w:rsidP="0021152F">
      <w:pPr>
        <w:pStyle w:val="Lists"/>
        <w:rPr>
          <w:rFonts w:asciiTheme="minorHAnsi" w:eastAsiaTheme="minorEastAsia" w:hAnsiTheme="minorHAnsi"/>
          <w:noProof/>
          <w:sz w:val="22"/>
        </w:rPr>
      </w:pPr>
      <w:r w:rsidRPr="00AA3319">
        <w:fldChar w:fldCharType="begin"/>
      </w:r>
      <w:r w:rsidRPr="00AA3319">
        <w:instrText xml:space="preserve"> TOC \h \z \c "Figure" </w:instrText>
      </w:r>
      <w:r w:rsidRPr="00AA3319">
        <w:fldChar w:fldCharType="separate"/>
      </w:r>
      <w:hyperlink w:anchor="_Toc78881283" w:history="1">
        <w:r w:rsidR="0021152F" w:rsidRPr="00E32532">
          <w:rPr>
            <w:rStyle w:val="Hyperlink"/>
            <w:noProof/>
          </w:rPr>
          <w:t>Figure 2</w:t>
        </w:r>
        <w:r w:rsidR="0021152F" w:rsidRPr="00E32532">
          <w:rPr>
            <w:rStyle w:val="Hyperlink"/>
            <w:noProof/>
          </w:rPr>
          <w:noBreakHyphen/>
          <w:t>1: Study area in the Amhara region of Ethiopia. The left map shows the two study areas within the greater geographic area. The right map shows the two study areas and the topography of the area. Blue lines indicate woredas (district) boundaries, green lines indicate the kebeles within those woredas.</w:t>
        </w:r>
        <w:r w:rsidR="0021152F">
          <w:rPr>
            <w:noProof/>
            <w:webHidden/>
          </w:rPr>
          <w:tab/>
        </w:r>
        <w:r w:rsidR="0021152F">
          <w:rPr>
            <w:noProof/>
            <w:webHidden/>
          </w:rPr>
          <w:fldChar w:fldCharType="begin"/>
        </w:r>
        <w:r w:rsidR="0021152F">
          <w:rPr>
            <w:noProof/>
            <w:webHidden/>
          </w:rPr>
          <w:instrText xml:space="preserve"> PAGEREF _Toc78881283 \h </w:instrText>
        </w:r>
        <w:r w:rsidR="0021152F">
          <w:rPr>
            <w:noProof/>
            <w:webHidden/>
          </w:rPr>
        </w:r>
        <w:r w:rsidR="0021152F">
          <w:rPr>
            <w:noProof/>
            <w:webHidden/>
          </w:rPr>
          <w:fldChar w:fldCharType="separate"/>
        </w:r>
        <w:r w:rsidR="00F243F7">
          <w:rPr>
            <w:noProof/>
            <w:webHidden/>
          </w:rPr>
          <w:t>18</w:t>
        </w:r>
        <w:r w:rsidR="0021152F">
          <w:rPr>
            <w:noProof/>
            <w:webHidden/>
          </w:rPr>
          <w:fldChar w:fldCharType="end"/>
        </w:r>
      </w:hyperlink>
    </w:p>
    <w:p w14:paraId="689277D7" w14:textId="08064C6B" w:rsidR="0021152F" w:rsidRDefault="00E61F20" w:rsidP="0021152F">
      <w:pPr>
        <w:pStyle w:val="Lists"/>
        <w:rPr>
          <w:rFonts w:asciiTheme="minorHAnsi" w:eastAsiaTheme="minorEastAsia" w:hAnsiTheme="minorHAnsi"/>
          <w:noProof/>
          <w:sz w:val="22"/>
        </w:rPr>
      </w:pPr>
      <w:hyperlink w:anchor="_Toc78881284" w:history="1">
        <w:r w:rsidR="0021152F" w:rsidRPr="00E32532">
          <w:rPr>
            <w:rStyle w:val="Hyperlink"/>
            <w:noProof/>
          </w:rPr>
          <w:t>Figure 2</w:t>
        </w:r>
        <w:r w:rsidR="0021152F" w:rsidRPr="00E32532">
          <w:rPr>
            <w:rStyle w:val="Hyperlink"/>
            <w:noProof/>
          </w:rPr>
          <w:noBreakHyphen/>
          <w:t>2: Maps displaying the variation in environmental conditions within the two study areas. Variables include NDVI for rainy season (NDVI_rn), NDVI for transition season (NDVI_tr), percent woody vegetation (WOODY), NDMI for dry season (NDMI_dr), NDMI for transition season (NDMI_tr), land surface temperature during transition season (LST_tr), maximum settlement index (SETMX), mean settlement index (SETMN), as well as precipitation during rainy season (PREC_rn). Note that the positions of the two study areas do not represent their true proximity. See the map in Figure 2-1 for their actual locations.</w:t>
        </w:r>
        <w:r w:rsidR="0021152F">
          <w:rPr>
            <w:noProof/>
            <w:webHidden/>
          </w:rPr>
          <w:tab/>
        </w:r>
        <w:r w:rsidR="0021152F">
          <w:rPr>
            <w:noProof/>
            <w:webHidden/>
          </w:rPr>
          <w:fldChar w:fldCharType="begin"/>
        </w:r>
        <w:r w:rsidR="0021152F">
          <w:rPr>
            <w:noProof/>
            <w:webHidden/>
          </w:rPr>
          <w:instrText xml:space="preserve"> PAGEREF _Toc78881284 \h </w:instrText>
        </w:r>
        <w:r w:rsidR="0021152F">
          <w:rPr>
            <w:noProof/>
            <w:webHidden/>
          </w:rPr>
        </w:r>
        <w:r w:rsidR="0021152F">
          <w:rPr>
            <w:noProof/>
            <w:webHidden/>
          </w:rPr>
          <w:fldChar w:fldCharType="separate"/>
        </w:r>
        <w:r w:rsidR="00F243F7">
          <w:rPr>
            <w:noProof/>
            <w:webHidden/>
          </w:rPr>
          <w:t>26</w:t>
        </w:r>
        <w:r w:rsidR="0021152F">
          <w:rPr>
            <w:noProof/>
            <w:webHidden/>
          </w:rPr>
          <w:fldChar w:fldCharType="end"/>
        </w:r>
      </w:hyperlink>
    </w:p>
    <w:p w14:paraId="560C6C43" w14:textId="5DBCD44E" w:rsidR="0021152F" w:rsidRDefault="00E61F20" w:rsidP="0021152F">
      <w:pPr>
        <w:pStyle w:val="Lists"/>
        <w:rPr>
          <w:rFonts w:asciiTheme="minorHAnsi" w:eastAsiaTheme="minorEastAsia" w:hAnsiTheme="minorHAnsi"/>
          <w:noProof/>
          <w:sz w:val="22"/>
        </w:rPr>
      </w:pPr>
      <w:hyperlink w:anchor="_Toc78881285" w:history="1">
        <w:r w:rsidR="0021152F" w:rsidRPr="00E32532">
          <w:rPr>
            <w:rStyle w:val="Hyperlink"/>
            <w:noProof/>
          </w:rPr>
          <w:t>Figure 2</w:t>
        </w:r>
        <w:r w:rsidR="0021152F" w:rsidRPr="00E32532">
          <w:rPr>
            <w:rStyle w:val="Hyperlink"/>
            <w:noProof/>
          </w:rPr>
          <w:noBreakHyphen/>
          <w:t>3: Total malaria case numbers from Jan 2014 – Dec 2017 by study area. a) Monthly case numbers shown over entire study period. Lines indicate LOESS smoothed trend. b) Seasonality of total malaria cases. Lines represent mean case numbers over all kebeles and years. Error bars indicate the standard error of the observed mean.</w:t>
        </w:r>
        <w:r w:rsidR="0021152F">
          <w:rPr>
            <w:noProof/>
            <w:webHidden/>
          </w:rPr>
          <w:tab/>
        </w:r>
        <w:r w:rsidR="0021152F">
          <w:rPr>
            <w:noProof/>
            <w:webHidden/>
          </w:rPr>
          <w:fldChar w:fldCharType="begin"/>
        </w:r>
        <w:r w:rsidR="0021152F">
          <w:rPr>
            <w:noProof/>
            <w:webHidden/>
          </w:rPr>
          <w:instrText xml:space="preserve"> PAGEREF _Toc78881285 \h </w:instrText>
        </w:r>
        <w:r w:rsidR="0021152F">
          <w:rPr>
            <w:noProof/>
            <w:webHidden/>
          </w:rPr>
        </w:r>
        <w:r w:rsidR="0021152F">
          <w:rPr>
            <w:noProof/>
            <w:webHidden/>
          </w:rPr>
          <w:fldChar w:fldCharType="separate"/>
        </w:r>
        <w:r w:rsidR="00F243F7">
          <w:rPr>
            <w:noProof/>
            <w:webHidden/>
          </w:rPr>
          <w:t>29</w:t>
        </w:r>
        <w:r w:rsidR="0021152F">
          <w:rPr>
            <w:noProof/>
            <w:webHidden/>
          </w:rPr>
          <w:fldChar w:fldCharType="end"/>
        </w:r>
      </w:hyperlink>
    </w:p>
    <w:p w14:paraId="35A23B87" w14:textId="4A2B2D60" w:rsidR="0021152F" w:rsidRDefault="00E61F20" w:rsidP="0021152F">
      <w:pPr>
        <w:pStyle w:val="Lists"/>
        <w:rPr>
          <w:rFonts w:asciiTheme="minorHAnsi" w:eastAsiaTheme="minorEastAsia" w:hAnsiTheme="minorHAnsi"/>
          <w:noProof/>
          <w:sz w:val="22"/>
        </w:rPr>
      </w:pPr>
      <w:hyperlink w:anchor="_Toc78881286" w:history="1">
        <w:r w:rsidR="0021152F" w:rsidRPr="00E32532">
          <w:rPr>
            <w:rStyle w:val="Hyperlink"/>
            <w:noProof/>
          </w:rPr>
          <w:t>Figure 2</w:t>
        </w:r>
        <w:r w:rsidR="0021152F" w:rsidRPr="00E32532">
          <w:rPr>
            <w:rStyle w:val="Hyperlink"/>
            <w:noProof/>
          </w:rPr>
          <w:noBreakHyphen/>
          <w:t>4: Spatial distribution of malaria proportion. Malaria proportion is the number out of 1,000 outpatients that were diagnosed with malaria for total malaria cases, P. falciparum + mixed cases, and P. vivax cases. The upper maps are the woredas Mecha &amp; Bahir Dar Zuria, and the lower maps are the woredas Aneded &amp; Awabel. Blue dots indicate the travel proportion, which is the total malaria patients with travel history per 1,000 outpatients.</w:t>
        </w:r>
        <w:r w:rsidR="0021152F">
          <w:rPr>
            <w:noProof/>
            <w:webHidden/>
          </w:rPr>
          <w:tab/>
        </w:r>
        <w:r w:rsidR="0021152F">
          <w:rPr>
            <w:noProof/>
            <w:webHidden/>
          </w:rPr>
          <w:fldChar w:fldCharType="begin"/>
        </w:r>
        <w:r w:rsidR="0021152F">
          <w:rPr>
            <w:noProof/>
            <w:webHidden/>
          </w:rPr>
          <w:instrText xml:space="preserve"> PAGEREF _Toc78881286 \h </w:instrText>
        </w:r>
        <w:r w:rsidR="0021152F">
          <w:rPr>
            <w:noProof/>
            <w:webHidden/>
          </w:rPr>
        </w:r>
        <w:r w:rsidR="0021152F">
          <w:rPr>
            <w:noProof/>
            <w:webHidden/>
          </w:rPr>
          <w:fldChar w:fldCharType="separate"/>
        </w:r>
        <w:r w:rsidR="00F243F7">
          <w:rPr>
            <w:noProof/>
            <w:webHidden/>
          </w:rPr>
          <w:t>30</w:t>
        </w:r>
        <w:r w:rsidR="0021152F">
          <w:rPr>
            <w:noProof/>
            <w:webHidden/>
          </w:rPr>
          <w:fldChar w:fldCharType="end"/>
        </w:r>
      </w:hyperlink>
    </w:p>
    <w:p w14:paraId="2BD2872E" w14:textId="2DB8634B" w:rsidR="0021152F" w:rsidRDefault="00E61F20" w:rsidP="0021152F">
      <w:pPr>
        <w:pStyle w:val="Lists"/>
        <w:rPr>
          <w:rFonts w:asciiTheme="minorHAnsi" w:eastAsiaTheme="minorEastAsia" w:hAnsiTheme="minorHAnsi"/>
          <w:noProof/>
          <w:sz w:val="22"/>
        </w:rPr>
      </w:pPr>
      <w:hyperlink w:anchor="_Toc78881287" w:history="1">
        <w:r w:rsidR="0021152F" w:rsidRPr="00E32532">
          <w:rPr>
            <w:rStyle w:val="Hyperlink"/>
            <w:noProof/>
          </w:rPr>
          <w:t>Figure 2</w:t>
        </w:r>
        <w:r w:rsidR="0021152F" w:rsidRPr="00E32532">
          <w:rPr>
            <w:rStyle w:val="Hyperlink"/>
            <w:noProof/>
          </w:rPr>
          <w:noBreakHyphen/>
          <w:t>5: Number of years each kebele was identified as part of a case cluster by the SaTScan analyses.</w:t>
        </w:r>
        <w:r w:rsidR="0021152F">
          <w:rPr>
            <w:noProof/>
            <w:webHidden/>
          </w:rPr>
          <w:tab/>
        </w:r>
        <w:r w:rsidR="0021152F">
          <w:rPr>
            <w:noProof/>
            <w:webHidden/>
          </w:rPr>
          <w:fldChar w:fldCharType="begin"/>
        </w:r>
        <w:r w:rsidR="0021152F">
          <w:rPr>
            <w:noProof/>
            <w:webHidden/>
          </w:rPr>
          <w:instrText xml:space="preserve"> PAGEREF _Toc78881287 \h </w:instrText>
        </w:r>
        <w:r w:rsidR="0021152F">
          <w:rPr>
            <w:noProof/>
            <w:webHidden/>
          </w:rPr>
        </w:r>
        <w:r w:rsidR="0021152F">
          <w:rPr>
            <w:noProof/>
            <w:webHidden/>
          </w:rPr>
          <w:fldChar w:fldCharType="separate"/>
        </w:r>
        <w:r w:rsidR="00F243F7">
          <w:rPr>
            <w:noProof/>
            <w:webHidden/>
          </w:rPr>
          <w:t>31</w:t>
        </w:r>
        <w:r w:rsidR="0021152F">
          <w:rPr>
            <w:noProof/>
            <w:webHidden/>
          </w:rPr>
          <w:fldChar w:fldCharType="end"/>
        </w:r>
      </w:hyperlink>
    </w:p>
    <w:p w14:paraId="4698C115" w14:textId="66CFD96D" w:rsidR="0021152F" w:rsidRDefault="00E61F20" w:rsidP="0021152F">
      <w:pPr>
        <w:pStyle w:val="Lists"/>
        <w:rPr>
          <w:rFonts w:asciiTheme="minorHAnsi" w:eastAsiaTheme="minorEastAsia" w:hAnsiTheme="minorHAnsi"/>
          <w:noProof/>
          <w:sz w:val="22"/>
        </w:rPr>
      </w:pPr>
      <w:hyperlink w:anchor="_Toc78881288" w:history="1">
        <w:r w:rsidR="0021152F" w:rsidRPr="00E32532">
          <w:rPr>
            <w:rStyle w:val="Hyperlink"/>
            <w:noProof/>
          </w:rPr>
          <w:t>Figure 2</w:t>
        </w:r>
        <w:r w:rsidR="0021152F" w:rsidRPr="00E32532">
          <w:rPr>
            <w:rStyle w:val="Hyperlink"/>
            <w:noProof/>
          </w:rPr>
          <w:noBreakHyphen/>
          <w:t>6: Variable importance of the five most important environmental variables as identified by boosted regression tree models. Different colored bars represent different malaria species (green = total species, dark blue = P. falciparum and mixed infections, light blue = P. vivax). Curves represent the fitted partial dependence curve for each variable.</w:t>
        </w:r>
        <w:r w:rsidR="0021152F">
          <w:rPr>
            <w:noProof/>
            <w:webHidden/>
          </w:rPr>
          <w:tab/>
        </w:r>
        <w:r w:rsidR="0021152F">
          <w:rPr>
            <w:noProof/>
            <w:webHidden/>
          </w:rPr>
          <w:fldChar w:fldCharType="begin"/>
        </w:r>
        <w:r w:rsidR="0021152F">
          <w:rPr>
            <w:noProof/>
            <w:webHidden/>
          </w:rPr>
          <w:instrText xml:space="preserve"> PAGEREF _Toc78881288 \h </w:instrText>
        </w:r>
        <w:r w:rsidR="0021152F">
          <w:rPr>
            <w:noProof/>
            <w:webHidden/>
          </w:rPr>
        </w:r>
        <w:r w:rsidR="0021152F">
          <w:rPr>
            <w:noProof/>
            <w:webHidden/>
          </w:rPr>
          <w:fldChar w:fldCharType="separate"/>
        </w:r>
        <w:r w:rsidR="00F243F7">
          <w:rPr>
            <w:noProof/>
            <w:webHidden/>
          </w:rPr>
          <w:t>34</w:t>
        </w:r>
        <w:r w:rsidR="0021152F">
          <w:rPr>
            <w:noProof/>
            <w:webHidden/>
          </w:rPr>
          <w:fldChar w:fldCharType="end"/>
        </w:r>
      </w:hyperlink>
    </w:p>
    <w:p w14:paraId="6D342682" w14:textId="5F2336D2" w:rsidR="0021152F" w:rsidRDefault="00E61F20" w:rsidP="0021152F">
      <w:pPr>
        <w:pStyle w:val="Lists"/>
        <w:rPr>
          <w:rFonts w:asciiTheme="minorHAnsi" w:eastAsiaTheme="minorEastAsia" w:hAnsiTheme="minorHAnsi"/>
          <w:noProof/>
          <w:sz w:val="22"/>
        </w:rPr>
      </w:pPr>
      <w:hyperlink w:anchor="_Toc78881289" w:history="1">
        <w:r w:rsidR="0021152F" w:rsidRPr="00E32532">
          <w:rPr>
            <w:rStyle w:val="Hyperlink"/>
            <w:noProof/>
          </w:rPr>
          <w:t>Figure 2</w:t>
        </w:r>
        <w:r w:rsidR="0021152F" w:rsidRPr="00E32532">
          <w:rPr>
            <w:rStyle w:val="Hyperlink"/>
            <w:noProof/>
          </w:rPr>
          <w:noBreakHyphen/>
          <w:t>7: Major land cover classes and hillshade in Mecha and Bahir Dar Zuria. Settlement density is derived based on a classification of buildings via high-resolution PlanetScope imagery. A settlement density value above 0.1 can be considered an agglomeration of buildings. All other land cover classes are taken from Midekisa et al. (Midekisa et al., 2014)</w:t>
        </w:r>
        <w:r w:rsidR="0021152F">
          <w:rPr>
            <w:noProof/>
            <w:webHidden/>
          </w:rPr>
          <w:tab/>
        </w:r>
        <w:r w:rsidR="0021152F">
          <w:rPr>
            <w:noProof/>
            <w:webHidden/>
          </w:rPr>
          <w:fldChar w:fldCharType="begin"/>
        </w:r>
        <w:r w:rsidR="0021152F">
          <w:rPr>
            <w:noProof/>
            <w:webHidden/>
          </w:rPr>
          <w:instrText xml:space="preserve"> PAGEREF _Toc78881289 \h </w:instrText>
        </w:r>
        <w:r w:rsidR="0021152F">
          <w:rPr>
            <w:noProof/>
            <w:webHidden/>
          </w:rPr>
        </w:r>
        <w:r w:rsidR="0021152F">
          <w:rPr>
            <w:noProof/>
            <w:webHidden/>
          </w:rPr>
          <w:fldChar w:fldCharType="separate"/>
        </w:r>
        <w:r w:rsidR="00F243F7">
          <w:rPr>
            <w:noProof/>
            <w:webHidden/>
          </w:rPr>
          <w:t>42</w:t>
        </w:r>
        <w:r w:rsidR="0021152F">
          <w:rPr>
            <w:noProof/>
            <w:webHidden/>
          </w:rPr>
          <w:fldChar w:fldCharType="end"/>
        </w:r>
      </w:hyperlink>
    </w:p>
    <w:p w14:paraId="04B627F1" w14:textId="0C5ED6B2" w:rsidR="0021152F" w:rsidRDefault="00E61F20" w:rsidP="0021152F">
      <w:pPr>
        <w:pStyle w:val="Lists"/>
        <w:rPr>
          <w:rFonts w:asciiTheme="minorHAnsi" w:eastAsiaTheme="minorEastAsia" w:hAnsiTheme="minorHAnsi"/>
          <w:noProof/>
          <w:sz w:val="22"/>
        </w:rPr>
      </w:pPr>
      <w:hyperlink w:anchor="_Toc78881290" w:history="1">
        <w:r w:rsidR="0021152F" w:rsidRPr="00E32532">
          <w:rPr>
            <w:rStyle w:val="Hyperlink"/>
            <w:noProof/>
          </w:rPr>
          <w:t>Figure 2</w:t>
        </w:r>
        <w:r w:rsidR="0021152F" w:rsidRPr="00E32532">
          <w:rPr>
            <w:rStyle w:val="Hyperlink"/>
            <w:noProof/>
          </w:rPr>
          <w:noBreakHyphen/>
          <w:t xml:space="preserve">8: Major land cover classes and hillshade in Aneded and Awabel. Settlement density is derived based on a classification of buildings via high-resolution </w:t>
        </w:r>
        <w:r w:rsidR="0021152F" w:rsidRPr="00E32532">
          <w:rPr>
            <w:rStyle w:val="Hyperlink"/>
            <w:noProof/>
          </w:rPr>
          <w:lastRenderedPageBreak/>
          <w:t>PlanetScope imagery. A settlement density value above 0.1 can be considered an agglomeration of buildings. All other land cover classes are taken from Midekisa et al. (Midekisa et al., 2014)</w:t>
        </w:r>
        <w:r w:rsidR="0021152F">
          <w:rPr>
            <w:noProof/>
            <w:webHidden/>
          </w:rPr>
          <w:tab/>
        </w:r>
        <w:r w:rsidR="0021152F">
          <w:rPr>
            <w:noProof/>
            <w:webHidden/>
          </w:rPr>
          <w:fldChar w:fldCharType="begin"/>
        </w:r>
        <w:r w:rsidR="0021152F">
          <w:rPr>
            <w:noProof/>
            <w:webHidden/>
          </w:rPr>
          <w:instrText xml:space="preserve"> PAGEREF _Toc78881290 \h </w:instrText>
        </w:r>
        <w:r w:rsidR="0021152F">
          <w:rPr>
            <w:noProof/>
            <w:webHidden/>
          </w:rPr>
        </w:r>
        <w:r w:rsidR="0021152F">
          <w:rPr>
            <w:noProof/>
            <w:webHidden/>
          </w:rPr>
          <w:fldChar w:fldCharType="separate"/>
        </w:r>
        <w:r w:rsidR="00F243F7">
          <w:rPr>
            <w:noProof/>
            <w:webHidden/>
          </w:rPr>
          <w:t>43</w:t>
        </w:r>
        <w:r w:rsidR="0021152F">
          <w:rPr>
            <w:noProof/>
            <w:webHidden/>
          </w:rPr>
          <w:fldChar w:fldCharType="end"/>
        </w:r>
      </w:hyperlink>
    </w:p>
    <w:p w14:paraId="5B26EC71" w14:textId="34A6E1AA" w:rsidR="0021152F" w:rsidRDefault="00E61F20" w:rsidP="0021152F">
      <w:pPr>
        <w:pStyle w:val="Lists"/>
        <w:rPr>
          <w:rFonts w:asciiTheme="minorHAnsi" w:eastAsiaTheme="minorEastAsia" w:hAnsiTheme="minorHAnsi"/>
          <w:noProof/>
          <w:sz w:val="22"/>
        </w:rPr>
      </w:pPr>
      <w:hyperlink w:anchor="_Toc78881291" w:history="1">
        <w:r w:rsidR="0021152F" w:rsidRPr="00E32532">
          <w:rPr>
            <w:rStyle w:val="Hyperlink"/>
            <w:noProof/>
          </w:rPr>
          <w:t>Figure 3</w:t>
        </w:r>
        <w:r w:rsidR="0021152F" w:rsidRPr="00E32532">
          <w:rPr>
            <w:rStyle w:val="Hyperlink"/>
            <w:noProof/>
          </w:rPr>
          <w:noBreakHyphen/>
          <w:t>1: Workflow for West Nile virus (WNV) modeling and risk mapping. The analysis is divided into four major sections. The processing of case and control data, an exploratory analysis of case and control data, the processing of environmental variables, and the statistical modeling to produce WNV risk maps. Bold text represents the four main sections; italic text represents data processing steps, boxes, and arrows represent the main data flows. BRT = boosted regression tree.</w:t>
        </w:r>
        <w:r w:rsidR="0021152F">
          <w:rPr>
            <w:noProof/>
            <w:webHidden/>
          </w:rPr>
          <w:tab/>
        </w:r>
        <w:r w:rsidR="0021152F">
          <w:rPr>
            <w:noProof/>
            <w:webHidden/>
          </w:rPr>
          <w:fldChar w:fldCharType="begin"/>
        </w:r>
        <w:r w:rsidR="0021152F">
          <w:rPr>
            <w:noProof/>
            <w:webHidden/>
          </w:rPr>
          <w:instrText xml:space="preserve"> PAGEREF _Toc78881291 \h </w:instrText>
        </w:r>
        <w:r w:rsidR="0021152F">
          <w:rPr>
            <w:noProof/>
            <w:webHidden/>
          </w:rPr>
        </w:r>
        <w:r w:rsidR="0021152F">
          <w:rPr>
            <w:noProof/>
            <w:webHidden/>
          </w:rPr>
          <w:fldChar w:fldCharType="separate"/>
        </w:r>
        <w:r w:rsidR="00F243F7">
          <w:rPr>
            <w:noProof/>
            <w:webHidden/>
          </w:rPr>
          <w:t>52</w:t>
        </w:r>
        <w:r w:rsidR="0021152F">
          <w:rPr>
            <w:noProof/>
            <w:webHidden/>
          </w:rPr>
          <w:fldChar w:fldCharType="end"/>
        </w:r>
      </w:hyperlink>
    </w:p>
    <w:p w14:paraId="7F49851C" w14:textId="12ED0A9A" w:rsidR="0021152F" w:rsidRDefault="00E61F20" w:rsidP="0021152F">
      <w:pPr>
        <w:pStyle w:val="Lists"/>
        <w:rPr>
          <w:rFonts w:asciiTheme="minorHAnsi" w:eastAsiaTheme="minorEastAsia" w:hAnsiTheme="minorHAnsi"/>
          <w:noProof/>
          <w:sz w:val="22"/>
        </w:rPr>
      </w:pPr>
      <w:hyperlink w:anchor="_Toc78881292" w:history="1">
        <w:r w:rsidR="0021152F" w:rsidRPr="00E32532">
          <w:rPr>
            <w:rStyle w:val="Hyperlink"/>
            <w:noProof/>
          </w:rPr>
          <w:t>Figure 3</w:t>
        </w:r>
        <w:r w:rsidR="0021152F" w:rsidRPr="00E32532">
          <w:rPr>
            <w:rStyle w:val="Hyperlink"/>
            <w:noProof/>
          </w:rPr>
          <w:noBreakHyphen/>
          <w:t>2: . Environmental variables mapped across South Dakota. (a) Elevation, (b) 14-year standard deviation of relative humidity in July/August, (c) 14-year mean for relative humidity in July/August, (d) 14-year standard deviation of tasseled cap wetness in May/June, (e) percent pasture, (f) 14-year standard deviation of precipitation in May/June, (g) 14-year mean of precipitation for July/August, (h) ponding frequency.</w:t>
        </w:r>
        <w:r w:rsidR="0021152F">
          <w:rPr>
            <w:noProof/>
            <w:webHidden/>
          </w:rPr>
          <w:tab/>
        </w:r>
        <w:r w:rsidR="0021152F">
          <w:rPr>
            <w:noProof/>
            <w:webHidden/>
          </w:rPr>
          <w:fldChar w:fldCharType="begin"/>
        </w:r>
        <w:r w:rsidR="0021152F">
          <w:rPr>
            <w:noProof/>
            <w:webHidden/>
          </w:rPr>
          <w:instrText xml:space="preserve"> PAGEREF _Toc78881292 \h </w:instrText>
        </w:r>
        <w:r w:rsidR="0021152F">
          <w:rPr>
            <w:noProof/>
            <w:webHidden/>
          </w:rPr>
        </w:r>
        <w:r w:rsidR="0021152F">
          <w:rPr>
            <w:noProof/>
            <w:webHidden/>
          </w:rPr>
          <w:fldChar w:fldCharType="separate"/>
        </w:r>
        <w:r w:rsidR="00F243F7">
          <w:rPr>
            <w:noProof/>
            <w:webHidden/>
          </w:rPr>
          <w:t>60</w:t>
        </w:r>
        <w:r w:rsidR="0021152F">
          <w:rPr>
            <w:noProof/>
            <w:webHidden/>
          </w:rPr>
          <w:fldChar w:fldCharType="end"/>
        </w:r>
      </w:hyperlink>
    </w:p>
    <w:p w14:paraId="4284901D" w14:textId="19D76964" w:rsidR="0021152F" w:rsidRDefault="00E61F20" w:rsidP="0021152F">
      <w:pPr>
        <w:pStyle w:val="Lists"/>
        <w:rPr>
          <w:rFonts w:asciiTheme="minorHAnsi" w:eastAsiaTheme="minorEastAsia" w:hAnsiTheme="minorHAnsi"/>
          <w:noProof/>
          <w:sz w:val="22"/>
        </w:rPr>
      </w:pPr>
      <w:hyperlink w:anchor="_Toc78881293" w:history="1">
        <w:r w:rsidR="0021152F" w:rsidRPr="00E32532">
          <w:rPr>
            <w:rStyle w:val="Hyperlink"/>
            <w:noProof/>
          </w:rPr>
          <w:t>Figure 3</w:t>
        </w:r>
        <w:r w:rsidR="0021152F" w:rsidRPr="00E32532">
          <w:rPr>
            <w:rStyle w:val="Hyperlink"/>
            <w:noProof/>
          </w:rPr>
          <w:noBreakHyphen/>
          <w:t>3: (a) Spatially smoothed West Nile virus (WNV) case points, (b) population weighted control points, and (c) incidence rates of human WNV disease in South Dakota for 2004-2017.</w:t>
        </w:r>
        <w:r w:rsidR="0021152F">
          <w:rPr>
            <w:noProof/>
            <w:webHidden/>
          </w:rPr>
          <w:tab/>
        </w:r>
        <w:r w:rsidR="0021152F">
          <w:rPr>
            <w:noProof/>
            <w:webHidden/>
          </w:rPr>
          <w:fldChar w:fldCharType="begin"/>
        </w:r>
        <w:r w:rsidR="0021152F">
          <w:rPr>
            <w:noProof/>
            <w:webHidden/>
          </w:rPr>
          <w:instrText xml:space="preserve"> PAGEREF _Toc78881293 \h </w:instrText>
        </w:r>
        <w:r w:rsidR="0021152F">
          <w:rPr>
            <w:noProof/>
            <w:webHidden/>
          </w:rPr>
        </w:r>
        <w:r w:rsidR="0021152F">
          <w:rPr>
            <w:noProof/>
            <w:webHidden/>
          </w:rPr>
          <w:fldChar w:fldCharType="separate"/>
        </w:r>
        <w:r w:rsidR="00F243F7">
          <w:rPr>
            <w:noProof/>
            <w:webHidden/>
          </w:rPr>
          <w:t>62</w:t>
        </w:r>
        <w:r w:rsidR="0021152F">
          <w:rPr>
            <w:noProof/>
            <w:webHidden/>
          </w:rPr>
          <w:fldChar w:fldCharType="end"/>
        </w:r>
      </w:hyperlink>
    </w:p>
    <w:p w14:paraId="729975A2" w14:textId="3DEF9580" w:rsidR="0021152F" w:rsidRDefault="00E61F20" w:rsidP="0021152F">
      <w:pPr>
        <w:pStyle w:val="Lists"/>
        <w:rPr>
          <w:rFonts w:asciiTheme="minorHAnsi" w:eastAsiaTheme="minorEastAsia" w:hAnsiTheme="minorHAnsi"/>
          <w:noProof/>
          <w:sz w:val="22"/>
        </w:rPr>
      </w:pPr>
      <w:hyperlink w:anchor="_Toc78881294" w:history="1">
        <w:r w:rsidR="0021152F" w:rsidRPr="00E32532">
          <w:rPr>
            <w:rStyle w:val="Hyperlink"/>
            <w:noProof/>
          </w:rPr>
          <w:t>Figure 3</w:t>
        </w:r>
        <w:r w:rsidR="0021152F" w:rsidRPr="00E32532">
          <w:rPr>
            <w:rStyle w:val="Hyperlink"/>
            <w:noProof/>
          </w:rPr>
          <w:noBreakHyphen/>
          <w:t>4: West Nile virus risk patterns based on three different environmental datasets: (a) land cover and physiography data, (b) climate data, and (c) spectral data.</w:t>
        </w:r>
        <w:r w:rsidR="0021152F">
          <w:rPr>
            <w:noProof/>
            <w:webHidden/>
          </w:rPr>
          <w:tab/>
        </w:r>
        <w:r w:rsidR="0021152F">
          <w:rPr>
            <w:noProof/>
            <w:webHidden/>
          </w:rPr>
          <w:fldChar w:fldCharType="begin"/>
        </w:r>
        <w:r w:rsidR="0021152F">
          <w:rPr>
            <w:noProof/>
            <w:webHidden/>
          </w:rPr>
          <w:instrText xml:space="preserve"> PAGEREF _Toc78881294 \h </w:instrText>
        </w:r>
        <w:r w:rsidR="0021152F">
          <w:rPr>
            <w:noProof/>
            <w:webHidden/>
          </w:rPr>
        </w:r>
        <w:r w:rsidR="0021152F">
          <w:rPr>
            <w:noProof/>
            <w:webHidden/>
          </w:rPr>
          <w:fldChar w:fldCharType="separate"/>
        </w:r>
        <w:r w:rsidR="00F243F7">
          <w:rPr>
            <w:noProof/>
            <w:webHidden/>
          </w:rPr>
          <w:t>64</w:t>
        </w:r>
        <w:r w:rsidR="0021152F">
          <w:rPr>
            <w:noProof/>
            <w:webHidden/>
          </w:rPr>
          <w:fldChar w:fldCharType="end"/>
        </w:r>
      </w:hyperlink>
    </w:p>
    <w:p w14:paraId="0442C489" w14:textId="60D3A543" w:rsidR="0021152F" w:rsidRDefault="00E61F20" w:rsidP="0021152F">
      <w:pPr>
        <w:pStyle w:val="Lists"/>
        <w:rPr>
          <w:rFonts w:asciiTheme="minorHAnsi" w:eastAsiaTheme="minorEastAsia" w:hAnsiTheme="minorHAnsi"/>
          <w:noProof/>
          <w:sz w:val="22"/>
        </w:rPr>
      </w:pPr>
      <w:hyperlink w:anchor="_Toc78881295" w:history="1">
        <w:r w:rsidR="0021152F" w:rsidRPr="00E32532">
          <w:rPr>
            <w:rStyle w:val="Hyperlink"/>
            <w:noProof/>
          </w:rPr>
          <w:t>Figure 3</w:t>
        </w:r>
        <w:r w:rsidR="0021152F" w:rsidRPr="00E32532">
          <w:rPr>
            <w:rStyle w:val="Hyperlink"/>
            <w:noProof/>
          </w:rPr>
          <w:noBreakHyphen/>
          <w:t>5: West Nile virus risk patterns based on BRT model predictions using all available environmental variables.</w:t>
        </w:r>
        <w:r w:rsidR="0021152F">
          <w:rPr>
            <w:noProof/>
            <w:webHidden/>
          </w:rPr>
          <w:tab/>
        </w:r>
        <w:r w:rsidR="0021152F">
          <w:rPr>
            <w:noProof/>
            <w:webHidden/>
          </w:rPr>
          <w:fldChar w:fldCharType="begin"/>
        </w:r>
        <w:r w:rsidR="0021152F">
          <w:rPr>
            <w:noProof/>
            <w:webHidden/>
          </w:rPr>
          <w:instrText xml:space="preserve"> PAGEREF _Toc78881295 \h </w:instrText>
        </w:r>
        <w:r w:rsidR="0021152F">
          <w:rPr>
            <w:noProof/>
            <w:webHidden/>
          </w:rPr>
        </w:r>
        <w:r w:rsidR="0021152F">
          <w:rPr>
            <w:noProof/>
            <w:webHidden/>
          </w:rPr>
          <w:fldChar w:fldCharType="separate"/>
        </w:r>
        <w:r w:rsidR="00F243F7">
          <w:rPr>
            <w:noProof/>
            <w:webHidden/>
          </w:rPr>
          <w:t>66</w:t>
        </w:r>
        <w:r w:rsidR="0021152F">
          <w:rPr>
            <w:noProof/>
            <w:webHidden/>
          </w:rPr>
          <w:fldChar w:fldCharType="end"/>
        </w:r>
      </w:hyperlink>
    </w:p>
    <w:p w14:paraId="107A78D7" w14:textId="3E50684F" w:rsidR="0021152F" w:rsidRDefault="00E61F20" w:rsidP="0021152F">
      <w:pPr>
        <w:pStyle w:val="Lists"/>
        <w:rPr>
          <w:rFonts w:asciiTheme="minorHAnsi" w:eastAsiaTheme="minorEastAsia" w:hAnsiTheme="minorHAnsi"/>
          <w:noProof/>
          <w:sz w:val="22"/>
        </w:rPr>
      </w:pPr>
      <w:hyperlink w:anchor="_Toc78881296" w:history="1">
        <w:r w:rsidR="0021152F" w:rsidRPr="00E32532">
          <w:rPr>
            <w:rStyle w:val="Hyperlink"/>
            <w:noProof/>
          </w:rPr>
          <w:t>Figure 3</w:t>
        </w:r>
        <w:r w:rsidR="0021152F" w:rsidRPr="00E32532">
          <w:rPr>
            <w:rStyle w:val="Hyperlink"/>
            <w:noProof/>
          </w:rPr>
          <w:noBreakHyphen/>
          <w:t>6: Relative importance of environmental variables in predicting the relative risk of West Nile virus. We used four sets of environmental variables to fit a BRT model: (a) land cover and physiography data, (b) climate data, (c) spectral data, and (d) all datasets combined. Explanations of the variable codes are provided in Table 3-2.</w:t>
        </w:r>
        <w:r w:rsidR="0021152F">
          <w:rPr>
            <w:noProof/>
            <w:webHidden/>
          </w:rPr>
          <w:tab/>
        </w:r>
        <w:r w:rsidR="0021152F">
          <w:rPr>
            <w:noProof/>
            <w:webHidden/>
          </w:rPr>
          <w:fldChar w:fldCharType="begin"/>
        </w:r>
        <w:r w:rsidR="0021152F">
          <w:rPr>
            <w:noProof/>
            <w:webHidden/>
          </w:rPr>
          <w:instrText xml:space="preserve"> PAGEREF _Toc78881296 \h </w:instrText>
        </w:r>
        <w:r w:rsidR="0021152F">
          <w:rPr>
            <w:noProof/>
            <w:webHidden/>
          </w:rPr>
        </w:r>
        <w:r w:rsidR="0021152F">
          <w:rPr>
            <w:noProof/>
            <w:webHidden/>
          </w:rPr>
          <w:fldChar w:fldCharType="separate"/>
        </w:r>
        <w:r w:rsidR="00F243F7">
          <w:rPr>
            <w:noProof/>
            <w:webHidden/>
          </w:rPr>
          <w:t>68</w:t>
        </w:r>
        <w:r w:rsidR="0021152F">
          <w:rPr>
            <w:noProof/>
            <w:webHidden/>
          </w:rPr>
          <w:fldChar w:fldCharType="end"/>
        </w:r>
      </w:hyperlink>
    </w:p>
    <w:p w14:paraId="457A8501" w14:textId="7E7C5F4D" w:rsidR="0021152F" w:rsidRDefault="00E61F20" w:rsidP="0021152F">
      <w:pPr>
        <w:pStyle w:val="Lists"/>
        <w:rPr>
          <w:rFonts w:asciiTheme="minorHAnsi" w:eastAsiaTheme="minorEastAsia" w:hAnsiTheme="minorHAnsi"/>
          <w:noProof/>
          <w:sz w:val="22"/>
        </w:rPr>
      </w:pPr>
      <w:hyperlink w:anchor="_Toc78881297" w:history="1">
        <w:r w:rsidR="0021152F" w:rsidRPr="00E32532">
          <w:rPr>
            <w:rStyle w:val="Hyperlink"/>
            <w:noProof/>
          </w:rPr>
          <w:t>Figure 3</w:t>
        </w:r>
        <w:r w:rsidR="0021152F" w:rsidRPr="00E32532">
          <w:rPr>
            <w:rStyle w:val="Hyperlink"/>
            <w:noProof/>
          </w:rPr>
          <w:noBreakHyphen/>
          <w:t>7: Boosted regression tree (BRT) partial dependence of risk on the top ranked environmental variables from the combined model containing all data sources. Black lines represent the fitted function for environmental variables and relative West Nile virus risk. Blue lines represent a smoothed approximation. Variables are explained in Table 3-2</w:t>
        </w:r>
        <w:r w:rsidR="0021152F">
          <w:rPr>
            <w:noProof/>
            <w:webHidden/>
          </w:rPr>
          <w:tab/>
        </w:r>
        <w:r w:rsidR="0021152F">
          <w:rPr>
            <w:noProof/>
            <w:webHidden/>
          </w:rPr>
          <w:fldChar w:fldCharType="begin"/>
        </w:r>
        <w:r w:rsidR="0021152F">
          <w:rPr>
            <w:noProof/>
            <w:webHidden/>
          </w:rPr>
          <w:instrText xml:space="preserve"> PAGEREF _Toc78881297 \h </w:instrText>
        </w:r>
        <w:r w:rsidR="0021152F">
          <w:rPr>
            <w:noProof/>
            <w:webHidden/>
          </w:rPr>
        </w:r>
        <w:r w:rsidR="0021152F">
          <w:rPr>
            <w:noProof/>
            <w:webHidden/>
          </w:rPr>
          <w:fldChar w:fldCharType="separate"/>
        </w:r>
        <w:r w:rsidR="00F243F7">
          <w:rPr>
            <w:noProof/>
            <w:webHidden/>
          </w:rPr>
          <w:t>69</w:t>
        </w:r>
        <w:r w:rsidR="0021152F">
          <w:rPr>
            <w:noProof/>
            <w:webHidden/>
          </w:rPr>
          <w:fldChar w:fldCharType="end"/>
        </w:r>
      </w:hyperlink>
    </w:p>
    <w:p w14:paraId="084D5A59" w14:textId="1B853A9D" w:rsidR="0021152F" w:rsidRDefault="00E61F20" w:rsidP="0021152F">
      <w:pPr>
        <w:pStyle w:val="Lists"/>
        <w:rPr>
          <w:rFonts w:asciiTheme="minorHAnsi" w:eastAsiaTheme="minorEastAsia" w:hAnsiTheme="minorHAnsi"/>
          <w:noProof/>
          <w:sz w:val="22"/>
        </w:rPr>
      </w:pPr>
      <w:hyperlink w:anchor="_Toc78881298" w:history="1">
        <w:r w:rsidR="0021152F" w:rsidRPr="00E32532">
          <w:rPr>
            <w:rStyle w:val="Hyperlink"/>
            <w:noProof/>
          </w:rPr>
          <w:t>Figure 4</w:t>
        </w:r>
        <w:r w:rsidR="0021152F" w:rsidRPr="00E32532">
          <w:rPr>
            <w:rStyle w:val="Hyperlink"/>
            <w:noProof/>
          </w:rPr>
          <w:noBreakHyphen/>
          <w:t>1: Land cover and location of trap sites within the study area with the Mesonet weather station (triangle), as well as the proportion of mosquito species collected at each trap site (pie charts). The size of each circle is proportional to the total mosquito abundance. Land cover data are derived from the 2016 NLCD dataset.</w:t>
        </w:r>
        <w:r w:rsidR="0021152F">
          <w:rPr>
            <w:noProof/>
            <w:webHidden/>
          </w:rPr>
          <w:tab/>
        </w:r>
        <w:r w:rsidR="0021152F">
          <w:rPr>
            <w:noProof/>
            <w:webHidden/>
          </w:rPr>
          <w:fldChar w:fldCharType="begin"/>
        </w:r>
        <w:r w:rsidR="0021152F">
          <w:rPr>
            <w:noProof/>
            <w:webHidden/>
          </w:rPr>
          <w:instrText xml:space="preserve"> PAGEREF _Toc78881298 \h </w:instrText>
        </w:r>
        <w:r w:rsidR="0021152F">
          <w:rPr>
            <w:noProof/>
            <w:webHidden/>
          </w:rPr>
        </w:r>
        <w:r w:rsidR="0021152F">
          <w:rPr>
            <w:noProof/>
            <w:webHidden/>
          </w:rPr>
          <w:fldChar w:fldCharType="separate"/>
        </w:r>
        <w:r w:rsidR="00F243F7">
          <w:rPr>
            <w:noProof/>
            <w:webHidden/>
          </w:rPr>
          <w:t>80</w:t>
        </w:r>
        <w:r w:rsidR="0021152F">
          <w:rPr>
            <w:noProof/>
            <w:webHidden/>
          </w:rPr>
          <w:fldChar w:fldCharType="end"/>
        </w:r>
      </w:hyperlink>
    </w:p>
    <w:p w14:paraId="1A8FB9CA" w14:textId="161E2615" w:rsidR="0021152F" w:rsidRDefault="00E61F20" w:rsidP="0021152F">
      <w:pPr>
        <w:pStyle w:val="Lists"/>
        <w:rPr>
          <w:rFonts w:asciiTheme="minorHAnsi" w:eastAsiaTheme="minorEastAsia" w:hAnsiTheme="minorHAnsi"/>
          <w:noProof/>
          <w:sz w:val="22"/>
        </w:rPr>
      </w:pPr>
      <w:hyperlink w:anchor="_Toc78881299" w:history="1">
        <w:r w:rsidR="0021152F" w:rsidRPr="00E32532">
          <w:rPr>
            <w:rStyle w:val="Hyperlink"/>
            <w:noProof/>
          </w:rPr>
          <w:t>Figure 4</w:t>
        </w:r>
        <w:r w:rsidR="0021152F" w:rsidRPr="00E32532">
          <w:rPr>
            <w:rStyle w:val="Hyperlink"/>
            <w:noProof/>
          </w:rPr>
          <w:noBreakHyphen/>
          <w:t>2: Environmental variables for temperature, spectral indices, precipitation, and relative humidity from microclimate loggers (top row), satellite remote sensing (middle row), and weather station data (bottom row). For microclimate data, the solid lines represent the median value and ribbons the minimum and maximum across all sites. For satellite data, the graphs show daily interpolated value for a 1km buffer zone around all trap sites with the solid lines representing the median value and the ribbons the minimum and maximum across all sites. For weather station data, the solid lines show the daily values measured at the location of the weather station.</w:t>
        </w:r>
        <w:r w:rsidR="0021152F">
          <w:rPr>
            <w:noProof/>
            <w:webHidden/>
          </w:rPr>
          <w:tab/>
        </w:r>
        <w:r w:rsidR="0021152F">
          <w:rPr>
            <w:noProof/>
            <w:webHidden/>
          </w:rPr>
          <w:fldChar w:fldCharType="begin"/>
        </w:r>
        <w:r w:rsidR="0021152F">
          <w:rPr>
            <w:noProof/>
            <w:webHidden/>
          </w:rPr>
          <w:instrText xml:space="preserve"> PAGEREF _Toc78881299 \h </w:instrText>
        </w:r>
        <w:r w:rsidR="0021152F">
          <w:rPr>
            <w:noProof/>
            <w:webHidden/>
          </w:rPr>
        </w:r>
        <w:r w:rsidR="0021152F">
          <w:rPr>
            <w:noProof/>
            <w:webHidden/>
          </w:rPr>
          <w:fldChar w:fldCharType="separate"/>
        </w:r>
        <w:r w:rsidR="00F243F7">
          <w:rPr>
            <w:noProof/>
            <w:webHidden/>
          </w:rPr>
          <w:t>87</w:t>
        </w:r>
        <w:r w:rsidR="0021152F">
          <w:rPr>
            <w:noProof/>
            <w:webHidden/>
          </w:rPr>
          <w:fldChar w:fldCharType="end"/>
        </w:r>
      </w:hyperlink>
    </w:p>
    <w:p w14:paraId="16D7295E" w14:textId="45D6508E" w:rsidR="0021152F" w:rsidRDefault="00E61F20" w:rsidP="0021152F">
      <w:pPr>
        <w:pStyle w:val="Lists"/>
        <w:rPr>
          <w:rFonts w:asciiTheme="minorHAnsi" w:eastAsiaTheme="minorEastAsia" w:hAnsiTheme="minorHAnsi"/>
          <w:noProof/>
          <w:sz w:val="22"/>
        </w:rPr>
      </w:pPr>
      <w:hyperlink w:anchor="_Toc78881300" w:history="1">
        <w:r w:rsidR="0021152F" w:rsidRPr="00E32532">
          <w:rPr>
            <w:rStyle w:val="Hyperlink"/>
            <w:noProof/>
          </w:rPr>
          <w:t>Figure 4</w:t>
        </w:r>
        <w:r w:rsidR="0021152F" w:rsidRPr="00E32532">
          <w:rPr>
            <w:rStyle w:val="Hyperlink"/>
            <w:noProof/>
          </w:rPr>
          <w:noBreakHyphen/>
          <w:t xml:space="preserve">3: Mosquito counts per trap date for </w:t>
        </w:r>
        <w:r w:rsidR="0021152F" w:rsidRPr="00E32532">
          <w:rPr>
            <w:rStyle w:val="Hyperlink"/>
            <w:i/>
            <w:noProof/>
          </w:rPr>
          <w:t>Ae. albopictus</w:t>
        </w:r>
        <w:r w:rsidR="0021152F" w:rsidRPr="00E32532">
          <w:rPr>
            <w:rStyle w:val="Hyperlink"/>
            <w:noProof/>
          </w:rPr>
          <w:t xml:space="preserve"> and </w:t>
        </w:r>
        <w:r w:rsidR="0021152F" w:rsidRPr="00E32532">
          <w:rPr>
            <w:rStyle w:val="Hyperlink"/>
            <w:i/>
            <w:noProof/>
          </w:rPr>
          <w:t>Cx. quinquefasciatus</w:t>
        </w:r>
        <w:r w:rsidR="0021152F" w:rsidRPr="00E32532">
          <w:rPr>
            <w:rStyle w:val="Hyperlink"/>
            <w:noProof/>
          </w:rPr>
          <w:t>. Box plots display the distribution of counts across trap sites for each trap date.</w:t>
        </w:r>
        <w:r w:rsidR="0021152F">
          <w:rPr>
            <w:noProof/>
            <w:webHidden/>
          </w:rPr>
          <w:tab/>
        </w:r>
        <w:r w:rsidR="0021152F">
          <w:rPr>
            <w:noProof/>
            <w:webHidden/>
          </w:rPr>
          <w:fldChar w:fldCharType="begin"/>
        </w:r>
        <w:r w:rsidR="0021152F">
          <w:rPr>
            <w:noProof/>
            <w:webHidden/>
          </w:rPr>
          <w:instrText xml:space="preserve"> PAGEREF _Toc78881300 \h </w:instrText>
        </w:r>
        <w:r w:rsidR="0021152F">
          <w:rPr>
            <w:noProof/>
            <w:webHidden/>
          </w:rPr>
        </w:r>
        <w:r w:rsidR="0021152F">
          <w:rPr>
            <w:noProof/>
            <w:webHidden/>
          </w:rPr>
          <w:fldChar w:fldCharType="separate"/>
        </w:r>
        <w:r w:rsidR="00F243F7">
          <w:rPr>
            <w:noProof/>
            <w:webHidden/>
          </w:rPr>
          <w:t>92</w:t>
        </w:r>
        <w:r w:rsidR="0021152F">
          <w:rPr>
            <w:noProof/>
            <w:webHidden/>
          </w:rPr>
          <w:fldChar w:fldCharType="end"/>
        </w:r>
      </w:hyperlink>
    </w:p>
    <w:p w14:paraId="575AAA5A" w14:textId="46678CA4" w:rsidR="0021152F" w:rsidRDefault="00E61F20" w:rsidP="0021152F">
      <w:pPr>
        <w:pStyle w:val="Lists"/>
        <w:rPr>
          <w:rFonts w:asciiTheme="minorHAnsi" w:eastAsiaTheme="minorEastAsia" w:hAnsiTheme="minorHAnsi"/>
          <w:noProof/>
          <w:sz w:val="22"/>
        </w:rPr>
      </w:pPr>
      <w:hyperlink w:anchor="_Toc78881301" w:history="1">
        <w:r w:rsidR="0021152F" w:rsidRPr="00E32532">
          <w:rPr>
            <w:rStyle w:val="Hyperlink"/>
            <w:noProof/>
          </w:rPr>
          <w:t>Figure 4</w:t>
        </w:r>
        <w:r w:rsidR="0021152F" w:rsidRPr="00E32532">
          <w:rPr>
            <w:rStyle w:val="Hyperlink"/>
            <w:noProof/>
          </w:rPr>
          <w:noBreakHyphen/>
          <w:t>4: Coefficient estimates of multivariate models for each data type (spectral indices, landcover, precipitation, relative humidity, temperature), and species (Ae.albopictus and Cx. quinquefasciatus)</w:t>
        </w:r>
        <w:r w:rsidR="0021152F">
          <w:rPr>
            <w:noProof/>
            <w:webHidden/>
          </w:rPr>
          <w:tab/>
        </w:r>
        <w:r w:rsidR="0021152F">
          <w:rPr>
            <w:noProof/>
            <w:webHidden/>
          </w:rPr>
          <w:fldChar w:fldCharType="begin"/>
        </w:r>
        <w:r w:rsidR="0021152F">
          <w:rPr>
            <w:noProof/>
            <w:webHidden/>
          </w:rPr>
          <w:instrText xml:space="preserve"> PAGEREF _Toc78881301 \h </w:instrText>
        </w:r>
        <w:r w:rsidR="0021152F">
          <w:rPr>
            <w:noProof/>
            <w:webHidden/>
          </w:rPr>
        </w:r>
        <w:r w:rsidR="0021152F">
          <w:rPr>
            <w:noProof/>
            <w:webHidden/>
          </w:rPr>
          <w:fldChar w:fldCharType="separate"/>
        </w:r>
        <w:r w:rsidR="00F243F7">
          <w:rPr>
            <w:noProof/>
            <w:webHidden/>
          </w:rPr>
          <w:t>93</w:t>
        </w:r>
        <w:r w:rsidR="0021152F">
          <w:rPr>
            <w:noProof/>
            <w:webHidden/>
          </w:rPr>
          <w:fldChar w:fldCharType="end"/>
        </w:r>
      </w:hyperlink>
    </w:p>
    <w:p w14:paraId="4C46292B" w14:textId="3189D6B2" w:rsidR="0021152F" w:rsidRDefault="00E61F20" w:rsidP="0021152F">
      <w:pPr>
        <w:pStyle w:val="Lists"/>
        <w:rPr>
          <w:rFonts w:asciiTheme="minorHAnsi" w:eastAsiaTheme="minorEastAsia" w:hAnsiTheme="minorHAnsi"/>
          <w:noProof/>
          <w:sz w:val="22"/>
        </w:rPr>
      </w:pPr>
      <w:hyperlink w:anchor="_Toc78881302" w:history="1">
        <w:r w:rsidR="0021152F" w:rsidRPr="00E32532">
          <w:rPr>
            <w:rStyle w:val="Hyperlink"/>
            <w:noProof/>
          </w:rPr>
          <w:t>Figure 4</w:t>
        </w:r>
        <w:r w:rsidR="0021152F" w:rsidRPr="00E32532">
          <w:rPr>
            <w:rStyle w:val="Hyperlink"/>
            <w:noProof/>
          </w:rPr>
          <w:noBreakHyphen/>
          <w:t xml:space="preserve">5: Fitted values for all models including models based on land cover data, microclimate, satellite, and weather station data for </w:t>
        </w:r>
        <w:r w:rsidR="0021152F" w:rsidRPr="00E32532">
          <w:rPr>
            <w:rStyle w:val="Hyperlink"/>
            <w:i/>
            <w:noProof/>
          </w:rPr>
          <w:t>Ae. albopictus</w:t>
        </w:r>
        <w:r w:rsidR="0021152F" w:rsidRPr="00E32532">
          <w:rPr>
            <w:rStyle w:val="Hyperlink"/>
            <w:noProof/>
          </w:rPr>
          <w:t xml:space="preserve"> and </w:t>
        </w:r>
        <w:r w:rsidR="0021152F" w:rsidRPr="00E32532">
          <w:rPr>
            <w:rStyle w:val="Hyperlink"/>
            <w:i/>
            <w:noProof/>
          </w:rPr>
          <w:t>Cx. quinquefasciatus</w:t>
        </w:r>
        <w:r w:rsidR="0021152F" w:rsidRPr="00E32532">
          <w:rPr>
            <w:rStyle w:val="Hyperlink"/>
            <w:noProof/>
          </w:rPr>
          <w:t>. Model based on microclimate, satellite, and weather station data were fitted with land cover data (with LC) and without land cover data (no LC). Different lines represent spatial variation among trap sites and each line represents variation through time. Blue lines represent fitted values for 2020, green lines for 2019. The grey shaded areas represent the range of mosquito counts across all traps for each year.</w:t>
        </w:r>
        <w:r w:rsidR="0021152F">
          <w:rPr>
            <w:noProof/>
            <w:webHidden/>
          </w:rPr>
          <w:tab/>
        </w:r>
        <w:r w:rsidR="0021152F">
          <w:rPr>
            <w:noProof/>
            <w:webHidden/>
          </w:rPr>
          <w:fldChar w:fldCharType="begin"/>
        </w:r>
        <w:r w:rsidR="0021152F">
          <w:rPr>
            <w:noProof/>
            <w:webHidden/>
          </w:rPr>
          <w:instrText xml:space="preserve"> PAGEREF _Toc78881302 \h </w:instrText>
        </w:r>
        <w:r w:rsidR="0021152F">
          <w:rPr>
            <w:noProof/>
            <w:webHidden/>
          </w:rPr>
        </w:r>
        <w:r w:rsidR="0021152F">
          <w:rPr>
            <w:noProof/>
            <w:webHidden/>
          </w:rPr>
          <w:fldChar w:fldCharType="separate"/>
        </w:r>
        <w:r w:rsidR="00F243F7">
          <w:rPr>
            <w:noProof/>
            <w:webHidden/>
          </w:rPr>
          <w:t>97</w:t>
        </w:r>
        <w:r w:rsidR="0021152F">
          <w:rPr>
            <w:noProof/>
            <w:webHidden/>
          </w:rPr>
          <w:fldChar w:fldCharType="end"/>
        </w:r>
      </w:hyperlink>
    </w:p>
    <w:p w14:paraId="040FA185" w14:textId="3AA634BB" w:rsidR="00B779CC" w:rsidRPr="00AA3319" w:rsidRDefault="00E56FF8" w:rsidP="0021152F">
      <w:pPr>
        <w:pStyle w:val="Lists"/>
      </w:pPr>
      <w:r w:rsidRPr="00AA3319">
        <w:fldChar w:fldCharType="end"/>
      </w:r>
    </w:p>
    <w:p w14:paraId="3815D689" w14:textId="627A848F" w:rsidR="00B779CC" w:rsidRPr="00AA3319" w:rsidRDefault="00B779CC">
      <w:pPr>
        <w:spacing w:line="259" w:lineRule="auto"/>
        <w:rPr>
          <w:rFonts w:cs="Times New Roman"/>
        </w:rPr>
      </w:pPr>
      <w:r w:rsidRPr="00AA3319">
        <w:rPr>
          <w:rFonts w:cs="Times New Roman"/>
        </w:rPr>
        <w:br w:type="page"/>
      </w:r>
    </w:p>
    <w:p w14:paraId="058DF816" w14:textId="06E1CB0B" w:rsidR="00411854" w:rsidRPr="00AA3319" w:rsidRDefault="00B779CC" w:rsidP="00411854">
      <w:pPr>
        <w:pStyle w:val="Heading1"/>
        <w:numPr>
          <w:ilvl w:val="0"/>
          <w:numId w:val="0"/>
        </w:numPr>
        <w:ind w:left="432" w:hanging="432"/>
        <w:rPr>
          <w:rFonts w:cs="Times New Roman"/>
        </w:rPr>
      </w:pPr>
      <w:bookmarkStart w:id="3" w:name="_Toc78889179"/>
      <w:r w:rsidRPr="00AA3319">
        <w:rPr>
          <w:rFonts w:cs="Times New Roman"/>
        </w:rPr>
        <w:lastRenderedPageBreak/>
        <w:t>Abstract</w:t>
      </w:r>
      <w:bookmarkEnd w:id="3"/>
    </w:p>
    <w:p w14:paraId="60B32B27" w14:textId="48EE2BE5" w:rsidR="00605453" w:rsidRPr="00AA3319" w:rsidRDefault="00605453" w:rsidP="00605453">
      <w:pPr>
        <w:rPr>
          <w:rFonts w:cs="Times New Roman"/>
        </w:rPr>
      </w:pPr>
      <w:r w:rsidRPr="00AA3319">
        <w:rPr>
          <w:rFonts w:cs="Times New Roman"/>
        </w:rPr>
        <w:t xml:space="preserve">Despite global intervention efforts, mosquito-borne diseases remain a major public health concern in many parts of the world. New strategies to target interventions rely on spatially explicit information about disease transmission risk. Because the transmission of mosquito borne diseases is influenced by environmental conditions, environmental data are often used to predict </w:t>
      </w:r>
      <w:r w:rsidR="00CC03D1">
        <w:rPr>
          <w:rFonts w:cs="Times New Roman"/>
        </w:rPr>
        <w:t>disease</w:t>
      </w:r>
      <w:r w:rsidRPr="00AA3319">
        <w:rPr>
          <w:rFonts w:cs="Times New Roman"/>
        </w:rPr>
        <w:t xml:space="preserve"> risk. However, the relationships between environmental conditions and such diseases are not homogeneous across different landscapes and require</w:t>
      </w:r>
      <w:r w:rsidR="00CC03D1">
        <w:rPr>
          <w:rFonts w:cs="Times New Roman"/>
        </w:rPr>
        <w:t>s</w:t>
      </w:r>
      <w:r w:rsidRPr="00AA3319">
        <w:rPr>
          <w:rFonts w:cs="Times New Roman"/>
        </w:rPr>
        <w:t xml:space="preserve"> a context-dependent understanding. The research presented in this dissertation consist</w:t>
      </w:r>
      <w:r w:rsidR="00270B7C">
        <w:rPr>
          <w:rFonts w:cs="Times New Roman"/>
        </w:rPr>
        <w:t>s</w:t>
      </w:r>
      <w:r w:rsidRPr="00AA3319">
        <w:rPr>
          <w:rFonts w:cs="Times New Roman"/>
        </w:rPr>
        <w:t xml:space="preserve"> of three case studies that used remote sensing data to identify environmental risk factors for mosquito-borne diseases in different geographic settings.</w:t>
      </w:r>
    </w:p>
    <w:p w14:paraId="548B739F" w14:textId="4FC72E58" w:rsidR="00605453" w:rsidRPr="00AA3319" w:rsidRDefault="00605453" w:rsidP="00605453">
      <w:pPr>
        <w:rPr>
          <w:rFonts w:cs="Times New Roman"/>
        </w:rPr>
      </w:pPr>
      <w:r w:rsidRPr="00AA3319">
        <w:rPr>
          <w:rFonts w:cs="Times New Roman"/>
        </w:rPr>
        <w:t xml:space="preserve">In the first project, the distribution of malaria cases in two study areas in the Amhara region of Ethiopia was analyzed with the help of </w:t>
      </w:r>
      <w:r w:rsidR="00F27035">
        <w:rPr>
          <w:rFonts w:cs="Times New Roman"/>
        </w:rPr>
        <w:t>remote sensing data on land surface temperature, precipitation, spectral indices, as well as land cover and water availability</w:t>
      </w:r>
      <w:r w:rsidRPr="00AA3319">
        <w:rPr>
          <w:rFonts w:cs="Times New Roman"/>
        </w:rPr>
        <w:t xml:space="preserve">. Environmental variables </w:t>
      </w:r>
      <w:r w:rsidR="004126B8" w:rsidRPr="00AA3319">
        <w:rPr>
          <w:rFonts w:cs="Times New Roman"/>
        </w:rPr>
        <w:t xml:space="preserve">were derived </w:t>
      </w:r>
      <w:r w:rsidRPr="00AA3319">
        <w:rPr>
          <w:rFonts w:cs="Times New Roman"/>
        </w:rPr>
        <w:t xml:space="preserve">from remote sensing data </w:t>
      </w:r>
      <w:r w:rsidR="004126B8" w:rsidRPr="00AA3319">
        <w:rPr>
          <w:rFonts w:cs="Times New Roman"/>
        </w:rPr>
        <w:t>and their relationship</w:t>
      </w:r>
      <w:r w:rsidR="00270B7C">
        <w:rPr>
          <w:rFonts w:cs="Times New Roman"/>
        </w:rPr>
        <w:t>s</w:t>
      </w:r>
      <w:r w:rsidR="004126B8" w:rsidRPr="00AA3319">
        <w:rPr>
          <w:rFonts w:cs="Times New Roman"/>
        </w:rPr>
        <w:t xml:space="preserve"> with</w:t>
      </w:r>
      <w:r w:rsidRPr="00AA3319">
        <w:rPr>
          <w:rFonts w:cs="Times New Roman"/>
        </w:rPr>
        <w:t xml:space="preserve"> spatial and temporal patterns of malaria occurrence</w:t>
      </w:r>
      <w:r w:rsidR="004126B8" w:rsidRPr="00AA3319">
        <w:rPr>
          <w:rFonts w:cs="Times New Roman"/>
        </w:rPr>
        <w:t xml:space="preserve"> </w:t>
      </w:r>
      <w:r w:rsidR="00270B7C">
        <w:rPr>
          <w:rFonts w:cs="Times New Roman"/>
        </w:rPr>
        <w:t>were</w:t>
      </w:r>
      <w:r w:rsidR="00270B7C" w:rsidRPr="00AA3319">
        <w:rPr>
          <w:rFonts w:cs="Times New Roman"/>
        </w:rPr>
        <w:t xml:space="preserve"> </w:t>
      </w:r>
      <w:r w:rsidR="004126B8" w:rsidRPr="00AA3319">
        <w:rPr>
          <w:rFonts w:cs="Times New Roman"/>
        </w:rPr>
        <w:t>investigated</w:t>
      </w:r>
      <w:r w:rsidRPr="00AA3319">
        <w:rPr>
          <w:rFonts w:cs="Times New Roman"/>
        </w:rPr>
        <w:t xml:space="preserve">. Settlement structure played an important role in malaria occurrence in both study areas. Climatic factors were also important, with relative risk following a precipitation gradient in the area by lake Tana and a temperature gradient along the Blue Nile River escarpment. This research suggests that studies aiming to understand malaria-environmental relationships should be </w:t>
      </w:r>
      <w:r w:rsidR="00270B7C" w:rsidRPr="00AA3319">
        <w:rPr>
          <w:rFonts w:cs="Times New Roman"/>
        </w:rPr>
        <w:t>geographic</w:t>
      </w:r>
      <w:r w:rsidR="00270B7C">
        <w:rPr>
          <w:rFonts w:cs="Times New Roman"/>
        </w:rPr>
        <w:t>ally</w:t>
      </w:r>
      <w:r w:rsidRPr="00AA3319">
        <w:rPr>
          <w:rFonts w:cs="Times New Roman"/>
        </w:rPr>
        <w:t xml:space="preserve"> </w:t>
      </w:r>
      <w:r w:rsidR="00270B7C" w:rsidRPr="00AA3319">
        <w:rPr>
          <w:rFonts w:cs="Times New Roman"/>
        </w:rPr>
        <w:t>context</w:t>
      </w:r>
      <w:r w:rsidR="00270B7C">
        <w:rPr>
          <w:rFonts w:cs="Times New Roman"/>
        </w:rPr>
        <w:t xml:space="preserve"> </w:t>
      </w:r>
      <w:r w:rsidRPr="00AA3319">
        <w:rPr>
          <w:rFonts w:cs="Times New Roman"/>
        </w:rPr>
        <w:t>specific so they can account for such differences.</w:t>
      </w:r>
    </w:p>
    <w:p w14:paraId="04DF8FA7" w14:textId="546FACF0" w:rsidR="00605453" w:rsidRPr="00AA3319" w:rsidRDefault="00605453" w:rsidP="00605453">
      <w:pPr>
        <w:rPr>
          <w:rFonts w:cs="Times New Roman"/>
        </w:rPr>
      </w:pPr>
      <w:r w:rsidRPr="00AA3319">
        <w:rPr>
          <w:rFonts w:cs="Times New Roman"/>
        </w:rPr>
        <w:t>Second, the spatial distribution of West Nile virus</w:t>
      </w:r>
      <w:r w:rsidR="00F37AAF">
        <w:rPr>
          <w:rFonts w:cs="Times New Roman"/>
        </w:rPr>
        <w:t xml:space="preserve"> (WNV)</w:t>
      </w:r>
      <w:r w:rsidRPr="00AA3319">
        <w:rPr>
          <w:rFonts w:cs="Times New Roman"/>
        </w:rPr>
        <w:t xml:space="preserve"> risk in South Dakota was studied via different geospatial environmental datasets. We compared the effectiveness of 1) land </w:t>
      </w:r>
      <w:r w:rsidRPr="00AA3319">
        <w:rPr>
          <w:rFonts w:cs="Times New Roman"/>
        </w:rPr>
        <w:lastRenderedPageBreak/>
        <w:t>cover and physiography data, 2) climate data, and 3) spectral data for mapping the risk of WNV transmission. The combination of all data sources resulted in the most accurate predictions. Elevation, late season</w:t>
      </w:r>
      <w:r w:rsidR="00276227">
        <w:rPr>
          <w:rFonts w:cs="Times New Roman"/>
        </w:rPr>
        <w:t xml:space="preserve"> (July/August)</w:t>
      </w:r>
      <w:r w:rsidRPr="00AA3319">
        <w:rPr>
          <w:rFonts w:cs="Times New Roman"/>
        </w:rPr>
        <w:t xml:space="preserve"> humidity, and early-season</w:t>
      </w:r>
      <w:r w:rsidR="00276227">
        <w:rPr>
          <w:rFonts w:cs="Times New Roman"/>
        </w:rPr>
        <w:t xml:space="preserve"> (May/June)</w:t>
      </w:r>
      <w:r w:rsidRPr="00AA3319">
        <w:rPr>
          <w:rFonts w:cs="Times New Roman"/>
        </w:rPr>
        <w:t xml:space="preserve"> surface moisture were the most important predictors of disease distribution. Indices that quantified inter-annual variability of climatic conditions and land surface moisture were better predictors than inter-annual mean</w:t>
      </w:r>
      <w:r w:rsidR="00270B7C">
        <w:rPr>
          <w:rFonts w:cs="Times New Roman"/>
        </w:rPr>
        <w:t>s</w:t>
      </w:r>
      <w:r w:rsidRPr="00AA3319">
        <w:rPr>
          <w:rFonts w:cs="Times New Roman"/>
        </w:rPr>
        <w:t xml:space="preserve">. </w:t>
      </w:r>
      <w:r w:rsidR="00270B7C">
        <w:rPr>
          <w:rFonts w:cs="Times New Roman"/>
        </w:rPr>
        <w:t>These results</w:t>
      </w:r>
      <w:r w:rsidR="00270B7C" w:rsidRPr="00AA3319">
        <w:rPr>
          <w:rFonts w:cs="Times New Roman"/>
        </w:rPr>
        <w:t xml:space="preserve"> </w:t>
      </w:r>
      <w:r w:rsidRPr="00AA3319">
        <w:rPr>
          <w:rFonts w:cs="Times New Roman"/>
        </w:rPr>
        <w:t>suggest that combining measures of inter-annual environmental variability with static land cover and physiography variables can help to improve spatial predictions of arbovirus transmission risk.</w:t>
      </w:r>
      <w:r w:rsidR="00276227">
        <w:rPr>
          <w:rFonts w:cs="Times New Roman"/>
        </w:rPr>
        <w:t xml:space="preserve"> </w:t>
      </w:r>
    </w:p>
    <w:p w14:paraId="21C110D3" w14:textId="4DE406EB" w:rsidR="008B65C7" w:rsidRDefault="00605453" w:rsidP="00605453">
      <w:pPr>
        <w:rPr>
          <w:rFonts w:cs="Times New Roman"/>
        </w:rPr>
      </w:pPr>
      <w:r w:rsidRPr="00AA3319">
        <w:rPr>
          <w:rFonts w:cs="Times New Roman"/>
        </w:rPr>
        <w:t>Third, mosquito populations in Norman, Oklahoma, were analyzed to investigate the influence</w:t>
      </w:r>
      <w:r w:rsidR="00CC03D1">
        <w:rPr>
          <w:rFonts w:cs="Times New Roman"/>
        </w:rPr>
        <w:t>s</w:t>
      </w:r>
      <w:r w:rsidRPr="00AA3319">
        <w:rPr>
          <w:rFonts w:cs="Times New Roman"/>
        </w:rPr>
        <w:t xml:space="preserve"> of land cover and microclimate on the abundance of vector mosquitoes in a heterogeneous urban environment. Remotely-sensed variables, microclimate measurements, and weather station data were used to study patterns </w:t>
      </w:r>
      <w:r w:rsidR="00CC03D1">
        <w:rPr>
          <w:rFonts w:cs="Times New Roman"/>
        </w:rPr>
        <w:t>of</w:t>
      </w:r>
      <w:r w:rsidRPr="00AA3319">
        <w:rPr>
          <w:rFonts w:cs="Times New Roman"/>
        </w:rPr>
        <w:t xml:space="preserve"> mosquito abundances. </w:t>
      </w:r>
      <w:r w:rsidR="00CC03D1">
        <w:rPr>
          <w:rFonts w:cs="Times New Roman"/>
        </w:rPr>
        <w:t>Spatial distributions</w:t>
      </w:r>
      <w:r w:rsidRPr="00AA3319">
        <w:rPr>
          <w:rFonts w:cs="Times New Roman"/>
        </w:rPr>
        <w:t xml:space="preserve"> of the two vector species </w:t>
      </w:r>
      <w:r w:rsidRPr="00AA3319">
        <w:rPr>
          <w:rFonts w:cs="Times New Roman"/>
          <w:i/>
        </w:rPr>
        <w:t xml:space="preserve">Ae. albopictus </w:t>
      </w:r>
      <w:r w:rsidRPr="00AA3319">
        <w:rPr>
          <w:rFonts w:cs="Times New Roman"/>
        </w:rPr>
        <w:t xml:space="preserve">and </w:t>
      </w:r>
      <w:r w:rsidRPr="00AA3319">
        <w:rPr>
          <w:rFonts w:cs="Times New Roman"/>
          <w:i/>
        </w:rPr>
        <w:t xml:space="preserve">Cx. quinquefasciatus </w:t>
      </w:r>
      <w:r w:rsidRPr="00AA3319">
        <w:rPr>
          <w:rFonts w:cs="Times New Roman"/>
        </w:rPr>
        <w:t xml:space="preserve">were </w:t>
      </w:r>
      <w:r w:rsidR="00CC03D1">
        <w:rPr>
          <w:rFonts w:cs="Times New Roman"/>
        </w:rPr>
        <w:t>strongly associated with</w:t>
      </w:r>
      <w:r w:rsidRPr="00AA3319">
        <w:rPr>
          <w:rFonts w:cs="Times New Roman"/>
        </w:rPr>
        <w:t xml:space="preserve"> land cover variables. </w:t>
      </w:r>
      <w:r w:rsidR="00285166" w:rsidRPr="00AA3319">
        <w:rPr>
          <w:rFonts w:cs="Times New Roman"/>
        </w:rPr>
        <w:t xml:space="preserve">Impervious surface area positively affected the abundance of both species. Canopy cover was positively associated with the abundance of </w:t>
      </w:r>
      <w:r w:rsidR="00285166" w:rsidRPr="00AA3319">
        <w:rPr>
          <w:rFonts w:cs="Times New Roman"/>
          <w:i/>
        </w:rPr>
        <w:t xml:space="preserve">Cx. quinquefasciatus </w:t>
      </w:r>
      <w:r w:rsidR="00285166" w:rsidRPr="00AA3319">
        <w:rPr>
          <w:rFonts w:cs="Times New Roman"/>
        </w:rPr>
        <w:t xml:space="preserve">but negatively with </w:t>
      </w:r>
      <w:r w:rsidR="00285166" w:rsidRPr="00AA3319">
        <w:rPr>
          <w:rFonts w:cs="Times New Roman"/>
          <w:i/>
        </w:rPr>
        <w:t xml:space="preserve">Ae. albopictus </w:t>
      </w:r>
      <w:r w:rsidR="00285166" w:rsidRPr="00AA3319">
        <w:rPr>
          <w:rFonts w:cs="Times New Roman"/>
        </w:rPr>
        <w:t>abundance.</w:t>
      </w:r>
      <w:r w:rsidR="00285166">
        <w:rPr>
          <w:rFonts w:cs="Times New Roman"/>
        </w:rPr>
        <w:t xml:space="preserve"> </w:t>
      </w:r>
      <w:r w:rsidRPr="00AA3319">
        <w:rPr>
          <w:rFonts w:cs="Times New Roman"/>
        </w:rPr>
        <w:t xml:space="preserve">Among all models based on </w:t>
      </w:r>
      <w:r w:rsidR="00CC03D1">
        <w:rPr>
          <w:rFonts w:cs="Times New Roman"/>
        </w:rPr>
        <w:t>time-varying</w:t>
      </w:r>
      <w:r w:rsidRPr="00AA3319">
        <w:rPr>
          <w:rFonts w:cs="Times New Roman"/>
        </w:rPr>
        <w:t xml:space="preserve"> environmental data, </w:t>
      </w:r>
      <w:r w:rsidR="00C96E4A" w:rsidRPr="00AA3319">
        <w:rPr>
          <w:rFonts w:cs="Times New Roman"/>
        </w:rPr>
        <w:t xml:space="preserve">those based on </w:t>
      </w:r>
      <w:r w:rsidRPr="00AA3319">
        <w:rPr>
          <w:rFonts w:cs="Times New Roman"/>
        </w:rPr>
        <w:t xml:space="preserve">remotely-sensed variables performed best in predicting species abundances. Abundances of both species were positively associated with high temperature and high relative humidity on the trap day, but negatively associated with precipitation two weeks prior to trapping. These results emphasize the great potential </w:t>
      </w:r>
      <w:r w:rsidR="00270B7C">
        <w:rPr>
          <w:rFonts w:cs="Times New Roman"/>
        </w:rPr>
        <w:t>for</w:t>
      </w:r>
      <w:r w:rsidR="00270B7C" w:rsidRPr="00AA3319">
        <w:rPr>
          <w:rFonts w:cs="Times New Roman"/>
        </w:rPr>
        <w:t xml:space="preserve"> </w:t>
      </w:r>
      <w:r w:rsidRPr="00AA3319">
        <w:rPr>
          <w:rFonts w:cs="Times New Roman"/>
        </w:rPr>
        <w:t>including satellite imagery in habitat analyses of different vector mosquitoes.</w:t>
      </w:r>
    </w:p>
    <w:p w14:paraId="248E1E52" w14:textId="5904C44A" w:rsidR="00605453" w:rsidRPr="00AA3319" w:rsidRDefault="008B65C7" w:rsidP="00605453">
      <w:pPr>
        <w:rPr>
          <w:rFonts w:cs="Times New Roman"/>
        </w:rPr>
      </w:pPr>
      <w:r>
        <w:rPr>
          <w:rFonts w:cs="Times New Roman"/>
        </w:rPr>
        <w:lastRenderedPageBreak/>
        <w:t xml:space="preserve">The </w:t>
      </w:r>
      <w:r w:rsidR="00605453" w:rsidRPr="00AA3319">
        <w:rPr>
          <w:rFonts w:cs="Times New Roman"/>
        </w:rPr>
        <w:t>results presented in this dissertation</w:t>
      </w:r>
      <w:r w:rsidR="000B08CE">
        <w:rPr>
          <w:rFonts w:cs="Times New Roman"/>
        </w:rPr>
        <w:t xml:space="preserve"> </w:t>
      </w:r>
      <w:r w:rsidR="00605453" w:rsidRPr="00AA3319">
        <w:rPr>
          <w:rFonts w:cs="Times New Roman"/>
        </w:rPr>
        <w:t>contribute to the understanding of how land cover and geographic context influence the transmission of mosquito-borne diseases</w:t>
      </w:r>
      <w:r w:rsidR="006D3DB4">
        <w:rPr>
          <w:rFonts w:cs="Times New Roman"/>
        </w:rPr>
        <w:t xml:space="preserve">. </w:t>
      </w:r>
      <w:r w:rsidR="000B08CE">
        <w:rPr>
          <w:rFonts w:cs="Times New Roman"/>
        </w:rPr>
        <w:t>P</w:t>
      </w:r>
      <w:r w:rsidR="005F7247">
        <w:rPr>
          <w:rFonts w:cs="Times New Roman"/>
        </w:rPr>
        <w:t>a</w:t>
      </w:r>
      <w:r w:rsidR="000B08CE">
        <w:rPr>
          <w:rFonts w:cs="Times New Roman"/>
        </w:rPr>
        <w:t>rticularly r</w:t>
      </w:r>
      <w:r w:rsidR="00B403CA">
        <w:rPr>
          <w:rFonts w:cs="Times New Roman"/>
        </w:rPr>
        <w:t xml:space="preserve">emote sensing variables capturing static land cover conditions and </w:t>
      </w:r>
      <w:r w:rsidR="000B08CE">
        <w:rPr>
          <w:rFonts w:cs="Times New Roman"/>
        </w:rPr>
        <w:t xml:space="preserve">dynamic measures of </w:t>
      </w:r>
      <w:r w:rsidR="00B403CA">
        <w:rPr>
          <w:rFonts w:cs="Times New Roman"/>
        </w:rPr>
        <w:t xml:space="preserve">vegetation greenness and moisture </w:t>
      </w:r>
      <w:r w:rsidR="00270B7C">
        <w:rPr>
          <w:rFonts w:cs="Times New Roman"/>
        </w:rPr>
        <w:t xml:space="preserve">can </w:t>
      </w:r>
      <w:r w:rsidR="00B403CA">
        <w:rPr>
          <w:rFonts w:cs="Times New Roman"/>
        </w:rPr>
        <w:t>explain spatial variation in disease transmission</w:t>
      </w:r>
      <w:r w:rsidR="000B08CE">
        <w:rPr>
          <w:rFonts w:cs="Times New Roman"/>
        </w:rPr>
        <w:t xml:space="preserve">. </w:t>
      </w:r>
      <w:r w:rsidR="00B403CA">
        <w:rPr>
          <w:rFonts w:cs="Times New Roman"/>
        </w:rPr>
        <w:t xml:space="preserve">as well as vector mosquito distribution. </w:t>
      </w:r>
      <w:r w:rsidR="00270B7C">
        <w:rPr>
          <w:rFonts w:cs="Times New Roman"/>
        </w:rPr>
        <w:t>Whereas</w:t>
      </w:r>
      <w:r w:rsidR="003B2D40">
        <w:rPr>
          <w:rFonts w:cs="Times New Roman"/>
        </w:rPr>
        <w:t xml:space="preserve"> r</w:t>
      </w:r>
      <w:r w:rsidR="000B08CE">
        <w:rPr>
          <w:rFonts w:cs="Times New Roman"/>
        </w:rPr>
        <w:t>emotely sensed c</w:t>
      </w:r>
      <w:r w:rsidR="0033756E">
        <w:rPr>
          <w:rFonts w:cs="Times New Roman"/>
        </w:rPr>
        <w:t>limat</w:t>
      </w:r>
      <w:r w:rsidR="00E636C5">
        <w:rPr>
          <w:rFonts w:cs="Times New Roman"/>
        </w:rPr>
        <w:t xml:space="preserve">ic variables </w:t>
      </w:r>
      <w:r w:rsidR="003B2D40">
        <w:rPr>
          <w:rFonts w:cs="Times New Roman"/>
        </w:rPr>
        <w:t xml:space="preserve">like temperature and precipitation </w:t>
      </w:r>
      <w:r w:rsidR="00E636C5">
        <w:rPr>
          <w:rFonts w:cs="Times New Roman"/>
        </w:rPr>
        <w:t xml:space="preserve">influenced </w:t>
      </w:r>
      <w:r w:rsidR="000B08CE">
        <w:rPr>
          <w:rFonts w:cs="Times New Roman"/>
        </w:rPr>
        <w:t xml:space="preserve">gradients </w:t>
      </w:r>
      <w:r w:rsidR="003B2D40">
        <w:rPr>
          <w:rFonts w:cs="Times New Roman"/>
        </w:rPr>
        <w:t>in malaria cases</w:t>
      </w:r>
      <w:r w:rsidR="00270B7C" w:rsidRPr="00270B7C">
        <w:rPr>
          <w:rFonts w:cs="Times New Roman"/>
        </w:rPr>
        <w:t xml:space="preserve"> </w:t>
      </w:r>
      <w:r w:rsidR="00270B7C">
        <w:rPr>
          <w:rFonts w:cs="Times New Roman"/>
        </w:rPr>
        <w:t>at a regional scale</w:t>
      </w:r>
      <w:r w:rsidR="003B2D40">
        <w:rPr>
          <w:rFonts w:cs="Times New Roman"/>
        </w:rPr>
        <w:t xml:space="preserve">, they explained mostly seasonal variation in mosquito distribution at a city scale. </w:t>
      </w:r>
      <w:r w:rsidR="000B08CE">
        <w:rPr>
          <w:rFonts w:cs="Times New Roman"/>
        </w:rPr>
        <w:t>Over</w:t>
      </w:r>
      <w:r w:rsidR="00450E97">
        <w:rPr>
          <w:rFonts w:cs="Times New Roman"/>
        </w:rPr>
        <w:t>-</w:t>
      </w:r>
      <w:r w:rsidR="000B08CE">
        <w:rPr>
          <w:rFonts w:cs="Times New Roman"/>
        </w:rPr>
        <w:t xml:space="preserve">all, freely available remote sensing data can help us understand </w:t>
      </w:r>
      <w:r w:rsidR="00270B7C">
        <w:rPr>
          <w:rFonts w:cs="Times New Roman"/>
        </w:rPr>
        <w:t xml:space="preserve">the environmental determinants of </w:t>
      </w:r>
      <w:r w:rsidR="000B08CE">
        <w:rPr>
          <w:rFonts w:cs="Times New Roman"/>
        </w:rPr>
        <w:t xml:space="preserve">disease distribution </w:t>
      </w:r>
      <w:r w:rsidR="005F7247">
        <w:rPr>
          <w:rFonts w:cs="Times New Roman"/>
        </w:rPr>
        <w:t xml:space="preserve">and can be a valuable tool </w:t>
      </w:r>
      <w:r w:rsidR="00270B7C">
        <w:rPr>
          <w:rFonts w:cs="Times New Roman"/>
        </w:rPr>
        <w:t>for predicting</w:t>
      </w:r>
      <w:r w:rsidR="005F7247">
        <w:rPr>
          <w:rFonts w:cs="Times New Roman"/>
        </w:rPr>
        <w:t xml:space="preserve"> disease dynamics on a landscape scale.</w:t>
      </w:r>
    </w:p>
    <w:p w14:paraId="1AAD66B8" w14:textId="32732867" w:rsidR="00B779CC" w:rsidRPr="00AA3319" w:rsidRDefault="00B779CC" w:rsidP="00411854">
      <w:pPr>
        <w:pStyle w:val="Heading1"/>
        <w:numPr>
          <w:ilvl w:val="0"/>
          <w:numId w:val="0"/>
        </w:numPr>
        <w:ind w:left="432" w:hanging="432"/>
        <w:rPr>
          <w:rFonts w:cs="Times New Roman"/>
        </w:rPr>
      </w:pPr>
    </w:p>
    <w:p w14:paraId="62BAB2BE" w14:textId="77777777" w:rsidR="00AF3C34" w:rsidRPr="00AA3319" w:rsidRDefault="00AF3C34">
      <w:pPr>
        <w:spacing w:line="259" w:lineRule="auto"/>
        <w:rPr>
          <w:rFonts w:cs="Times New Roman"/>
        </w:rPr>
        <w:sectPr w:rsidR="00AF3C34" w:rsidRPr="00AA3319" w:rsidSect="00686613">
          <w:footerReference w:type="default" r:id="rId9"/>
          <w:pgSz w:w="12240" w:h="15840"/>
          <w:pgMar w:top="1440" w:right="1440" w:bottom="1440" w:left="2160" w:header="720" w:footer="720" w:gutter="0"/>
          <w:pgNumType w:fmt="lowerRoman" w:start="4"/>
          <w:cols w:space="720"/>
          <w:docGrid w:linePitch="360"/>
        </w:sectPr>
      </w:pPr>
    </w:p>
    <w:p w14:paraId="49FC95BE" w14:textId="2011F209" w:rsidR="00AF6CA0" w:rsidRPr="00AA3319" w:rsidRDefault="00AF6CA0" w:rsidP="00693AB0">
      <w:pPr>
        <w:pStyle w:val="Heading1"/>
        <w:numPr>
          <w:ilvl w:val="0"/>
          <w:numId w:val="2"/>
        </w:numPr>
        <w:rPr>
          <w:rFonts w:cs="Times New Roman"/>
        </w:rPr>
      </w:pPr>
      <w:bookmarkStart w:id="4" w:name="_Toc78889180"/>
      <w:bookmarkStart w:id="5" w:name="_Hlk78201544"/>
      <w:r w:rsidRPr="00AA3319">
        <w:rPr>
          <w:rFonts w:cs="Times New Roman"/>
        </w:rPr>
        <w:lastRenderedPageBreak/>
        <w:t>Introduction</w:t>
      </w:r>
      <w:bookmarkEnd w:id="4"/>
    </w:p>
    <w:p w14:paraId="6FE8C8EF" w14:textId="036A5615" w:rsidR="00734938" w:rsidRPr="00AA3319" w:rsidRDefault="00734938" w:rsidP="000A68D1">
      <w:pPr>
        <w:rPr>
          <w:rFonts w:cs="Times New Roman"/>
        </w:rPr>
      </w:pPr>
      <w:r w:rsidRPr="00AA3319">
        <w:rPr>
          <w:rFonts w:cs="Times New Roman"/>
        </w:rPr>
        <w:t xml:space="preserve">Mosquito-borne diseases are of global relevance and a great concern among health officials and the public. Particularly important diseases include malaria, which infects more than 200 million people every year </w:t>
      </w:r>
      <w:r w:rsidRPr="00AA3319">
        <w:rPr>
          <w:rFonts w:cs="Times New Roman"/>
        </w:rPr>
        <w:fldChar w:fldCharType="begin"/>
      </w:r>
      <w:r w:rsidR="001B184A" w:rsidRPr="00AA3319">
        <w:rPr>
          <w:rFonts w:cs="Times New Roman"/>
        </w:rPr>
        <w:instrText xml:space="preserve"> ADDIN ZOTERO_ITEM CSL_CITATION {"citationID":"XpfSp3b4","properties":{"formattedCitation":"(WHO, 2020)","plainCitation":"(WHO, 2020)","noteIndex":0},"citationItems":[{"id":4313,"uris":["http://zotero.org/users/5456909/items/NN695WLT"],"uri":["http://zotero.org/users/5456909/items/NN695WLT"],"itemData":{"id":4313,"type":"report","abstract":"20 years of global progress &amp; challenges","event-place":"Geneva","language":"en","publisher-place":"Geneva","title":"World malaria report 2020","author":[{"family":"WHO","given":""}],"accessed":{"date-parts":[["2021",4,7]]},"issued":{"date-parts":[["2020"]]}}}],"schema":"https://github.com/citation-style-language/schema/raw/master/csl-citation.json"} </w:instrText>
      </w:r>
      <w:r w:rsidRPr="00AA3319">
        <w:rPr>
          <w:rFonts w:cs="Times New Roman"/>
        </w:rPr>
        <w:fldChar w:fldCharType="separate"/>
      </w:r>
      <w:r w:rsidR="002B37C7" w:rsidRPr="00AA3319">
        <w:rPr>
          <w:rFonts w:cs="Times New Roman"/>
        </w:rPr>
        <w:t>(WHO, 2020)</w:t>
      </w:r>
      <w:r w:rsidRPr="00AA3319">
        <w:rPr>
          <w:rFonts w:cs="Times New Roman"/>
        </w:rPr>
        <w:fldChar w:fldCharType="end"/>
      </w:r>
      <w:r w:rsidRPr="00AA3319">
        <w:rPr>
          <w:rFonts w:cs="Times New Roman"/>
        </w:rPr>
        <w:t xml:space="preserve">, and dengue which causes over 90 million symptomatic cases annually </w:t>
      </w:r>
      <w:r w:rsidRPr="00AA3319">
        <w:rPr>
          <w:rFonts w:cs="Times New Roman"/>
        </w:rPr>
        <w:fldChar w:fldCharType="begin"/>
      </w:r>
      <w:r w:rsidR="00531D94" w:rsidRPr="00AA3319">
        <w:rPr>
          <w:rFonts w:cs="Times New Roman"/>
        </w:rPr>
        <w:instrText xml:space="preserve"> ADDIN ZOTERO_ITEM CSL_CITATION {"citationID":"PF0nGE3r","properties":{"formattedCitation":"(Bhatt et al., 2013)","plainCitation":"(Bhatt et al., 2013)","noteIndex":0},"citationItems":[{"id":1681,"uris":["http://zotero.org/users/5456909/items/EA5RDJYA"],"uri":["http://zotero.org/users/5456909/items/EA5RDJYA"],"itemData":{"id":1681,"type":"article-journal","abstract":"Dengue is a systemic viral infection transmitted between humans by Aedes mosquitoes 1 . For some patients, dengue is a life-threaten-ing illness 2 . There are currently no licensed vaccines or specific therapeutics, and substantial vector control efforts have not stopped its rapid emergence and global spread 3 . The contemporary worldwide distribution of the risk of dengue virus infection 4 and its public health burden are poorly known 2,5 . Here we undertake an exhaustive assembly of known records of dengue occurrence world-wide, and use a formal modelling framework to map the global distribution of dengue risk. We then pair the resulting risk map with detailed longitudinal information from dengue cohort studies and population surfaces to infer the public health burden of den-gue in 2010. We predict dengue to be ubiquitous throughout the tropics, with local spatial variations in risk influenced strongly by rainfall, temperature and the degree of urbanization. Using car-tographic approaches, we estimate there to be 390 million (95% credible interval 284–528) dengue infections per year, of which 96 million (67–136) manifest apparently (any level of disease severity). This infection total is more than three times the dengue burden estimate of the World Health Organization 2 . Stratification of our estimates by country allows comparison with national dengue re-porting, after taking into account the probability of an apparent infection being formally reported. The most notable differences are discussed. These new risk maps and infection estimates provide novel insights into the global, regional and national public health burden imposed by dengue. We anticipate that they will provide a starting point for a wider discussion about the global impact of this disease and will help to guide improvements in disease control strat-egies using vaccine, drug and vector control methods, and in their economic evaluation. Dengue is an acute systemic viral disease that has established itself globally in both endemic and epidemic transmission cycles. Dengue virus infection in humans is often inapparent 1,6 but can lead to a wide range of clinical manifestations, from mild fever to potentially fatal dengue shock syndrome 2","container-title":"Nature","issue":"7446","page":"504-504","title":"The global distribution and burden of dengue","volume":"496","author":[{"family":"Bhatt","given":"Samir"},{"family":"Gething","given":"Peter W"},{"family":"Brady","given":"Oliver J"},{"family":"Messina","given":"Jane P"},{"family":"Farlow","given":"Andrew W"},{"family":"Moyes","given":"Catherine L"},{"family":"Drake","given":"John M"},{"family":"Brownstein","given":"John S"},{"family":"Hoen","given":"Anne G"},{"family":"Sankoh","given":"Osman"},{"family":"Myers","given":"Monica F"},{"family":"George","given":"Dylan B"},{"family":"Jaenisch","given":"Thomas"},{"family":"Wint","given":"G R William"}],"issued":{"date-parts":[["2013"]]}}}],"schema":"https://github.com/citation-style-language/schema/raw/master/csl-citation.json"} </w:instrText>
      </w:r>
      <w:r w:rsidRPr="00AA3319">
        <w:rPr>
          <w:rFonts w:cs="Times New Roman"/>
        </w:rPr>
        <w:fldChar w:fldCharType="separate"/>
      </w:r>
      <w:r w:rsidR="002B37C7" w:rsidRPr="00AA3319">
        <w:rPr>
          <w:rFonts w:cs="Times New Roman"/>
        </w:rPr>
        <w:t>(Bhatt et al., 2013)</w:t>
      </w:r>
      <w:r w:rsidRPr="00AA3319">
        <w:rPr>
          <w:rFonts w:cs="Times New Roman"/>
        </w:rPr>
        <w:fldChar w:fldCharType="end"/>
      </w:r>
      <w:r w:rsidRPr="00AA3319">
        <w:rPr>
          <w:rFonts w:cs="Times New Roman"/>
        </w:rPr>
        <w:t xml:space="preserve">. </w:t>
      </w:r>
      <w:r w:rsidR="000A68D1">
        <w:rPr>
          <w:rFonts w:cs="Times New Roman"/>
        </w:rPr>
        <w:t>The</w:t>
      </w:r>
      <w:r w:rsidRPr="00AA3319">
        <w:rPr>
          <w:rFonts w:cs="Times New Roman"/>
        </w:rPr>
        <w:t xml:space="preserve"> United Nations Sustainable Development Goals (SDGs) </w:t>
      </w:r>
      <w:r w:rsidR="000A68D1">
        <w:rPr>
          <w:rFonts w:cs="Times New Roman"/>
        </w:rPr>
        <w:t>include goals on combatting diseases and on</w:t>
      </w:r>
      <w:r w:rsidRPr="00AA3319">
        <w:rPr>
          <w:rFonts w:cs="Times New Roman"/>
        </w:rPr>
        <w:t xml:space="preserve"> end</w:t>
      </w:r>
      <w:r w:rsidR="000A68D1">
        <w:rPr>
          <w:rFonts w:cs="Times New Roman"/>
        </w:rPr>
        <w:t>ing</w:t>
      </w:r>
      <w:r w:rsidRPr="00AA3319">
        <w:rPr>
          <w:rFonts w:cs="Times New Roman"/>
        </w:rPr>
        <w:t xml:space="preserve"> epidemics of malaria and neglected tropical diseases by 2030 </w:t>
      </w:r>
      <w:r w:rsidRPr="00AA3319">
        <w:rPr>
          <w:rFonts w:cs="Times New Roman"/>
        </w:rPr>
        <w:fldChar w:fldCharType="begin"/>
      </w:r>
      <w:r w:rsidR="001B184A" w:rsidRPr="00AA3319">
        <w:rPr>
          <w:rFonts w:cs="Times New Roman"/>
        </w:rPr>
        <w:instrText xml:space="preserve"> ADDIN ZOTERO_ITEM CSL_CITATION {"citationID":"4jpVZgs3","properties":{"formattedCitation":"(United Nations, 2015)","plainCitation":"(United Nations, 2015)","noteIndex":0},"citationItems":[{"id":4335,"uris":["http://zotero.org/users/5456909/items/G3XT9KEW"],"uri":["http://zotero.org/users/5456909/items/G3XT9KEW"],"itemData":{"id":4335,"type":"report","title":"Transforming our world: the 2030 Agenda for Sustainable Development","URL":"https://documents-dds-ny.un.org/doc/UNDOC/GEN/N15/291/89/PDF/N1529189.pdf?OpenElement","author":[{"family":"United Nations","given":""}],"accessed":{"date-parts":[["2021",4,13]]},"issued":{"date-parts":[["2015"]]}}}],"schema":"https://github.com/citation-style-language/schema/raw/master/csl-citation.json"} </w:instrText>
      </w:r>
      <w:r w:rsidRPr="00AA3319">
        <w:rPr>
          <w:rFonts w:cs="Times New Roman"/>
        </w:rPr>
        <w:fldChar w:fldCharType="separate"/>
      </w:r>
      <w:r w:rsidR="002B37C7" w:rsidRPr="00AA3319">
        <w:rPr>
          <w:rFonts w:cs="Times New Roman"/>
        </w:rPr>
        <w:t>(United Nations, 2015)</w:t>
      </w:r>
      <w:r w:rsidRPr="00AA3319">
        <w:rPr>
          <w:rFonts w:cs="Times New Roman"/>
        </w:rPr>
        <w:fldChar w:fldCharType="end"/>
      </w:r>
      <w:r w:rsidRPr="00AA3319">
        <w:rPr>
          <w:rFonts w:cs="Times New Roman"/>
        </w:rPr>
        <w:t xml:space="preserve">. However, global financial resources to achieve these goals are limited </w:t>
      </w:r>
      <w:r w:rsidRPr="00AA3319">
        <w:rPr>
          <w:rFonts w:cs="Times New Roman"/>
        </w:rPr>
        <w:fldChar w:fldCharType="begin"/>
      </w:r>
      <w:r w:rsidR="006B043F" w:rsidRPr="00AA3319">
        <w:rPr>
          <w:rFonts w:cs="Times New Roman"/>
        </w:rPr>
        <w:instrText xml:space="preserve"> ADDIN ZOTERO_ITEM CSL_CITATION {"citationID":"heuQJj4x","properties":{"formattedCitation":"(Pigott et al., 2012)","plainCitation":"(Pigott et al., 2012)","noteIndex":0},"citationItems":[{"id":1463,"uris":["http://zotero.org/users/5456909/items/5WHAVC5L"],"uri":["http://zotero.org/users/5456909/items/5WHAVC5L"],"itemData":{"id":1463,"type":"article-journal","abstract":"Background: The last decade has seen a dramatic increase in international and domestic funding for malaria control, coupled with important declines in malaria incidence and mortality in some regions of the world. As the ongoing climate of financial uncertainty places strains on investment in global health, there is an increasing need to audit the origin, recipients and geographical distribution of funding for malaria control relative to populations at risk of the disease. Methods: A comprehensive review of malaria control funding from international donors, bilateral sources and national governments was undertaken to reconstruct total funding by country for each year 2006 to 2010. Regions at risk from Plasmodium falciparum and/or Plasmodium vivax transmission were identified using global risk maps for 2010 and funding was assessed relative to populations at risk. Those nations with unequal funding relative to a regional average were identified and potential explanations highlighted, such as differences in national policies, government inaction or donor neglect. Results: US$8.9 billion was disbursed for malaria control and elimination programmes over the study period. Africa had the largest levels of funding per capita-at-risk, with most nations supported primarily by international aid. Countries of the Americas, in contrast, were supported typically through national government funding. Disbursements and government funding in Asia were far lower with a large variation in funding patterns. Nations with relatively high and low levels of funding are discussed. Conclusions: Global funding for malaria control is substantially less than required. Inequity in funding is pronounced in some regions particularly when considering the distinct goals of malaria control and malaria elimination. Efforts to sustain and increase international investment in malaria control should be informed by evidence-based assessment of funding equity.","container-title":"Malaria Journal","issue":"246","title":"Funding for malaria control 2006–2010: A comprehensive global assessment","volume":"11","author":[{"family":"Pigott","given":"David M"},{"family":"Atun","given":"Rifat"},{"family":"Moyes","given":"Catherine L"},{"family":"Hay","given":"Simon I"},{"family":"Gething","given":"Peter W"}],"issued":{"date-parts":[["2012"]]}}}],"schema":"https://github.com/citation-style-language/schema/raw/master/csl-citation.json"} </w:instrText>
      </w:r>
      <w:r w:rsidRPr="00AA3319">
        <w:rPr>
          <w:rFonts w:cs="Times New Roman"/>
        </w:rPr>
        <w:fldChar w:fldCharType="separate"/>
      </w:r>
      <w:r w:rsidR="002B37C7" w:rsidRPr="00AA3319">
        <w:rPr>
          <w:rFonts w:cs="Times New Roman"/>
        </w:rPr>
        <w:t>(Pigott et al., 2012)</w:t>
      </w:r>
      <w:r w:rsidRPr="00AA3319">
        <w:rPr>
          <w:rFonts w:cs="Times New Roman"/>
        </w:rPr>
        <w:fldChar w:fldCharType="end"/>
      </w:r>
      <w:r w:rsidRPr="00AA3319">
        <w:rPr>
          <w:rFonts w:cs="Times New Roman"/>
        </w:rPr>
        <w:t xml:space="preserve">, making efficient use of resources through scientifically informed policy essential. To control these diseases effectively and efficiently, we need to </w:t>
      </w:r>
      <w:r w:rsidR="00155EF6">
        <w:rPr>
          <w:rFonts w:cs="Times New Roman"/>
        </w:rPr>
        <w:t>be able to predict</w:t>
      </w:r>
      <w:r w:rsidRPr="00AA3319">
        <w:rPr>
          <w:rFonts w:cs="Times New Roman"/>
        </w:rPr>
        <w:t xml:space="preserve"> spatial and temporal patterns of disease risk and mosquito abundances. Understanding how environmental conditions affect disease transmission can help us map disease risk and </w:t>
      </w:r>
      <w:r w:rsidR="00155EF6">
        <w:rPr>
          <w:rFonts w:cs="Times New Roman"/>
        </w:rPr>
        <w:t>forecast</w:t>
      </w:r>
      <w:r w:rsidRPr="00AA3319">
        <w:rPr>
          <w:rFonts w:cs="Times New Roman"/>
        </w:rPr>
        <w:t xml:space="preserve"> disease outbreaks. In recent years, the use of satellite imagery has proven to be helpful in this context, as it allows us to retrieve measurements that can be related to environmental conditions on the earth surface that are relevant for the life cycle of mosquito-borne diseases. For example, optical satellite imagery can provide information on land cover, thermal imagery can be </w:t>
      </w:r>
      <w:r w:rsidR="00155EF6">
        <w:rPr>
          <w:rFonts w:cs="Times New Roman"/>
        </w:rPr>
        <w:t>used to measure</w:t>
      </w:r>
      <w:r w:rsidRPr="00AA3319">
        <w:rPr>
          <w:rFonts w:cs="Times New Roman"/>
        </w:rPr>
        <w:t xml:space="preserve"> land surface temperature, and radar measurements can give information on precipitation </w:t>
      </w:r>
      <w:r w:rsidR="00155EF6">
        <w:rPr>
          <w:rFonts w:cs="Times New Roman"/>
        </w:rPr>
        <w:t>and</w:t>
      </w:r>
      <w:r w:rsidRPr="00AA3319">
        <w:rPr>
          <w:rFonts w:cs="Times New Roman"/>
        </w:rPr>
        <w:t xml:space="preserve"> soil moisture. These data can help </w:t>
      </w:r>
      <w:r w:rsidR="00826B64">
        <w:rPr>
          <w:rFonts w:cs="Times New Roman"/>
        </w:rPr>
        <w:t>researchers</w:t>
      </w:r>
      <w:r w:rsidRPr="00AA3319">
        <w:rPr>
          <w:rFonts w:cs="Times New Roman"/>
        </w:rPr>
        <w:t xml:space="preserve"> address challenges that still persist in efforts to control, eliminate and eradicate mosquito-borne diseases. </w:t>
      </w:r>
    </w:p>
    <w:p w14:paraId="50715C07" w14:textId="77777777" w:rsidR="00734938" w:rsidRPr="00AA3319" w:rsidRDefault="00734938" w:rsidP="00734938">
      <w:pPr>
        <w:pStyle w:val="Heading2"/>
        <w:rPr>
          <w:rFonts w:cs="Times New Roman"/>
        </w:rPr>
      </w:pPr>
      <w:bookmarkStart w:id="6" w:name="_Toc78889181"/>
      <w:r w:rsidRPr="00AA3319">
        <w:rPr>
          <w:rFonts w:cs="Times New Roman"/>
        </w:rPr>
        <w:lastRenderedPageBreak/>
        <w:t>Challenges in combatting mosquito-borne diseases</w:t>
      </w:r>
      <w:bookmarkEnd w:id="6"/>
    </w:p>
    <w:p w14:paraId="4BE9C8D9" w14:textId="28DDBCFF" w:rsidR="00325597" w:rsidRDefault="00734938" w:rsidP="00734938">
      <w:pPr>
        <w:rPr>
          <w:rFonts w:cs="Times New Roman"/>
        </w:rPr>
      </w:pPr>
      <w:r w:rsidRPr="00AA3319">
        <w:rPr>
          <w:rFonts w:cs="Times New Roman"/>
        </w:rPr>
        <w:t xml:space="preserve">There are multiple challenges in preventing mosquito-borne diseases across the globe. Each mosquito-transmitted disease has its own unique characteristics that pose barriers to prevention, control, and elimination. Malaria for example has seen large reductions in cases, but remains the deadliest mosquito-borne disease globally. Global annual deaths have gone down by more than half, from </w:t>
      </w:r>
      <w:r w:rsidRPr="00AA3319">
        <w:rPr>
          <w:rFonts w:cs="Times New Roman"/>
          <w:color w:val="000000"/>
          <w:shd w:val="clear" w:color="auto" w:fill="FFFFFF"/>
        </w:rPr>
        <w:t xml:space="preserve">839,000 in 2000 </w:t>
      </w:r>
      <w:r w:rsidRPr="00AA3319">
        <w:rPr>
          <w:rFonts w:cs="Times New Roman"/>
          <w:color w:val="000000"/>
          <w:shd w:val="clear" w:color="auto" w:fill="FFFFFF"/>
        </w:rPr>
        <w:fldChar w:fldCharType="begin"/>
      </w:r>
      <w:r w:rsidR="001B184A" w:rsidRPr="00AA3319">
        <w:rPr>
          <w:rFonts w:cs="Times New Roman"/>
          <w:color w:val="000000"/>
          <w:shd w:val="clear" w:color="auto" w:fill="FFFFFF"/>
        </w:rPr>
        <w:instrText xml:space="preserve"> ADDIN ZOTERO_ITEM CSL_CITATION {"citationID":"TBijn9On","properties":{"formattedCitation":"(World Health Organization, 2016)","plainCitation":"(World Health Organization, 2016)","noteIndex":0},"citationItems":[{"id":4529,"uris":["http://zotero.org/users/5456909/items/CAQLJDF4"],"uri":["http://zotero.org/users/5456909/items/CAQLJDF4"],"itemData":{"id":4529,"type":"book","abstract":"The World malaria report 2015 assesses global malaria disease trends and changes in the coverage and financing of malaria control programmes between 2000 and 2015. It also summarizes progress towards international targets, and provides regional and country profiles that summarize trends in each WHO region and each country with malaria.","ISBN":"978-92-4-069509-2","language":"en","note":"OCLC: 969445251","publisher":"WHO","source":"Open WorldCat","title":"World Malaria Report 2015.","URL":"http://www.myilibrary.com?id=987964","author":[{"literal":"World Health Organization"}],"accessed":{"date-parts":[["2021",6,4]]},"issued":{"date-parts":[["2016"]]}}}],"schema":"https://github.com/citation-style-language/schema/raw/master/csl-citation.json"} </w:instrText>
      </w:r>
      <w:r w:rsidRPr="00AA3319">
        <w:rPr>
          <w:rFonts w:cs="Times New Roman"/>
          <w:color w:val="000000"/>
          <w:shd w:val="clear" w:color="auto" w:fill="FFFFFF"/>
        </w:rPr>
        <w:fldChar w:fldCharType="separate"/>
      </w:r>
      <w:r w:rsidR="002B37C7" w:rsidRPr="00AA3319">
        <w:rPr>
          <w:rFonts w:cs="Times New Roman"/>
        </w:rPr>
        <w:t>(World Health Organization, 2016)</w:t>
      </w:r>
      <w:r w:rsidRPr="00AA3319">
        <w:rPr>
          <w:rFonts w:cs="Times New Roman"/>
          <w:color w:val="000000"/>
          <w:shd w:val="clear" w:color="auto" w:fill="FFFFFF"/>
        </w:rPr>
        <w:fldChar w:fldCharType="end"/>
      </w:r>
      <w:r w:rsidRPr="00AA3319">
        <w:rPr>
          <w:rFonts w:cs="Times New Roman"/>
          <w:color w:val="000000"/>
          <w:shd w:val="clear" w:color="auto" w:fill="FFFFFF"/>
        </w:rPr>
        <w:t xml:space="preserve"> </w:t>
      </w:r>
      <w:r w:rsidRPr="00AA3319">
        <w:rPr>
          <w:rFonts w:cs="Times New Roman"/>
        </w:rPr>
        <w:t xml:space="preserve">to 409,000 in 2019 </w:t>
      </w:r>
      <w:r w:rsidRPr="00AA3319">
        <w:rPr>
          <w:rFonts w:cs="Times New Roman"/>
        </w:rPr>
        <w:fldChar w:fldCharType="begin"/>
      </w:r>
      <w:r w:rsidR="001B184A" w:rsidRPr="00AA3319">
        <w:rPr>
          <w:rFonts w:cs="Times New Roman"/>
        </w:rPr>
        <w:instrText xml:space="preserve"> ADDIN ZOTERO_ITEM CSL_CITATION {"citationID":"WoiEjmr8","properties":{"formattedCitation":"(WHO, 2020)","plainCitation":"(WHO, 2020)","noteIndex":0},"citationItems":[{"id":4313,"uris":["http://zotero.org/users/5456909/items/NN695WLT"],"uri":["http://zotero.org/users/5456909/items/NN695WLT"],"itemData":{"id":4313,"type":"report","abstract":"20 years of global progress &amp; challenges","event-place":"Geneva","language":"en","publisher-place":"Geneva","title":"World malaria report 2020","author":[{"family":"WHO","given":""}],"accessed":{"date-parts":[["2021",4,7]]},"issued":{"date-parts":[["2020"]]}}}],"schema":"https://github.com/citation-style-language/schema/raw/master/csl-citation.json"} </w:instrText>
      </w:r>
      <w:r w:rsidRPr="00AA3319">
        <w:rPr>
          <w:rFonts w:cs="Times New Roman"/>
        </w:rPr>
        <w:fldChar w:fldCharType="separate"/>
      </w:r>
      <w:r w:rsidR="002B37C7" w:rsidRPr="00AA3319">
        <w:rPr>
          <w:rFonts w:cs="Times New Roman"/>
        </w:rPr>
        <w:t>(WHO, 2020)</w:t>
      </w:r>
      <w:r w:rsidRPr="00AA3319">
        <w:rPr>
          <w:rFonts w:cs="Times New Roman"/>
        </w:rPr>
        <w:fldChar w:fldCharType="end"/>
      </w:r>
      <w:r w:rsidRPr="00AA3319">
        <w:rPr>
          <w:rFonts w:cs="Times New Roman"/>
        </w:rPr>
        <w:t xml:space="preserve">. This reduction is undoubtedly a success story. However, progress towards eradication has slowed in recent years as new challenges </w:t>
      </w:r>
      <w:r w:rsidR="00F456F3">
        <w:rPr>
          <w:rFonts w:cs="Times New Roman"/>
        </w:rPr>
        <w:t xml:space="preserve">arise </w:t>
      </w:r>
      <w:r w:rsidRPr="00AA3319">
        <w:rPr>
          <w:rFonts w:cs="Times New Roman"/>
        </w:rPr>
        <w:fldChar w:fldCharType="begin"/>
      </w:r>
      <w:r w:rsidR="00701ADA" w:rsidRPr="00AA3319">
        <w:rPr>
          <w:rFonts w:cs="Times New Roman"/>
        </w:rPr>
        <w:instrText xml:space="preserve"> ADDIN ZOTERO_ITEM CSL_CITATION {"citationID":"Y6aDKbt0","properties":{"formattedCitation":"(Feachem et al., 2010; Rosenthal et al., 2019; World Health Organization, 2016)","plainCitation":"(Feachem et al., 2010; Rosenthal et al., 2019; World Health Organization, 2016)","noteIndex":0},"citationItems":[{"id":3175,"uris":["http://zotero.org/users/5456909/items/WRV3FZTX"],"uri":["http://zotero.org/users/5456909/items/WRV3FZTX"],"itemData":{"id":3175,"type":"article-journal","abstract":"Summary\nIn the past 150 years, roughly half of the countries in the world eliminated malaria. Nowadays, there are 99 endemic countries—67 are controlling malaria and 32 are pursuing an elimination strategy. This four-part Series presents evidence about the technical, operational, and financial dimensions of malaria elimination. The first paper in this Series reviews definitions of elimination and the state that precedes it: controlled low-endemic malaria. Feasibility assessments are described as a crucial step for a country transitioning from controlled low-endemic malaria to elimination. Characteristics of the 32 malaria-eliminating countries are presented, and contrasted with countries that pursued elimination in the past. Challenges and risks of elimination are presented, including Plasmodium vivax, resistance in the parasite and mosquito populations, and potential resurgence if investment and vigilance decrease. The benefits of elimination are outlined, specifically elimination as a regional and global public good. Priorities for the next decade are described.","container-title":"The Lancet","ISSN":"0140-6736","issue":"9752","journalAbbreviation":"The Lancet","page":"1566-1578","source":"ScienceDirect","title":"Shrinking the malaria map: progress and prospects","title-short":"Shrinking the malaria map","volume":"376","author":[{"family":"Feachem","given":"Richard GA"},{"family":"Phillips","given":"Allison A"},{"family":"Hwang","given":"Jimee"},{"family":"Cotter","given":"Chris"},{"family":"Wielgosz","given":"Benjamin"},{"family":"Greenwood","given":"Brian M"},{"family":"Sabot","given":"Oliver"},{"family":"Rodriguez","given":"Mario Henry"},{"family":"Abeyasinghe","given":"Rabindra R"},{"family":"Ghebreyesus","given":"Tedros Adhanom"},{"family":"Snow","given":"Robert W"}],"issued":{"date-parts":[["2010",11,6]]}}},{"id":4570,"uris":["http://zotero.org/users/5456909/items/GT52U43W"],"uri":["http://zotero.org/users/5456909/items/GT52U43W"],"itemData":{"id":4570,"type":"article-journal","container-title":"The American Journal of Tropical Medicine and Hygiene","issue":"2","journalAbbreviation":"Am J Trop Med Hyg","page":"239-241","source":"PubMed Central","title":"Malaria: How Are We Doing and How Can We Do Better?","title-short":"Malaria","volume":"100","author":[{"family":"Rosenthal","given":"Philip J."},{"family":"John","given":"Chandy C."},{"family":"Rabinovich","given":"N. Regina"}],"issued":{"date-parts":[["2019",2]]}}},{"id":4529,"uris":["http://zotero.org/users/5456909/items/CAQLJDF4"],"uri":["http://zotero.org/users/5456909/items/CAQLJDF4"],"itemData":{"id":4529,"type":"book","abstract":"The World malaria report 2015 assesses global malaria disease trends and changes in the coverage and financing of malaria control programmes between 2000 and 2015. It also summarizes progress towards international targets, and provides regional and country profiles that summarize trends in each WHO region and each country with malaria.","ISBN":"978-92-4-069509-2","language":"en","note":"OCLC: 969445251","publisher":"WHO","source":"Open WorldCat","title":"World Malaria Report 2015.","URL":"http://www.myilibrary.com?id=987964","author":[{"literal":"World Health Organization"}],"accessed":{"date-parts":[["2021",6,4]]},"issued":{"date-parts":[["2016"]]}}}],"schema":"https://github.com/citation-style-language/schema/raw/master/csl-citation.json"} </w:instrText>
      </w:r>
      <w:r w:rsidRPr="00AA3319">
        <w:rPr>
          <w:rFonts w:cs="Times New Roman"/>
        </w:rPr>
        <w:fldChar w:fldCharType="separate"/>
      </w:r>
      <w:r w:rsidR="00701ADA" w:rsidRPr="00AA3319">
        <w:rPr>
          <w:rFonts w:cs="Times New Roman"/>
        </w:rPr>
        <w:t>(Feachem et al., 2010; Rosenthal et al., 2019; World Health Organization, 2016)</w:t>
      </w:r>
      <w:r w:rsidRPr="00AA3319">
        <w:rPr>
          <w:rFonts w:cs="Times New Roman"/>
        </w:rPr>
        <w:fldChar w:fldCharType="end"/>
      </w:r>
      <w:r w:rsidRPr="00AA3319">
        <w:rPr>
          <w:rFonts w:cs="Times New Roman"/>
        </w:rPr>
        <w:t xml:space="preserve">. A major challenge </w:t>
      </w:r>
      <w:r w:rsidR="006E2151">
        <w:rPr>
          <w:rFonts w:cs="Times New Roman"/>
        </w:rPr>
        <w:t>is</w:t>
      </w:r>
      <w:r w:rsidR="006E2151" w:rsidRPr="00AA3319">
        <w:rPr>
          <w:rFonts w:cs="Times New Roman"/>
        </w:rPr>
        <w:t xml:space="preserve"> </w:t>
      </w:r>
      <w:r w:rsidRPr="00AA3319">
        <w:rPr>
          <w:rFonts w:cs="Times New Roman"/>
        </w:rPr>
        <w:t xml:space="preserve">the </w:t>
      </w:r>
      <w:r w:rsidR="006E2151">
        <w:rPr>
          <w:rFonts w:cs="Times New Roman"/>
        </w:rPr>
        <w:t xml:space="preserve">emergence of </w:t>
      </w:r>
      <w:r w:rsidRPr="00AA3319">
        <w:rPr>
          <w:rFonts w:cs="Times New Roman"/>
        </w:rPr>
        <w:t>drug-resistant parasites and insecticide-resistant malaria vectors, which require</w:t>
      </w:r>
      <w:r w:rsidR="00F456F3">
        <w:rPr>
          <w:rFonts w:cs="Times New Roman"/>
        </w:rPr>
        <w:t>s</w:t>
      </w:r>
      <w:r w:rsidRPr="00AA3319">
        <w:rPr>
          <w:rFonts w:cs="Times New Roman"/>
        </w:rPr>
        <w:t xml:space="preserve"> </w:t>
      </w:r>
      <w:r w:rsidR="00F456F3">
        <w:rPr>
          <w:rFonts w:cs="Times New Roman"/>
        </w:rPr>
        <w:t>the development of</w:t>
      </w:r>
      <w:r w:rsidRPr="00AA3319">
        <w:rPr>
          <w:rFonts w:cs="Times New Roman"/>
        </w:rPr>
        <w:t xml:space="preserve"> </w:t>
      </w:r>
      <w:r w:rsidR="006E2151">
        <w:rPr>
          <w:rFonts w:cs="Times New Roman"/>
        </w:rPr>
        <w:t xml:space="preserve">new </w:t>
      </w:r>
      <w:r w:rsidRPr="00AA3319">
        <w:rPr>
          <w:rFonts w:cs="Times New Roman"/>
        </w:rPr>
        <w:t xml:space="preserve">tools for vector control and drugs for treatment and prevention </w:t>
      </w:r>
      <w:r w:rsidRPr="00AA3319">
        <w:rPr>
          <w:rFonts w:cs="Times New Roman"/>
        </w:rPr>
        <w:fldChar w:fldCharType="begin"/>
      </w:r>
      <w:r w:rsidR="00701ADA" w:rsidRPr="00AA3319">
        <w:rPr>
          <w:rFonts w:cs="Times New Roman"/>
        </w:rPr>
        <w:instrText xml:space="preserve"> ADDIN ZOTERO_ITEM CSL_CITATION {"citationID":"ZFcWnswU","properties":{"formattedCitation":"(Rosenthal et al., 2019)","plainCitation":"(Rosenthal et al., 2019)","noteIndex":0},"citationItems":[{"id":4570,"uris":["http://zotero.org/users/5456909/items/GT52U43W"],"uri":["http://zotero.org/users/5456909/items/GT52U43W"],"itemData":{"id":4570,"type":"article-journal","container-title":"The American Journal of Tropical Medicine and Hygiene","issue":"2","journalAbbreviation":"Am J Trop Med Hyg","page":"239-241","source":"PubMed Central","title":"Malaria: How Are We Doing and How Can We Do Better?","title-short":"Malaria","volume":"100","author":[{"family":"Rosenthal","given":"Philip J."},{"family":"John","given":"Chandy C."},{"family":"Rabinovich","given":"N. Regina"}],"issued":{"date-parts":[["2019",2]]}}}],"schema":"https://github.com/citation-style-language/schema/raw/master/csl-citation.json"} </w:instrText>
      </w:r>
      <w:r w:rsidRPr="00AA3319">
        <w:rPr>
          <w:rFonts w:cs="Times New Roman"/>
        </w:rPr>
        <w:fldChar w:fldCharType="separate"/>
      </w:r>
      <w:r w:rsidR="00701ADA" w:rsidRPr="00AA3319">
        <w:rPr>
          <w:rFonts w:cs="Times New Roman"/>
        </w:rPr>
        <w:t>(Rosenthal et al., 2019)</w:t>
      </w:r>
      <w:r w:rsidRPr="00AA3319">
        <w:rPr>
          <w:rFonts w:cs="Times New Roman"/>
        </w:rPr>
        <w:fldChar w:fldCharType="end"/>
      </w:r>
      <w:r w:rsidRPr="00AA3319">
        <w:rPr>
          <w:rFonts w:cs="Times New Roman"/>
        </w:rPr>
        <w:t xml:space="preserve">. Some challenges in reducing the burden even further are due to the changed transmission setting that has resulted from successful interventions. For example, successful reduction of malaria cases caused by the pathogen </w:t>
      </w:r>
      <w:r w:rsidRPr="00AA3319">
        <w:rPr>
          <w:rFonts w:cs="Times New Roman"/>
          <w:i/>
        </w:rPr>
        <w:t xml:space="preserve">Plasmodium falciparum </w:t>
      </w:r>
      <w:r w:rsidRPr="00AA3319">
        <w:rPr>
          <w:rFonts w:cs="Times New Roman"/>
        </w:rPr>
        <w:t xml:space="preserve">has led to an increasing share of </w:t>
      </w:r>
      <w:r w:rsidRPr="00AA3319">
        <w:rPr>
          <w:rFonts w:cs="Times New Roman"/>
          <w:i/>
        </w:rPr>
        <w:t xml:space="preserve">Plasmodium vivax </w:t>
      </w:r>
      <w:r w:rsidRPr="00AA3319">
        <w:rPr>
          <w:rFonts w:cs="Times New Roman"/>
        </w:rPr>
        <w:t xml:space="preserve">cases, which have a much higher rate of asymptomatic </w:t>
      </w:r>
      <w:r w:rsidR="006E2151">
        <w:rPr>
          <w:rFonts w:cs="Times New Roman"/>
        </w:rPr>
        <w:t>infection</w:t>
      </w:r>
      <w:r w:rsidR="006E2151" w:rsidRPr="00AA3319">
        <w:rPr>
          <w:rFonts w:cs="Times New Roman"/>
        </w:rPr>
        <w:t xml:space="preserve"> </w:t>
      </w:r>
      <w:r w:rsidRPr="00AA3319">
        <w:rPr>
          <w:rFonts w:cs="Times New Roman"/>
        </w:rPr>
        <w:t xml:space="preserve">and a different life cycle, and are therefore more challenging to study and control </w:t>
      </w:r>
      <w:r w:rsidRPr="00AA3319">
        <w:rPr>
          <w:rFonts w:cs="Times New Roman"/>
        </w:rPr>
        <w:fldChar w:fldCharType="begin"/>
      </w:r>
      <w:r w:rsidR="00D5378A" w:rsidRPr="00AA3319">
        <w:rPr>
          <w:rFonts w:cs="Times New Roman"/>
        </w:rPr>
        <w:instrText xml:space="preserve"> ADDIN ZOTERO_ITEM CSL_CITATION {"citationID":"JDvZj9Mf","properties":{"formattedCitation":"(Cotter et al., 2013; Howes et al., 2016)","plainCitation":"(Cotter et al., 2013; Howes et al., 2016)","noteIndex":0},"citationItems":[{"id":17,"uris":["http://zotero.org/users/5456909/items/S2H53JRG"],"uri":["http://zotero.org/users/5456909/items/S2H53JRG"],"itemData":{"id":17,"type":"article-journal","container-title":"The Lancet","ISSN":"01406736","issue":"9895","language":"en","page":"900-911","source":"Crossref","title":"The changing epidemiology of malaria elimination: new strategies for new challenges","title-short":"The changing epidemiology of malaria elimination","volume":"382","author":[{"family":"Cotter","given":"Chris"},{"family":"Sturrock","given":"Hugh JW"},{"family":"Hsiang","given":"Michelle S"},{"family":"Liu","given":"Jenny"},{"family":"Phillips","given":"Allison A"},{"family":"Hwang","given":"Jimee"},{"family":"Gueye","given":"Cara Smith"},{"family":"Fullman","given":"Nancy"},{"family":"Gosling","given":"Roly D"},{"family":"Feachem","given":"Richard GA"}],"issued":{"date-parts":[["2013",9]]}}},{"id":2234,"uris":["http://zotero.org/users/5456909/items/U98SS3WG"],"uri":["http://zotero.org/users/5456909/items/U98SS3WG"],"itemData":{"id":2234,"type":"article-journal","abstract":"Abstract Plasmodium vivax is the most widespread human malaria, putting 2.5 billion people at risk of infection. Its unique biological and epidemiological characteristics pose challenges to control strategies that have been principally targeted against Plasmodium falciparum. Unlike P. falciparum, P. vivax infections have typically low blood-stage parasitemia with gametocytes emerging before illness manifests, and dormant liver stages causing relapses. These traits affect both its geographic distribution and transmission patterns. Asymptomatic infections, high-risk groups, and resulting case burdens are described in this review. Despite relatively low prevalence measurements and parasitemia levels, along with high proportions of asymptomatic cases, this parasite is not benign. Plasmodium vivax can be associated with severe and even fatal illness. Spreading resistance to chloroquine against the acute attack, and the operational inadequacy of primaquine against the multiple attacks of relapse, exacerbates the risk of poor outcomes among the tens of millions suffering from infection each year. Without strategies accounting for these P. vivax-specific characteristics, progress toward elimination of endemic malaria transmission will be substantially impeded.","container-title":"The American Journal of Tropical Medicine and Hygiene","issue":"6_Suppl","language":"en","page":"15-34","source":"www.ajtmh.org","title":"Global Epidemiology of Plasmodium vivax","volume":"95","author":[{"family":"Howes","given":"Rosalind E."},{"family":"Battle","given":"Katherine E."},{"family":"Mendis","given":"Kamini N."},{"family":"Smith","given":"David L."},{"family":"Cibulskis","given":"Richard E."},{"family":"Baird","given":"J. Kevin"},{"family":"Hay","given":"Simon I."}],"issued":{"date-parts":[["2016",12,28]]}}}],"schema":"https://github.com/citation-style-language/schema/raw/master/csl-citation.json"} </w:instrText>
      </w:r>
      <w:r w:rsidRPr="00AA3319">
        <w:rPr>
          <w:rFonts w:cs="Times New Roman"/>
        </w:rPr>
        <w:fldChar w:fldCharType="separate"/>
      </w:r>
      <w:r w:rsidR="002B37C7" w:rsidRPr="00AA3319">
        <w:rPr>
          <w:rFonts w:cs="Times New Roman"/>
        </w:rPr>
        <w:t>(Cotter et al., 2013; Howes et al., 2016)</w:t>
      </w:r>
      <w:r w:rsidRPr="00AA3319">
        <w:rPr>
          <w:rFonts w:cs="Times New Roman"/>
        </w:rPr>
        <w:fldChar w:fldCharType="end"/>
      </w:r>
      <w:r w:rsidRPr="00AA3319">
        <w:rPr>
          <w:rFonts w:cs="Times New Roman"/>
        </w:rPr>
        <w:t xml:space="preserve">. In some locations, successful use of indoor residual spraying and insecticide treated bed nets is altering the risk demographic from children who </w:t>
      </w:r>
      <w:r w:rsidR="00E45F76" w:rsidRPr="00AA3319">
        <w:rPr>
          <w:rFonts w:cs="Times New Roman"/>
        </w:rPr>
        <w:t xml:space="preserve">primarily </w:t>
      </w:r>
      <w:r w:rsidRPr="00AA3319">
        <w:rPr>
          <w:rFonts w:cs="Times New Roman"/>
        </w:rPr>
        <w:t xml:space="preserve">get infected indoors while asleep to adult men who get infected during outdoor activities </w:t>
      </w:r>
      <w:r w:rsidRPr="00AA3319">
        <w:rPr>
          <w:rFonts w:cs="Times New Roman"/>
        </w:rPr>
        <w:fldChar w:fldCharType="begin"/>
      </w:r>
      <w:r w:rsidR="00531D94" w:rsidRPr="00AA3319">
        <w:rPr>
          <w:rFonts w:cs="Times New Roman"/>
        </w:rPr>
        <w:instrText xml:space="preserve"> ADDIN ZOTERO_ITEM CSL_CITATION {"citationID":"hOfmlrRQ","properties":{"formattedCitation":"(Cotter et al., 2013)","plainCitation":"(Cotter et al., 2013)","noteIndex":0},"citationItems":[{"id":17,"uris":["http://zotero.org/users/5456909/items/S2H53JRG"],"uri":["http://zotero.org/users/5456909/items/S2H53JRG"],"itemData":{"id":17,"type":"article-journal","container-title":"The Lancet","ISSN":"01406736","issue":"9895","language":"en","page":"900-911","source":"Crossref","title":"The changing epidemiology of malaria elimination: new strategies for new challenges","title-short":"The changing epidemiology of malaria elimination","volume":"382","author":[{"family":"Cotter","given":"Chris"},{"family":"Sturrock","given":"Hugh JW"},{"family":"Hsiang","given":"Michelle S"},{"family":"Liu","given":"Jenny"},{"family":"Phillips","given":"Allison A"},{"family":"Hwang","given":"Jimee"},{"family":"Gueye","given":"Cara Smith"},{"family":"Fullman","given":"Nancy"},{"family":"Gosling","given":"Roly D"},{"family":"Feachem","given":"Richard GA"}],"issued":{"date-parts":[["2013",9]]}}}],"schema":"https://github.com/citation-style-language/schema/raw/master/csl-citation.json"} </w:instrText>
      </w:r>
      <w:r w:rsidRPr="00AA3319">
        <w:rPr>
          <w:rFonts w:cs="Times New Roman"/>
        </w:rPr>
        <w:fldChar w:fldCharType="separate"/>
      </w:r>
      <w:r w:rsidR="002B37C7" w:rsidRPr="00AA3319">
        <w:rPr>
          <w:rFonts w:cs="Times New Roman"/>
        </w:rPr>
        <w:t>(Cotter et al., 2013)</w:t>
      </w:r>
      <w:r w:rsidRPr="00AA3319">
        <w:rPr>
          <w:rFonts w:cs="Times New Roman"/>
        </w:rPr>
        <w:fldChar w:fldCharType="end"/>
      </w:r>
      <w:r w:rsidRPr="00AA3319">
        <w:rPr>
          <w:rFonts w:cs="Times New Roman"/>
        </w:rPr>
        <w:t xml:space="preserve">. This shift of transmission risk from indoors to outdoors makes exposure to malaria dependent on land use activities linked to different types of land cover </w:t>
      </w:r>
      <w:r w:rsidRPr="00AA3319">
        <w:rPr>
          <w:rFonts w:cs="Times New Roman"/>
        </w:rPr>
        <w:fldChar w:fldCharType="begin"/>
      </w:r>
      <w:r w:rsidR="000D258D" w:rsidRPr="00AA3319">
        <w:rPr>
          <w:rFonts w:cs="Times New Roman"/>
        </w:rPr>
        <w:instrText xml:space="preserve"> ADDIN ZOTERO_ITEM CSL_CITATION {"citationID":"ql3blTZP","properties":{"formattedCitation":"(Hoffman-Hall et al., 2020)","plainCitation":"(Hoffman-Hall et al., 2020)","noteIndex":0},"citationItems":[{"id":4535,"uris":["http://zotero.org/users/5456909/items/54DJYDGU"],"uri":["http://zotero.org/users/5456909/items/54DJYDGU"],"itemData":{"id":4535,"type":"article-journal","abstract":"Despite progress toward malaria elimination in the Greater Mekong Subregion, challenges remain owing to the emergence of drug resistance and the persistence of focal transmission reservoirs. Malaria transmission foci in Myanmar are heterogeneous and complex, and many remaining infections are clinically silent, rendering them invisible to routine monitoring. The goal of this research is to define criteria for easy-to-implement methodologies, not reliant on routine monitoring, that can increase the efficiency of targeted malaria elimination strategies. Studies have shown relationships between malaria risk and land cover and land use (LCLU), which can be mapped using remote sensing methodologies. Here we aim to explain malaria risk as a function of LCLU for five rural villages in Myanmar's Rakhine State. Malaria prevalence and incidence data were analyzed through logistic regression with a land use survey of 1,000 participants and a 30-m land cover map. Malaria prevalence per village ranged from 5% to 20% with the overwhelming majority of cases being subclinical. Villages with high forest cover were associated with increased risk of malaria, even for villagers who did not report visits to forests. Villagers living near croplands experienced decreased malaria risk unless they were directly engaged in farm work. Finally, land cover change (specifically, natural forest loss) appeared to be a substantial contributor to malaria risk in the region, although this was not confirmed through sensitivity analyses. Overall, this study demonstrates that remotely sensed data contextualized with field survey data can be used to inform critical targeting strategies in support of malaria elimination.","container-title":"GeoHealth","ISSN":"2471-1403","issue":"12","language":"en","note":"_eprint: https://agupubs.onlinelibrary.wiley.com/doi/pdf/10.1029/2020GH000299","page":"e2020GH000299","source":"Wiley Online Library","title":"Malaria Exposure in Ann Township, Myanmar, as a Function of Land Cover and Land Use: Combining Satellite Earth Observations and Field Surveys","title-short":"Malaria Exposure in Ann Township, Myanmar, as a Function of Land Cover and Land Use","volume":"4","author":[{"family":"Hoffman-Hall","given":"Amanda"},{"family":"Puett","given":"Robin"},{"family":"Silva","given":"Julie A."},{"family":"Chen","given":"Dong"},{"family":"Baer","given":"Allison"},{"family":"Han","given":"Kay Thwe"},{"family":"Han","given":"Zay Yar"},{"family":"Thi","given":"Aung"},{"family":"Htay","given":"Thura"},{"family":"Thein","given":"Zaw Win"},{"family":"Aung","given":"Poe Poe"},{"family":"Plowe","given":"Christopher V."},{"family":"Nyunt","given":"Myaing Myaing"},{"family":"Loboda","given":"Tatiana V."}],"issued":{"date-parts":[["2020"]]}}}],"schema":"https://github.com/citation-style-language/schema/raw/master/csl-citation.json"} </w:instrText>
      </w:r>
      <w:r w:rsidRPr="00AA3319">
        <w:rPr>
          <w:rFonts w:cs="Times New Roman"/>
        </w:rPr>
        <w:fldChar w:fldCharType="separate"/>
      </w:r>
      <w:r w:rsidR="002B37C7" w:rsidRPr="00AA3319">
        <w:rPr>
          <w:rFonts w:cs="Times New Roman"/>
        </w:rPr>
        <w:t>(Hoffman-Hall et al., 2020)</w:t>
      </w:r>
      <w:r w:rsidRPr="00AA3319">
        <w:rPr>
          <w:rFonts w:cs="Times New Roman"/>
        </w:rPr>
        <w:fldChar w:fldCharType="end"/>
      </w:r>
      <w:r w:rsidRPr="00AA3319">
        <w:rPr>
          <w:rFonts w:cs="Times New Roman"/>
        </w:rPr>
        <w:t xml:space="preserve">. </w:t>
      </w:r>
    </w:p>
    <w:p w14:paraId="64D74211" w14:textId="15349D39" w:rsidR="00486E90" w:rsidRPr="00325597" w:rsidRDefault="00734938" w:rsidP="00734938">
      <w:pPr>
        <w:rPr>
          <w:rFonts w:cs="Times New Roman"/>
        </w:rPr>
      </w:pPr>
      <w:r w:rsidRPr="006A6B2E">
        <w:rPr>
          <w:rFonts w:cs="Times New Roman"/>
        </w:rPr>
        <w:lastRenderedPageBreak/>
        <w:t xml:space="preserve">These </w:t>
      </w:r>
      <w:r w:rsidR="004B5932" w:rsidRPr="006A6B2E">
        <w:rPr>
          <w:rFonts w:cs="Times New Roman"/>
        </w:rPr>
        <w:t xml:space="preserve">changes in disease transmission settings could lead to </w:t>
      </w:r>
      <w:r w:rsidR="00AB637E">
        <w:rPr>
          <w:rFonts w:cs="Times New Roman"/>
        </w:rPr>
        <w:t>a shift in areas of highest malaria transmission risk</w:t>
      </w:r>
      <w:r w:rsidR="004B5932" w:rsidRPr="006A6B2E">
        <w:rPr>
          <w:rFonts w:cs="Times New Roman"/>
        </w:rPr>
        <w:t>.</w:t>
      </w:r>
      <w:r w:rsidR="004B5932">
        <w:rPr>
          <w:rFonts w:cs="Times New Roman"/>
        </w:rPr>
        <w:t xml:space="preserve"> </w:t>
      </w:r>
      <w:r w:rsidR="009E53FF">
        <w:rPr>
          <w:rFonts w:cs="Times New Roman"/>
        </w:rPr>
        <w:t>Different thermal responses of</w:t>
      </w:r>
      <w:r w:rsidR="00325597">
        <w:rPr>
          <w:rFonts w:cs="Times New Roman"/>
        </w:rPr>
        <w:t xml:space="preserve"> </w:t>
      </w:r>
      <w:r w:rsidR="00325597">
        <w:rPr>
          <w:rFonts w:cs="Times New Roman"/>
          <w:i/>
        </w:rPr>
        <w:t xml:space="preserve">P. vivax </w:t>
      </w:r>
      <w:r w:rsidR="009E53FF">
        <w:rPr>
          <w:rFonts w:cs="Times New Roman"/>
        </w:rPr>
        <w:t>and</w:t>
      </w:r>
      <w:r w:rsidR="00325597">
        <w:rPr>
          <w:rFonts w:cs="Times New Roman"/>
        </w:rPr>
        <w:t xml:space="preserve"> </w:t>
      </w:r>
      <w:r w:rsidR="00325597" w:rsidRPr="00325597">
        <w:rPr>
          <w:rFonts w:cs="Times New Roman"/>
          <w:i/>
          <w:iCs/>
        </w:rPr>
        <w:t>P. falciparum</w:t>
      </w:r>
      <w:r w:rsidR="009E53FF">
        <w:rPr>
          <w:rFonts w:cs="Times New Roman"/>
        </w:rPr>
        <w:t xml:space="preserve"> </w:t>
      </w:r>
      <w:r w:rsidR="00325597">
        <w:rPr>
          <w:rFonts w:cs="Times New Roman"/>
        </w:rPr>
        <w:t xml:space="preserve">could </w:t>
      </w:r>
      <w:r w:rsidR="00AB637E">
        <w:rPr>
          <w:rFonts w:cs="Times New Roman"/>
        </w:rPr>
        <w:t>influence spatial patterns of malaria transmission</w:t>
      </w:r>
      <w:r w:rsidR="00325597">
        <w:rPr>
          <w:rFonts w:cs="Times New Roman"/>
        </w:rPr>
        <w:t xml:space="preserve">. Similarly, the increased relevance of outdoor infections could lead to landscape configurations playing a larger role in driving disease risk than previously. </w:t>
      </w:r>
    </w:p>
    <w:p w14:paraId="000DAAB0" w14:textId="6B1A416F" w:rsidR="00734938" w:rsidRPr="00AA3319" w:rsidRDefault="006E2151" w:rsidP="00734938">
      <w:pPr>
        <w:rPr>
          <w:rFonts w:cs="Times New Roman"/>
        </w:rPr>
      </w:pPr>
      <w:r>
        <w:rPr>
          <w:rFonts w:cs="Times New Roman"/>
        </w:rPr>
        <w:t>Also g</w:t>
      </w:r>
      <w:r w:rsidRPr="00AA3319">
        <w:rPr>
          <w:rFonts w:cs="Times New Roman"/>
        </w:rPr>
        <w:t xml:space="preserve">lobally </w:t>
      </w:r>
      <w:r w:rsidR="00734938" w:rsidRPr="00AA3319">
        <w:rPr>
          <w:rFonts w:cs="Times New Roman"/>
        </w:rPr>
        <w:t>relevant are arboviral diseases transmitted by mosquito species in the genus</w:t>
      </w:r>
      <w:r w:rsidR="00734938" w:rsidRPr="00AA3319">
        <w:rPr>
          <w:rFonts w:cs="Times New Roman"/>
          <w:i/>
        </w:rPr>
        <w:t xml:space="preserve"> Aedes</w:t>
      </w:r>
      <w:r w:rsidR="00734938" w:rsidRPr="00AA3319">
        <w:rPr>
          <w:rFonts w:cs="Times New Roman"/>
        </w:rPr>
        <w:t xml:space="preserve">. </w:t>
      </w:r>
      <w:r w:rsidR="00734938" w:rsidRPr="00AA3319">
        <w:rPr>
          <w:rFonts w:cs="Times New Roman"/>
          <w:i/>
        </w:rPr>
        <w:t>Ae</w:t>
      </w:r>
      <w:r w:rsidR="00F456F3">
        <w:rPr>
          <w:rFonts w:cs="Times New Roman"/>
          <w:i/>
        </w:rPr>
        <w:t>.</w:t>
      </w:r>
      <w:r w:rsidR="00734938" w:rsidRPr="00AA3319">
        <w:rPr>
          <w:rFonts w:cs="Times New Roman"/>
          <w:i/>
        </w:rPr>
        <w:t xml:space="preserve"> aegypti </w:t>
      </w:r>
      <w:r w:rsidR="00734938" w:rsidRPr="00AA3319">
        <w:rPr>
          <w:rFonts w:cs="Times New Roman"/>
        </w:rPr>
        <w:t xml:space="preserve">and </w:t>
      </w:r>
      <w:r w:rsidR="00734938" w:rsidRPr="00AA3319">
        <w:rPr>
          <w:rFonts w:cs="Times New Roman"/>
          <w:i/>
        </w:rPr>
        <w:t>Ae</w:t>
      </w:r>
      <w:r w:rsidR="00F456F3">
        <w:rPr>
          <w:rFonts w:cs="Times New Roman"/>
          <w:i/>
        </w:rPr>
        <w:t>.</w:t>
      </w:r>
      <w:r w:rsidR="00734938" w:rsidRPr="00AA3319">
        <w:rPr>
          <w:rFonts w:cs="Times New Roman"/>
          <w:i/>
        </w:rPr>
        <w:t xml:space="preserve"> albopictus </w:t>
      </w:r>
      <w:r w:rsidR="00112D4D">
        <w:rPr>
          <w:rFonts w:cs="Times New Roman"/>
        </w:rPr>
        <w:t xml:space="preserve">in particular </w:t>
      </w:r>
      <w:r w:rsidR="00734938" w:rsidRPr="00AA3319">
        <w:rPr>
          <w:rFonts w:cs="Times New Roman"/>
        </w:rPr>
        <w:t xml:space="preserve">have increased their global distributions considerably in the past decades </w:t>
      </w:r>
      <w:r w:rsidR="00734938" w:rsidRPr="00AA3319">
        <w:rPr>
          <w:rFonts w:cs="Times New Roman"/>
        </w:rPr>
        <w:fldChar w:fldCharType="begin"/>
      </w:r>
      <w:r w:rsidR="002B37C7" w:rsidRPr="00AA3319">
        <w:rPr>
          <w:rFonts w:cs="Times New Roman"/>
        </w:rPr>
        <w:instrText xml:space="preserve"> ADDIN ZOTERO_ITEM CSL_CITATION {"citationID":"1r0BgWsX","properties":{"formattedCitation":"(Johnson et al., 2017; Kraemer et al., 2019)","plainCitation":"(Johnson et al., 2017; Kraemer et al., 2019)","noteIndex":0},"citationItems":[{"id":2668,"uris":["http://zotero.org/users/5456909/items/IIHLIZ9T"],"uri":["http://zotero.org/users/5456909/items/IIHLIZ9T"],"itemData":{"id":2668,"type":"article-journal","abstract":"The mosquitoes Aedes (Stegomyia) aegypti (L.)(Diptera:Culicidae) and Ae. (Stegomyia) albopictus (Skuse) (Diptera:Culicidae) transmit dengue, chikungunya, and Zika viruses and represent a growing public health threat in parts of the United States where they are established.To complement existing mosquito presence records based on discontinuous, non-systematic surveillance efforts, we developed county-scale environmental suitability maps for both species using maximum entropy modeling to fit climatic variables to county presence records from 1960–2016 in the contiguous United States. The predictive models for Ae. aegypti and Ae. albopictus had an overall accuracy of 0.84 and 0.85, respectively. Cumulative growing degree days (GDDs) during the winter months, an indicator of overall warmth, was the most important predictive variable for both species and was positively associated with environmental suitability. The number (percentage) of counties classified as environmentally suitable, based on models with 90 or 99% sensitivity, ranged from 1,443 (46%) to 2,209 (71%) for Ae. aegypti and from 1,726 (55%) to 2,329 (75%) for Ae. albopictus. Increasing model sensitivity results in more counties classified as suitable, at least for summer survival, from which there are no mosquito records. We anticipate that Ae. aegypti and Ae. albopictus will be found more commonly in counties classified as suitable based on the lower 90% sensitivity threshold compared with the higher 99% threshold. Counties predicted suitable with 90% sensitivity should therefore be a top priority for expanded mosquito surveillance efforts while still keeping in mind that Ae. aegypti and Ae. albopictus may be introduced, via accidental transport of eggs or immatures, and potentially proliferate during the warmest part of the year anywhere within the geographic areas delineated by the 99% sensitivity model.","container-title":"Journal of Medical Entomology","ISSN":"0022-2585, 1938-2928","issue":"6","language":"en","page":"1605-1614","source":"Crossref","title":"Modeling the Environmental Suitability for Aedes (Stegomyia) aegypti and Aedes (Stegomyia) albopictus (Diptera: Culicidae) in the Contiguous United States","title-short":"Modeling the Environmental Suitability for Aedes (Stegomyia) aegypti and Aedes (Stegomyia) albopictus (Diptera","volume":"54","author":[{"family":"Johnson","given":"Tammi L"},{"family":"Haque","given":"Ubydul"},{"family":"Monaghan","given":"Andrew J"},{"family":"Eisen","given":"Lars"},{"family":"Hahn","given":"Micah B"},{"family":"Hayden","given":"Mary H"},{"family":"Savage","given":"Harry M"},{"family":"McAllister","given":"Janet"},{"family":"Mutebi","given":"John-Paul"},{"family":"Eisen","given":"Rebecca J"}],"issued":{"date-parts":[["2017",11,7]]}}},{"id":3091,"uris":["http://zotero.org/users/5456909/items/HPRQJVYR"],"uri":["http://zotero.org/users/5456909/items/HPRQJVYR"],"itemData":{"id":3091,"type":"article-journal","abstract":"The global population at risk from mosquito-borne diseases – including dengue, yellow fever, chikungunya, and Zika – is expanding in concert with changes in the distribution of two key vectors, Aedes aegypti and Ae. albopictus. The distribution of these species is largely driven by both human movement and the presence of suitable climate. Using statistical mapping techniques, we show that human movement patterns explain the spread of both species in Europe and the United States of America (USA) following their introduction. We find that the spread of Ae. aegypti is characterised by long distance importations, whilst Ae. albopictus has expanded more along the fringes of its current distribution. We describe these processes and predict the future distributions of both species in response to accelerating urbanisation, connectivity, and climate change. Global surveillance and control efforts that aim to mitigate the spread of chikungunya, dengue, yellow fever and Zika viruses must consider the so far unabated spread of these mosquitos. Our maps and predictions offer an opportunity to strategically target surveillance and control programs and thereby augment efforts to reduce arbovirus burden in human populations globally.","container-title":"Nature Microbiology","language":"en","source":"ora.ox.ac.uk","title":"Past and future spread of the arbovirus vectors Aedes aegypti and Aedes albopictus","author":[{"family":"Kraemer","given":"M."},{"family":"Messina","given":"J."},{"family":"Faria","given":"N."},{"family":"Pybus","given":"O."},{"family":"Wint","given":"W."},{"family":"et al","given":""}],"accessed":{"date-parts":[["2019",3,4]]},"issued":{"date-parts":[["2019"]]}}}],"schema":"https://github.com/citation-style-language/schema/raw/master/csl-citation.json"} </w:instrText>
      </w:r>
      <w:r w:rsidR="00734938" w:rsidRPr="00AA3319">
        <w:rPr>
          <w:rFonts w:cs="Times New Roman"/>
        </w:rPr>
        <w:fldChar w:fldCharType="separate"/>
      </w:r>
      <w:r w:rsidR="002B37C7" w:rsidRPr="00AA3319">
        <w:rPr>
          <w:rFonts w:cs="Times New Roman"/>
        </w:rPr>
        <w:t>(Johnson et al., 2017; Kraemer et al., 2019)</w:t>
      </w:r>
      <w:r w:rsidR="00734938" w:rsidRPr="00AA3319">
        <w:rPr>
          <w:rFonts w:cs="Times New Roman"/>
        </w:rPr>
        <w:fldChar w:fldCharType="end"/>
      </w:r>
      <w:r w:rsidR="00734938" w:rsidRPr="00AA3319">
        <w:rPr>
          <w:rFonts w:cs="Times New Roman"/>
        </w:rPr>
        <w:t xml:space="preserve">. Both species originate from the Asian continent and have spread globally. </w:t>
      </w:r>
      <w:r w:rsidR="00734938" w:rsidRPr="00AA3319">
        <w:rPr>
          <w:rFonts w:cs="Times New Roman"/>
          <w:i/>
        </w:rPr>
        <w:t xml:space="preserve">Ae. aegypti </w:t>
      </w:r>
      <w:r w:rsidR="00734938" w:rsidRPr="00AA3319">
        <w:rPr>
          <w:rFonts w:cs="Times New Roman"/>
        </w:rPr>
        <w:t xml:space="preserve">was introduced to the Americas 350 years ago </w:t>
      </w:r>
      <w:r w:rsidR="00734938" w:rsidRPr="00AA3319">
        <w:rPr>
          <w:rFonts w:cs="Times New Roman"/>
        </w:rPr>
        <w:fldChar w:fldCharType="begin"/>
      </w:r>
      <w:r w:rsidR="00701ADA" w:rsidRPr="00AA3319">
        <w:rPr>
          <w:rFonts w:cs="Times New Roman"/>
        </w:rPr>
        <w:instrText xml:space="preserve"> ADDIN ZOTERO_ITEM CSL_CITATION {"citationID":"SlJEPe2B","properties":{"formattedCitation":"(Tabachnick and Powell, 1979)","plainCitation":"(Tabachnick and Powell, 1979)","noteIndex":0},"citationItems":[{"id":4586,"uris":["http://zotero.org/users/5456909/items/WZXXYM8V"],"uri":["http://zotero.org/users/5456909/items/WZXXYM8V"],"itemData":{"id":4586,"type":"article-journal","abstract":"Thirty-four populations of Aedes aegypti representing the world-wide distribution of the species, were analysed for genetic variation at 19–22 isozyme loci. The species has an average expected heterozygosity of 0·129±0·045 based on 19 loci analysed in every population. Based on this genetic information, two major groups can be defined: the dark, often sylvan, African subspecies formosus and the light domestic subspecies aegypti in Africa and the New World. Asian populations do not fall easily into either group. These results are related to models which have been proposed for the evolution of this species. Although A. aegypti was introduced into the New World c. 350 years ago and has recently recolonized many areas following eradication programmes, no signs of founder effects are evident in this region. Asian populations, on the other hand, do show a significantly lower level of genetic variation compared to other populations. This may be related to the time of introduction of A. aegypti into Asia and historical absence of yellow fever on the Asian continent.","container-title":"Genetics Research","ISSN":"1469-5073, 0016-6723","issue":"3","language":"en","note":"publisher: Cambridge University Press","page":"215-229","source":"Cambridge University Press","title":"A world-wide survey of genetic variation in the yellow fever mosquito, Aedes aegypti*","volume":"34","author":[{"family":"Tabachnick","given":"Walter J."},{"family":"Powell","given":"Jeffrey R."}],"issued":{"date-parts":[["1979",12]]}}}],"schema":"https://github.com/citation-style-language/schema/raw/master/csl-citation.json"} </w:instrText>
      </w:r>
      <w:r w:rsidR="00734938" w:rsidRPr="00AA3319">
        <w:rPr>
          <w:rFonts w:cs="Times New Roman"/>
        </w:rPr>
        <w:fldChar w:fldCharType="separate"/>
      </w:r>
      <w:r w:rsidR="002B37C7" w:rsidRPr="00AA3319">
        <w:rPr>
          <w:rFonts w:cs="Times New Roman"/>
        </w:rPr>
        <w:t>(Tabachnick and Powell, 1979)</w:t>
      </w:r>
      <w:r w:rsidR="00734938" w:rsidRPr="00AA3319">
        <w:rPr>
          <w:rFonts w:cs="Times New Roman"/>
        </w:rPr>
        <w:fldChar w:fldCharType="end"/>
      </w:r>
      <w:r w:rsidR="00734938" w:rsidRPr="00AA3319">
        <w:rPr>
          <w:rFonts w:cs="Times New Roman"/>
        </w:rPr>
        <w:t xml:space="preserve">, and </w:t>
      </w:r>
      <w:r w:rsidR="00734938" w:rsidRPr="00AA3319">
        <w:rPr>
          <w:rFonts w:cs="Times New Roman"/>
          <w:i/>
        </w:rPr>
        <w:t xml:space="preserve">Ae. albopictus </w:t>
      </w:r>
      <w:r w:rsidR="00734938" w:rsidRPr="00AA3319">
        <w:rPr>
          <w:rFonts w:cs="Times New Roman"/>
        </w:rPr>
        <w:t xml:space="preserve">through international trade of tires in the 1970s and 1980s </w:t>
      </w:r>
      <w:r w:rsidR="00734938" w:rsidRPr="00AA3319">
        <w:rPr>
          <w:rFonts w:cs="Times New Roman"/>
        </w:rPr>
        <w:fldChar w:fldCharType="begin"/>
      </w:r>
      <w:r w:rsidR="002B37C7" w:rsidRPr="00AA3319">
        <w:rPr>
          <w:rFonts w:cs="Times New Roman"/>
        </w:rPr>
        <w:instrText xml:space="preserve"> ADDIN ZOTERO_ITEM CSL_CITATION {"citationID":"Q1ld05O6","properties":{"formattedCitation":"(Reiter and Sprenger, 1987)","plainCitation":"(Reiter and Sprenger, 1987)","noteIndex":0},"citationItems":[{"id":4597,"uris":["http://zotero.org/users/5456909/items/QXX97USV"],"uri":["http://zotero.org/users/5456909/items/QXX97USV"],"itemData":{"id":4597,"type":"article-journal","abstract":"Modern transportation methods have facilitated an extensive trade in used tires at the national and international level. The history and reasons for this trade are described. Comprehensive data on United States imports and United States, Japanese, and Korean exports of used tires for the period 1978-85 reveal an unprecedented potential for the worldwide dispersal of important vector mosquitoes such as Aedes albopictus and Ae. aegypti. Other articles of commerce with similar potential may await recognition.","container-title":"Journal of the American Mosquito Control Association","ISSN":"8756-971X","issue":"3","journalAbbreviation":"J Am Mosq Control Assoc","language":"eng","note":"PMID: 2904963","page":"494-501","source":"PubMed","title":"The used tire trade: a mechanism for the worldwide dispersal of container breeding mosquitoes","title-short":"The used tire trade","volume":"3","author":[{"family":"Reiter","given":"P."},{"family":"Sprenger","given":"D."}],"issued":{"date-parts":[["1987",9]]}}}],"schema":"https://github.com/citation-style-language/schema/raw/master/csl-citation.json"} </w:instrText>
      </w:r>
      <w:r w:rsidR="00734938" w:rsidRPr="00AA3319">
        <w:rPr>
          <w:rFonts w:cs="Times New Roman"/>
        </w:rPr>
        <w:fldChar w:fldCharType="separate"/>
      </w:r>
      <w:r w:rsidR="002B37C7" w:rsidRPr="00AA3319">
        <w:rPr>
          <w:rFonts w:cs="Times New Roman"/>
        </w:rPr>
        <w:t>(Reiter and Sprenger, 1987)</w:t>
      </w:r>
      <w:r w:rsidR="00734938" w:rsidRPr="00AA3319">
        <w:rPr>
          <w:rFonts w:cs="Times New Roman"/>
        </w:rPr>
        <w:fldChar w:fldCharType="end"/>
      </w:r>
      <w:r w:rsidR="00734938" w:rsidRPr="00AA3319">
        <w:rPr>
          <w:rFonts w:cs="Times New Roman"/>
        </w:rPr>
        <w:t xml:space="preserve">. A combination of global trade and </w:t>
      </w:r>
      <w:r>
        <w:rPr>
          <w:rFonts w:cs="Times New Roman"/>
        </w:rPr>
        <w:t>human movement</w:t>
      </w:r>
      <w:r w:rsidRPr="00AA3319">
        <w:rPr>
          <w:rFonts w:cs="Times New Roman"/>
        </w:rPr>
        <w:t xml:space="preserve"> </w:t>
      </w:r>
      <w:r w:rsidR="00734938" w:rsidRPr="00AA3319">
        <w:rPr>
          <w:rFonts w:cs="Times New Roman"/>
        </w:rPr>
        <w:t xml:space="preserve">and a changing climate that increases climatic suitability in formerly unsuitable areas leads to continued expansion of the range of  these </w:t>
      </w:r>
      <w:r w:rsidR="00155EF6">
        <w:rPr>
          <w:rFonts w:cs="Times New Roman"/>
        </w:rPr>
        <w:t>invasive species</w:t>
      </w:r>
      <w:r w:rsidR="00F456F3">
        <w:rPr>
          <w:rFonts w:cs="Times New Roman"/>
        </w:rPr>
        <w:t xml:space="preserve"> </w:t>
      </w:r>
      <w:r w:rsidR="00734938" w:rsidRPr="00AA3319">
        <w:rPr>
          <w:rFonts w:cs="Times New Roman"/>
        </w:rPr>
        <w:fldChar w:fldCharType="begin"/>
      </w:r>
      <w:r w:rsidR="00531D94" w:rsidRPr="00AA3319">
        <w:rPr>
          <w:rFonts w:cs="Times New Roman"/>
        </w:rPr>
        <w:instrText xml:space="preserve"> ADDIN ZOTERO_ITEM CSL_CITATION {"citationID":"CPVVHOs7","properties":{"formattedCitation":"(Benedict et al., 2007; Tatem et al., 2006)","plainCitation":"(Benedict et al., 2007; Tatem et al., 2006)","noteIndex":0},"citationItems":[{"id":4593,"uris":["http://zotero.org/users/5456909/items/MV2GLPU9"],"uri":["http://zotero.org/users/5456909/items/MV2GLPU9"],"itemData":{"id":4593,"type":"article-journal","abstract":"Aedes albopictus, commonly known as the Asian tiger mosquito, is currently the most invasive mosquito in the world. It is of medical importance due to its aggressive daytime human-biting behavior and ability to vector many viruses, including dengue, LaCrosse, and West Nile. Invasions into new areas of its potential range are often initiated through the transportation of eggs via the international trade in used tires. We use a genetic algorithm, Genetic Algorithm for Rule Set Production (GARP), to determine the ecological niche of Ae. albopictus and predict a global ecological risk map for the continued spread of the species. We combine this analysis with risk due to importation of tires from infested countries and their proximity to countries that have already been invaded to develop a list of countries most at risk for future introductions and establishments. Methods used here have potential for predicting risks of future invasions of vectors or pathogens. Key Words: Insect vectors—Biodiversity— Public health—Forecasting—Risk factors—Computer simulation. Vector-Borne Zoonotic Dis. 7, 76–85.","container-title":"Vector-Borne and Zoonotic Diseases","ISSN":"1530-3667","issue":"1","note":"publisher: Mary Ann Liebert, Inc., publishers","page":"76-85","source":"liebertpub.com (Atypon)","title":"Spread of The Tiger: Global Risk of Invasion by The Mosquito Aedes albopictus","title-short":"Spread of The Tiger","volume":"7","author":[{"family":"Benedict","given":"Mark Q."},{"family":"Levine","given":"Rebecca S."},{"family":"Hawley","given":"William A."},{"family":"Lounibos","given":"L. Philip"}],"issued":{"date-parts":[["2007",3,1]]}}},{"id":4591,"uris":["http://zotero.org/users/5456909/items/3XRSRBDW"],"uri":["http://zotero.org/users/5456909/items/3XRSRBDW"],"itemData":{"id":4591,"type":"article-journal","container-title":"Proceedings of the National Academy of Sciences","issue":"16","journalAbbreviation":"PNAS","page":"6242-6247","title":"Global traffic and disease vector dispersal","volume":"103","author":[{"family":"Tatem","given":"Andrew J."},{"family":"Hay","given":"Simon I."},{"family":"Rogers","given":"David J."}],"issued":{"date-parts":[["2006",4,18]]}}}],"schema":"https://github.com/citation-style-language/schema/raw/master/csl-citation.json"} </w:instrText>
      </w:r>
      <w:r w:rsidR="00734938" w:rsidRPr="00AA3319">
        <w:rPr>
          <w:rFonts w:cs="Times New Roman"/>
        </w:rPr>
        <w:fldChar w:fldCharType="separate"/>
      </w:r>
      <w:r w:rsidR="002B37C7" w:rsidRPr="00AA3319">
        <w:rPr>
          <w:rFonts w:cs="Times New Roman"/>
        </w:rPr>
        <w:t>(Benedict et al., 2007; Tatem et al., 2006)</w:t>
      </w:r>
      <w:r w:rsidR="00734938" w:rsidRPr="00AA3319">
        <w:rPr>
          <w:rFonts w:cs="Times New Roman"/>
        </w:rPr>
        <w:fldChar w:fldCharType="end"/>
      </w:r>
      <w:r w:rsidR="00734938" w:rsidRPr="00AA3319">
        <w:rPr>
          <w:rFonts w:cs="Times New Roman"/>
        </w:rPr>
        <w:t>.</w:t>
      </w:r>
      <w:r w:rsidR="00F456F3">
        <w:rPr>
          <w:rFonts w:cs="Times New Roman"/>
        </w:rPr>
        <w:t xml:space="preserve"> </w:t>
      </w:r>
      <w:r w:rsidR="00734938" w:rsidRPr="00AA3319">
        <w:rPr>
          <w:rFonts w:cs="Times New Roman"/>
        </w:rPr>
        <w:t xml:space="preserve">These range expansions of vector mosquitoes ultimately lead to exposure of new populations to mosquito-transmitted pathogens and disease emergence in new areas. Recent research has </w:t>
      </w:r>
      <w:r w:rsidR="00354FFA">
        <w:rPr>
          <w:rFonts w:cs="Times New Roman"/>
        </w:rPr>
        <w:t>focused</w:t>
      </w:r>
      <w:r w:rsidR="00734938" w:rsidRPr="00AA3319">
        <w:rPr>
          <w:rFonts w:cs="Times New Roman"/>
        </w:rPr>
        <w:t xml:space="preserve"> on predicting the possible future range of these two highly aggressive invaders </w:t>
      </w:r>
      <w:r w:rsidR="00734938" w:rsidRPr="00AA3319">
        <w:rPr>
          <w:rFonts w:cs="Times New Roman"/>
        </w:rPr>
        <w:fldChar w:fldCharType="begin"/>
      </w:r>
      <w:r w:rsidR="002B37C7" w:rsidRPr="00AA3319">
        <w:rPr>
          <w:rFonts w:cs="Times New Roman"/>
        </w:rPr>
        <w:instrText xml:space="preserve"> ADDIN ZOTERO_ITEM CSL_CITATION {"citationID":"2xK9ugjJ","properties":{"formattedCitation":"(Kraemer et al., 2019; Metelmann et al., 2019; Ryan et al., 2019)","plainCitation":"(Kraemer et al., 2019; Metelmann et al., 2019; Ryan et al., 2019)","noteIndex":0},"citationItems":[{"id":3091,"uris":["http://zotero.org/users/5456909/items/HPRQJVYR"],"uri":["http://zotero.org/users/5456909/items/HPRQJVYR"],"itemData":{"id":3091,"type":"article-journal","abstract":"The global population at risk from mosquito-borne diseases – including dengue, yellow fever, chikungunya, and Zika – is expanding in concert with changes in the distribution of two key vectors, Aedes aegypti and Ae. albopictus. The distribution of these species is largely driven by both human movement and the presence of suitable climate. Using statistical mapping techniques, we show that human movement patterns explain the spread of both species in Europe and the United States of America (USA) following their introduction. We find that the spread of Ae. aegypti is characterised by long distance importations, whilst Ae. albopictus has expanded more along the fringes of its current distribution. We describe these processes and predict the future distributions of both species in response to accelerating urbanisation, connectivity, and climate change. Global surveillance and control efforts that aim to mitigate the spread of chikungunya, dengue, yellow fever and Zika viruses must consider the so far unabated spread of these mosquitos. Our maps and predictions offer an opportunity to strategically target surveillance and control programs and thereby augment efforts to reduce arbovirus burden in human populations globally.","container-title":"Nature Microbiology","language":"en","source":"ora.ox.ac.uk","title":"Past and future spread of the arbovirus vectors Aedes aegypti and Aedes albopictus","author":[{"family":"Kraemer","given":"M."},{"family":"Messina","given":"J."},{"family":"Faria","given":"N."},{"family":"Pybus","given":"O."},{"family":"Wint","given":"W."},{"family":"et al","given":""}],"accessed":{"date-parts":[["2019",3,4]]},"issued":{"date-parts":[["2019"]]}}},{"id":3275,"uris":["http://zotero.org/users/5456909/items/NBSDHJ3V"],"uri":["http://zotero.org/users/5456909/items/NBSDHJ3V"],"itemData":{"id":3275,"type":"article-journal","container-title":"Journal of The Royal Society Interface","ISSN":"1742-5689, 1742-5662","issue":"152","language":"en","page":"20180761","source":"Crossref","title":"The UK’s suitability for &lt;i&gt;Aedes albopictus&lt;/i&gt; in current and future climates","volume":"16","author":[{"family":"Metelmann","given":"S."},{"family":"Caminade","given":"C."},{"family":"Jones","given":"A. E."},{"family":"Medlock","given":"J. M."},{"family":"Baylis","given":"M."},{"family":"Morse","given":"A. P."}],"issued":{"date-parts":[["2019",3,29]]}}},{"id":3262,"uris":["http://zotero.org/users/5456909/items/AY8VF2QS"],"uri":["http://zotero.org/users/5456909/items/AY8VF2QS"],"itemData":{"id":3262,"type":"article-journal","abstract":"Forecasting the impacts of climate change on Aedes-borne viruses—especially dengue, chikungunya, and Zika—is a key component of public health preparedness. We apply an empirically parameterized model of viral transmission by the vectors Aedes aegypti and Ae. albopictus, as a function of temperature, to predict cumulative monthly global transmission risk in current climates, and compare them with projected risk in 2050 and 2080 based on general circulation models (GCMs). Our results show that if mosquito range shifts track optimal temperature ranges for transmission (21.3–34.0°C for Ae. aegypti; 19.9–29.4°C for Ae. albopictus), we can expect poleward shifts in Aedes-borne virus distributions. However, the differing thermal niches of the two vectors produce different patterns of shifts under climate change. More severe climate change scenarios produce larger population exposures to transmission by Ae. aegypti, but not by Ae. albopictus in the most extreme cases. Climate-driven risk of transmission from both mosquitoes will increase substantially, even in the short term, for most of Europe. In contrast, significant reductions in climate suitability are expected for Ae. albopictus, most noticeably in southeast Asia and west Africa. Within the next century, nearly a billion people are threatened with new exposure to virus transmission by both Aedes spp. in the worst-case scenario. As major net losses in year-round transmission risk are predicted for Ae. albopictus, we project a global shift towards more seasonal risk across regions. Many other complicating factors (like mosquito range limits and viral evolution) exist, but overall our results indicate that while climate change will lead to increased net and new exposures to Aedes-borne viruses, the most extreme increases in Ae. albopictus transmission are predicted to occur at intermediate climate change scenarios.","container-title":"PLOS Neglected Tropical Diseases","issue":"3","journalAbbreviation":"PLOS Neglected Tropical Diseases","language":"en","page":"e0007213","source":"PLoS Journals","title":"Global expansion and redistribution of Aedes-borne virus transmission risk with climate change","volume":"13","author":[{"family":"Ryan","given":"Sadie J."},{"family":"Carlson","given":"Colin J."},{"family":"Mordecai","given":"Erin A."},{"family":"Johnson","given":"Leah R."}],"issued":{"date-parts":[["2019",3,28]]}}}],"schema":"https://github.com/citation-style-language/schema/raw/master/csl-citation.json"} </w:instrText>
      </w:r>
      <w:r w:rsidR="00734938" w:rsidRPr="00AA3319">
        <w:rPr>
          <w:rFonts w:cs="Times New Roman"/>
        </w:rPr>
        <w:fldChar w:fldCharType="separate"/>
      </w:r>
      <w:r w:rsidR="002B37C7" w:rsidRPr="00AA3319">
        <w:rPr>
          <w:rFonts w:cs="Times New Roman"/>
        </w:rPr>
        <w:t>(Kraemer et al., 2019; Metelmann et al., 2019; Ryan et al., 2019)</w:t>
      </w:r>
      <w:r w:rsidR="00734938" w:rsidRPr="00AA3319">
        <w:rPr>
          <w:rFonts w:cs="Times New Roman"/>
        </w:rPr>
        <w:fldChar w:fldCharType="end"/>
      </w:r>
      <w:r w:rsidR="00734938" w:rsidRPr="00AA3319">
        <w:rPr>
          <w:rFonts w:cs="Times New Roman"/>
        </w:rPr>
        <w:t xml:space="preserve"> and the diseases they carry </w:t>
      </w:r>
      <w:r w:rsidR="00734938" w:rsidRPr="00AA3319">
        <w:rPr>
          <w:rFonts w:cs="Times New Roman"/>
        </w:rPr>
        <w:fldChar w:fldCharType="begin"/>
      </w:r>
      <w:r w:rsidR="000D258D" w:rsidRPr="00AA3319">
        <w:rPr>
          <w:rFonts w:cs="Times New Roman"/>
        </w:rPr>
        <w:instrText xml:space="preserve"> ADDIN ZOTERO_ITEM CSL_CITATION {"citationID":"HB7nrILT","properties":{"formattedCitation":"(Fischer et al., 2013; Leta et al., 2018; Lwande et al., 2019)","plainCitation":"(Fischer et al., 2013; Leta et al., 2018; Lwande et al., 2019)","noteIndex":0},"citationItems":[{"id":2170,"uris":["http://zotero.org/users/5456909/items/47FUSS5J"],"uri":["http://zotero.org/users/5456909/items/47FUSS5J"],"itemData":{"id":2170,"type":"article-journal","abstract":"BACKGROUND: Chikungunya was, from the European perspective, considered to be a travel-related tropical mosquito-borne disease prior to the first European outbreak in Northern Italy in 2007. This was followed by cases of autochthonous transmission reported in South-eastern France in 2010. Both events occurred after the introduction, establishment and expansion of the Chikungunya-competent and highly invasive disease vector Aedes albopictus (Asian tiger mosquito) in Europe. In order to assess whether these outbreaks are indicative of the beginning of a trend or one-off events, there is a need to further examine the factors driving the potential transmission of Chikungunya in Europe. The climatic suitability, both now and in the future, is an essential starting point for such an analysis.\\n\\nMETHODS: The climatic suitability for Chikungunya outbreaks was determined by using bioclimatic factors that influence, both vector and, pathogen. Climatic suitability for the European distribution of the vector Aedes albopictus was based upon previous correlative environmental niche models. Climatic risk classes were derived by combining climatic suitability for the vector with known temperature requirements for pathogen transmission, obtained from outbreak regions. In addition, the longest potential intra-annual season for Chikungunya transmission was estimated for regions with expected vector occurrences.In order to analyse spatio-temporal trends for risk exposure and season of transmission in Europe, climate change impacts are projected for three time-frames (2011-2040, 2041-2070 and 2071-2100) and two climate scenarios (A1B and B1) from the Intergovernmental Panel on Climate Change (IPCC). These climatic projections are based on regional climate model COSMO-CLM, which builds on the global model ECHAM5.\\n\\nRESULTS: European areas with current and future climatic suitability of Chikungunya transmission are identified. An increase in risk is projected for Western Europe (e.g. France and Benelux-States) in the first half of the 21st century and from mid-century onwards for central parts of Europe (e.g. Germany). Interestingly, the southernmost parts of Europe do not generally provide suitable conditions in these projections. Nevertheless, many Mediterranean regions will persist to be climatically suitable for transmission. Overall, the highest risk of transmission by the end of the 21st century was projected for France, Northern Italy and the Pannonian Basin (East-Central Europe). This general tendency is depicted in both, the A1B and B1 climate change scenarios.\\n\\nCONCLUSION: In order to guide preparedness for further outbreaks, it is crucial to anticipate risk as to identify areas where specific public health measures, such as surveillance and vector control, can be implemented. However, public health practitioners need to be aware that climate is only one factor driving the transmission of vector-borne disease.","container-title":"International Journal of Health Geographics","ISSN":"1476-072X (Electronic)\\n1476-072X (Linking)","issue":"51","page":"1-12","title":"Climate change effects on Chikungunya transmission in Europe: Geospatial analysis of vector's climatic suitability and virus' temperature requirements.","volume":"12","author":[{"family":"Fischer","given":"Dominik"},{"family":"Thomas","given":"Stephanie M"},{"family":"Suk","given":"Jonathan E"},{"family":"Sudre","given":"Bertrand"},{"family":"Hess","given":"Andrea"},{"family":"Tjaden","given":"Nils B"},{"family":"Beierkuhnlein","given":"Carl"},{"family":"Semenza","given":"Jan C"}],"issued":{"date-parts":[["2013"]]}}},{"id":1160,"uris":["http://zotero.org/users/5456909/items/4TMY2KX4"],"uri":["http://zotero.org/users/5456909/items/4TMY2KX4"],"itemData":{"id":1160,"type":"article-journal","abstract":"Objectives: The objective of this study was to map the global risk of the major arboviral diseases transmitted by Aedes aegypti and Aedes albopictus by identifying areas where the diseases are reported, either through active transmission or travel-related outbreaks, as well as areas where the diseases are not currently reported but are nonetheless suitable for the vector. Methods: Data relating to five arboviral diseases (Zika, dengue fever, chikungunya, yellow fever, and Rift Valley fever (RVF)) were extracted from some of the largest contemporary databases and paired with data on the known distribution of their vectors, A. aegypti and A. albopictus. The disease occurrence data for the selected diseases were compiled from literature dating as far back as 1952 to as recent as 2017. The resulting datasets were aggregated at the country level, except in the case of the USA, where state-level data were used. Spatial analysis was used to process the data and to develop risk maps. Results: Out of the 250 countries/territories considered, 215 (86%) are potentially suitable for the survival and establishment of A. aegypti and/or A. albopictus. A. albopictus has suitability foci in 197 countries/ territories, while there are 188 that are suitable for A. aegypti. There is considerable variation in the suitability range among countries/territories, but many of the tropical regions of the world provide high suitability over extensive areas. Globally, 146 (58.4%) countries/territories reported at least one arboviral disease, while 123 (49.2%) reported more than one of the above diseases. The overall numbers of countries/territories reporting autochthonous vector-borne occurrences of Zika, dengue, chikungunya, yellow fever, and RVF, were 85, 111, 106, 43, and 39, respectively. Conclusions: With 215 countries/territories potentially suitable for the most important arboviral disease vectors and more than half of these reporting cases, arboviral diseases are indeed a global public health threat. The increasing proportion of reports that include multiple arboviral diseases highlights the expanding range of their common transmission vectors. The shared features of these arboviral diseases should motivate efforts to combine interventions against these diseases.","container-title":"International Journal of Infectious Diseases","page":"25-35","title":"Global risk mapping for major diseases transmitted by Aedes aegypti and Aedes albopictus","volume":"67","author":[{"family":"Leta","given":"Samson"},{"family":"Beyene","given":"Tariku Jibat"},{"family":"De Clercq","given":"Eva M"},{"family":"Amenu","given":"Kebede"},{"family":"Kraemer","given":"Moritz U G"},{"family":"Revie","given":"Crawford W"}],"issued":{"date-parts":[["2018"]]}}},{"id":3610,"uris":["http://zotero.org/users/5456909/items/HTAZL22X"],"uri":["http://zotero.org/users/5456909/items/HTAZL22X"],"itemData":{"id":3610,"type":"article-journal","abstract":"Introduction: Two species of Aedes (Ae.) mosquitoes (Ae. aegypti and Ae. albopictus) are primary vectors for emerging arboviruses that are a signiﬁcant threat to public health and economic burden worldwide. Distribution of these vectors and the associated arboviruses, such as dengue virus, chikungunya virus, yellow fever virus, and Zika virus, was for a long time restricted by geographical, ecological, and biological factors. Presently, arbovirus emergence and dispersion are more rapid and geographically widespread, largely due to expansion of the range for these two mosquitoes that have exploited the global transportation network, land perturbation, and failure to contain the mosquito population coupled with enhanced vector competence. Ae. aegypti and Ae. albopictus may also sustain transmission between humans without having to depend on their natural reservoir forest cycles due to arthropod adaptation to urbanization. Currently, there is no single strategy that is adequate to control these vectors, especially when managing arbovirus outbreaks.\nObjective: This review aimed at presenting the characteristics and abilities of Ae. aegypti and Ae. albopictus, which can drive a global public health risk, and suggests strategies for prevention and control.\nMethods: This review presents the geographic range, reproduction and ecology, vector competence, genetic evolution, and biological and chemical control of these two mosquito species and how they have changed and developed over time combined with factors that may drive pandemics and mitigation measures.\nConclusion: We suggest that more efforts should be geared toward the development of a concerted multidisciplinary approach.","container-title":"Vector-Borne and Zoonotic Diseases","language":"en","source":"Crossref","title":"Globe-Trotting &lt;i&gt;Aedes aegypti&lt;/i&gt; and &lt;i&gt;Aedes albopictus&lt;/i&gt; : Risk Factors for Arbovirus Pandemics","title-short":"Globe-Trotting &lt;i&gt;Aedes aegypti&lt;/i&gt; and &lt;i&gt;Aedes albopictus&lt;/i&gt;","author":[{"family":"Lwande","given":"Olivia Wesula"},{"family":"Obanda","given":"Vincent"},{"family":"Lindström","given":"Anders"},{"family":"Ahlm","given":"Clas"},{"family":"Evander","given":"Magnus"},{"family":"Näslund","given":"Jonas"},{"family":"Bucht","given":"Göran"}],"accessed":{"date-parts":[["2019",12,17]]},"issued":{"date-parts":[["2019",9,26]]}}}],"schema":"https://github.com/citation-style-language/schema/raw/master/csl-citation.json"} </w:instrText>
      </w:r>
      <w:r w:rsidR="00734938" w:rsidRPr="00AA3319">
        <w:rPr>
          <w:rFonts w:cs="Times New Roman"/>
        </w:rPr>
        <w:fldChar w:fldCharType="separate"/>
      </w:r>
      <w:r w:rsidR="002B37C7" w:rsidRPr="00AA3319">
        <w:rPr>
          <w:rFonts w:cs="Times New Roman"/>
        </w:rPr>
        <w:t>(Fischer et al., 2013; Leta et al., 2018; Lwande et al., 2019)</w:t>
      </w:r>
      <w:r w:rsidR="00734938" w:rsidRPr="00AA3319">
        <w:rPr>
          <w:rFonts w:cs="Times New Roman"/>
        </w:rPr>
        <w:fldChar w:fldCharType="end"/>
      </w:r>
      <w:r w:rsidR="00734938" w:rsidRPr="00AA3319">
        <w:rPr>
          <w:rFonts w:cs="Times New Roman"/>
        </w:rPr>
        <w:t>. However, to effectively predict future areas under risk, we not only need to understand the influence of a changing climate, but also learn what role landscape ecology plays in this process.</w:t>
      </w:r>
    </w:p>
    <w:p w14:paraId="2759D245" w14:textId="60CF1966" w:rsidR="00734938" w:rsidRPr="00AA3319" w:rsidRDefault="00734938" w:rsidP="00734938">
      <w:pPr>
        <w:rPr>
          <w:rFonts w:cs="Times New Roman"/>
        </w:rPr>
      </w:pPr>
      <w:r w:rsidRPr="00AA3319">
        <w:rPr>
          <w:rFonts w:cs="Times New Roman"/>
        </w:rPr>
        <w:t>In the United States of America</w:t>
      </w:r>
      <w:r w:rsidR="00354FFA">
        <w:rPr>
          <w:rFonts w:cs="Times New Roman"/>
        </w:rPr>
        <w:t xml:space="preserve"> </w:t>
      </w:r>
      <w:r w:rsidRPr="00AA3319">
        <w:rPr>
          <w:rFonts w:cs="Times New Roman"/>
        </w:rPr>
        <w:t>West Nile virus (WNV)</w:t>
      </w:r>
      <w:r w:rsidR="00354FFA">
        <w:rPr>
          <w:rFonts w:cs="Times New Roman"/>
        </w:rPr>
        <w:t xml:space="preserve"> is the mosquito-borne disease </w:t>
      </w:r>
      <w:r w:rsidR="00155EF6">
        <w:rPr>
          <w:rFonts w:cs="Times New Roman"/>
        </w:rPr>
        <w:t>that causes most cases of human disease</w:t>
      </w:r>
      <w:r w:rsidRPr="00AA3319">
        <w:rPr>
          <w:rFonts w:cs="Times New Roman"/>
        </w:rPr>
        <w:t xml:space="preserve">. It arrived in New York City in 1999 </w:t>
      </w:r>
      <w:r w:rsidRPr="00AA3319">
        <w:rPr>
          <w:rFonts w:cs="Times New Roman"/>
        </w:rPr>
        <w:fldChar w:fldCharType="begin"/>
      </w:r>
      <w:r w:rsidR="001B184A" w:rsidRPr="00AA3319">
        <w:rPr>
          <w:rFonts w:cs="Times New Roman"/>
        </w:rPr>
        <w:instrText xml:space="preserve"> ADDIN ZOTERO_ITEM CSL_CITATION {"citationID":"qBdYcRIC","properties":{"formattedCitation":"(Jones, 1999)","plainCitation":"(Jones, 1999)","noteIndex":0},"citationItems":[{"id":1957,"uris":["http://zotero.org/users/5456909/items/9H7NC3I6"],"uri":["http://zotero.org/users/5456909/items/9H7NC3I6"],"itemData":{"id":1957,"type":"article-journal","container-title":"Journal of Equine Veterinary Science","issue":"11","page":"680-683","title":"West Nile Virus New To North America","volume":"19","author":[{"family":"Jones","given":"Williem E."}],"issued":{"date-parts":[["1999"]]}}}],"schema":"https://github.com/citation-style-language/schema/raw/master/csl-citation.json"} </w:instrText>
      </w:r>
      <w:r w:rsidRPr="00AA3319">
        <w:rPr>
          <w:rFonts w:cs="Times New Roman"/>
        </w:rPr>
        <w:fldChar w:fldCharType="separate"/>
      </w:r>
      <w:r w:rsidR="002B37C7" w:rsidRPr="00AA3319">
        <w:rPr>
          <w:rFonts w:cs="Times New Roman"/>
        </w:rPr>
        <w:t>(Jones, 1999)</w:t>
      </w:r>
      <w:r w:rsidRPr="00AA3319">
        <w:rPr>
          <w:rFonts w:cs="Times New Roman"/>
        </w:rPr>
        <w:fldChar w:fldCharType="end"/>
      </w:r>
      <w:r w:rsidRPr="00AA3319">
        <w:rPr>
          <w:rFonts w:cs="Times New Roman"/>
        </w:rPr>
        <w:t xml:space="preserve">, </w:t>
      </w:r>
      <w:r w:rsidRPr="00AA3319">
        <w:rPr>
          <w:rFonts w:cs="Times New Roman"/>
        </w:rPr>
        <w:lastRenderedPageBreak/>
        <w:t xml:space="preserve">likely introduced through air </w:t>
      </w:r>
      <w:r w:rsidR="00354FFA">
        <w:rPr>
          <w:rFonts w:cs="Times New Roman"/>
        </w:rPr>
        <w:t>travel</w:t>
      </w:r>
      <w:r w:rsidRPr="00AA3319">
        <w:rPr>
          <w:rFonts w:cs="Times New Roman"/>
        </w:rPr>
        <w:t xml:space="preserve"> </w:t>
      </w:r>
      <w:r w:rsidRPr="00AA3319">
        <w:rPr>
          <w:rFonts w:cs="Times New Roman"/>
        </w:rPr>
        <w:fldChar w:fldCharType="begin"/>
      </w:r>
      <w:r w:rsidR="00701ADA" w:rsidRPr="00AA3319">
        <w:rPr>
          <w:rFonts w:cs="Times New Roman"/>
        </w:rPr>
        <w:instrText xml:space="preserve"> ADDIN ZOTERO_ITEM CSL_CITATION {"citationID":"8Z98ejmh","properties":{"formattedCitation":"(Reisen, 2013)","plainCitation":"(Reisen, 2013)","noteIndex":0},"citationItems":[{"id":35,"uris":["http://zotero.org/users/5456909/items/W4NN733R"],"uri":["http://zotero.org/users/5456909/items/W4NN733R"],"itemData":{"id":35,"type":"article-journal","abstract":"The introduction, dispersal and establishment of West Nile virus in North America were reviewed, focusing on factors that may have enhanced receptivity and enabled the invasion process. The overwintering persistence of this tropical virus within temperate latitudes was unexpected, but was key in the transition from invasion to endemic establishment. The cascade of temporal events allowing sporadic amplification to outbreak levels was discussed within a future perspective.","container-title":"Viruses","issue":"9","language":"en","page":"2079-2105","source":"www.mdpi.com","title":"Ecology of West Nile Virus in North America","volume":"5","author":[{"family":"Reisen","given":"William K."}],"issued":{"date-parts":[["2013",9]]}}}],"schema":"https://github.com/citation-style-language/schema/raw/master/csl-citation.json"} </w:instrText>
      </w:r>
      <w:r w:rsidRPr="00AA3319">
        <w:rPr>
          <w:rFonts w:cs="Times New Roman"/>
        </w:rPr>
        <w:fldChar w:fldCharType="separate"/>
      </w:r>
      <w:r w:rsidR="00701ADA" w:rsidRPr="00AA3319">
        <w:rPr>
          <w:rFonts w:cs="Times New Roman"/>
        </w:rPr>
        <w:t>(Reisen, 2013)</w:t>
      </w:r>
      <w:r w:rsidRPr="00AA3319">
        <w:rPr>
          <w:rFonts w:cs="Times New Roman"/>
        </w:rPr>
        <w:fldChar w:fldCharType="end"/>
      </w:r>
      <w:r w:rsidRPr="00AA3319">
        <w:rPr>
          <w:rFonts w:cs="Times New Roman"/>
        </w:rPr>
        <w:t xml:space="preserve">, and has since spread across the continent as the climate was suitable for transmission and susceptible bird populations </w:t>
      </w:r>
      <w:r w:rsidR="00155EF6">
        <w:rPr>
          <w:rFonts w:cs="Times New Roman"/>
        </w:rPr>
        <w:t xml:space="preserve">and mosquito vectors </w:t>
      </w:r>
      <w:r w:rsidRPr="00AA3319">
        <w:rPr>
          <w:rFonts w:cs="Times New Roman"/>
        </w:rPr>
        <w:t xml:space="preserve">were present </w:t>
      </w:r>
      <w:r w:rsidRPr="00AA3319">
        <w:rPr>
          <w:rFonts w:cs="Times New Roman"/>
        </w:rPr>
        <w:fldChar w:fldCharType="begin"/>
      </w:r>
      <w:r w:rsidR="00701ADA" w:rsidRPr="00AA3319">
        <w:rPr>
          <w:rFonts w:cs="Times New Roman"/>
        </w:rPr>
        <w:instrText xml:space="preserve"> ADDIN ZOTERO_ITEM CSL_CITATION {"citationID":"Er2TJwXX","properties":{"formattedCitation":"(Kramer et al., 2019; Peterson et al., 2003; Reisen, 2019, 2013)","plainCitation":"(Kramer et al., 2019; Peterson et al., 2003; Reisen, 2019, 2013)","noteIndex":0},"citationItems":[{"id":3681,"uris":["http://zotero.org/users/5456909/items/YXYVSLLP"],"uri":["http://zotero.org/users/5456909/items/YXYVSLLP"],"itemData":{"id":3681,"type":"article-journal","abstract":"The introduction of West Nile virus (WNV) to North America in 1999 and its subsequent rapid spread across the Americas demonstrated the potential impact of arboviral introductions to new regions, and this was reinforced by the subsequent introductions of chikungunya and Zika viruses. Extensive studies of host–pathogen–vector–environment interactions over the past two decades have illuminated many aspects of the ecology and evolution of WNV and other arboviruses, including the potential for pathogen adaptation to hosts and vectors, the influence of climate, land use and host immunity on transmission ecology, and the difficulty in preventing the establishment of a zoonotic pathogen with abundant wildlife reservoirs. Here, we focus on outstanding questions concerning the introduction, spread, and establishment of WNV in the Americas, and what it can teach us about the future of arboviral introductions. Key gaps in our knowledge include the following: viral adaptation and coevolution of hosts, vectors and the virus; the mechanisms and species involved in the large-scale spatial spread of WNV; how weather modulates WNV transmission; the drivers of large-scale variation in enzootic transmission; the ecology of WNV transmission in Latin America; and the relative roles of each component of host–virus–vector interactions in spatial and temporal variation in WNV transmission. Integrative studies that examine multiple factors and mechanisms simultaneously are needed to advance our knowledge of mechanisms driving transmission.","container-title":"Journal of Medical Entomology","language":"en","source":"Crossref","title":"Introduction, Spread, and Establishment of West Nile Virus in the Americas","author":[{"family":"Kramer","given":"Laura D"},{"family":"Ciota","given":"Alexander T"},{"family":"Kilpatrick","given":"A Marm"}],"editor":[{"family":"Reisen","given":"William"}],"accessed":{"date-parts":[["2019",10,11]]},"issued":{"date-parts":[["2019",9,24]]}}},{"id":1972,"uris":["http://zotero.org/users/5456909/items/BMKRZ9UM"],"uri":["http://zotero.org/users/5456909/items/BMKRZ9UM"],"itemData":{"id":1972,"type":"article-journal","abstract":"West Nile Virus has spread more rapidly than expected in the Western Hemisphere. We tested Culex mosquitoes and long-distance migratory birds as potential agents of spread for the virus, using a series of techniques, as follows. (1) Mosquito vector distributions were modeled using an ecological niche modeling approach (GARP) to produce a map of suitability of the landscape for mosquito transmission of the virus. (2) Simulations of spread were developed with an algorithm originally developed for modeling the spread of wildfires (EMBYR), seeding an initial presence of the virus in the New York City area. (3) Alternative spread scenarios were developed as (a) just mosquitoes as movement agents (spread simulation seeded once at New York City and allowed to spread across the mosquito suitability surface), versus (b) spread via mosquitoes on local scales in tandem with long-distance colonization with migratory birds as movement agents (spread simulation seeded once at New York City, and again at sites sampled from the winter destinations of birds breeding in southeastern New York State). The first scenario (mosquitoes only) did not coincide with observed patterns of spread, whereas the second (mosquitoes and migratory birds) coincided closely, suggesting that observed patterns of spread are best explained with migratory birds as critical long-distance transport agents; the virus, in regions to which it is transported by migratory birds, then is transmitted enzootically via mosquitoes. Similar simulations of spread were used to predict extensions of the virus in the Western Hemisphere in coming years.","container-title":"Vector borne and zoonotic diseases (Larchmont, N.Y.)","ISSN":"1530-3667","issue":"1","page":"27-37","title":"Migratory birds modeled as critical transport agents for West Nile Virus in North America.","volume":"3","author":[{"family":"Peterson","given":"A .T."},{"family":"Vieglais","given":"David","dropping-particle":"a"},{"family":"Andreasen","given":"James K"}],"issued":{"date-parts":[["2003"]]}}},{"id":3663,"uris":["http://zotero.org/users/5456909/items/PX93EWHZ"],"uri":["http://zotero.org/users/5456909/items/PX93EWHZ"],"itemData":{"id":3663,"type":"article-journal","abstract":"West Nile virus (WNV, &lt;em&gt;Flaviviridae: Flavivirus&lt;/em&gt;) was first isolated from the West Nile District of Uganda in 1937 (Smithburn et al. 1940), after which it remained relatively unstudied until outbreaks of febrile illness, mostly among children, were documented in Israel (Bernkopf et al. 1953) and then in Egypt in the Nile Delta (Taylor et al. 1956). Although the distribution of this virus and sporadic disease subsequently was documented over a wide geographic range (Hayes 1989), it was not considered a substantial health problem until it invaded the United States (CDC 1999) and then the...","container-title":"Journal of Medical Entomology","issue":"6","page":"1447","title":"Twenty Years of West Nile Virus in the United States: Introduction","volume":"56","author":[{"family":"Reisen","given":"William K"}],"issued":{"date-parts":[["2019"]]}}},{"id":35,"uris":["http://zotero.org/users/5456909/items/W4NN733R"],"uri":["http://zotero.org/users/5456909/items/W4NN733R"],"itemData":{"id":35,"type":"article-journal","abstract":"The introduction, dispersal and establishment of West Nile virus in North America were reviewed, focusing on factors that may have enhanced receptivity and enabled the invasion process. The overwintering persistence of this tropical virus within temperate latitudes was unexpected, but was key in the transition from invasion to endemic establishment. The cascade of temporal events allowing sporadic amplification to outbreak levels was discussed within a future perspective.","container-title":"Viruses","issue":"9","language":"en","page":"2079-2105","source":"www.mdpi.com","title":"Ecology of West Nile Virus in North America","volume":"5","author":[{"family":"Reisen","given":"William K."}],"issued":{"date-parts":[["2013",9]]}}}],"schema":"https://github.com/citation-style-language/schema/raw/master/csl-citation.json"} </w:instrText>
      </w:r>
      <w:r w:rsidRPr="00AA3319">
        <w:rPr>
          <w:rFonts w:cs="Times New Roman"/>
        </w:rPr>
        <w:fldChar w:fldCharType="separate"/>
      </w:r>
      <w:r w:rsidR="00701ADA" w:rsidRPr="00AA3319">
        <w:rPr>
          <w:rFonts w:cs="Times New Roman"/>
        </w:rPr>
        <w:t>(Kramer et al., 2019; Peterson et al., 2003; Reisen, 2019, 2013)</w:t>
      </w:r>
      <w:r w:rsidRPr="00AA3319">
        <w:rPr>
          <w:rFonts w:cs="Times New Roman"/>
        </w:rPr>
        <w:fldChar w:fldCharType="end"/>
      </w:r>
      <w:r w:rsidRPr="00AA3319">
        <w:rPr>
          <w:rFonts w:cs="Times New Roman"/>
        </w:rPr>
        <w:t>. One of the major challenges in reducing the burden of West Nile virus cases is the fact that the disease transmission cycle of this zoonotic disease is influenced by the interplay between host bird and vector mosquito populations, as well as that of mosquitos and humans, who are considered dead-end hosts. All these interactions are dependent on the environmental conditions and create disease risk patterns that vary across the landscape.</w:t>
      </w:r>
    </w:p>
    <w:p w14:paraId="3BE45A9D" w14:textId="77777777" w:rsidR="00734938" w:rsidRPr="00AA3319" w:rsidRDefault="00734938" w:rsidP="00734938">
      <w:pPr>
        <w:rPr>
          <w:rFonts w:cs="Times New Roman"/>
        </w:rPr>
      </w:pPr>
      <w:r w:rsidRPr="00AA3319">
        <w:rPr>
          <w:rFonts w:cs="Times New Roman"/>
        </w:rPr>
        <w:t xml:space="preserve">As every disease has its own unique transmission cycle, we face unique challenges in addressing each of them. The common ground is that there are many ecological intricacies in how each disease manifests on a landscape scale. This makes it challenging to predict when and where the risk of mosquito-borne disease transmission will be high. </w:t>
      </w:r>
    </w:p>
    <w:p w14:paraId="42750D54" w14:textId="77777777" w:rsidR="00734938" w:rsidRPr="00AA3319" w:rsidRDefault="00734938" w:rsidP="00734938">
      <w:pPr>
        <w:pStyle w:val="Heading2"/>
        <w:rPr>
          <w:rFonts w:cs="Times New Roman"/>
        </w:rPr>
      </w:pPr>
      <w:bookmarkStart w:id="7" w:name="_Toc78889182"/>
      <w:r w:rsidRPr="00AA3319">
        <w:rPr>
          <w:rFonts w:cs="Times New Roman"/>
        </w:rPr>
        <w:t>Ecology of mosquito-borne diseases on a landscape scale</w:t>
      </w:r>
      <w:bookmarkEnd w:id="7"/>
    </w:p>
    <w:p w14:paraId="1F8D369F" w14:textId="005569A7" w:rsidR="00734938" w:rsidRPr="00AA3319" w:rsidRDefault="00734938" w:rsidP="00734938">
      <w:pPr>
        <w:rPr>
          <w:rFonts w:cs="Times New Roman"/>
        </w:rPr>
      </w:pPr>
      <w:r w:rsidRPr="00AA3319">
        <w:rPr>
          <w:rFonts w:cs="Times New Roman"/>
        </w:rPr>
        <w:t>To understand better how remote sensing technologies can help us address scientific challenges regarding the spatial distribution of mosquito-borne diseases, we first have to understand the environmental factors that contribute to the transmission of mosquito-borne diseases. For mosquitoes to cause disease outbreaks, the environmental conditions need to be suitable for mosquitoes to breed, become infected, live long enough to be infectious, and finally transmit the virus to a susceptible host.</w:t>
      </w:r>
    </w:p>
    <w:p w14:paraId="077522D8" w14:textId="694D23F3" w:rsidR="00734938" w:rsidRPr="00AA3319" w:rsidRDefault="00734938" w:rsidP="00734938">
      <w:pPr>
        <w:rPr>
          <w:rFonts w:cs="Times New Roman"/>
        </w:rPr>
      </w:pPr>
      <w:r w:rsidRPr="00AA3319">
        <w:rPr>
          <w:rFonts w:cs="Times New Roman"/>
        </w:rPr>
        <w:t xml:space="preserve">For successful breeding, suitable habitat needs to be available. For certain mosquito species, such as anopheline vectors of malaria and culicine vectors of West Nile virus, these breeding sites include ephemeral waterbodies </w:t>
      </w:r>
      <w:r w:rsidRPr="00AA3319">
        <w:rPr>
          <w:rFonts w:cs="Times New Roman"/>
        </w:rPr>
        <w:fldChar w:fldCharType="begin"/>
      </w:r>
      <w:r w:rsidR="00FF3DA9" w:rsidRPr="00AA3319">
        <w:rPr>
          <w:rFonts w:cs="Times New Roman"/>
        </w:rPr>
        <w:instrText xml:space="preserve"> ADDIN ZOTERO_ITEM CSL_CITATION {"citationID":"oNRdGCJw","properties":{"formattedCitation":"(Walker and Lynch, 2007; Walton et al., 1990)","plainCitation":"(Walker and Lynch, 2007; Walton et al., 1990)","noteIndex":0},"citationItems":[{"id":1438,"uris":["http://zotero.org/users/5456909/items/VD5DGXQR"],"uri":["http://zotero.org/users/5456909/items/VD5DGXQR"],"itemData":{"id":1438,"type":"article-journal","abstract":"Entomology, 21, 2–21 based on indoor residual spraying, case detection and treatment declined (Oaks et al. , 1991; Bradley, 1998). Increasing resist-ance to antimalarial drugs and insecticides, inadequate health care systems, population displacement and declining commu-nity acceptance have further reduced the effectiveness of the malaria control approaches developed in the eradication era (W. H.O., 2000). At the same time, ecological changes driven by deforestation, human migration and unmanaged urbanization have increased the densities of human hosts and vector breeding sites in some malarious regions (Gratz, 1999; Robert et al. , 2003). Thus, malaria remains a serious and growing health problem in many developing countries, particularly in the Afrotropical region (sub-Saharan Africa), which was largely ig-nored during earlier eradication efforts. Given the variability of the disease pathogens, the vectors and the vulnerability of par-ticular human populations, the World Health Organization (W. H.O.) stresses the need for a range of malaria control ap-proaches, including selective and sustainable vector control, in their Global Malaria Control Strategy (W.H.O., 1993). Recently, W.H.O. has issued a Global Framework for Integrated Vector Management (IVM), stressing the importance of evidence-based combinations of vector control methods (W.H.O., 2004). Vector control interventions such as house spraying or insecti-cide treated nets are often highly effective but are also vulnera-ble to the development of resistance and vector avoidance behaviours (Killeen et al. , 2002a). Although unlikely to replace insecticide-based adult mosquito control, improved chemical and non-chemical larval control methods could offer sustainable supplements to other malaria vector and pathogen control efforts (Killeen et al. , 2000). In this review, we explore the possible role of larval control in malaria prevention, particularly in sub-Saharan Africa, by reviewing the existing literature on anophe-line larval control methods, focusing on large-scale field studies that have tested the impacts of these methods on vector density and, where possible, on malaria transmission and incidence. Malaria is a complex disease caused by four different patho-gens and vectored by approximately 60 species of anopheline mosquitoes (Oaks et al. , 1991). Many successful malaria vector control programmes have focused on the adult female mosquito population because shortening the length of this life stage has a major impact on its vectorial capacity and hence reduces ma-laria transmission (Macdonald, 1957). Furthermore, rather than vector control operations having to seek out (larval) vectors, adult females make themselves vulnerable to control interven-tions when they seek human hosts. When used correctly in suit-able transmission conditions, both IRS and insecticide treated bednets (ITNs) can dramatically reduce the burden of malaria by killing adult female mosquitoes when they come to take human bloodmeals (Curtis et al. , 1990; Alonso et al. , 1991; Coosemans &amp; Carnevale, 1995; W.H.O., 1995; Lengeler &amp; Sharp, 2003). Although the primary goal of such interventions is the reduction of human/vector contact rather than reduction of the vector population, these control methods may also suppress the local vector population under certain circum-stances (Magesa et al. , 1991; Robert &amp; Carnevale, 1991; Gimnig et al. , 2003). By contrast, larval control measures are intended to reduce malaria transmission indirectly by reducing the vector popula-tion density near human habitations. As the larvae are exclu-sively aquatic, their distribution is determined by the locations of suitable water bodies. Immature stages prefer slow-moving or still water in which they can stay close to the surface with their breathing orifices open to the air. Unlike some other mos-quito genera, anophelines require relatively clean water for de-velopment (Service &amp; Townson, 2002). Before a larval control intervention can be implemented, the majority of the vector lar-vae ' s productive breeding sites must be identified. If the number of breeding sites is extremely large or many sites are inaccessi-ble or ephemeral, larval control may not be feasible. Larval con-trol appears promising in urban areas, given the high density of humans relative to the number of breeding sites (Keiser et al. , 2004). Even in rural areas, recent evidence from an ITN study site in Western Kenya suggests that once adult populations have been reduced through high ITN coverage, the larval population is also reduced (W. Hawley, personal communication). Fur-thermore, the breeding sites producing late instars and pupae in this setting appear to be fewer and aggregated, suggesting that larval control measures could be especially effective where there is a high level of ITN coverage. A model by Killeen et al. (2000) of the combined impacts of ITNs and larval control predicted that a 50% reduction in vector emergence from breeding sites could contribute to an overall 15 – 25-fold reduction in entomo-logical inoculation rate (EIR), even in highly endemic areas. One advantage of targeting larvae is that they cannot escape from their breeding sites until the adult stage and, unlike adult mos-quitoes, cannot easily avoid control measures (Killeen et al. , 2002a). Larval control may be particularly valuable in regions where the primary malaria vector is exophilic and/or bites before people are in bed, making indoor residual spraying and impreg-nated bednets less effective, as in parts of Eritrea (Shililu et al. , 2004). Even in areas where temporary wet season breeding sites are too numerous to control, management of the more limited number of dry season habitats might be feasible (Fillinger et al. , 2004).","container-title":"Medical and Veterinary Entomology","page":"2-21","title":"Contributions of Anopheles larval control to malaria suppression in tropical Africa: review of achievements and potential","volume":"21","author":[{"family":"Walker","given":"K"},{"family":"Lynch","given":"M"}],"issued":{"date-parts":[["2007"]]}}},{"id":1457,"uris":["http://zotero.org/users/5456909/items/8J4N9MCE"],"uri":["http://zotero.org/users/5456909/items/8J4N9MCE"],"itemData":{"id":1457,"type":"article-journal","container-title":"Journal of Medical Entomology","issue":"1","page":"57-67","title":"Ecology of Culex tarsalis (Diptera: Culicidae): Factors Influencing Larval Abundance in Mesocosms in Southern California","volume":"27","author":[{"family":"Walton","given":"William E."},{"family":"Tietze","given":"Noor S."},{"family":"Mulla","given":"Mir S."}],"issued":{"date-parts":[["1990",1]]}}}],"schema":"https://github.com/citation-style-language/schema/raw/master/csl-citation.json"} </w:instrText>
      </w:r>
      <w:r w:rsidRPr="00AA3319">
        <w:rPr>
          <w:rFonts w:cs="Times New Roman"/>
        </w:rPr>
        <w:fldChar w:fldCharType="separate"/>
      </w:r>
      <w:r w:rsidR="002B37C7" w:rsidRPr="00AA3319">
        <w:rPr>
          <w:rFonts w:cs="Times New Roman"/>
        </w:rPr>
        <w:t xml:space="preserve">(Walker and Lynch, 2007; Walton et </w:t>
      </w:r>
      <w:r w:rsidR="002B37C7" w:rsidRPr="00AA3319">
        <w:rPr>
          <w:rFonts w:cs="Times New Roman"/>
        </w:rPr>
        <w:lastRenderedPageBreak/>
        <w:t>al., 1990)</w:t>
      </w:r>
      <w:r w:rsidRPr="00AA3319">
        <w:rPr>
          <w:rFonts w:cs="Times New Roman"/>
        </w:rPr>
        <w:fldChar w:fldCharType="end"/>
      </w:r>
      <w:r w:rsidRPr="00AA3319">
        <w:rPr>
          <w:rFonts w:cs="Times New Roman"/>
        </w:rPr>
        <w:t xml:space="preserve">. Mosquitoes like </w:t>
      </w:r>
      <w:r w:rsidRPr="00AA3319">
        <w:rPr>
          <w:rFonts w:cs="Times New Roman"/>
          <w:i/>
        </w:rPr>
        <w:t xml:space="preserve">Ae. aegypti </w:t>
      </w:r>
      <w:r w:rsidRPr="00AA3319">
        <w:rPr>
          <w:rFonts w:cs="Times New Roman"/>
        </w:rPr>
        <w:t xml:space="preserve">and </w:t>
      </w:r>
      <w:r w:rsidRPr="00AA3319">
        <w:rPr>
          <w:rFonts w:cs="Times New Roman"/>
          <w:i/>
        </w:rPr>
        <w:t>Ae. albopictus</w:t>
      </w:r>
      <w:r w:rsidRPr="00AA3319">
        <w:rPr>
          <w:rFonts w:cs="Times New Roman"/>
        </w:rPr>
        <w:t xml:space="preserve">, which are vectors of </w:t>
      </w:r>
      <w:r w:rsidR="00E45F76" w:rsidRPr="00AA3319">
        <w:rPr>
          <w:rFonts w:cs="Times New Roman"/>
        </w:rPr>
        <w:t xml:space="preserve">several </w:t>
      </w:r>
      <w:r w:rsidRPr="00AA3319">
        <w:rPr>
          <w:rFonts w:cs="Times New Roman"/>
        </w:rPr>
        <w:t xml:space="preserve">diseases </w:t>
      </w:r>
      <w:r w:rsidR="00E45F76" w:rsidRPr="00AA3319">
        <w:rPr>
          <w:rFonts w:cs="Times New Roman"/>
        </w:rPr>
        <w:t xml:space="preserve">including </w:t>
      </w:r>
      <w:r w:rsidRPr="00AA3319">
        <w:rPr>
          <w:rFonts w:cs="Times New Roman"/>
        </w:rPr>
        <w:t>dengue, chikungunya</w:t>
      </w:r>
      <w:r w:rsidR="001B184A" w:rsidRPr="00AA3319">
        <w:rPr>
          <w:rFonts w:cs="Times New Roman"/>
        </w:rPr>
        <w:t xml:space="preserve"> and </w:t>
      </w:r>
      <w:r w:rsidRPr="00AA3319">
        <w:rPr>
          <w:rFonts w:cs="Times New Roman"/>
        </w:rPr>
        <w:t xml:space="preserve">Zika, are container breeders and are mostly found in close proximity to human populations </w:t>
      </w:r>
      <w:r w:rsidRPr="00AA3319">
        <w:rPr>
          <w:rFonts w:cs="Times New Roman"/>
        </w:rPr>
        <w:fldChar w:fldCharType="begin"/>
      </w:r>
      <w:r w:rsidR="00D5378A" w:rsidRPr="00AA3319">
        <w:rPr>
          <w:rFonts w:cs="Times New Roman"/>
        </w:rPr>
        <w:instrText xml:space="preserve"> ADDIN ZOTERO_ITEM CSL_CITATION {"citationID":"EUgF4JZR","properties":{"formattedCitation":"(McBride et al., 2014)","plainCitation":"(McBride et al., 2014)","noteIndex":0},"citationItems":[{"id":3578,"uris":["http://zotero.org/users/5456909/items/5L8VBAUD"],"uri":["http://zotero.org/users/5456909/items/5L8VBAUD"],"itemData":{"id":3578,"type":"article-journal","abstract":"Female mosquitoes are major vectors of human disease and the most dangerous are those that preferentially bite humans. A ‘domestic’ form of the mosquito Aedes aegypti has evolved to specialize in biting humans and is the main worldwide vector of dengue, yellow fever, and chikungunya viruses. The domestic form coexists with an ancestral, ‘forest’ form that prefers to bite non-human animals and is found along the coast of Kenya. We collected the two forms, established laboratory colonies, and document striking divergence in preference for human versus non-human animal odour. We further show that the evolution of preference for human odour in domestic mosquitoes is tightly linked to increases in the expression and ligand-sensitivity of the odorant receptor AaegOr4, which we found recognizes a compound present at high levels in human odour. Our results provide a rare example of a gene contributing to behavioural evolution and provide insight into how disease-vectoring mosquitoes came to specialize on humans.","container-title":"Nature","ISSN":"1476-4687","issue":"7526","language":"en","page":"222-227","source":"www.nature.com","title":"Evolution of mosquito preference for humans linked to an odorant receptor","volume":"515","author":[{"family":"McBride","given":"Carolyn S."},{"family":"Baier","given":"Felix"},{"family":"Omondi","given":"Aman B."},{"family":"Spitzer","given":"Sarabeth A."},{"family":"Lutomiah","given":"Joel"},{"family":"Sang","given":"Rosemary"},{"family":"Ignell","given":"Rickard"},{"family":"Vosshall","given":"Leslie B."}],"issued":{"date-parts":[["2014",11]]}}}],"schema":"https://github.com/citation-style-language/schema/raw/master/csl-citation.json"} </w:instrText>
      </w:r>
      <w:r w:rsidRPr="00AA3319">
        <w:rPr>
          <w:rFonts w:cs="Times New Roman"/>
        </w:rPr>
        <w:fldChar w:fldCharType="separate"/>
      </w:r>
      <w:r w:rsidR="002B37C7" w:rsidRPr="00AA3319">
        <w:rPr>
          <w:rFonts w:cs="Times New Roman"/>
        </w:rPr>
        <w:t>(McBride et al., 2014)</w:t>
      </w:r>
      <w:r w:rsidRPr="00AA3319">
        <w:rPr>
          <w:rFonts w:cs="Times New Roman"/>
        </w:rPr>
        <w:fldChar w:fldCharType="end"/>
      </w:r>
      <w:r w:rsidRPr="00AA3319">
        <w:rPr>
          <w:rFonts w:cs="Times New Roman"/>
        </w:rPr>
        <w:t xml:space="preserve">. Rearing success of mosquitoes is also environmentally driven, as water temperature affects pupal and larval development rates </w:t>
      </w:r>
      <w:r w:rsidRPr="00AA3319">
        <w:rPr>
          <w:rFonts w:cs="Times New Roman"/>
        </w:rPr>
        <w:fldChar w:fldCharType="begin"/>
      </w:r>
      <w:r w:rsidR="00D5378A" w:rsidRPr="00AA3319">
        <w:rPr>
          <w:rFonts w:cs="Times New Roman"/>
        </w:rPr>
        <w:instrText xml:space="preserve"> ADDIN ZOTERO_ITEM CSL_CITATION {"citationID":"2sn9cVi7","properties":{"formattedCitation":"(Mamai et al., 2018)","plainCitation":"(Mamai et al., 2018)","noteIndex":0},"citationItems":[{"id":4584,"uris":["http://zotero.org/users/5456909/items/M6294YSF"],"uri":["http://zotero.org/users/5456909/items/M6294YSF"],"itemData":{"id":4584,"type":"article-journal","abstract":"Insect mass-rearing is an essential requirement for the sterile insect technique. Production at a large scale requires the development of standardized rearing procedures to produce good quality males able to compete with wild males to mate with wild females. Three sets of experiments (using trays placed on the table, the whole tray-rack system, and climate-controlled chambers) have been conducted aiming to determine the optimal water temperature and number of eggs to aliquot into each larval rearing tray to achieve the highest production of pupae. No difference was found in time to pupation, sex ratio, or male body size as a result of altering larval density. However, higher larval densities resulted in decreased emergence rate and female body size. A constant water temperature of 22°C delayed hatching and did not allow Anopheles arabiensis to complete larval development. Hatching eggs in water at 22°C and then increasing water temperature to 27°C resulted in decreased pupae production compared to eggs hatched and larvae maintained at a water temperature of 27°C throughout. Water temperature and larval density affected the production parameters of An. arabiensis mosquitoes, which has implications for mass release programs. We conclude that 4,000 eggs per 4 liter and a water temperature of 27°C were the optimal conditions for mass-rearing this mosquito species which yielded 105,000 pupae/larval rearing unit. These results are valuable information in the development of standard operation procedures for the efficient large-scale rearing of An. arabiensis mosquitoes.","container-title":"Journal of Economic Entomology","ISSN":"0022-0493","issue":"5","journalAbbreviation":"Journal of Economic Entomology","page":"2383-2390","source":"Silverchair","title":"Optimization of Mass-Rearing Methods for Anopheles arabiensis Larval Stages: Effects of Rearing Water Temperature and Larval Density on Mosquito Life-History Traits","title-short":"Optimization of Mass-Rearing Methods for Anopheles arabiensis Larval Stages","volume":"111","author":[{"family":"Mamai","given":"Wadaka"},{"family":"Lobb","given":"Leanne N"},{"family":"Bimbilé Somda","given":"Nanwintoum S"},{"family":"Maiga","given":"Hamidou"},{"family":"Yamada","given":"Hanano"},{"family":"Lees","given":"Rosemary Susan"},{"family":"Bouyer","given":"Jeremy"},{"family":"Gilles","given":"Jeremie R L"}],"issued":{"date-parts":[["2018",9,26]]}}}],"schema":"https://github.com/citation-style-language/schema/raw/master/csl-citation.json"} </w:instrText>
      </w:r>
      <w:r w:rsidRPr="00AA3319">
        <w:rPr>
          <w:rFonts w:cs="Times New Roman"/>
        </w:rPr>
        <w:fldChar w:fldCharType="separate"/>
      </w:r>
      <w:r w:rsidR="002B37C7" w:rsidRPr="00AA3319">
        <w:rPr>
          <w:rFonts w:cs="Times New Roman"/>
        </w:rPr>
        <w:t>(Mamai et al., 2018)</w:t>
      </w:r>
      <w:r w:rsidRPr="00AA3319">
        <w:rPr>
          <w:rFonts w:cs="Times New Roman"/>
        </w:rPr>
        <w:fldChar w:fldCharType="end"/>
      </w:r>
      <w:r w:rsidRPr="00AA3319">
        <w:rPr>
          <w:rFonts w:cs="Times New Roman"/>
        </w:rPr>
        <w:t xml:space="preserve"> and humidity affects the likelihood of larval survival and adult emergence </w:t>
      </w:r>
      <w:r w:rsidRPr="00AA3319">
        <w:rPr>
          <w:rFonts w:cs="Times New Roman"/>
        </w:rPr>
        <w:fldChar w:fldCharType="begin"/>
      </w:r>
      <w:r w:rsidR="000D258D" w:rsidRPr="00AA3319">
        <w:rPr>
          <w:rFonts w:cs="Times New Roman"/>
        </w:rPr>
        <w:instrText xml:space="preserve"> ADDIN ZOTERO_ITEM CSL_CITATION {"citationID":"HfAzw0Cs","properties":{"formattedCitation":"(Murdock et al., 2017)","plainCitation":"(Murdock et al., 2017)","noteIndex":0},"citationItems":[{"id":1620,"uris":["http://zotero.org/users/5456909/items/9PXQCDFD"],"uri":["http://zotero.org/users/5456909/items/9PXQCDFD"],"itemData":{"id":1620,"type":"article-journal","abstract":"Most statistical and mechanistic models used to predict mosquito-borne disease transmis-sion incorporate climate drivers of disease transmission by utilizing environmental data col-lected at geographic scales that are potentially coarser than what mosquito populations may actually experience. Temperature and relative humidity can vary greatly between indoor and outdoor environments, and can be influenced strongly by variation in landscape fea-tures. In the Aedes albopictus system, we conducted a proof-of-concept study in the vicinity of the University of Georgia to explore the effects of fine-scale microclimate variation on mosquito life history and vectorial capacity (VC). We placed Ae. albopictus larvae in artificial pots distributed across three replicate sites within three different land uses–urban, subur-ban, and rural, which were characterized by high, intermediate, and low proportions of impervious surfaces. Data loggers were placed into each larval environment and in nearby vegetation to record daily variation in water and ambient temperature and relative humidity. The number of adults emerging from each pot and their body size and sex were recorded daily. We found mosquito microclimate to significantly vary across the season as well as with land use. Urban sites were in general warmer and less humid than suburban and rural sites, translating into decreased larval survival, smaller body sizes, and lower per capita growth rates of mosquitoes on urban sites. Dengue transmission potential was predicted to be higher in the summer than the fall. Additionally, the effects of land use on dengue trans-mission potential varied by season. Warm summers resulted in a higher predicted VC on the cooler, rural sites, while warmer, urban sites had a higher predicted VC during the cooler fall season. PLOS Neglected Tropical Diseases | https://doi.org/10.1371/journal.pntd.0005640 May 30, 2017 1 / 23 a1111111111 a1111111111 a1111111111 a1111111111 a1111111111 OPEN ACCESS Citation: Murdock CC, Evans MV, McClanahan TD, Miazgowicz KL, Tesla B (2017) Fine-scale variation in microclimate across an urban landscape shapes variation in mosquito population dynamics and the potential of Aedes albopictus to transmit arboviral disease. PLoS Negl Trop Dis 11(5): e0005640. Environmental factors influence the dynamics of mosquito-borne disease transmission. Most models used to predict mosquito-borne disease transmission incorporate climate data collected at coarser scales than mosquitoes typically experience. Climate conditions can vary greatly between indoor and outdoor environments, and are influenced by land-scape features. We conducted a field experiment with the Asian tiger mosquito to explore how microclimate variation across an urban landscape affects mosquito life history and potential to transmit arboviruses, like dengue. We demonstrate that climate conditions captured by weather stations do not reflect relevant mosquito microclimate, and that sub-tle variation in mean and diurnal ranges of temperature and relative humidity can lead to appreciable variation in key mosquito / pathogen traits that are important for transmis-sion. Our results have implications for statistical and mechanistic models used to predict variation in transmission across seasons, regions, and land uses, but also for building in realistic environmental variation in laboratory work on mosquito-pathogen interactions. Finally, the variation in microclimate we observed across land use was subtle; likely because our study site is a relatively small city. Nevertheless, these translated into consid-erable differences in mosquito traits and dengue transmission potential, suggesting these effects could be much larger in more expansive cities.","container-title":"PLoS neglected tropical diseases","issue":"5","page":"e0005640-e0005640","title":"Fine-scale variation in microclimate across an urban landscape shapes variation in mosquito population dynamics and the potential of Aedes albopictus to transmit arboviral disease","volume":"11","author":[{"family":"Murdock","given":"Courtney C"},{"family":"Evans","given":"Michelle V"},{"family":"Mcclanahan","given":"Taylor D"},{"family":"Miazgowicz","given":"Kerri L"},{"family":"Tesla","given":"Blanka"}],"issued":{"date-parts":[["2017"]]}}}],"schema":"https://github.com/citation-style-language/schema/raw/master/csl-citation.json"} </w:instrText>
      </w:r>
      <w:r w:rsidRPr="00AA3319">
        <w:rPr>
          <w:rFonts w:cs="Times New Roman"/>
        </w:rPr>
        <w:fldChar w:fldCharType="separate"/>
      </w:r>
      <w:r w:rsidR="002B37C7" w:rsidRPr="00AA3319">
        <w:rPr>
          <w:rFonts w:cs="Times New Roman"/>
        </w:rPr>
        <w:t>(Murdock et al., 2017)</w:t>
      </w:r>
      <w:r w:rsidRPr="00AA3319">
        <w:rPr>
          <w:rFonts w:cs="Times New Roman"/>
        </w:rPr>
        <w:fldChar w:fldCharType="end"/>
      </w:r>
      <w:r w:rsidRPr="00AA3319">
        <w:rPr>
          <w:rFonts w:cs="Times New Roman"/>
        </w:rPr>
        <w:t>. Adult life history traits are known to be influenced by humidity and temperature as well</w:t>
      </w:r>
      <w:r w:rsidR="001B184A" w:rsidRPr="00AA3319">
        <w:rPr>
          <w:rFonts w:cs="Times New Roman"/>
        </w:rPr>
        <w:t>, since</w:t>
      </w:r>
      <w:r w:rsidRPr="00AA3319">
        <w:rPr>
          <w:rFonts w:cs="Times New Roman"/>
        </w:rPr>
        <w:t xml:space="preserve"> humidity is known to influence mosquito activity </w:t>
      </w:r>
      <w:r w:rsidRPr="00AA3319">
        <w:rPr>
          <w:rFonts w:cs="Times New Roman"/>
        </w:rPr>
        <w:fldChar w:fldCharType="begin"/>
      </w:r>
      <w:r w:rsidR="002B37C7" w:rsidRPr="00AA3319">
        <w:rPr>
          <w:rFonts w:cs="Times New Roman"/>
        </w:rPr>
        <w:instrText xml:space="preserve"> ADDIN ZOTERO_ITEM CSL_CITATION {"citationID":"8lqIO0FD","properties":{"formattedCitation":"(Rowley and Graham, 1968)","plainCitation":"(Rowley and Graham, 1968)","noteIndex":0},"citationItems":[{"id":4574,"uris":["http://zotero.org/users/5456909/items/UIT6WKPB"],"uri":["http://zotero.org/users/5456909/items/UIT6WKPB"],"itemData":{"id":4574,"type":"article-journal","container-title":"Journal of Insect Physiology","issue":"9","journalAbbreviation":"J Insect Physiol","language":"eng","note":"PMID: 5761668","page":"1251-1257","source":"PubMed","title":"The effect of temperature and relative humidity on the flight performance of female Aedes aegypti","volume":"14","author":[{"family":"Rowley","given":"W. A."},{"family":"Graham","given":"C. L."}],"issued":{"date-parts":[["1968",9]]}}}],"schema":"https://github.com/citation-style-language/schema/raw/master/csl-citation.json"} </w:instrText>
      </w:r>
      <w:r w:rsidRPr="00AA3319">
        <w:rPr>
          <w:rFonts w:cs="Times New Roman"/>
        </w:rPr>
        <w:fldChar w:fldCharType="separate"/>
      </w:r>
      <w:r w:rsidR="002B37C7" w:rsidRPr="00AA3319">
        <w:rPr>
          <w:rFonts w:cs="Times New Roman"/>
        </w:rPr>
        <w:t>(Rowley and Graham, 1968)</w:t>
      </w:r>
      <w:r w:rsidRPr="00AA3319">
        <w:rPr>
          <w:rFonts w:cs="Times New Roman"/>
        </w:rPr>
        <w:fldChar w:fldCharType="end"/>
      </w:r>
      <w:r w:rsidRPr="00AA3319">
        <w:rPr>
          <w:rFonts w:cs="Times New Roman"/>
        </w:rPr>
        <w:t xml:space="preserve"> and mosquito population dynamics </w:t>
      </w:r>
      <w:r w:rsidRPr="00AA3319">
        <w:rPr>
          <w:rFonts w:cs="Times New Roman"/>
        </w:rPr>
        <w:fldChar w:fldCharType="begin"/>
      </w:r>
      <w:r w:rsidR="002B37C7" w:rsidRPr="00AA3319">
        <w:rPr>
          <w:rFonts w:cs="Times New Roman"/>
        </w:rPr>
        <w:instrText xml:space="preserve"> ADDIN ZOTERO_ITEM CSL_CITATION {"citationID":"hDVpYp3m","properties":{"formattedCitation":"(Yamana and Eltahir, 2013)","plainCitation":"(Yamana and Eltahir, 2013)","noteIndex":0},"citationItems":[{"id":2255,"uris":["http://zotero.org/users/5456909/items/8J2PGWT9"],"uri":["http://zotero.org/users/5456909/items/8J2PGWT9"],"itemData":{"id":2255,"type":"article-journal","abstract":"BackgroundLow levels of relative humidity are known to decrease the lifespan of mosquitoes. However, most current models of malaria transmission do not account for the effects of relative humidity on mosquito survival. In the Sahel, where relative humidity drops to levels &lt;20% for several months of the year, we expect relative humidity to play a significant role in shaping the seasonal profile of mosquito populations. Here, we present a new formulation for Anopheles gambiae sensu lato (s.l.) mosquito survival as a function of temperature and relative humidity and investigate the effect of humidity on simulated mosquito populations.MethodsUsing existing observations on relationships between temperature, relative humidity and mosquito longevity, we developed a new equation for mosquito survival as a function of temperature and relative humidity. We collected simultaneous field observations on temperature, wind, relative humidity, and anopheline mosquito populations for two villages from the Sahel region of Africa, which are presented in this paper. We apply this equation to the environmental data and conduct numerical simulations of mosquito populations using the Hydrology, Entomology and Malaria Transmission Simulator (HYDREMATS).ResultsRelative humidity drops to levels that are uncomfortable for mosquitoes at the end of the rainy season. In one village, Banizoumbou, water pools dried up and interrupted mosquito breeding shortly after the end of the rainy season. In this case, relative humidity had little effect on the mosquito population. However, in the other village, Zindarou, the relatively shallow water table led to water pools that persisted several months beyond the end of the rainy season. In this case, the decrease in mosquito survival due to relative humidity improved the model’s ability to reproduce the seasonal pattern of observed mosquito abundance.ConclusionsWe proposed a new equation to describe Anopheles gambiae s.l. mosquito survival as a function of temperature and relative humidity. We demonstrated that relative humidity can play a significant role in mosquito population and malaria transmission dynamics. Future modeling work should account for these effects of relative humidity.","container-title":"Parasites &amp; Vectors","issue":"1","journalAbbreviation":"Parasites Vectors","language":"en","page":"235","source":"Springer Link","title":"Incorporating the effects of humidity in a mechanistic model of Anopheles gambiae mosquito population dynamics in the Sahel region of Africa","volume":"6","author":[{"family":"Yamana","given":"Teresa K."},{"family":"Eltahir","given":"Elfatih A. B."}],"issued":{"date-parts":[["2013",8,9]]}}}],"schema":"https://github.com/citation-style-language/schema/raw/master/csl-citation.json"} </w:instrText>
      </w:r>
      <w:r w:rsidRPr="00AA3319">
        <w:rPr>
          <w:rFonts w:cs="Times New Roman"/>
        </w:rPr>
        <w:fldChar w:fldCharType="separate"/>
      </w:r>
      <w:r w:rsidR="002B37C7" w:rsidRPr="00AA3319">
        <w:rPr>
          <w:rFonts w:cs="Times New Roman"/>
        </w:rPr>
        <w:t>(Yamana and Eltahir, 2013)</w:t>
      </w:r>
      <w:r w:rsidRPr="00AA3319">
        <w:rPr>
          <w:rFonts w:cs="Times New Roman"/>
        </w:rPr>
        <w:fldChar w:fldCharType="end"/>
      </w:r>
      <w:r w:rsidRPr="00AA3319">
        <w:rPr>
          <w:rFonts w:cs="Times New Roman"/>
        </w:rPr>
        <w:t xml:space="preserve">, and temperature influences multiple life history traits, such as biting rate, relative fecundity and lifespan </w:t>
      </w:r>
      <w:r w:rsidRPr="00AA3319">
        <w:rPr>
          <w:rFonts w:cs="Times New Roman"/>
        </w:rPr>
        <w:fldChar w:fldCharType="begin"/>
      </w:r>
      <w:r w:rsidR="000D258D" w:rsidRPr="00AA3319">
        <w:rPr>
          <w:rFonts w:cs="Times New Roman"/>
        </w:rPr>
        <w:instrText xml:space="preserve"> ADDIN ZOTERO_ITEM CSL_CITATION {"citationID":"3jQvGfcZ","properties":{"formattedCitation":"(Ciota et al., 2014; Mordecai et al., 2019)","plainCitation":"(Ciota et al., 2014; Mordecai et al., 2019)","noteIndex":0},"citationItems":[{"id":1250,"uris":["http://zotero.org/users/5456909/items/R8G3T544"],"uri":["http://zotero.org/users/5456909/items/R8G3T544"],"itemData":{"id":1250,"type":"article-journal","abstract":"Climatic changes forecasted in the coming years are likely to result in substantial alterations to the distributions and populations of vectors of arthropod-borne pathogens. Characterization of the effect of temperature shifts on the life history traits of speciÞc vectors is needed to more accurately deÞne how such changes could impact the epidemiological patterns of vector-borne disease. Here, we determined the effect of temperatures including 16, 20, 24, 28, and 32ЊC on development time, immature survival, adult survival, mosquito size, blood feeding, and fecundity of both Þeld and colonized populations of the Culex mosquitoes Culex pipiens L., Culex quinquefasciatus Say, and Culex restuans Theobald. Our results dem-onstrate that temperature signiÞcantly affects all of these traits, yet also that the extent of this effect is at times incongruent among temperatures, as well as being population and species-speciÞc. Comparisons of colonized mosquitoes with Þeld populations generally demonstrate decreased adult and immature survival, increased blood feeding and egg production, and signiÞcant variation in the effects of temperature, indicating that such colonies are not fully representative of natural populations. Results with Þeld pop-ulations in general indicate that increases in temperature are likely to accelerate mosquito development, and that this effect is greater at temperatures below 24ЊC, but also that temperature signiÞcantly increases mortality. Among Þeld populations, Cx. restuans were most affected by temperature increases, with decreased longevity relative to other species and signiÞcant increases in adult and immature mortality measured with each incremental temperature increase. Despite the unique climates characteristic of the geographic ranges of Cx. quinquefasciatus and Cx. pipiens, evidence of signiÞcant species-speciÞc adaptation to temperature ranges was not seen. Taken together, these results indicate that geographic region, as well as species and population differences, must be considered when measuring the effect of temperature on vector populations.","container-title":"Journal of Medical Entomology","issue":"1","page":"55-62","title":"The effect of temperature on life history traits of Culex mosquitoes","volume":"51","author":[{"family":"Ciota","given":"Alexander T"},{"family":"Matacchiero","given":"Amy C"},{"family":"Kilpatrick","given":"A Marm"},{"family":"Kramer","given":"Laura D"}],"issued":{"date-parts":[["2014"]]}}},{"id":3987,"uris":["http://zotero.org/users/5456909/items/XDHECYB3"],"uri":["http://zotero.org/users/5456909/items/XDHECYB3"],"itemData":{"id":3987,"type":"article-journal","abstract":"Mosquito-borne diseases cause a major burden of disease worldwide. The vital rates of these ectothermic vectors and parasites respond strongly and nonlinearly to temperature and therefore to climate change. Here, we review how trait-based approaches can synthesise and mechanistically predict the temperature dependence of transmission across vectors, pathogens, and environments. We present 11 pathogens transmitted by 15 different mosquito species – including globally important diseases like malaria, dengue, and Zika – synthesised from previously published studies. Transmission varied strongly and unimodally with temperature, peaking at 23–29ºC and declining to zero below 9–23ºC and above 32–38ºC. Different traits restricted transmission at low versus high temperatures, and temperature effects on transmission varied by both mosquito and parasite species. Temperate pathogens exhibit broader thermal ranges and cooler thermal minima and optima than tropical pathogens. Among tropical pathogens, malaria and Ross River virus had lower thermal optima (25–26ºC) while dengue and Zika viruses had the highest (29ºC) thermal optima. We expect warming to increase transmission below thermal optima but decrease transmission above optima. Key directions for future work include linking mechanistic models to field transmission, combining temperature effects with control measures, incorporating trait variation and temperature variation, and investigating climate adaptation and migration.","container-title":"Ecology Letters","ISSN":"1461-0248","issue":"10","language":"en","page":"1690-1708","source":"Wiley Online Library","title":"Thermal biology of mosquito-borne disease","volume":"22","author":[{"family":"Mordecai","given":"Erin A."},{"family":"Caldwell","given":"Jamie M."},{"family":"Grossman","given":"Marissa K."},{"family":"Lippi","given":"Catherine A."},{"family":"Johnson","given":"Leah R."},{"family":"Neira","given":"Marco"},{"family":"Rohr","given":"Jason R."},{"family":"Ryan","given":"Sadie J."},{"family":"Savage","given":"Van"},{"family":"Shocket","given":"Marta S."},{"family":"Sippy","given":"Rachel"},{"family":"Ibarra","given":"Anna M. Stewart"},{"family":"Thomas","given":"Matthew B."},{"family":"Villena","given":"Oswaldo"}],"issued":{"date-parts":[["2019"]]}}}],"schema":"https://github.com/citation-style-language/schema/raw/master/csl-citation.json"} </w:instrText>
      </w:r>
      <w:r w:rsidRPr="00AA3319">
        <w:rPr>
          <w:rFonts w:cs="Times New Roman"/>
        </w:rPr>
        <w:fldChar w:fldCharType="separate"/>
      </w:r>
      <w:r w:rsidR="002B37C7" w:rsidRPr="00AA3319">
        <w:rPr>
          <w:rFonts w:cs="Times New Roman"/>
        </w:rPr>
        <w:t>(Ciota et al., 2014; Mordecai et al., 2019)</w:t>
      </w:r>
      <w:r w:rsidRPr="00AA3319">
        <w:rPr>
          <w:rFonts w:cs="Times New Roman"/>
        </w:rPr>
        <w:fldChar w:fldCharType="end"/>
      </w:r>
      <w:r w:rsidRPr="00AA3319">
        <w:rPr>
          <w:rFonts w:cs="Times New Roman"/>
        </w:rPr>
        <w:t>.</w:t>
      </w:r>
    </w:p>
    <w:p w14:paraId="33C66AF9" w14:textId="44A9929E" w:rsidR="00734938" w:rsidRPr="00AA3319" w:rsidRDefault="00734938" w:rsidP="00734938">
      <w:pPr>
        <w:rPr>
          <w:rFonts w:cs="Times New Roman"/>
        </w:rPr>
      </w:pPr>
      <w:r w:rsidRPr="00AA3319">
        <w:rPr>
          <w:rFonts w:cs="Times New Roman"/>
        </w:rPr>
        <w:t>Not only the mosquitoes, but also the disease</w:t>
      </w:r>
      <w:r w:rsidR="006E2151">
        <w:rPr>
          <w:rFonts w:cs="Times New Roman"/>
        </w:rPr>
        <w:t>-causing</w:t>
      </w:r>
      <w:r w:rsidRPr="00AA3319">
        <w:rPr>
          <w:rFonts w:cs="Times New Roman"/>
        </w:rPr>
        <w:t xml:space="preserve"> pathogens are influenced by the environment. Since mosquitoes are small exothermic organisms, pathogen development rates within the mosquito are highly dependent on temperature conditions </w:t>
      </w:r>
      <w:r w:rsidRPr="00AA3319">
        <w:rPr>
          <w:rFonts w:cs="Times New Roman"/>
        </w:rPr>
        <w:fldChar w:fldCharType="begin"/>
      </w:r>
      <w:r w:rsidR="002B37C7" w:rsidRPr="00AA3319">
        <w:rPr>
          <w:rFonts w:cs="Times New Roman"/>
        </w:rPr>
        <w:instrText xml:space="preserve"> ADDIN ZOTERO_ITEM CSL_CITATION {"citationID":"kCDclpQJ","properties":{"formattedCitation":"(Mordecai et al., 2017, 2013)","plainCitation":"(Mordecai et al., 2017, 2013)","noteIndex":0},"citationItems":[{"id":39,"uris":["http://zotero.org/users/5456909/items/9XMAWMGL"],"uri":["http://zotero.org/users/5456909/items/9XMAWMGL"],"itemData":{"id":39,"type":"article-journal","abstract":"The ecology of mosquito vectors and malaria parasites affect the incidence, seasonal transmission and geographical range of malaria. Most malaria models to date assume constant or linear responses of mosquito and parasite life-history traits to temperature, predicting optimal transmission at 31 °C. These models are at odds with ﬁeld observations of transmission dating back nearly a century. We build a model with more realistic ecological assumptions about the thermal physiology of insects. Our model, which includes empirically derived nonlinear thermal responses, predicts optimal malaria transmission at 25 °C (6 °C lower than previous models). Moreover, the model predicts that transmission decreases dramatically at temperatures &gt; 28 °C, altering predictions about how climate change will affect malaria. A large data set on malaria transmission risk in Africa validates both the 25 °C optimum and the decline above 28 °C. Using these more accurate nonlinear thermal-response models will aid in understanding the effects of current and future temperature regimes on disease transmission.","container-title":"Ecology Letters","issue":"1","language":"en","page":"22-30","source":"Crossref","title":"Optimal temperature for malaria transmission is dramatically lower than previously predicted","volume":"16","author":[{"family":"Mordecai","given":"Erin A."},{"family":"Paaijmans","given":"Krijn P."},{"family":"Johnson","given":"Leah R."},{"family":"Balzer","given":"Christian"},{"family":"Ben-Horin","given":"Tal"},{"family":"Moor","given":"Emily","non-dropping-particle":"de"},{"family":"McNally","given":"Amy"},{"family":"Pawar","given":"Samraat"},{"family":"Ryan","given":"Sadie J."},{"family":"Smith","given":"Thomas C."},{"family":"Lafferty","given":"Kevin D."}],"editor":[{"family":"Thrall","given":"Peter"}],"issued":{"date-parts":[["2013",1]]}}},{"id":24,"uris":["http://zotero.org/users/5456909/items/QH6VTG7E"],"uri":["http://zotero.org/users/5456909/items/QH6VTG7E"],"itemData":{"id":24,"type":"article-journal","abstract":"Recent epidemics of Zika, dengue, and chikungunya have heightened the need to understand the seasonal and geographic range of transmission by Aedes aegypti and Ae. albopictus mosquitoes. We use mechanistic transmission models to derive predictions for how the probability and magnitude of transmission for Zika, chikungunya, and dengue change with mean temperature, and we show that these predictions are well matched by human case data. Across all three viruses, models and human case data both show that transmission occurs between 18–34˚C with maximal transmission occurring in a range from 26–29˚C. Controlling for population size and two socioeconomic factors, temperature-dependent transmission based on our mechanistic model is an important predictor of human transmission occurrence and incidence. Risk maps indicate that tropical and subtropical regions are suitable for extended seasonal or year-round transmission, but transmission in temperate areas is limited to at most three months per year even if vectors are present. Such brief transmission windows limit the likelihood of major epidemics following disease introduction in temperate zones.","container-title":"PLoS Neglected Tropical Diseases","issue":"4","language":"en","page":"e0005568","source":"Zotero","title":"Detecting the impact of temperature on transmission of Zika, dengue, and chikungunya using mechanistic models","volume":"11","author":[{"family":"Mordecai","given":"Erin A"},{"family":"Cohen","given":"Jeremy M"},{"family":"Evans","given":"Michelle V"},{"family":"Gudapati","given":"Prithvi"},{"family":"Johnson","given":"Leah R"},{"family":"Lippi","given":"Catherine A"},{"family":"Miazgowicz","given":"Kerri"},{"family":"Murdock","given":"Courtney C"},{"family":"Rohr","given":"Jason R"},{"family":"Ryan","given":"Sadie J"},{"family":"Savage","given":"Van"},{"family":"Shocket","given":"Marta S"},{"family":"Ibarra","given":"Anna Stewart"},{"family":"Thomas","given":"Matthew B"},{"family":"Weikel","given":"Daniel P"}],"issued":{"date-parts":[["2017"]]}}}],"schema":"https://github.com/citation-style-language/schema/raw/master/csl-citation.json"} </w:instrText>
      </w:r>
      <w:r w:rsidRPr="00AA3319">
        <w:rPr>
          <w:rFonts w:cs="Times New Roman"/>
        </w:rPr>
        <w:fldChar w:fldCharType="separate"/>
      </w:r>
      <w:r w:rsidR="002B37C7" w:rsidRPr="00AA3319">
        <w:rPr>
          <w:rFonts w:cs="Times New Roman"/>
        </w:rPr>
        <w:t>(Mordecai et al., 2017, 2013)</w:t>
      </w:r>
      <w:r w:rsidRPr="00AA3319">
        <w:rPr>
          <w:rFonts w:cs="Times New Roman"/>
        </w:rPr>
        <w:fldChar w:fldCharType="end"/>
      </w:r>
      <w:r w:rsidRPr="00AA3319">
        <w:rPr>
          <w:rFonts w:cs="Times New Roman"/>
        </w:rPr>
        <w:t xml:space="preserve">. Higher temperature leads to a faster development of a pathogen within a mosquito, up to a threshold </w:t>
      </w:r>
      <w:r w:rsidRPr="00AA3319">
        <w:rPr>
          <w:rFonts w:cs="Times New Roman"/>
        </w:rPr>
        <w:fldChar w:fldCharType="begin"/>
      </w:r>
      <w:r w:rsidR="002B37C7" w:rsidRPr="00AA3319">
        <w:rPr>
          <w:rFonts w:cs="Times New Roman"/>
        </w:rPr>
        <w:instrText xml:space="preserve"> ADDIN ZOTERO_ITEM CSL_CITATION {"citationID":"W3OGighZ","properties":{"formattedCitation":"(Mordecai et al., 2017, 2013)","plainCitation":"(Mordecai et al., 2017, 2013)","noteIndex":0},"citationItems":[{"id":39,"uris":["http://zotero.org/users/5456909/items/9XMAWMGL"],"uri":["http://zotero.org/users/5456909/items/9XMAWMGL"],"itemData":{"id":39,"type":"article-journal","abstract":"The ecology of mosquito vectors and malaria parasites affect the incidence, seasonal transmission and geographical range of malaria. Most malaria models to date assume constant or linear responses of mosquito and parasite life-history traits to temperature, predicting optimal transmission at 31 °C. These models are at odds with ﬁeld observations of transmission dating back nearly a century. We build a model with more realistic ecological assumptions about the thermal physiology of insects. Our model, which includes empirically derived nonlinear thermal responses, predicts optimal malaria transmission at 25 °C (6 °C lower than previous models). Moreover, the model predicts that transmission decreases dramatically at temperatures &gt; 28 °C, altering predictions about how climate change will affect malaria. A large data set on malaria transmission risk in Africa validates both the 25 °C optimum and the decline above 28 °C. Using these more accurate nonlinear thermal-response models will aid in understanding the effects of current and future temperature regimes on disease transmission.","container-title":"Ecology Letters","issue":"1","language":"en","page":"22-30","source":"Crossref","title":"Optimal temperature for malaria transmission is dramatically lower than previously predicted","volume":"16","author":[{"family":"Mordecai","given":"Erin A."},{"family":"Paaijmans","given":"Krijn P."},{"family":"Johnson","given":"Leah R."},{"family":"Balzer","given":"Christian"},{"family":"Ben-Horin","given":"Tal"},{"family":"Moor","given":"Emily","non-dropping-particle":"de"},{"family":"McNally","given":"Amy"},{"family":"Pawar","given":"Samraat"},{"family":"Ryan","given":"Sadie J."},{"family":"Smith","given":"Thomas C."},{"family":"Lafferty","given":"Kevin D."}],"editor":[{"family":"Thrall","given":"Peter"}],"issued":{"date-parts":[["2013",1]]}}},{"id":24,"uris":["http://zotero.org/users/5456909/items/QH6VTG7E"],"uri":["http://zotero.org/users/5456909/items/QH6VTG7E"],"itemData":{"id":24,"type":"article-journal","abstract":"Recent epidemics of Zika, dengue, and chikungunya have heightened the need to understand the seasonal and geographic range of transmission by Aedes aegypti and Ae. albopictus mosquitoes. We use mechanistic transmission models to derive predictions for how the probability and magnitude of transmission for Zika, chikungunya, and dengue change with mean temperature, and we show that these predictions are well matched by human case data. Across all three viruses, models and human case data both show that transmission occurs between 18–34˚C with maximal transmission occurring in a range from 26–29˚C. Controlling for population size and two socioeconomic factors, temperature-dependent transmission based on our mechanistic model is an important predictor of human transmission occurrence and incidence. Risk maps indicate that tropical and subtropical regions are suitable for extended seasonal or year-round transmission, but transmission in temperate areas is limited to at most three months per year even if vectors are present. Such brief transmission windows limit the likelihood of major epidemics following disease introduction in temperate zones.","container-title":"PLoS Neglected Tropical Diseases","issue":"4","language":"en","page":"e0005568","source":"Zotero","title":"Detecting the impact of temperature on transmission of Zika, dengue, and chikungunya using mechanistic models","volume":"11","author":[{"family":"Mordecai","given":"Erin A"},{"family":"Cohen","given":"Jeremy M"},{"family":"Evans","given":"Michelle V"},{"family":"Gudapati","given":"Prithvi"},{"family":"Johnson","given":"Leah R"},{"family":"Lippi","given":"Catherine A"},{"family":"Miazgowicz","given":"Kerri"},{"family":"Murdock","given":"Courtney C"},{"family":"Rohr","given":"Jason R"},{"family":"Ryan","given":"Sadie J"},{"family":"Savage","given":"Van"},{"family":"Shocket","given":"Marta S"},{"family":"Ibarra","given":"Anna Stewart"},{"family":"Thomas","given":"Matthew B"},{"family":"Weikel","given":"Daniel P"}],"issued":{"date-parts":[["2017"]]}}}],"schema":"https://github.com/citation-style-language/schema/raw/master/csl-citation.json"} </w:instrText>
      </w:r>
      <w:r w:rsidRPr="00AA3319">
        <w:rPr>
          <w:rFonts w:cs="Times New Roman"/>
        </w:rPr>
        <w:fldChar w:fldCharType="separate"/>
      </w:r>
      <w:r w:rsidR="002B37C7" w:rsidRPr="00AA3319">
        <w:rPr>
          <w:rFonts w:cs="Times New Roman"/>
        </w:rPr>
        <w:t>(Mordecai et al., 2017, 2013)</w:t>
      </w:r>
      <w:r w:rsidRPr="00AA3319">
        <w:rPr>
          <w:rFonts w:cs="Times New Roman"/>
        </w:rPr>
        <w:fldChar w:fldCharType="end"/>
      </w:r>
      <w:r w:rsidRPr="00AA3319">
        <w:rPr>
          <w:rFonts w:cs="Times New Roman"/>
        </w:rPr>
        <w:t xml:space="preserve">. This period of time that determines how long it takes for a pathogen </w:t>
      </w:r>
      <w:r w:rsidR="001B184A" w:rsidRPr="00AA3319">
        <w:rPr>
          <w:rFonts w:cs="Times New Roman"/>
        </w:rPr>
        <w:t>from being</w:t>
      </w:r>
      <w:r w:rsidRPr="00AA3319">
        <w:rPr>
          <w:rFonts w:cs="Times New Roman"/>
        </w:rPr>
        <w:t xml:space="preserve"> ingested by a mosquito to </w:t>
      </w:r>
      <w:r w:rsidR="001B184A" w:rsidRPr="00AA3319">
        <w:rPr>
          <w:rFonts w:cs="Times New Roman"/>
        </w:rPr>
        <w:t xml:space="preserve">then </w:t>
      </w:r>
      <w:r w:rsidRPr="00AA3319">
        <w:rPr>
          <w:rFonts w:cs="Times New Roman"/>
        </w:rPr>
        <w:t xml:space="preserve">travel from a mosquito’s mid gut into its salivary glands </w:t>
      </w:r>
      <w:r w:rsidR="001B184A" w:rsidRPr="00AA3319">
        <w:rPr>
          <w:rFonts w:cs="Times New Roman"/>
        </w:rPr>
        <w:t>from where it can be</w:t>
      </w:r>
      <w:r w:rsidRPr="00AA3319">
        <w:rPr>
          <w:rFonts w:cs="Times New Roman"/>
        </w:rPr>
        <w:t xml:space="preserve"> injected into a new host is often referred to as the extrinsic incubation time (EIT) or extrinsic incubation period (EIP). The shorter this period is, the sooner a mosquito can infect new humans. This makes it more likely for a mosquito to become infectious before it dies, and it also makes it more likely for it to infect multiple humans within its life span.</w:t>
      </w:r>
    </w:p>
    <w:p w14:paraId="5E029644" w14:textId="0EE5C0FB" w:rsidR="00734938" w:rsidRPr="00AA3319" w:rsidRDefault="00734938" w:rsidP="00734938">
      <w:pPr>
        <w:rPr>
          <w:rFonts w:cs="Times New Roman"/>
        </w:rPr>
      </w:pPr>
      <w:r w:rsidRPr="00AA3319">
        <w:rPr>
          <w:rFonts w:cs="Times New Roman"/>
        </w:rPr>
        <w:t xml:space="preserve">In diseases that are not only transmitted between mosquitoes and humans but also involve a zoonotic host or reservoir species, environmental conditions that influence </w:t>
      </w:r>
      <w:r w:rsidR="00D23FFF">
        <w:rPr>
          <w:rFonts w:cs="Times New Roman"/>
        </w:rPr>
        <w:t>host</w:t>
      </w:r>
      <w:r w:rsidRPr="00AA3319">
        <w:rPr>
          <w:rFonts w:cs="Times New Roman"/>
        </w:rPr>
        <w:t xml:space="preserve"> habitat </w:t>
      </w:r>
      <w:r w:rsidRPr="00AA3319">
        <w:rPr>
          <w:rFonts w:cs="Times New Roman"/>
        </w:rPr>
        <w:lastRenderedPageBreak/>
        <w:t xml:space="preserve">also need to be considered. West Nile virus is primarily a bird disease and only causes diseases in humans when so-called “bridge vector” mosquitoes feed on both, birds and humans </w:t>
      </w:r>
      <w:r w:rsidRPr="00AA3319">
        <w:rPr>
          <w:rFonts w:cs="Times New Roman"/>
        </w:rPr>
        <w:fldChar w:fldCharType="begin"/>
      </w:r>
      <w:r w:rsidR="000D258D" w:rsidRPr="00AA3319">
        <w:rPr>
          <w:rFonts w:cs="Times New Roman"/>
        </w:rPr>
        <w:instrText xml:space="preserve"> ADDIN ZOTERO_ITEM CSL_CITATION {"citationID":"syuRYSak","properties":{"formattedCitation":"(Hamer et al., 2009; Molaei et al., 2006)","plainCitation":"(Hamer et al., 2009; Molaei et al., 2006)","noteIndex":0},"citationItems":[{"id":1326,"uris":["http://zotero.org/users/5456909/items/RXZV3ML7"],"uri":["http://zotero.org/users/5456909/items/RXZV3ML7"],"itemData":{"id":1326,"type":"article-journal","abstract":"Recent field studies have suggested that the dynamics of West Nile virus (WNV) transmission are influenced strongly by a few key super spreader bird species that function both as primary blood hosts of the vector mosquitoes (in particular Culex pipiens) and as reservoir-competent virus hosts. It has been hypothesized that human cases result from a shift in mosquito feeding from these key bird species to humans after abundance of the key birds species decreases. To test this paradigm, we performed a mosquito blood meal analysis integrating host-feeding patterns of Cx. pipiens , the principal vector of WNV in the eastern United States north of the latitude 36°N and other mosquito species with robust measures of host availability, to determine host selection in a WNV-endemic area of suburban Chicago, Illinois, during 2005–2007. Results showed that Cx. pipiens fed predominantly (83%) on birds with a high diversity of species used as hosts (25 species). American robins (Turdus migratorius) were marginally overused and several species were underused on the basis of relative abundance measures, including the common grackle (Quiscalus quiscula), house sparrow (Passer domesticus), and European starling (Sturnus vulgaris). Culex pipiens also fed substantially on mammals (19%; 7 species with humans representing 16%). West Nile virus transmission intensified in July of both years at times when American robins were heavily fed upon, and then decreased when robin abundance decreased, after which other birds species were selected as hosts. There was no shift in feeding from birds to mammals coincident with emergence of human cases. Rather, bird feeding predominated when the onset of the human cases occurred. Measures of host abundance and competence and Cx. pipiens feeding preference were combined to estimate the amplification fractions of the different bird species. Predictions were that approximately 66% of WNV-infectious Cx. pipiens became infected from feeding on just a few spe-cies of birds, including American robins (35%), blue jays (17%, Cyanocitta cristata), and house finches (15%, Carpodacus mexicanus).","container-title":"Am. J. Trop. Med. Hyg","issue":"2","page":"268-278","title":"Host Selection by Culex pipiens Mosquitoes and West Nile Virus Amplification","volume":"80","author":[{"family":"Hamer","given":"Gabriel L"},{"family":"Kitron","given":"Uriel D"},{"family":"Goldberg","given":"Tony L"},{"family":"Brawn","given":"Jeffrey D"},{"family":"Loss","given":"Scott R"},{"family":"Ruiz","given":"Marilyn O"},{"family":"Hayes","given":"Daniel B"},{"family":"Walker","given":"Edward D"}],"issued":{"date-parts":[["2009"]]}}},{"id":3193,"uris":["http://zotero.org/users/5456909/items/LXZR7AVB"],"uri":["http://zotero.org/users/5456909/items/LXZR7AVB"],"itemData":{"id":3193,"type":"article-journal","abstract":"Culex salinarius is a bridge vector to humans, while Cx. pipiens and Cx. restuans are more efficient enzootic vectors., To evaluate the role of Culex mosquitoes as enzootic and epidemic vectors for WNV, we identified the source of vertebrate blood by polymerase chain reaction amplification and sequencing portions of the cytochrome b gene of mitochondrial DNA. All Cx. restuans and 93% of Cx. pipiens acquired blood from avian hosts; Cx. salinarius fed frequently on both mammals (53%) and birds (36%). Mixed-blood meals were detected in 11% and 4% of Cx. salinarius and Cx. pipiens, respectively. American robin was the most common source of vertebrate blood for Cx. pipiens (38%) and Cx. restuans (37%). American crow represented &lt;1% of the blood meals in Cx. pipiens and none in Cx. restuans. Human-derived blood meals were identified from 2 Cx. salinarius and 1 Cx. pipiens. Results suggest that Cx. salinarius is an important bridge vector to humans, while Cx. pipiens and Cx. restuans are more efficient enzootic vectors in the northeastern United States.","container-title":"Emerging Infectious Diseases","issue":"3","journalAbbreviation":"Emerg Infect Dis","page":"468-474","source":"PubMed Central","title":"Host Feeding Patterns of Culex Mosquitoes and West Nile Virus Transmission, Northeastern United States","volume":"12","author":[{"family":"Molaei","given":"Goudarz"},{"family":"Andreadis","given":"Theodore G."},{"family":"Armstrong","given":"Philip M."},{"family":"Anderson","given":"John F."},{"family":"Vossbrinck","given":"Charles R."}],"issued":{"date-parts":[["2006",3]]}}}],"schema":"https://github.com/citation-style-language/schema/raw/master/csl-citation.json"} </w:instrText>
      </w:r>
      <w:r w:rsidRPr="00AA3319">
        <w:rPr>
          <w:rFonts w:cs="Times New Roman"/>
        </w:rPr>
        <w:fldChar w:fldCharType="separate"/>
      </w:r>
      <w:r w:rsidR="002B37C7" w:rsidRPr="00AA3319">
        <w:rPr>
          <w:rFonts w:cs="Times New Roman"/>
        </w:rPr>
        <w:t>(Hamer et al., 2009; Molaei et al., 2006)</w:t>
      </w:r>
      <w:r w:rsidRPr="00AA3319">
        <w:rPr>
          <w:rFonts w:cs="Times New Roman"/>
        </w:rPr>
        <w:fldChar w:fldCharType="end"/>
      </w:r>
      <w:r w:rsidRPr="00AA3319">
        <w:rPr>
          <w:rFonts w:cs="Times New Roman"/>
        </w:rPr>
        <w:t xml:space="preserve">. Vector-host contact has shown to be dependent on climatic conditions and land cover. For example, temperature conditions that have shown to be favorable for bird nesting and roosting have shown to also influence WNV transmission </w:t>
      </w:r>
      <w:r w:rsidRPr="00AA3319">
        <w:rPr>
          <w:rFonts w:cs="Times New Roman"/>
        </w:rPr>
        <w:fldChar w:fldCharType="begin"/>
      </w:r>
      <w:r w:rsidR="006B043F" w:rsidRPr="00AA3319">
        <w:rPr>
          <w:rFonts w:cs="Times New Roman"/>
        </w:rPr>
        <w:instrText xml:space="preserve"> ADDIN ZOTERO_ITEM CSL_CITATION {"citationID":"z7SFDHWK","properties":{"formattedCitation":"(Sallam et al., 2017)","plainCitation":"(Sallam et al., 2017)","noteIndex":0},"citationItems":[{"id":1183,"uris":["http://zotero.org/users/5456909/items/5Y38U7T9"],"uri":["http://zotero.org/users/5456909/items/5Y38U7T9"],"itemData":{"id":1183,"type":"article-journal","abstract":"The consistent sporadic transmission of West Nile Virus (WNV) in the city of New Orleans justifies the need for distribution risk maps highlighting human risk of mosquito bites. We modeled the influence of biophysical and socioeconomic metrics on the spatio-temporal distributions of presence/vector-host contact (VHC) ratios of WNV vector, Culex quinquefasciatus, within their flight range. Biophysical and socioeconomic data were extracted within 5-km buffer radii around sampling localities of gravid female Culex quinquefasciatus. The spatio-temporal correlations between VHC data and 33 variables, including climate, land use-land cover (LULC), socioeconomic, and land surface terrain were analyzed using stepwise linear regression models (RM). Using MaxEnt, we developed a distribution model using the correlated predicting variables. Only 12 factors showed significant correlations with spatial distribution of VHC ratios (R2 = 81.62, p &lt; 0.01). Non-forested wetland (NFWL), tree density (TD) and residential-urban (RU) settings demonstrated the strongest relationship. The VHC ratios showed monthly environmental resilience in terms of number and type of influential factors. The highest prediction power of RU and other urban and built up land (OUBL), was demonstrated during May–August. This association was positively correlated with the onset of the mosquito WNV infection rate during June. These findings were confirmed by the Jackknife analysis in MaxEnt and independently collected field validation points. The spatial and temporal correlations of VHC ratios and their response to the predicting variables are discussed.","container-title":"International Journal of Environmental Research and Public Health","issue":"8","page":"892-892","title":"Spatio-Temporal Distribution of Vector-Host Contact (VHC) Ratios and Ecological Niche Modeling of the West Nile Virus Mosquito Vector, Culex quinquefasciatus, in the City of New Orleans, LA, USA","volume":"14","author":[{"family":"Sallam","given":"Mohamed"},{"family":"Michaels","given":"Sarah"},{"family":"Riegel","given":"Claudia"},{"family":"Pereira","given":"Roberto"},{"family":"Zipperer","given":"Wayne"},{"family":"Lockaby","given":"B."},{"family":"Koehler","given":"Philip"}],"issued":{"date-parts":[["2017",8]]}}}],"schema":"https://github.com/citation-style-language/schema/raw/master/csl-citation.json"} </w:instrText>
      </w:r>
      <w:r w:rsidRPr="00AA3319">
        <w:rPr>
          <w:rFonts w:cs="Times New Roman"/>
        </w:rPr>
        <w:fldChar w:fldCharType="separate"/>
      </w:r>
      <w:r w:rsidR="002B37C7" w:rsidRPr="00AA3319">
        <w:rPr>
          <w:rFonts w:cs="Times New Roman"/>
        </w:rPr>
        <w:t>(Sallam et al., 2017)</w:t>
      </w:r>
      <w:r w:rsidRPr="00AA3319">
        <w:rPr>
          <w:rFonts w:cs="Times New Roman"/>
        </w:rPr>
        <w:fldChar w:fldCharType="end"/>
      </w:r>
      <w:r w:rsidRPr="00AA3319">
        <w:rPr>
          <w:rFonts w:cs="Times New Roman"/>
        </w:rPr>
        <w:t xml:space="preserve">. The presence of wetlands can be related to host community composition and increases the chances for vector-host contact </w:t>
      </w:r>
      <w:r w:rsidRPr="00AA3319">
        <w:rPr>
          <w:rFonts w:cs="Times New Roman"/>
        </w:rPr>
        <w:fldChar w:fldCharType="begin"/>
      </w:r>
      <w:r w:rsidR="006B043F" w:rsidRPr="00AA3319">
        <w:rPr>
          <w:rFonts w:cs="Times New Roman"/>
        </w:rPr>
        <w:instrText xml:space="preserve"> ADDIN ZOTERO_ITEM CSL_CITATION {"citationID":"xZMeGhpd","properties":{"formattedCitation":"(Sallam et al., 2017)","plainCitation":"(Sallam et al., 2017)","noteIndex":0},"citationItems":[{"id":1183,"uris":["http://zotero.org/users/5456909/items/5Y38U7T9"],"uri":["http://zotero.org/users/5456909/items/5Y38U7T9"],"itemData":{"id":1183,"type":"article-journal","abstract":"The consistent sporadic transmission of West Nile Virus (WNV) in the city of New Orleans justifies the need for distribution risk maps highlighting human risk of mosquito bites. We modeled the influence of biophysical and socioeconomic metrics on the spatio-temporal distributions of presence/vector-host contact (VHC) ratios of WNV vector, Culex quinquefasciatus, within their flight range. Biophysical and socioeconomic data were extracted within 5-km buffer radii around sampling localities of gravid female Culex quinquefasciatus. The spatio-temporal correlations between VHC data and 33 variables, including climate, land use-land cover (LULC), socioeconomic, and land surface terrain were analyzed using stepwise linear regression models (RM). Using MaxEnt, we developed a distribution model using the correlated predicting variables. Only 12 factors showed significant correlations with spatial distribution of VHC ratios (R2 = 81.62, p &lt; 0.01). Non-forested wetland (NFWL), tree density (TD) and residential-urban (RU) settings demonstrated the strongest relationship. The VHC ratios showed monthly environmental resilience in terms of number and type of influential factors. The highest prediction power of RU and other urban and built up land (OUBL), was demonstrated during May–August. This association was positively correlated with the onset of the mosquito WNV infection rate during June. These findings were confirmed by the Jackknife analysis in MaxEnt and independently collected field validation points. The spatial and temporal correlations of VHC ratios and their response to the predicting variables are discussed.","container-title":"International Journal of Environmental Research and Public Health","issue":"8","page":"892-892","title":"Spatio-Temporal Distribution of Vector-Host Contact (VHC) Ratios and Ecological Niche Modeling of the West Nile Virus Mosquito Vector, Culex quinquefasciatus, in the City of New Orleans, LA, USA","volume":"14","author":[{"family":"Sallam","given":"Mohamed"},{"family":"Michaels","given":"Sarah"},{"family":"Riegel","given":"Claudia"},{"family":"Pereira","given":"Roberto"},{"family":"Zipperer","given":"Wayne"},{"family":"Lockaby","given":"B."},{"family":"Koehler","given":"Philip"}],"issued":{"date-parts":[["2017",8]]}}}],"schema":"https://github.com/citation-style-language/schema/raw/master/csl-citation.json"} </w:instrText>
      </w:r>
      <w:r w:rsidRPr="00AA3319">
        <w:rPr>
          <w:rFonts w:cs="Times New Roman"/>
        </w:rPr>
        <w:fldChar w:fldCharType="separate"/>
      </w:r>
      <w:r w:rsidR="002B37C7" w:rsidRPr="00AA3319">
        <w:rPr>
          <w:rFonts w:cs="Times New Roman"/>
        </w:rPr>
        <w:t>(Sallam et al., 2017)</w:t>
      </w:r>
      <w:r w:rsidRPr="00AA3319">
        <w:rPr>
          <w:rFonts w:cs="Times New Roman"/>
        </w:rPr>
        <w:fldChar w:fldCharType="end"/>
      </w:r>
      <w:r w:rsidRPr="00AA3319">
        <w:rPr>
          <w:rFonts w:cs="Times New Roman"/>
        </w:rPr>
        <w:t xml:space="preserve"> and therefore also the risk of WNV transmission </w:t>
      </w:r>
      <w:r w:rsidRPr="00AA3319">
        <w:rPr>
          <w:rFonts w:cs="Times New Roman"/>
        </w:rPr>
        <w:fldChar w:fldCharType="begin"/>
      </w:r>
      <w:r w:rsidR="002B37C7" w:rsidRPr="00AA3319">
        <w:rPr>
          <w:rFonts w:cs="Times New Roman"/>
        </w:rPr>
        <w:instrText xml:space="preserve"> ADDIN ZOTERO_ITEM CSL_CITATION {"citationID":"LfUxGVOp","properties":{"formattedCitation":"(Chuang et al., 2012; Ezenwa et al., 2006)","plainCitation":"(Chuang et al., 2012; Ezenwa et al., 2006)","noteIndex":0},"citationItems":[{"id":1951,"uris":["http://zotero.org/users/5456909/items/7KGZQJR8"],"uri":["http://zotero.org/users/5456909/items/7KGZQJR8"],"itemData":{"id":1951,"type":"article-journal","abstract":"Understanding the landscape-level determinants of West Nile virus (WNV) can aid in mapping high-risk areas and enhance disease control and prevention efforts. This study analyzed the spatial patterns of human WNV cases in three areas in South Dakota during 2003-2007 and investigated the influences of land cover, hydrology, soils, irrigation, and elevation by using case-control models. Land cover, hydrology, soils, and elevation all influenced WNV risk, although the main drivers were different in each study area. Risk for WNV was generally higher in areas with rural land cover than in developed areas, and higher close to wetlands or soils with a high ponding frequency. In western South Dakota, WNV risk also decreased with increasing elevation and was higher in forested areas. Our results showed that the spatial patterns of human WNV risk were associated with landscape-level features that likely reflect variability in mosquito ecology, avian host communities, and human activity.","container-title":"The American Journal of Tropical Medicine and Hygiene","issue":"4","page":"724-31","title":"Landscape-level spatial patterns of West Nile virus risk in the northern Great Plains.","volume":"86","author":[{"family":"Chuang","given":"T.W."},{"family":"Hockett","given":"Christine W"},{"family":"Kightlinger","given":"Lon"},{"family":"Wimberly","given":"Michael C"}],"issued":{"date-parts":[["2012"]]}}},{"id":1296,"uris":["http://zotero.org/users/5456909/items/57ZLVJYJ"],"uri":["http://zotero.org/users/5456909/items/57ZLVJYJ"],"itemData":{"id":1296,"type":"article-journal","abstract":"The emergence of several high profile infectious diseases in recent years has focused attention on our need to understand the ecological factors contributing to the spread of infectious diseases. West Nile virus (WNV) is a mosquito-borne zoonotic disease that was first detected in the United States in 1999. The factors accounting for variation in the prevalence of WNV are poorly understood, but recentideas suggesting links between high biodiversity and reduced vector-borne disease risk may help account for distribution patterns of this disease. Since wild birds are the primary reservoir hosts for WNV, we tested associations between passerine (Passeriform) bird diversity, non-passerine (all other orders) bird diversity and virus infection rates in mosquitoes and humans to examine the extent to which bird diversity is associated with WNV infection risk. We found t h at non-passerine species richness (number of non-passerine species) was significantly negatively correlated with both mosquito and human infection rates, whereas there was no significant association between passerine species richness and any measure of infection risk. Our findings suggest that non-passerine diversity may play a role in dampening WNV amplification rates in mosquitoes, minimizing human disease risk.","container-title":"Proceedings. Biological sciences","issue":"1582","page":"109-17","title":"Avian diversity and West Nile virus: testing associations between biodiversity and infectious disease risk.","volume":"273","author":[{"family":"Ezenwa","given":"Vanessa O"},{"family":"Godsey","given":"Marvin S"},{"family":"King","given":"Raymond J"},{"family":"Guptill","given":"Stephen C"}],"issued":{"date-parts":[["2006",1]]}}}],"schema":"https://github.com/citation-style-language/schema/raw/master/csl-citation.json"} </w:instrText>
      </w:r>
      <w:r w:rsidRPr="00AA3319">
        <w:rPr>
          <w:rFonts w:cs="Times New Roman"/>
        </w:rPr>
        <w:fldChar w:fldCharType="separate"/>
      </w:r>
      <w:r w:rsidR="002B37C7" w:rsidRPr="00AA3319">
        <w:rPr>
          <w:rFonts w:cs="Times New Roman"/>
        </w:rPr>
        <w:t>(Chuang et al., 2012; Ezenwa et al., 2006)</w:t>
      </w:r>
      <w:r w:rsidRPr="00AA3319">
        <w:rPr>
          <w:rFonts w:cs="Times New Roman"/>
        </w:rPr>
        <w:fldChar w:fldCharType="end"/>
      </w:r>
      <w:r w:rsidRPr="00AA3319">
        <w:rPr>
          <w:rFonts w:cs="Times New Roman"/>
        </w:rPr>
        <w:t>.</w:t>
      </w:r>
    </w:p>
    <w:p w14:paraId="244B974E" w14:textId="3440132D" w:rsidR="00734938" w:rsidRPr="00AA3319" w:rsidRDefault="00734938" w:rsidP="00734938">
      <w:pPr>
        <w:rPr>
          <w:rFonts w:cs="Times New Roman"/>
        </w:rPr>
      </w:pPr>
      <w:r w:rsidRPr="00AA3319">
        <w:rPr>
          <w:rFonts w:cs="Times New Roman"/>
        </w:rPr>
        <w:t xml:space="preserve">Mosquito-borne diseases also vary within and across seasons, as climatic conditions change throughout the year. Mosquito population dynamics are influenced by fluctuations in sub-seasonal flooding and drying of breeding sites </w:t>
      </w:r>
      <w:r w:rsidRPr="00AA3319">
        <w:rPr>
          <w:rFonts w:cs="Times New Roman"/>
        </w:rPr>
        <w:fldChar w:fldCharType="begin"/>
      </w:r>
      <w:r w:rsidR="00531D94" w:rsidRPr="00AA3319">
        <w:rPr>
          <w:rFonts w:cs="Times New Roman"/>
        </w:rPr>
        <w:instrText xml:space="preserve"> ADDIN ZOTERO_ITEM CSL_CITATION {"citationID":"aQaSdua0","properties":{"formattedCitation":"(Bicout et al., 2015)","plainCitation":"(Bicout et al., 2015)","noteIndex":0},"citationItems":[{"id":1473,"uris":["http://zotero.org/users/5456909/items/24JNWLNR"],"uri":["http://zotero.org/users/5456909/items/24JNWLNR"],"itemData":{"id":1473,"type":"article-journal","abstract":"Mosquito-borne diseases like Rift Valley Fever and Malaria that cause serious health threat to human and livestock populations are known to correlate with the tremendous increase of associated mosquito vectors following periods of widespread and heavy rainfall. In the Barkedji area, Senegal, rainfall occur only during the July–October wet season, and mosquito breeding sites are provided by relatively small temporary ponds, which account for the vast majority of the water surfaces during the rainy season. Given that rain fed ponds play a key role in the epidemiology of the mosquito-borne diseases, we have developed an approach allowing to model the flooding/drying dynamics of rain fed ponds in the Barkedji area by combining the detection of ponds using optical remote sensing techniques, field data on a small set of monitored ponds and modeling of both the pond profile, shapes and the flooding/drying dynamics at the single-pond level for each pond in the entire region. As a result, we have computed on output the daily flooding/drying dynamics for each of the 1345 rain fed ponds detected in Barkedji area as a function of the daily rainfall in input. As dry and fluctuating ponds are less productive in mosquitoes, the ponds are characterizes in terms of flooding-drying fluctuations and of resistance to dryness by computing the total number of time per year a pond dries out and the pond lifetime, respectively. And, clusters of ponds with identical behavior, i.e., clusters of temporary, semi-permanent and permanent ponds, were subsequently identified. As a perspective, we show how this work can be used for modelling mosquito population dynamics and addressing the issues of associated impacts of climate change.","container-title":"Ecological modelling","page":"41-49","title":"Modeling the dynamics of mosquito breeding sites vs rainfall in Barkedji area, Senegal","volume":"317","author":[{"family":"Bicout","given":"Dominique J."},{"family":"Vautrin","given":"Mathias"},{"family":"Vignolles","given":"Cecile"},{"family":"Sabatier","given":"Philippe"}],"issued":{"date-parts":[["2015",12]]}}}],"schema":"https://github.com/citation-style-language/schema/raw/master/csl-citation.json"} </w:instrText>
      </w:r>
      <w:r w:rsidRPr="00AA3319">
        <w:rPr>
          <w:rFonts w:cs="Times New Roman"/>
        </w:rPr>
        <w:fldChar w:fldCharType="separate"/>
      </w:r>
      <w:r w:rsidR="002B37C7" w:rsidRPr="00AA3319">
        <w:rPr>
          <w:rFonts w:cs="Times New Roman"/>
        </w:rPr>
        <w:t>(Bicout et al., 2015)</w:t>
      </w:r>
      <w:r w:rsidRPr="00AA3319">
        <w:rPr>
          <w:rFonts w:cs="Times New Roman"/>
        </w:rPr>
        <w:fldChar w:fldCharType="end"/>
      </w:r>
      <w:r w:rsidRPr="00AA3319">
        <w:rPr>
          <w:rFonts w:cs="Times New Roman"/>
        </w:rPr>
        <w:t xml:space="preserve">, which makes disease transmission equally sensitive to these variations </w:t>
      </w:r>
      <w:r w:rsidRPr="00AA3319">
        <w:rPr>
          <w:rFonts w:cs="Times New Roman"/>
        </w:rPr>
        <w:fldChar w:fldCharType="begin"/>
      </w:r>
      <w:r w:rsidR="002B37C7" w:rsidRPr="00AA3319">
        <w:rPr>
          <w:rFonts w:cs="Times New Roman"/>
        </w:rPr>
        <w:instrText xml:space="preserve"> ADDIN ZOTERO_ITEM CSL_CITATION {"citationID":"nbPN5rvS","properties":{"formattedCitation":"(Chuang and Wimberly, 2012)","plainCitation":"(Chuang and Wimberly, 2012)","noteIndex":0},"citationItems":[{"id":1126,"uris":["http://zotero.org/users/5456909/items/ZZZNIPQC"],"uri":["http://zotero.org/users/5456909/items/ZZZNIPQC"],"itemData":{"id":1126,"type":"article-journal","abstract":"The northern Great Plains (NGP) of the United States has been a hotspot of West Nile virus (WNV) incidence since 2002. Mosquito ecology and the transmission of vector-borne disease are influenced by multiple environmental factors, and climatic variability is an important driver of inter-annual variation in WNV transmission risk. This study applied multiple environmental predictors including land surface temperature (LST), the normalized difference vegetation index (NDVI) and actual evapotranspiration (ETa) derived from Moderate-Resolution Imaging Spectroradiometer (MODIS) products to establish prediction models for WNV risk in the NGP. These environmental metrics are sensitive to seasonal and inter-annual fluctuations in temperature and precipitation, and are hypothesized to influence mosquito population dynamics and WNV transmission. Non-linear generalized additive models (GAMs) were used to evaluate the influences of deviations of cumulative LST, NDVI, and ETa on inter-annual variations of WNV incidence from 2004–2010. The models were sensitive to the timing of spring green up (measured with NDVI), temperature variability in early spring and summer (measured with LST), and moisture availability from late spring through early summer (measured with ETa), highlighting seasonal changes in the influences of climatic fluctuations on WNV transmission. Predictions based on these variables indicated a low WNV risk across the NGP in 2011, which is concordant with the low case reports in this year. Environmental monitoring using remote-sensed data can contribute to surveillance of WNV risk and prediction of future WNV outbreaks in space and time.","container-title":"PLoS ONE","issue":"10","page":"e46882-e46882","title":"Remote Sensing of Climatic Anomalies and West Nile Virus Incidence in the Northern Great Plains of the United States","volume":"7","author":[{"family":"Chuang","given":"Ting-Wu"},{"family":"Wimberly","given":"Michael C."}],"editor":[{"family":"Khudyakov","given":"Yury E."}],"issued":{"date-parts":[["2012",10]]}}}],"schema":"https://github.com/citation-style-language/schema/raw/master/csl-citation.json"} </w:instrText>
      </w:r>
      <w:r w:rsidRPr="00AA3319">
        <w:rPr>
          <w:rFonts w:cs="Times New Roman"/>
        </w:rPr>
        <w:fldChar w:fldCharType="separate"/>
      </w:r>
      <w:r w:rsidR="002B37C7" w:rsidRPr="00AA3319">
        <w:rPr>
          <w:rFonts w:cs="Times New Roman"/>
        </w:rPr>
        <w:t>(Chuang and Wimberly, 2012)</w:t>
      </w:r>
      <w:r w:rsidRPr="00AA3319">
        <w:rPr>
          <w:rFonts w:cs="Times New Roman"/>
        </w:rPr>
        <w:fldChar w:fldCharType="end"/>
      </w:r>
      <w:r w:rsidRPr="00AA3319">
        <w:rPr>
          <w:rFonts w:cs="Times New Roman"/>
        </w:rPr>
        <w:t xml:space="preserve">. Seasonal climatic variability has also </w:t>
      </w:r>
      <w:r w:rsidR="00D8749A">
        <w:rPr>
          <w:rFonts w:cs="Times New Roman"/>
        </w:rPr>
        <w:t xml:space="preserve">been </w:t>
      </w:r>
      <w:r w:rsidRPr="00AA3319">
        <w:rPr>
          <w:rFonts w:cs="Times New Roman"/>
        </w:rPr>
        <w:t xml:space="preserve">shown to influence disease transmission potential </w:t>
      </w:r>
      <w:r w:rsidRPr="00AA3319">
        <w:rPr>
          <w:rFonts w:cs="Times New Roman"/>
        </w:rPr>
        <w:fldChar w:fldCharType="begin"/>
      </w:r>
      <w:r w:rsidR="000D258D" w:rsidRPr="00AA3319">
        <w:rPr>
          <w:rFonts w:cs="Times New Roman"/>
        </w:rPr>
        <w:instrText xml:space="preserve"> ADDIN ZOTERO_ITEM CSL_CITATION {"citationID":"h17bUdSJ","properties":{"formattedCitation":"(Murdock et al., 2017)","plainCitation":"(Murdock et al., 2017)","noteIndex":0},"citationItems":[{"id":1620,"uris":["http://zotero.org/users/5456909/items/9PXQCDFD"],"uri":["http://zotero.org/users/5456909/items/9PXQCDFD"],"itemData":{"id":1620,"type":"article-journal","abstract":"Most statistical and mechanistic models used to predict mosquito-borne disease transmis-sion incorporate climate drivers of disease transmission by utilizing environmental data col-lected at geographic scales that are potentially coarser than what mosquito populations may actually experience. Temperature and relative humidity can vary greatly between indoor and outdoor environments, and can be influenced strongly by variation in landscape fea-tures. In the Aedes albopictus system, we conducted a proof-of-concept study in the vicinity of the University of Georgia to explore the effects of fine-scale microclimate variation on mosquito life history and vectorial capacity (VC). We placed Ae. albopictus larvae in artificial pots distributed across three replicate sites within three different land uses–urban, subur-ban, and rural, which were characterized by high, intermediate, and low proportions of impervious surfaces. Data loggers were placed into each larval environment and in nearby vegetation to record daily variation in water and ambient temperature and relative humidity. The number of adults emerging from each pot and their body size and sex were recorded daily. We found mosquito microclimate to significantly vary across the season as well as with land use. Urban sites were in general warmer and less humid than suburban and rural sites, translating into decreased larval survival, smaller body sizes, and lower per capita growth rates of mosquitoes on urban sites. Dengue transmission potential was predicted to be higher in the summer than the fall. Additionally, the effects of land use on dengue trans-mission potential varied by season. Warm summers resulted in a higher predicted VC on the cooler, rural sites, while warmer, urban sites had a higher predicted VC during the cooler fall season. PLOS Neglected Tropical Diseases | https://doi.org/10.1371/journal.pntd.0005640 May 30, 2017 1 / 23 a1111111111 a1111111111 a1111111111 a1111111111 a1111111111 OPEN ACCESS Citation: Murdock CC, Evans MV, McClanahan TD, Miazgowicz KL, Tesla B (2017) Fine-scale variation in microclimate across an urban landscape shapes variation in mosquito population dynamics and the potential of Aedes albopictus to transmit arboviral disease. PLoS Negl Trop Dis 11(5): e0005640. Environmental factors influence the dynamics of mosquito-borne disease transmission. Most models used to predict mosquito-borne disease transmission incorporate climate data collected at coarser scales than mosquitoes typically experience. Climate conditions can vary greatly between indoor and outdoor environments, and are influenced by land-scape features. We conducted a field experiment with the Asian tiger mosquito to explore how microclimate variation across an urban landscape affects mosquito life history and potential to transmit arboviruses, like dengue. We demonstrate that climate conditions captured by weather stations do not reflect relevant mosquito microclimate, and that sub-tle variation in mean and diurnal ranges of temperature and relative humidity can lead to appreciable variation in key mosquito / pathogen traits that are important for transmis-sion. Our results have implications for statistical and mechanistic models used to predict variation in transmission across seasons, regions, and land uses, but also for building in realistic environmental variation in laboratory work on mosquito-pathogen interactions. Finally, the variation in microclimate we observed across land use was subtle; likely because our study site is a relatively small city. Nevertheless, these translated into consid-erable differences in mosquito traits and dengue transmission potential, suggesting these effects could be much larger in more expansive cities.","container-title":"PLoS neglected tropical diseases","issue":"5","page":"e0005640-e0005640","title":"Fine-scale variation in microclimate across an urban landscape shapes variation in mosquito population dynamics and the potential of Aedes albopictus to transmit arboviral disease","volume":"11","author":[{"family":"Murdock","given":"Courtney C"},{"family":"Evans","given":"Michelle V"},{"family":"Mcclanahan","given":"Taylor D"},{"family":"Miazgowicz","given":"Kerri L"},{"family":"Tesla","given":"Blanka"}],"issued":{"date-parts":[["2017"]]}}}],"schema":"https://github.com/citation-style-language/schema/raw/master/csl-citation.json"} </w:instrText>
      </w:r>
      <w:r w:rsidRPr="00AA3319">
        <w:rPr>
          <w:rFonts w:cs="Times New Roman"/>
        </w:rPr>
        <w:fldChar w:fldCharType="separate"/>
      </w:r>
      <w:r w:rsidR="002B37C7" w:rsidRPr="00AA3319">
        <w:rPr>
          <w:rFonts w:cs="Times New Roman"/>
        </w:rPr>
        <w:t>(Murdock et al., 2017)</w:t>
      </w:r>
      <w:r w:rsidRPr="00AA3319">
        <w:rPr>
          <w:rFonts w:cs="Times New Roman"/>
        </w:rPr>
        <w:fldChar w:fldCharType="end"/>
      </w:r>
      <w:r w:rsidRPr="00AA3319">
        <w:rPr>
          <w:rFonts w:cs="Times New Roman"/>
        </w:rPr>
        <w:t xml:space="preserve">. These seasonal and sub-seasonal effects on mosquito-borne disease transmission can additionally be affected by land cover. </w:t>
      </w:r>
    </w:p>
    <w:p w14:paraId="02F854B2" w14:textId="50D91319" w:rsidR="00734938" w:rsidRPr="00AA3319" w:rsidRDefault="00734938" w:rsidP="00734938">
      <w:pPr>
        <w:rPr>
          <w:rFonts w:cs="Times New Roman"/>
        </w:rPr>
      </w:pPr>
      <w:r w:rsidRPr="00AA3319">
        <w:rPr>
          <w:rFonts w:cs="Times New Roman"/>
        </w:rPr>
        <w:t xml:space="preserve">Land cover influences the climate as built-up areas, vegetated areas and water bodies influence latent and sensible heat fluxes, as well as water flow. The interaction between disease relevant species is heterogeneous across a landscape with varying environmental conditions. Lambin et al. </w:t>
      </w:r>
      <w:r w:rsidRPr="00AA3319">
        <w:rPr>
          <w:rFonts w:cs="Times New Roman"/>
        </w:rPr>
        <w:fldChar w:fldCharType="begin"/>
      </w:r>
      <w:r w:rsidR="00D5378A" w:rsidRPr="00AA3319">
        <w:rPr>
          <w:rFonts w:cs="Times New Roman"/>
        </w:rPr>
        <w:instrText xml:space="preserve"> ADDIN ZOTERO_ITEM CSL_CITATION {"citationID":"4iGkQooo","properties":{"formattedCitation":"(Lambin et al., 2010)","plainCitation":"(Lambin et al., 2010)","dontUpdate":true,"noteIndex":0},"citationItems":[{"id":40,"uris":["http://zotero.org/users/5456909/items/QFGE8I2C"],"uri":["http://zotero.org/users/5456909/items/QFGE8I2C"],"itemData":{"id":40,"type":"article-journal","abstract":"Landscape attributes influence spatial variations in disease risk or incidence. We present a review of the key findings from eight case studies that we conducted in Europe and West Africa on the impact of land changes on emerging or re-emerging vector-borne diseases and/or zoonoses. The case studies concern West Nile virus transmission in Senegal, tick-borne encephalitis incidence in Latvia, sandfly abundance in the French Pyrenees, Rift Valley Fever in the Ferlo (Senegal), West Nile Fever and the risk of malaria re-emergence in the Camargue, and rodent-borne Puumala hantavirus and Lyme borreliosis in Belgium.","container-title":"International Journal of Health Geographics","ISSN":"1476-072X","issue":"1","journalAbbreviation":"International Journal of Health Geographics","page":"54","source":"BioMed Central","title":"Pathogenic landscapes: Interactions between land, people, disease vectors, and their animal hosts","title-short":"Pathogenic landscapes","volume":"9","author":[{"family":"Lambin","given":"Eric F."},{"family":"Tran","given":"Annelise"},{"family":"Vanwambeke","given":"Sophie O."},{"family":"Linard","given":"Catherine"},{"family":"Soti","given":"Valérie"}],"issued":{"date-parts":[["2010",10,27]]}}}],"schema":"https://github.com/citation-style-language/schema/raw/master/csl-citation.json"} </w:instrText>
      </w:r>
      <w:r w:rsidRPr="00AA3319">
        <w:rPr>
          <w:rFonts w:cs="Times New Roman"/>
        </w:rPr>
        <w:fldChar w:fldCharType="separate"/>
      </w:r>
      <w:r w:rsidRPr="00AA3319">
        <w:rPr>
          <w:rFonts w:cs="Times New Roman"/>
        </w:rPr>
        <w:t>(2010)</w:t>
      </w:r>
      <w:r w:rsidRPr="00AA3319">
        <w:rPr>
          <w:rFonts w:cs="Times New Roman"/>
        </w:rPr>
        <w:fldChar w:fldCharType="end"/>
      </w:r>
      <w:r w:rsidRPr="00AA3319">
        <w:rPr>
          <w:rFonts w:cs="Times New Roman"/>
        </w:rPr>
        <w:t xml:space="preserve"> have coined the term “pathogenic landscapes” to describe how landscape heterogeneity influences spatial variation in disease transmission. Environmental conditions can be a limiting factor for disease transmission on a landscape, as factors like land cover and hydrology can determine whether mosquitoes find suitable </w:t>
      </w:r>
      <w:r w:rsidRPr="00AA3319">
        <w:rPr>
          <w:rFonts w:cs="Times New Roman"/>
        </w:rPr>
        <w:lastRenderedPageBreak/>
        <w:t xml:space="preserve">habitat that includes breeding sites to lay eggs or vegetated spots to rest after taking a blood meal. As land cover and physiography also influence microclimate, their interplay with seasonal or even sub-seasonal climatic variation may influence disease risk across a landscape. A next step to advance mosquito habitat and disease risk mapping is to expand studies to measure spatial and temporal patterns of environmental drivers, as there have been few studies to date investigating the influence of climatic variability while taking the landscape composition into account. </w:t>
      </w:r>
    </w:p>
    <w:p w14:paraId="0BD5DD7A" w14:textId="77777777" w:rsidR="00734938" w:rsidRPr="00AA3319" w:rsidRDefault="00734938" w:rsidP="00734938">
      <w:pPr>
        <w:pStyle w:val="Heading2"/>
        <w:rPr>
          <w:rFonts w:cs="Times New Roman"/>
        </w:rPr>
      </w:pPr>
      <w:bookmarkStart w:id="8" w:name="_Toc78889183"/>
      <w:r w:rsidRPr="00AA3319">
        <w:rPr>
          <w:rFonts w:cs="Times New Roman"/>
        </w:rPr>
        <w:t>The use of satellite data to study mosquito-borne diseases</w:t>
      </w:r>
      <w:bookmarkEnd w:id="8"/>
    </w:p>
    <w:p w14:paraId="269E3644" w14:textId="4D08FCAA" w:rsidR="00734938" w:rsidRPr="00FE14A4" w:rsidRDefault="00734938" w:rsidP="00734938">
      <w:pPr>
        <w:rPr>
          <w:rFonts w:cs="Times New Roman"/>
          <w:szCs w:val="24"/>
        </w:rPr>
      </w:pPr>
      <w:r w:rsidRPr="00FE14A4">
        <w:rPr>
          <w:rFonts w:cs="Times New Roman"/>
          <w:szCs w:val="24"/>
        </w:rPr>
        <w:t xml:space="preserve">Geospatial environmental data help us understand environmental drivers of mosquito-borne diseases across landscapes. The data for such studies can come from different sources, including national survey data, interpolated data from weather stations and more recently also from </w:t>
      </w:r>
      <w:r w:rsidR="006E2151">
        <w:rPr>
          <w:rFonts w:cs="Times New Roman"/>
          <w:szCs w:val="24"/>
        </w:rPr>
        <w:t xml:space="preserve">satellite </w:t>
      </w:r>
      <w:r w:rsidRPr="00FE14A4">
        <w:rPr>
          <w:rFonts w:cs="Times New Roman"/>
          <w:szCs w:val="24"/>
        </w:rPr>
        <w:t xml:space="preserve">remote sensing. These can then be combined with mosquito or disease data to predict disease risk across a given landscape </w:t>
      </w:r>
      <w:r w:rsidRPr="00FE14A4">
        <w:rPr>
          <w:rFonts w:cs="Times New Roman"/>
          <w:szCs w:val="24"/>
        </w:rPr>
        <w:fldChar w:fldCharType="begin"/>
      </w:r>
      <w:r w:rsidR="002B37C7" w:rsidRPr="00FE14A4">
        <w:rPr>
          <w:rFonts w:cs="Times New Roman"/>
          <w:szCs w:val="24"/>
        </w:rPr>
        <w:instrText xml:space="preserve"> ADDIN ZOTERO_ITEM CSL_CITATION {"citationID":"bV64bFYE","properties":{"formattedCitation":"(Johnson et al., 2019; Peterson, 2014)","plainCitation":"(Johnson et al., 2019; Peterson, 2014)","noteIndex":0},"citationItems":[{"id":3577,"uris":["http://zotero.org/users/5456909/items/M7U4RJGP"],"uri":["http://zotero.org/users/5456909/items/M7U4RJGP"],"itemData":{"id":3577,"type":"article-journal","abstract":"Ecological niche modeling (ENM) is widely employed in ecology to predict species’ potential geographic distributions in relation to their environmental constraints and is rapidly becoming the gold-standard method for disease risk mapping. However, given the biological complexity of disease systems, the traditional ENM framework requires reevaluation. We provide an overview of the application of ENM to disease systems and propose a theoretical framework based on the biological properties of both hosts and parasites to produce reliable outputs resembling disease system distributions. Additionally, we discuss the differences between biological considerations when implementing ENM for distributional ecology and epidemiology. This new framework will help the field of disease ecology and applications of biogeography in the epidemiology of infectious diseases.","container-title":"Trends in Ecology &amp; Evolution","journalAbbreviation":"Trends in Ecology &amp; Evolution","source":"ScienceDirect","title":"An Ecological Framework for Modeling the Geography of Disease Transmission","author":[{"family":"Johnson","given":"Erica E."},{"family":"Escobar","given":"Luis E."},{"family":"Zambrana-Torrelio","given":"Carlos"}],"accessed":{"date-parts":[["2019",5,15]]},"issued":{"date-parts":[["2019",5,8]]}}},{"id":1798,"uris":["http://zotero.org/users/5456909/items/WHL74ZAB"],"uri":["http://zotero.org/users/5456909/items/WHL74ZAB"],"itemData":{"id":1798,"type":"book","event-place":"Baltimore","ISBN":"978-1-4214-1473-7","publisher":"The Johns Hopkins University Press","publisher-place":"Baltimore","title":"Mapping Disease Transmission Risk.","author":[{"family":"Peterson","given":"A. T."}],"issued":{"date-parts":[["2014"]]}}}],"schema":"https://github.com/citation-style-language/schema/raw/master/csl-citation.json"} </w:instrText>
      </w:r>
      <w:r w:rsidRPr="00FE14A4">
        <w:rPr>
          <w:rFonts w:cs="Times New Roman"/>
          <w:szCs w:val="24"/>
        </w:rPr>
        <w:fldChar w:fldCharType="separate"/>
      </w:r>
      <w:r w:rsidR="002B37C7" w:rsidRPr="00FE14A4">
        <w:rPr>
          <w:rFonts w:cs="Times New Roman"/>
          <w:szCs w:val="24"/>
        </w:rPr>
        <w:t>(Johnson et al., 2019; Peterson, 2014)</w:t>
      </w:r>
      <w:r w:rsidRPr="00FE14A4">
        <w:rPr>
          <w:rFonts w:cs="Times New Roman"/>
          <w:szCs w:val="24"/>
        </w:rPr>
        <w:fldChar w:fldCharType="end"/>
      </w:r>
      <w:r w:rsidRPr="00FE14A4">
        <w:rPr>
          <w:rFonts w:cs="Times New Roman"/>
          <w:szCs w:val="24"/>
        </w:rPr>
        <w:t xml:space="preserve">. Such models have been applied for predictive mapping of vector mosquito species </w:t>
      </w:r>
      <w:r w:rsidRPr="00FE14A4">
        <w:rPr>
          <w:rFonts w:cs="Times New Roman"/>
          <w:szCs w:val="24"/>
        </w:rPr>
        <w:fldChar w:fldCharType="begin"/>
      </w:r>
      <w:r w:rsidR="00FF3DA9" w:rsidRPr="00FE14A4">
        <w:rPr>
          <w:rFonts w:cs="Times New Roman"/>
          <w:szCs w:val="24"/>
        </w:rPr>
        <w:instrText xml:space="preserve"> ADDIN ZOTERO_ITEM CSL_CITATION {"citationID":"nbGAeh0b","properties":{"formattedCitation":"(Uusitalo et al., 2019)","plainCitation":"(Uusitalo et al., 2019)","noteIndex":0},"citationItems":[{"id":16,"uris":["http://zotero.org/users/5456909/items/QCMXYV64"],"uri":["http://zotero.org/users/5456909/items/QCMXYV64"],"itemData":{"id":16,"type":"article-journal","abstract":"Mosquitoes are vectors for numerous pathogens, which are collectively responsible for millions of human deaths each year. As such, it is vital to be able to accurately predict their distributions, particularly in areas where species composition is unknown. Species distribution modeling was used to determine the relationship between environmental, anthropogenic and distance factors on the occurrence of two mosquito genera, Culex Linnaeus and Stegomyia Theobald (syn. Aedes), in the Taita Hills, southeastern Kenya. This study aims to test whether any of the statistical prediction models produced by the Biomod2 package in R can reliably estimate the distributions of mosquitoes in these genera in the Taita Hills; and to examine which factors best explain their presence. Mosquito collections were acquired from 122 locations between January–March 2016 along transects throughout the Taita Hills. Environmental-, anthropogenic- and distance-based geospatial data were acquired from the Taita Hills geo-database, satellite- and aerial imagery and processed in GIS software. The Biomod2 package in R, intended for ensemble forecasting of species distributions, was used to generate predictive models. Slope, human population density, normalized difference vegetation index, distance to roads and elevation best estimated Culex distributions by a generalized additive model with an area under the curve (AUC) value of 0.791. Mean radiation, human population density, normalized difference vegetation index, distance to roads and mean temperature resulted in the highest AUC (0.708) value in a random forest model for Stegomyia distributions. We conclude that in the process towards more detailed species-level maps, with our study results, general assumptions can be made about the distribution areas of Culex and Stegomyia mosquitoes in the Taita Hills and the factors which influence their distribution.","container-title":"International Journal of Applied Earth Observation and Geoinformation","ISSN":"0303-2434","journalAbbreviation":"International Journal of Applied Earth Observation and Geoinformation","page":"84-92","source":"ScienceDirect","title":"Predictive mapping of mosquito distribution based on environmental and anthropogenic factors in Taita Hills, Kenya","volume":"76","author":[{"family":"Uusitalo","given":"Ruut"},{"family":"Siljander","given":"Mika"},{"family":"Culverwell","given":"C. Lorna"},{"family":"Mutai","given":"Noah C."},{"family":"Forbes","given":"Kristian M."},{"family":"Vapalahti","given":"Olli"},{"family":"Pellikka","given":"Petri K. E."}],"issued":{"date-parts":[["2019",4,1]]}}}],"schema":"https://github.com/citation-style-language/schema/raw/master/csl-citation.json"} </w:instrText>
      </w:r>
      <w:r w:rsidRPr="00FE14A4">
        <w:rPr>
          <w:rFonts w:cs="Times New Roman"/>
          <w:szCs w:val="24"/>
        </w:rPr>
        <w:fldChar w:fldCharType="separate"/>
      </w:r>
      <w:r w:rsidR="002B37C7" w:rsidRPr="00FE14A4">
        <w:rPr>
          <w:rFonts w:cs="Times New Roman"/>
          <w:szCs w:val="24"/>
        </w:rPr>
        <w:t>(Uusitalo et al., 2019)</w:t>
      </w:r>
      <w:r w:rsidRPr="00FE14A4">
        <w:rPr>
          <w:rFonts w:cs="Times New Roman"/>
          <w:szCs w:val="24"/>
        </w:rPr>
        <w:fldChar w:fldCharType="end"/>
      </w:r>
      <w:r w:rsidRPr="00FE14A4">
        <w:rPr>
          <w:rFonts w:cs="Times New Roman"/>
          <w:szCs w:val="24"/>
        </w:rPr>
        <w:t xml:space="preserve">, and also to map the transmission risk of diseases like malaria </w:t>
      </w:r>
      <w:r w:rsidRPr="00FE14A4">
        <w:rPr>
          <w:rFonts w:cs="Times New Roman"/>
          <w:szCs w:val="24"/>
        </w:rPr>
        <w:fldChar w:fldCharType="begin"/>
      </w:r>
      <w:r w:rsidR="00701ADA" w:rsidRPr="00FE14A4">
        <w:rPr>
          <w:rFonts w:cs="Times New Roman"/>
          <w:szCs w:val="24"/>
        </w:rPr>
        <w:instrText xml:space="preserve"> ADDIN ZOTERO_ITEM CSL_CITATION {"citationID":"nFU5lkY1","properties":{"formattedCitation":"(Solano-Villarreal et al., 2019)","plainCitation":"(Solano-Villarreal et al., 2019)","noteIndex":0},"citationItems":[{"id":3930,"uris":["http://zotero.org/users/5456909/items/LDT9VHJ3"],"uri":["http://zotero.org/users/5456909/items/LDT9VHJ3"],"itemData":{"id":3930,"type":"article-journal","abstract":"This is the first study to assess the risk of co-endemic Plasmodium vivax and Plasmodium falciparum transmission in the Peruvian Amazon using boosted regression tree (BRT) models based on social and environmental predictors derived from satellite imagery and data. Yearly cross-validated BRT models were created to discriminate high-risk (annual parasite index API &gt; 10 cases/1000 people) and very-high-risk for malaria (API &gt; 50 cases/1000 people) in 2766 georeferenced villages of Loreto department, between 2010–2017 as other parts in the article (graphs, tables, and texts). Predictors were cumulative annual rainfall, forest coverage, annual forest loss, annual mean land surface temperature, normalized difference vegetation index (NDVI), normalized difference water index (NDWI), shortest distance to rivers, time to populated villages, and population density. BRT models built with predictor data of a given year efficiently discriminated the malaria risk for that year in villages (area under the ROC curve (AUC) &gt; 0.80), and most models also effectively predicted malaria risk in the following year. Cumulative rainfall, population density and time to populated villages were consistently the top three predictors for both P. vivax and P. falciparum incidence. Maps created using the BRT models characterize the spatial distribution of the malaria incidence in Loreto and should contribute to malaria-related decision making in the area.","container-title":"Scientific Reports","ISSN":"2045-2322","issue":"1","language":"en","note":"number: 1\npublisher: Nature Publishing Group","page":"15173","source":"www.nature.com","title":"Malaria risk assessment and mapping using satellite imagery and boosted regression trees in the Peruvian Amazon","volume":"9","author":[{"family":"Solano-Villarreal","given":"Elisa"},{"family":"Valdivia","given":"Walter"},{"family":"Pearcy","given":"Morgan"},{"family":"Linard","given":"Catherine"},{"family":"Pasapera-Gonzales","given":"José"},{"family":"Moreno-Gutierrez","given":"Diamantina"},{"family":"Lejeune","given":"Philippe"},{"family":"Llanos-Cuentas","given":"Alejandro"},{"family":"Speybroeck","given":"Niko"},{"family":"Hayette","given":"Marie-Pierre"},{"family":"Rosas-Aguirre","given":"Angel"}],"issued":{"date-parts":[["2019",10,23]]}}}],"schema":"https://github.com/citation-style-language/schema/raw/master/csl-citation.json"} </w:instrText>
      </w:r>
      <w:r w:rsidRPr="00FE14A4">
        <w:rPr>
          <w:rFonts w:cs="Times New Roman"/>
          <w:szCs w:val="24"/>
        </w:rPr>
        <w:fldChar w:fldCharType="separate"/>
      </w:r>
      <w:r w:rsidR="00701ADA" w:rsidRPr="00FE14A4">
        <w:rPr>
          <w:rFonts w:cs="Times New Roman"/>
          <w:szCs w:val="24"/>
        </w:rPr>
        <w:t>(Solano-Villarreal et al., 2019)</w:t>
      </w:r>
      <w:r w:rsidRPr="00FE14A4">
        <w:rPr>
          <w:rFonts w:cs="Times New Roman"/>
          <w:szCs w:val="24"/>
        </w:rPr>
        <w:fldChar w:fldCharType="end"/>
      </w:r>
      <w:r w:rsidRPr="00FE14A4">
        <w:rPr>
          <w:rFonts w:cs="Times New Roman"/>
          <w:szCs w:val="24"/>
        </w:rPr>
        <w:t xml:space="preserve">, West Nile virus </w:t>
      </w:r>
      <w:r w:rsidRPr="00FE14A4">
        <w:rPr>
          <w:rFonts w:cs="Times New Roman"/>
          <w:szCs w:val="24"/>
        </w:rPr>
        <w:fldChar w:fldCharType="begin"/>
      </w:r>
      <w:r w:rsidR="001B184A" w:rsidRPr="00FE14A4">
        <w:rPr>
          <w:rFonts w:cs="Times New Roman"/>
          <w:szCs w:val="24"/>
        </w:rPr>
        <w:instrText xml:space="preserve"> ADDIN ZOTERO_ITEM CSL_CITATION {"citationID":"YEaHKa9b","properties":{"formattedCitation":"(Epp et al., 2009)","plainCitation":"(Epp et al., 2009)","noteIndex":0},"citationItems":[{"id":851,"uris":["http://zotero.org/users/5456909/items/YL5PGD6A"],"uri":["http://zotero.org/users/5456909/items/YL5PGD6A"],"itemData":{"id":851,"type":"article-journal","abstract":"T he introduction of West Nile virus (WNV) into North Amer-ica sparked an interest in predicting where and when the virus would appear. 1 Predictive risk mapping is a process by which components of the disease cycle are used to create models and subsequent risk maps. 2,3 The methods have become more prac-tical for a broader range of diseases and study locations because remote sensing can now provide environmental information at required spatial and temporal resolution. 4,5 Vector-borne diseases, such as WNV, are particularly amenable to spatial and temporal analysis as they are highly influenced by regular, seasonal climate, and environmental changes. 3,6-8 During the season, mosquitoes become infected with the West Nile virus primarily through bird-blood meals and then retransmit the virus to any one of multiple bird species, a cycle which amplifies the virus. Governed by environmental conditions and host behaviours, infected mosquitoes can spread WNV to other incidental hosts, such as humans and horses. Defining the risk of WNV infection is a key component to pub-lic health intervention strategies. 9 Prioritization of vector-borne dis-ease programs in the overall public health budget is a juggling act, affected by limited funding availability. In Saskatchewan, inter-ventions are prioritized largely based on environmental conditions conducive to mosquito development and surveillance for clinical disease in humans. Health officials could increase the cost effec-tiveness of control and surveillance programs with a method of pre-dicting differences in regional risk of infection. The primary objective of this study was to describe the applica-tion of a previously established model to predict areas of low, medi-um, and high risk of WNV in humans in both 2003 and 2007 in the province of Saskatchewan. 10 The second objective was to use his-torical surveillance data from 2003-2005 to make predictions of areas of risk of WNV in humans in 2007.","container-title":"Canadian Journal of Public Health","issue":"5","page":"344-348","title":"Predicting Geographical Human Risk of West Nile Virus - Saskatchewan, 2003 and 2007","volume":"100","author":[{"family":"Epp","given":"Tasha Y."},{"literal":"Wakdber Cgeryl L."},{"family":"Berke","given":"Olaf"}],"issued":{"date-parts":[["2009"]]}}}],"schema":"https://github.com/citation-style-language/schema/raw/master/csl-citation.json"} </w:instrText>
      </w:r>
      <w:r w:rsidRPr="00FE14A4">
        <w:rPr>
          <w:rFonts w:cs="Times New Roman"/>
          <w:szCs w:val="24"/>
        </w:rPr>
        <w:fldChar w:fldCharType="separate"/>
      </w:r>
      <w:r w:rsidR="002B37C7" w:rsidRPr="00FE14A4">
        <w:rPr>
          <w:rFonts w:cs="Times New Roman"/>
          <w:szCs w:val="24"/>
        </w:rPr>
        <w:t>(Epp et al., 2009)</w:t>
      </w:r>
      <w:r w:rsidRPr="00FE14A4">
        <w:rPr>
          <w:rFonts w:cs="Times New Roman"/>
          <w:szCs w:val="24"/>
        </w:rPr>
        <w:fldChar w:fldCharType="end"/>
      </w:r>
      <w:r w:rsidRPr="00FE14A4">
        <w:rPr>
          <w:rFonts w:cs="Times New Roman"/>
          <w:szCs w:val="24"/>
        </w:rPr>
        <w:t xml:space="preserve">, </w:t>
      </w:r>
      <w:r w:rsidR="00D23FFF">
        <w:rPr>
          <w:rFonts w:cs="Times New Roman"/>
          <w:szCs w:val="24"/>
        </w:rPr>
        <w:t>and</w:t>
      </w:r>
      <w:r w:rsidRPr="00FE14A4">
        <w:rPr>
          <w:rFonts w:cs="Times New Roman"/>
          <w:szCs w:val="24"/>
        </w:rPr>
        <w:t xml:space="preserve"> other environmentally driven infectious diseases </w:t>
      </w:r>
      <w:r w:rsidRPr="00FE14A4">
        <w:rPr>
          <w:rFonts w:cs="Times New Roman"/>
          <w:szCs w:val="24"/>
        </w:rPr>
        <w:fldChar w:fldCharType="begin"/>
      </w:r>
      <w:r w:rsidR="00D5378A" w:rsidRPr="00FE14A4">
        <w:rPr>
          <w:rFonts w:cs="Times New Roman"/>
          <w:szCs w:val="24"/>
        </w:rPr>
        <w:instrText xml:space="preserve"> ADDIN ZOTERO_ITEM CSL_CITATION {"citationID":"BNFkWNJC","properties":{"formattedCitation":"(Mayfield et al., 2018)","plainCitation":"(Mayfield et al., 2018)","noteIndex":0},"citationItems":[{"id":156,"uris":["http://zotero.org/users/5456909/items/HIBMZ4NB"],"uri":["http://zotero.org/users/5456909/items/HIBMZ4NB"],"itemData":{"id":156,"type":"article-journal","container-title":"PLOS Neglected Tropical Diseases","ISSN":"1935-2735","issue":"10","language":"en","page":"e0006857","source":"Crossref","title":"Predictive risk mapping of an environmentally-driven infectious disease using spatial Bayesian networks: A case study of leptospirosis in Fiji","title-short":"Predictive risk mapping of an environmentally-driven infectious disease using spatial Bayesian networks","volume":"12","author":[{"family":"Mayfield","given":"Helen J."},{"family":"Smith","given":"Carl S."},{"family":"Lowry","given":"John H."},{"family":"Watson","given":"Conall H."},{"family":"Baker","given":"Michael G."},{"family":"Kama","given":"Mike"},{"family":"Nilles","given":"Eric J."},{"family":"Lau","given":"Colleen L."}],"editor":[{"family":"Carvalho","given":"Marilia Sá"}],"issued":{"date-parts":[["2018",10,11]]}}}],"schema":"https://github.com/citation-style-language/schema/raw/master/csl-citation.json"} </w:instrText>
      </w:r>
      <w:r w:rsidRPr="00FE14A4">
        <w:rPr>
          <w:rFonts w:cs="Times New Roman"/>
          <w:szCs w:val="24"/>
        </w:rPr>
        <w:fldChar w:fldCharType="separate"/>
      </w:r>
      <w:r w:rsidR="002B37C7" w:rsidRPr="00FE14A4">
        <w:rPr>
          <w:rFonts w:cs="Times New Roman"/>
          <w:szCs w:val="24"/>
        </w:rPr>
        <w:t>(Mayfield et al., 2018)</w:t>
      </w:r>
      <w:r w:rsidRPr="00FE14A4">
        <w:rPr>
          <w:rFonts w:cs="Times New Roman"/>
          <w:szCs w:val="24"/>
        </w:rPr>
        <w:fldChar w:fldCharType="end"/>
      </w:r>
      <w:r w:rsidRPr="00FE14A4">
        <w:rPr>
          <w:rFonts w:cs="Times New Roman"/>
          <w:szCs w:val="24"/>
        </w:rPr>
        <w:t xml:space="preserve">. </w:t>
      </w:r>
    </w:p>
    <w:p w14:paraId="1E9487DE" w14:textId="5EC87BDB" w:rsidR="00734938" w:rsidRPr="00FE14A4" w:rsidRDefault="00734938" w:rsidP="00734938">
      <w:pPr>
        <w:rPr>
          <w:rFonts w:cs="Times New Roman"/>
          <w:szCs w:val="24"/>
        </w:rPr>
      </w:pPr>
      <w:r w:rsidRPr="00FE14A4">
        <w:rPr>
          <w:rFonts w:cs="Times New Roman"/>
          <w:szCs w:val="24"/>
        </w:rPr>
        <w:t xml:space="preserve">Satellite data are particularly useful in this context, as they are recorded in a systematic manner and provide reliable and regular observations across the globe, including over areas where environmental data from ground measurement </w:t>
      </w:r>
      <w:r w:rsidR="001B184A" w:rsidRPr="00FE14A4">
        <w:rPr>
          <w:rFonts w:cs="Times New Roman"/>
          <w:szCs w:val="24"/>
        </w:rPr>
        <w:t>are</w:t>
      </w:r>
      <w:r w:rsidRPr="00FE14A4">
        <w:rPr>
          <w:rFonts w:cs="Times New Roman"/>
          <w:szCs w:val="24"/>
        </w:rPr>
        <w:t xml:space="preserve"> not available. The decision of governments to make federally funded earth observation data publicly available has shown to be tremendously useful for science supported policy </w:t>
      </w:r>
      <w:r w:rsidRPr="00FE14A4">
        <w:rPr>
          <w:rFonts w:cs="Times New Roman"/>
          <w:szCs w:val="24"/>
        </w:rPr>
        <w:fldChar w:fldCharType="begin"/>
      </w:r>
      <w:r w:rsidR="00033042" w:rsidRPr="00FE14A4">
        <w:rPr>
          <w:rFonts w:cs="Times New Roman"/>
          <w:szCs w:val="24"/>
        </w:rPr>
        <w:instrText xml:space="preserve"> ADDIN ZOTERO_ITEM CSL_CITATION {"citationID":"35tLp5b8","properties":{"formattedCitation":"(Zhu et al., 2019)","plainCitation":"(Zhu et al., 2019)","noteIndex":0},"citationItems":[{"id":2976,"uris":["http://zotero.org/users/5456909/items/V2UBM8L4"],"uri":["http://zotero.org/users/5456909/items/V2UBM8L4"],"itemData":{"id":2976,"type":"article-journal","abstract":"The United States (U.S.) federal government provides imagery obtained by federally funded Earth Observation satellites typically at no cost. For many years Landsat was an exception to this trend, until 2008 when the United States Geological Survey (USGS) made Landsat data accessible via the internet for free. Substantial increases in downloads of Landsat imagery ensued and led to a rapid expansion of science and operational applications, serving government, private sector, and civil society. The Landsat program hence provides an example to space agencies worldwide on the value of open access for Earth Observation data and has spurred the adaption of similar policies globally, including the European Copernicus Program. Here, we describe important aspects of the Landsat free and open data policy and highlight the importance and continued relevance of this policy.","container-title":"Remote Sensing of Environment","journalAbbreviation":"Remote Sensing of Environment","page":"382-385","source":"ScienceDirect","title":"Benefits of the free and open Landsat data policy","volume":"224","author":[{"family":"Zhu","given":"Zhe"},{"family":"Wulder","given":"Michael A."},{"family":"Roy","given":"David P."},{"family":"Woodcock","given":"Curtis E."},{"family":"Hansen","given":"Matthew C."},{"family":"Radeloff","given":"Volker C."},{"family":"Healey","given":"Sean P."},{"family":"Schaaf","given":"Crystal"},{"family":"Hostert","given":"Patrick"},{"family":"Strobl","given":"Peter"},{"family":"Pekel","given":"Jean-Francois"},{"family":"Lymburner","given":"Leo"},{"family":"Pahlevan","given":"Nima"},{"family":"Scambos","given":"Ted A."}],"issued":{"date-parts":[["2019",4,1]]}}}],"schema":"https://github.com/citation-style-language/schema/raw/master/csl-citation.json"} </w:instrText>
      </w:r>
      <w:r w:rsidRPr="00FE14A4">
        <w:rPr>
          <w:rFonts w:cs="Times New Roman"/>
          <w:szCs w:val="24"/>
        </w:rPr>
        <w:fldChar w:fldCharType="separate"/>
      </w:r>
      <w:r w:rsidR="002B37C7" w:rsidRPr="00FE14A4">
        <w:rPr>
          <w:rFonts w:cs="Times New Roman"/>
          <w:szCs w:val="24"/>
        </w:rPr>
        <w:t>(Zhu et al., 2019)</w:t>
      </w:r>
      <w:r w:rsidRPr="00FE14A4">
        <w:rPr>
          <w:rFonts w:cs="Times New Roman"/>
          <w:szCs w:val="24"/>
        </w:rPr>
        <w:fldChar w:fldCharType="end"/>
      </w:r>
      <w:r w:rsidRPr="00FE14A4">
        <w:rPr>
          <w:rFonts w:cs="Times New Roman"/>
          <w:szCs w:val="24"/>
        </w:rPr>
        <w:t xml:space="preserve"> and makes the implementation of low-cost environmental health applications possible. </w:t>
      </w:r>
    </w:p>
    <w:p w14:paraId="1F03F147" w14:textId="7CE992C8" w:rsidR="0094553F" w:rsidRDefault="00734938" w:rsidP="00734938">
      <w:pPr>
        <w:rPr>
          <w:rFonts w:cs="Times New Roman"/>
          <w:szCs w:val="24"/>
        </w:rPr>
      </w:pPr>
      <w:r w:rsidRPr="00FE14A4">
        <w:rPr>
          <w:rFonts w:cs="Times New Roman"/>
          <w:szCs w:val="24"/>
        </w:rPr>
        <w:lastRenderedPageBreak/>
        <w:t xml:space="preserve">The application of remotely sensed data for mosquito-borne diseases is not a new concept. It goes back to the first aerial photographs that were used to map mosquito habitats and has gained much more popularity with the launch of the first Landsat satellites in the 1970s </w:t>
      </w:r>
      <w:r w:rsidRPr="00FE14A4">
        <w:rPr>
          <w:rFonts w:cs="Times New Roman"/>
          <w:szCs w:val="24"/>
        </w:rPr>
        <w:fldChar w:fldCharType="begin"/>
      </w:r>
      <w:r w:rsidR="00D5378A" w:rsidRPr="00FE14A4">
        <w:rPr>
          <w:rFonts w:cs="Times New Roman"/>
          <w:szCs w:val="24"/>
        </w:rPr>
        <w:instrText xml:space="preserve"> ADDIN ZOTERO_ITEM CSL_CITATION {"citationID":"ZAZsabLZ","properties":{"formattedCitation":"(Hay et al., 1997)","plainCitation":"(Hay et al., 1997)","noteIndex":0},"citationItems":[{"id":971,"uris":["http://zotero.org/users/5456909/items/97NXR6Y9"],"uri":["http://zotero.org/users/5456909/items/97NXR6Y9"],"itemData":{"id":971,"type":"article-journal","container-title":"International Journal of Remote Sensing","issue":"14","page":"2899-2930","title":"Review article - The impact of remote sensing on the study and control of invertebrate intermediate hosts and vectors for disease","volume":"18","author":[{"family":"Hay","given":"Simon I."},{"family":"Packer","given":"M. J."},{"family":"Rogers","given":"D. J."}],"issued":{"date-parts":[["1997"]]}}}],"schema":"https://github.com/citation-style-language/schema/raw/master/csl-citation.json"} </w:instrText>
      </w:r>
      <w:r w:rsidRPr="00FE14A4">
        <w:rPr>
          <w:rFonts w:cs="Times New Roman"/>
          <w:szCs w:val="24"/>
        </w:rPr>
        <w:fldChar w:fldCharType="separate"/>
      </w:r>
      <w:r w:rsidR="002B37C7" w:rsidRPr="00FE14A4">
        <w:rPr>
          <w:rFonts w:cs="Times New Roman"/>
          <w:szCs w:val="24"/>
        </w:rPr>
        <w:t>(Hay et al., 1997)</w:t>
      </w:r>
      <w:r w:rsidRPr="00FE14A4">
        <w:rPr>
          <w:rFonts w:cs="Times New Roman"/>
          <w:szCs w:val="24"/>
        </w:rPr>
        <w:fldChar w:fldCharType="end"/>
      </w:r>
      <w:r w:rsidRPr="00FE14A4">
        <w:rPr>
          <w:rFonts w:cs="Times New Roman"/>
          <w:szCs w:val="24"/>
        </w:rPr>
        <w:t xml:space="preserve">. Today, we have unprecedented access to long-term archives of high quality satellite imagery </w:t>
      </w:r>
      <w:r w:rsidRPr="00FE14A4">
        <w:rPr>
          <w:rFonts w:cs="Times New Roman"/>
          <w:szCs w:val="24"/>
        </w:rPr>
        <w:fldChar w:fldCharType="begin"/>
      </w:r>
      <w:r w:rsidR="00FF3DA9" w:rsidRPr="00FE14A4">
        <w:rPr>
          <w:rFonts w:cs="Times New Roman"/>
          <w:szCs w:val="24"/>
        </w:rPr>
        <w:instrText xml:space="preserve"> ADDIN ZOTERO_ITEM CSL_CITATION {"citationID":"ACbqQnpp","properties":{"formattedCitation":"(Hansen and Loveland, 2012; Wimberly et al., 2021; Wulder et al., 2016)","plainCitation":"(Hansen and Loveland, 2012; Wimberly et al., 2021; Wulder et al., 2016)","noteIndex":0},"citationItems":[{"id":2841,"uris":["http://zotero.org/users/5456909/items/JYAHWDU5"],"uri":["http://zotero.org/users/5456909/items/JYAHWDU5"],"itemData":{"id":2841,"type":"article-journal","abstract":"Landsat data constitute the longest record of global-scale medium spatial resolution earth observation data. As a result, the current methods for large area monitoring of land cover change using medium spatial resolution imagery (10–50 m) typically employ Landsat data. Most large area products quantify forest cover change. Forests are a comparatively easy cover type to map as well as a current focus of environmental monitoring concerning the global carbon cycle and biodiversity loss. Among existing change products, supervised or knowledgebased characterization methods predominate. Radiometric correction methods vary signiﬁcantly, largely as a function of geographic/algorithmic scale. For instance, products created by mosaicking per scene characterizations do not require radiometric normalization. On the other hand, methods that employ a single index or classiﬁcation model over an entire study area do require radiometric normalization. Temporal updating of cover change varies between existing products as a function of regional acquisition frequency, cloud cover and seasonality. With the Landsat archive opened for free access to terrain-corrected data, future product generation will be more data intensive. Per scene, interactive analyses will no longer be viable. Coupling free and open access to large data volumes with improved processing power will result in automated image pre-processing and land cover characterization methods. Such methods will need to leverage high-performance computing capabilities in advancing the land cover monitoring discipline. Robust validation efforts will be required to quantify product accuracies in determining the optimal change characterization methodologies.","container-title":"Remote Sensing of Environment","ISSN":"00344257","language":"en","page":"66-74","source":"Crossref","title":"A review of large area monitoring of land cover change using Landsat data","volume":"122","author":[{"family":"Hansen","given":"M.C"},{"family":"Loveland","given":"T.R"}],"issued":{"date-parts":[["2012",7]]}}},{"id":4327,"uris":["http://zotero.org/users/5456909/items/LH9PZX6B"],"uri":["http://zotero.org/users/5456909/items/LH9PZX6B"],"itemData":{"id":4327,"type":"article-journal","abstract":"Satellite remote sensing provides a wealth of information about environmental factors that influence malaria transmission cycles and human populations at risk. Long-term observations facilitate analysis of climate-malaria relationships, and high-resolution data can be used to assess the effects of agriculture, urbanization, deforestation, and water management on malaria. New sources of very-high-resolution satellite imagery and synthetic aperture radar data will increase the precision and frequency of observations. Cloud computing platforms for remote sensing data combined with analysis-ready datasets and high-level data products have made satellite remote sensing more accessible to nonspecialists. Further collaboration between the malaria and remote sensing communities is needed to develop and implement useful geospatial data products that will support global efforts toward malaria control, elimination, and eradication.","container-title":"Trends in Parasitology","ISSN":"1471-5007","journalAbbreviation":"Trends Parasitol","language":"eng","note":"PMID: 33775559","source":"PubMed","title":"Satellite Observations and Malaria: New Opportunities for Research and Applications","title-short":"Satellite Observations and Malaria","author":[{"family":"Wimberly","given":"Michael C."},{"family":"Beurs","given":"Kirsten M.","non-dropping-particle":"de"},{"family":"Loboda","given":"Tatiana V."},{"family":"Pan","given":"William K."}],"issued":{"date-parts":[["2021",3,25]]}}},{"id":1456,"uris":["http://zotero.org/users/5456909/items/V8J8K2RI"],"uri":["http://zotero.org/users/5456909/items/V8J8K2RI"],"itemData":{"id":1456,"type":"article-journal","abstract":"a b s t r a c t New and previously unimaginable Landsat applications have been fostered by a policy change in 2008 that made analysis-ready Landsat data free and open access. Since 1972, Landsat has been collecting images of the Earth, with the early years of the program constrained by onboard satellite and ground systems, as well as limitations across the range of required computing, networking, and storage capabilities. Rather than robust on-satellite storage for transmission via high bandwidth downlink to a centralized storage and distribution facility as with Landsat-8, a network of receiving stations, one operated by the U.S. government, the other operated by a commu-nity of International Cooperators (ICs), were utilized. ICs paid a fee for the right to receive and distribute Landsat data and over time, more Landsat data was held outside the archive of the United State Geological Survey (USGS) than was held inside, much of it unique. Recognizing the critical value of these data, the USGS began a Landsat Global Archive Consolidation (LGAC) initiative in 2010 to bring these data into a single, universally accessible, centralized global archive, housed at the Earth Resources Observation and Science (EROS) Center in Sioux Falls, South Dakota. The primary LGAC goals are to inventory the data held by ICs, acquire the data, and ingest and apply standard ground station processing to generate an L1T analysis-ready product. As of January 1, 2015 there were 5,532,454 images in the USGS archive. LGAC has contributed approximately 3.2 million of those im-ages, more than doubling the original USGS archive holdings. Moreover, an additional 2.3 million images have been identified to date through the LGAC initiative and are in the process of being added to the archive. The im-pact of LGAC is significant and, in terms of images in the collection, analogous to that of having had two additional Landsat-5 missions. As a result of LGAC, there are regions of the globe that now have markedly improved Landsat data coverage, resulting in an enhanced capacity for mapping, monitoring change, and capturing historic condi-tions. Although future missions can be planned and implemented, the past cannot be revisited, underscoring the value and enhanced significance of historical Landsat data and the LGAC initiative. The aim of this paper is to re-port the current status of the global USGS Landsat archive, document the existing and anticipated contributions of LGAC to the archive, and characterize the current acquisitions of Landsat-7 and Landsat-8. Landsat-8 is adding data to the archive at an unprecedented rate as nearly all terrestrial images are now collected. We also offer key lessons learned so far from the LGAC initiative, plus insights regarding other critical elements of the Landsat program looking forward, such as acquisition, continuity, temporal revisit, and the importance of continuing to operationalize the Landsat program.","container-title":"Remote Sensing of Environment","page":"271-283","title":"The global Landsat archive: Status, consolidation, and direction","volume":"185","author":[{"family":"Wulder","given":"Michael A"},{"family":"White","given":"Joanne C"},{"family":"Loveland","given":"Thomas R"},{"family":"Woodcock","given":"Curtis E"},{"family":"Belward","given":"Alan S"},{"family":"Cohen","given":"Warren B"},{"family":"Fosnight","given":"Eugene A"},{"family":"Shaw","given":"Jerad"},{"family":"Masek","given":"Jeffrey G"},{"family":"Roy","given":"David P"}],"issued":{"date-parts":[["2016"]]}}}],"schema":"https://github.com/citation-style-language/schema/raw/master/csl-citation.json"} </w:instrText>
      </w:r>
      <w:r w:rsidRPr="00FE14A4">
        <w:rPr>
          <w:rFonts w:cs="Times New Roman"/>
          <w:szCs w:val="24"/>
        </w:rPr>
        <w:fldChar w:fldCharType="separate"/>
      </w:r>
      <w:r w:rsidR="00FF3DA9" w:rsidRPr="00FE14A4">
        <w:rPr>
          <w:rFonts w:cs="Times New Roman"/>
          <w:szCs w:val="24"/>
        </w:rPr>
        <w:t>(Hansen and Loveland, 2012; Wimberly et al., 2021; Wulder et al., 2016)</w:t>
      </w:r>
      <w:r w:rsidRPr="00FE14A4">
        <w:rPr>
          <w:rFonts w:cs="Times New Roman"/>
          <w:szCs w:val="24"/>
        </w:rPr>
        <w:fldChar w:fldCharType="end"/>
      </w:r>
      <w:r w:rsidRPr="00FE14A4">
        <w:rPr>
          <w:rFonts w:cs="Times New Roman"/>
          <w:szCs w:val="24"/>
        </w:rPr>
        <w:t xml:space="preserve">. Examples </w:t>
      </w:r>
      <w:r w:rsidR="00D23FFF">
        <w:rPr>
          <w:rFonts w:cs="Times New Roman"/>
          <w:szCs w:val="24"/>
        </w:rPr>
        <w:t>of</w:t>
      </w:r>
      <w:r w:rsidRPr="00FE14A4">
        <w:rPr>
          <w:rFonts w:cs="Times New Roman"/>
          <w:szCs w:val="24"/>
        </w:rPr>
        <w:t xml:space="preserve"> these freely available high quality long-term archives include the Landsat archive with its 30m resolution imagery at a 16-day return interval that is continuously available since the 1980s, as well as the MODIS sensors that provide daily imagery at a resolution of 250 – 1000m, depending on the wavelength spectrum</w:t>
      </w:r>
      <w:r w:rsidR="005E0B7F">
        <w:rPr>
          <w:rFonts w:cs="Times New Roman"/>
          <w:szCs w:val="24"/>
        </w:rPr>
        <w:t>,</w:t>
      </w:r>
      <w:r w:rsidR="008A70FC">
        <w:rPr>
          <w:rFonts w:cs="Times New Roman"/>
          <w:szCs w:val="24"/>
        </w:rPr>
        <w:t xml:space="preserve"> and are available since the launch of the Terra satellite in 1999 and the Aqua satellite in 2002. </w:t>
      </w:r>
      <w:r w:rsidR="00E74770">
        <w:rPr>
          <w:rFonts w:cs="Times New Roman"/>
          <w:szCs w:val="24"/>
        </w:rPr>
        <w:t xml:space="preserve">For precipitation data, </w:t>
      </w:r>
      <w:r w:rsidR="00D36B65">
        <w:rPr>
          <w:rFonts w:cs="Times New Roman"/>
          <w:szCs w:val="24"/>
        </w:rPr>
        <w:t xml:space="preserve">a major milestone was the </w:t>
      </w:r>
      <w:r w:rsidR="0075234C">
        <w:rPr>
          <w:rFonts w:cs="Times New Roman"/>
          <w:szCs w:val="24"/>
        </w:rPr>
        <w:t xml:space="preserve">Global Precipitation Measurement (GPM) mission and the </w:t>
      </w:r>
      <w:r w:rsidR="00D36B65">
        <w:rPr>
          <w:rFonts w:cs="Times New Roman"/>
          <w:szCs w:val="24"/>
        </w:rPr>
        <w:t xml:space="preserve">creation of the </w:t>
      </w:r>
      <w:r w:rsidR="00D36B65" w:rsidRPr="00D36B65">
        <w:rPr>
          <w:rFonts w:cs="Times New Roman"/>
          <w:szCs w:val="24"/>
        </w:rPr>
        <w:t>Integrated Multi-satellitE Retrievals for GPM</w:t>
      </w:r>
      <w:r w:rsidR="00D36B65">
        <w:rPr>
          <w:rFonts w:cs="Times New Roman"/>
          <w:szCs w:val="24"/>
        </w:rPr>
        <w:t xml:space="preserve"> (IMERG)</w:t>
      </w:r>
      <w:r w:rsidR="008E4909">
        <w:rPr>
          <w:rFonts w:cs="Times New Roman"/>
          <w:szCs w:val="24"/>
        </w:rPr>
        <w:t xml:space="preserve"> </w:t>
      </w:r>
      <w:r w:rsidR="0075234C">
        <w:rPr>
          <w:rFonts w:cs="Times New Roman"/>
          <w:szCs w:val="24"/>
        </w:rPr>
        <w:t>dataset</w:t>
      </w:r>
      <w:r w:rsidR="00D36B65">
        <w:rPr>
          <w:rFonts w:cs="Times New Roman"/>
          <w:szCs w:val="24"/>
        </w:rPr>
        <w:t>, which combines data from the satellite missions TRMM and GPM to provide continuous precipitation data</w:t>
      </w:r>
      <w:r w:rsidR="00E94A3F">
        <w:rPr>
          <w:rFonts w:cs="Times New Roman"/>
          <w:szCs w:val="24"/>
        </w:rPr>
        <w:t xml:space="preserve"> </w:t>
      </w:r>
      <w:r w:rsidR="00D36B65">
        <w:rPr>
          <w:rFonts w:cs="Times New Roman"/>
          <w:szCs w:val="24"/>
        </w:rPr>
        <w:t>since 1997.</w:t>
      </w:r>
      <w:r w:rsidR="00E94A3F">
        <w:rPr>
          <w:rFonts w:cs="Times New Roman"/>
          <w:szCs w:val="24"/>
        </w:rPr>
        <w:t xml:space="preserve"> </w:t>
      </w:r>
    </w:p>
    <w:p w14:paraId="432D0A94" w14:textId="27B0F67F" w:rsidR="00734938" w:rsidRPr="00FE14A4" w:rsidRDefault="00734938" w:rsidP="00734938">
      <w:pPr>
        <w:rPr>
          <w:rFonts w:cs="Times New Roman"/>
          <w:szCs w:val="24"/>
        </w:rPr>
      </w:pPr>
      <w:r w:rsidRPr="00FE14A4">
        <w:rPr>
          <w:rFonts w:cs="Times New Roman"/>
          <w:szCs w:val="24"/>
        </w:rPr>
        <w:t xml:space="preserve">Additionally, an increasing amount of commercially acquired high spatial and high temporal resolution data </w:t>
      </w:r>
      <w:r w:rsidR="0075234C">
        <w:rPr>
          <w:rFonts w:cs="Times New Roman"/>
          <w:szCs w:val="24"/>
        </w:rPr>
        <w:t xml:space="preserve">are </w:t>
      </w:r>
      <w:r w:rsidRPr="00FE14A4">
        <w:rPr>
          <w:rFonts w:cs="Times New Roman"/>
          <w:szCs w:val="24"/>
        </w:rPr>
        <w:t xml:space="preserve">available. Just in the last 4 years, the company Planet Labs has launched its fleet of CubeSats and now provides at least daily imagery at approximately 3m spatial resolution </w:t>
      </w:r>
      <w:r w:rsidRPr="00FE14A4">
        <w:rPr>
          <w:rFonts w:cs="Times New Roman"/>
          <w:szCs w:val="24"/>
        </w:rPr>
        <w:fldChar w:fldCharType="begin"/>
      </w:r>
      <w:r w:rsidR="002B37C7" w:rsidRPr="00FE14A4">
        <w:rPr>
          <w:rFonts w:cs="Times New Roman"/>
          <w:szCs w:val="24"/>
        </w:rPr>
        <w:instrText xml:space="preserve"> ADDIN ZOTERO_ITEM CSL_CITATION {"citationID":"kh0SgDnN","properties":{"formattedCitation":"(Houborg and McCabe, 2018)","plainCitation":"(Houborg and McCabe, 2018)","noteIndex":0},"citationItems":[{"id":3197,"uris":["http://zotero.org/users/5456909/items/FP55VDXC"],"uri":["http://zotero.org/users/5456909/items/FP55VDXC"],"itemData":{"id":3197,"type":"article-journal","abstract":"Satellite sensing in the visible to near-infrared (VNIR) domain has been the backbone of land surface monitoring and characterization for more than four decades. However, a limitation of conventional single-sensor satellite missions is their limited capacity to observe land surface dynamics at the very high spatial and temporal resolutions demanded by a wide range of applications. One solution to this spatio-temporal divide is an observation strategy based on the CubeSat standard, which facilitates constellations of small, inexpensive satellites. Repeatable near-daily image capture in RGB and near-infrared (NIR) bands at 3–4 m resolution has recently become available via a constellation of &gt;130 CubeSats operated commercially by Planet. While the observing capacity afforded by this system is unprecedented, the relatively low radiometric quality and cross-sensor inconsistencies represent key challenges in the realization of their full potential as a game changer in Earth observation. To address this issue, we developed a Cubesat Enabled Spatio-Temporal Enhancement Method (CESTEM) that uses a multi-scale machine-learning technique to correct for radiometric inconsistencies between CubeSat acquisitions. The CESTEM produces Landsat 8 consistent atmospherically corrected surface reflectances in blue, green, red, and NIR bands, but at the spatial scale and temporal frequency of the CubeSat observations. An application of CESTEM over an agricultural dryland system in Saudi Arabia demonstrated CubeSat-based reproduction of Landsat 8 consistent VNIR data with an overall relative mean absolute deviation of 1.6% or better, even when the Landsat 8 and CubeSat acquisitions were temporally displaced by &gt;32 days. The consistently high retrieval accuracies were achieved using a multi-scale target sampling scheme that draws Landsat 8 reference data from a series of scenes by using MODIS-consistent surface reflectance time series to quantify relative changes in Landsat-scale reflectances over given Landsat-CubeSat acquisition timespans. With the observing potential of Planet's CubeSats approaching daily nadir-pointing land surface imaging of the entire Earth, CESTEM offers the capacity to produce daily Landsat 8 consistent VNIR imagery with a factor of 10 increase in spatial resolution and with the radiometric quality of actual Landsat 8 observations. Realization of this unprecedented Earth observing capacity has far reaching implications for the monitoring and characterization of terrestrial systems at the precision scale.","container-title":"Remote Sensing of Environment","ISSN":"0034-4257","journalAbbreviation":"Remote Sensing of Environment","page":"211-226","source":"ScienceDirect","title":"A Cubesat enabled Spatio-Temporal Enhancement Method (CESTEM) utilizing Planet, Landsat and MODIS data","volume":"209","author":[{"family":"Houborg","given":"Rasmus"},{"family":"McCabe","given":"Matthew F."}],"issued":{"date-parts":[["2018",5,1]]}}}],"schema":"https://github.com/citation-style-language/schema/raw/master/csl-citation.json"} </w:instrText>
      </w:r>
      <w:r w:rsidRPr="00FE14A4">
        <w:rPr>
          <w:rFonts w:cs="Times New Roman"/>
          <w:szCs w:val="24"/>
        </w:rPr>
        <w:fldChar w:fldCharType="separate"/>
      </w:r>
      <w:r w:rsidR="002B37C7" w:rsidRPr="00FE14A4">
        <w:rPr>
          <w:rFonts w:cs="Times New Roman"/>
          <w:szCs w:val="24"/>
        </w:rPr>
        <w:t>(Houborg and McCabe, 2018)</w:t>
      </w:r>
      <w:r w:rsidRPr="00FE14A4">
        <w:rPr>
          <w:rFonts w:cs="Times New Roman"/>
          <w:szCs w:val="24"/>
        </w:rPr>
        <w:fldChar w:fldCharType="end"/>
      </w:r>
      <w:r w:rsidRPr="00FE14A4">
        <w:rPr>
          <w:rFonts w:cs="Times New Roman"/>
          <w:szCs w:val="24"/>
        </w:rPr>
        <w:t xml:space="preserve">. </w:t>
      </w:r>
      <w:r w:rsidR="00D8749A" w:rsidRPr="00FE14A4">
        <w:rPr>
          <w:rFonts w:cs="Times New Roman"/>
          <w:szCs w:val="24"/>
        </w:rPr>
        <w:t>Multi-decadal</w:t>
      </w:r>
      <w:r w:rsidRPr="00FE14A4">
        <w:rPr>
          <w:rFonts w:cs="Times New Roman"/>
          <w:szCs w:val="24"/>
        </w:rPr>
        <w:t xml:space="preserve"> </w:t>
      </w:r>
      <w:r w:rsidR="00D8749A" w:rsidRPr="00FE14A4">
        <w:rPr>
          <w:rFonts w:cs="Times New Roman"/>
          <w:szCs w:val="24"/>
        </w:rPr>
        <w:t xml:space="preserve">satellite </w:t>
      </w:r>
      <w:r w:rsidRPr="00FE14A4">
        <w:rPr>
          <w:rFonts w:cs="Times New Roman"/>
          <w:szCs w:val="24"/>
        </w:rPr>
        <w:t>data archives, as well as these new high-resolution data open new doors to a variety of applications and are particularly helpful in tackling current global challenges associated with environmental change</w:t>
      </w:r>
      <w:r w:rsidR="00D8749A" w:rsidRPr="00FE14A4">
        <w:rPr>
          <w:rFonts w:cs="Times New Roman"/>
          <w:szCs w:val="24"/>
        </w:rPr>
        <w:t>, and</w:t>
      </w:r>
      <w:r w:rsidRPr="00FE14A4">
        <w:rPr>
          <w:rFonts w:cs="Times New Roman"/>
          <w:szCs w:val="24"/>
        </w:rPr>
        <w:t xml:space="preserve"> to answer ecological questions that that could not be answered in the past. The availability of high-quality long-term data archives, as well as new data sources of high spatial resolution, offer new opportunities to use different data sources synergistically and </w:t>
      </w:r>
      <w:r w:rsidRPr="00FE14A4">
        <w:rPr>
          <w:rFonts w:cs="Times New Roman"/>
          <w:szCs w:val="24"/>
        </w:rPr>
        <w:lastRenderedPageBreak/>
        <w:t>leverage their unique strengths to study long term, high spatial and high temporal resolution environmental processes.</w:t>
      </w:r>
    </w:p>
    <w:p w14:paraId="31FBB76E" w14:textId="6A6BF8D4" w:rsidR="00734938" w:rsidRPr="00FE14A4" w:rsidRDefault="0075234C" w:rsidP="00734938">
      <w:pPr>
        <w:rPr>
          <w:rFonts w:cs="Times New Roman"/>
          <w:szCs w:val="24"/>
        </w:rPr>
      </w:pPr>
      <w:r>
        <w:rPr>
          <w:rFonts w:cs="Times New Roman"/>
          <w:szCs w:val="24"/>
        </w:rPr>
        <w:t>I</w:t>
      </w:r>
      <w:r w:rsidRPr="00FE14A4">
        <w:rPr>
          <w:rFonts w:cs="Times New Roman"/>
          <w:szCs w:val="24"/>
        </w:rPr>
        <w:t>n recent years</w:t>
      </w:r>
      <w:r>
        <w:rPr>
          <w:rFonts w:cs="Times New Roman"/>
          <w:szCs w:val="24"/>
        </w:rPr>
        <w:t>,</w:t>
      </w:r>
      <w:r w:rsidRPr="00FE14A4">
        <w:rPr>
          <w:rFonts w:cs="Times New Roman"/>
          <w:szCs w:val="24"/>
        </w:rPr>
        <w:t xml:space="preserve"> </w:t>
      </w:r>
      <w:r>
        <w:rPr>
          <w:rFonts w:cs="Times New Roman"/>
          <w:szCs w:val="24"/>
        </w:rPr>
        <w:t>t</w:t>
      </w:r>
      <w:r w:rsidR="00734938" w:rsidRPr="00FE14A4">
        <w:rPr>
          <w:rFonts w:cs="Times New Roman"/>
          <w:szCs w:val="24"/>
        </w:rPr>
        <w:t xml:space="preserve">he application of high-quality satellite data that allow researchers to measure environmental conditions over large extents has contributed to great progress towards mapping disease </w:t>
      </w:r>
      <w:r w:rsidR="00734938" w:rsidRPr="00FE14A4">
        <w:rPr>
          <w:rFonts w:cs="Times New Roman"/>
          <w:szCs w:val="24"/>
        </w:rPr>
        <w:fldChar w:fldCharType="begin"/>
      </w:r>
      <w:r w:rsidR="00FF3DA9" w:rsidRPr="00FE14A4">
        <w:rPr>
          <w:rFonts w:cs="Times New Roman"/>
          <w:szCs w:val="24"/>
        </w:rPr>
        <w:instrText xml:space="preserve"> ADDIN ZOTERO_ITEM CSL_CITATION {"citationID":"rV8bZYkI","properties":{"formattedCitation":"(Benali et al., 2014; Kazansky et al., 2016; Rogers et al., 2002; Wimberly et al., 2021)","plainCitation":"(Benali et al., 2014; Kazansky et al., 2016; Rogers et al., 2002; Wimberly et al., 2021)","noteIndex":0},"citationItems":[{"id":1426,"uris":["http://zotero.org/users/5456909/items/XLFISP4X"],"uri":["http://zotero.org/users/5456909/items/XLFISP4X"],"itemData":{"id":1426,"type":"article-journal","abstract":"Malaria was endemic in Europe for more than two millennia until its eradication in the 1970s. Recent autochthonous cases registered in Greece have increased the awareness regarding the threat of malaria re-emergence in Southern Europe. Currently, the presence of competent vectors, suitable environmental conditions and the evidences of a changing climate may increase the widespread re-emergence of malaria in Southern Europe. This work focused on determining the current relationships between environmental factors and the density of the former malaria vector Anopheles atroparvus in Portugal, a previously endemic country. Adult females were sampled and vector density was estimated in 22 sites in Southern Portugal between 2001 and 2010 and related with land cover and satellite-derived air temperature and vegetation indices. The relationship between vector density and local larval habitat, temperature and, in a broader sense, to environmental suitability, was assessed using a statistical modelling approach. Results showed that present environmental conditions are suitable for vector development at high densities and the spatial and temporal patterns closely resemble the ones registered in the past endemic period. The use of satellite-derived data, together with statistical models, allowed the extrapolation of suitable environmental conditions for vector development from site-level to the Portuguese mainland territory. This work also improved the baseline knowledge needed to understand the potential impacts of future environmental changes on vector density and, indirectly, on the risk of malaria re-emergence.","container-title":"Remote Sensing of Environment","page":"116-130","title":"Satellite-derived estimation of environmental suitability for malaria vector development in Portugal","volume":"145","author":[{"family":"Benali","given":"A."},{"family":"Nunes","given":"J.P."},{"family":"Freitas","given":"F.B."},{"family":"Sousa","given":"C.A."},{"family":"Novo","given":"M.T."},{"family":"Lourenço","given":"P.M."},{"family":"Lima","given":"J.C."},{"family":"Seixas","given":"J."},{"family":"Almeida","given":"A.P.G."}],"issued":{"date-parts":[["2014",4]]}}},{"id":1388,"uris":["http://zotero.org/users/5456909/items/N2YIDYB5"],"uri":["http://zotero.org/users/5456909/items/N2YIDYB5"],"itemData":{"id":1388,"type":"article-journal","abstract":"a b s t r a c t Malaria and other vector borne diseases claim lives and cause illness, especially in less developed countries. Although well understood methods, such as spraying and insecti-cidal nets, are identified as effective deterrents to malaria transmission by mosquitoes, the nations that have the greatest burden from the disease also struggle to deploy such measures sufficiently. More targeted and up to date information is needed to identify which regions of malaria-endemic countries are most likely to be at risk of malaria in the near future. This will allow national governments, local officials and public health workers to deploy protective equipment and personnel where they are most needed. This paper explores the role of environmental data generated via satellite remote sensing as an ingredient to a Malaria Early Warning System. Data from remote sensing satellites can cover broad geographical areas frequently and consistently. Much of the relevant data may be accessed by malaria-endemic countries at minimal cost via international data sharing polices. While previous research studies have demonstrated the potential to assign malaria risk to a geographic region based on indicators from satellites and other sources, there is still a need to deploy such tools in a broader and more operational manner to inform decision making on malaria management. This paper describes current research on the use of satellite-based environmental data to predict malaria risk and examines the barriers and opportunities for implementing Malaria Early Warning Systems enabled by satellite remote sensing. A Systems Architecture Framework analyses the components of a Malaria Early Warning System and highlights the need for effective coordination across public and private sector organizations.","container-title":"Acta Astronautica","page":"292-305","title":"The current and potential role of satellite remote sensing in the campaign against malaria","volume":"121","author":[{"family":"Kazansky","given":"Yaniv"},{"family":"Wood","given":"Danielle"},{"family":"Sutherlun","given":"Jacob"}],"issued":{"date-parts":[["2016"]]}}},{"id":1780,"uris":["http://zotero.org/users/5456909/items/XN5GAFSM"],"uri":["http://zotero.org/users/5456909/items/XN5GAFSM"],"itemData":{"id":1780,"type":"article-journal","abstract":"More than 30 years ago, human beings looked back from the Moon to see the magnificent spectacle of Earth-rise. The technology that put us into space has since been used to assess the damage we are doing to our natural environment and is now being harnessed to monitor and predict diseases through space and time. Satellite sensor data promise the development of early-warning systems for diseases such as malaria, which kills between 1 and 2 million people each year.","container-title":"Nature","issue":"6872","page":"710-715","title":"Satellite imagery in the study ad forecast of malaria","volume":"415","author":[{"family":"Rogers","given":"David J"},{"family":"Randolph","given":"Sarah E"},{"family":"Snow","given":"Robert W"},{"family":"Hay","given":"Simon I."}],"issued":{"date-parts":[["2002"]]}}},{"id":4327,"uris":["http://zotero.org/users/5456909/items/LH9PZX6B"],"uri":["http://zotero.org/users/5456909/items/LH9PZX6B"],"itemData":{"id":4327,"type":"article-journal","abstract":"Satellite remote sensing provides a wealth of information about environmental factors that influence malaria transmission cycles and human populations at risk. Long-term observations facilitate analysis of climate-malaria relationships, and high-resolution data can be used to assess the effects of agriculture, urbanization, deforestation, and water management on malaria. New sources of very-high-resolution satellite imagery and synthetic aperture radar data will increase the precision and frequency of observations. Cloud computing platforms for remote sensing data combined with analysis-ready datasets and high-level data products have made satellite remote sensing more accessible to nonspecialists. Further collaboration between the malaria and remote sensing communities is needed to develop and implement useful geospatial data products that will support global efforts toward malaria control, elimination, and eradication.","container-title":"Trends in Parasitology","ISSN":"1471-5007","journalAbbreviation":"Trends Parasitol","language":"eng","note":"PMID: 33775559","source":"PubMed","title":"Satellite Observations and Malaria: New Opportunities for Research and Applications","title-short":"Satellite Observations and Malaria","author":[{"family":"Wimberly","given":"Michael C."},{"family":"Beurs","given":"Kirsten M.","non-dropping-particle":"de"},{"family":"Loboda","given":"Tatiana V."},{"family":"Pan","given":"William K."}],"issued":{"date-parts":[["2021",3,25]]}}}],"schema":"https://github.com/citation-style-language/schema/raw/master/csl-citation.json"} </w:instrText>
      </w:r>
      <w:r w:rsidR="00734938" w:rsidRPr="00FE14A4">
        <w:rPr>
          <w:rFonts w:cs="Times New Roman"/>
          <w:szCs w:val="24"/>
        </w:rPr>
        <w:fldChar w:fldCharType="separate"/>
      </w:r>
      <w:r w:rsidR="00FF3DA9" w:rsidRPr="00FE14A4">
        <w:rPr>
          <w:rFonts w:cs="Times New Roman"/>
          <w:szCs w:val="24"/>
        </w:rPr>
        <w:t>(Benali et al., 2014; Kazansky et al., 2016; Rogers et al., 2002; Wimberly et al., 2021)</w:t>
      </w:r>
      <w:r w:rsidR="00734938" w:rsidRPr="00FE14A4">
        <w:rPr>
          <w:rFonts w:cs="Times New Roman"/>
          <w:szCs w:val="24"/>
        </w:rPr>
        <w:fldChar w:fldCharType="end"/>
      </w:r>
      <w:r w:rsidR="00734938" w:rsidRPr="00FE14A4">
        <w:rPr>
          <w:rFonts w:cs="Times New Roman"/>
          <w:szCs w:val="24"/>
        </w:rPr>
        <w:t xml:space="preserve">. The use of satellite remote sensing derived environmental data for disease modeling is increasing, and variables such as precipitation, land surface temperature, vegetation indices and other land cover and climatic variables are widely used in studies of mosquito-borne diseases </w:t>
      </w:r>
      <w:r w:rsidR="00734938" w:rsidRPr="00FE14A4">
        <w:rPr>
          <w:rFonts w:cs="Times New Roman"/>
          <w:szCs w:val="24"/>
        </w:rPr>
        <w:fldChar w:fldCharType="begin"/>
      </w:r>
      <w:r w:rsidR="006B043F" w:rsidRPr="00FE14A4">
        <w:rPr>
          <w:rFonts w:cs="Times New Roman"/>
          <w:szCs w:val="24"/>
        </w:rPr>
        <w:instrText xml:space="preserve"> ADDIN ZOTERO_ITEM CSL_CITATION {"citationID":"YSynWErA","properties":{"formattedCitation":"(Hoffman-Hall et al., 2020; Kazansky et al., 2016; Marcantonio et al., 2015; Marti et al., 2020; Shand et al., 2016)","plainCitation":"(Hoffman-Hall et al., 2020; Kazansky et al., 2016; Marcantonio et al., 2015; Marti et al., 2020; Shand et al., 2016)","noteIndex":0},"citationItems":[{"id":4535,"uris":["http://zotero.org/users/5456909/items/54DJYDGU"],"uri":["http://zotero.org/users/5456909/items/54DJYDGU"],"itemData":{"id":4535,"type":"article-journal","abstract":"Despite progress toward malaria elimination in the Greater Mekong Subregion, challenges remain owing to the emergence of drug resistance and the persistence of focal transmission reservoirs. Malaria transmission foci in Myanmar are heterogeneous and complex, and many remaining infections are clinically silent, rendering them invisible to routine monitoring. The goal of this research is to define criteria for easy-to-implement methodologies, not reliant on routine monitoring, that can increase the efficiency of targeted malaria elimination strategies. Studies have shown relationships between malaria risk and land cover and land use (LCLU), which can be mapped using remote sensing methodologies. Here we aim to explain malaria risk as a function of LCLU for five rural villages in Myanmar's Rakhine State. Malaria prevalence and incidence data were analyzed through logistic regression with a land use survey of 1,000 participants and a 30-m land cover map. Malaria prevalence per village ranged from 5% to 20% with the overwhelming majority of cases being subclinical. Villages with high forest cover were associated with increased risk of malaria, even for villagers who did not report visits to forests. Villagers living near croplands experienced decreased malaria risk unless they were directly engaged in farm work. Finally, land cover change (specifically, natural forest loss) appeared to be a substantial contributor to malaria risk in the region, although this was not confirmed through sensitivity analyses. Overall, this study demonstrates that remotely sensed data contextualized with field survey data can be used to inform critical targeting strategies in support of malaria elimination.","container-title":"GeoHealth","ISSN":"2471-1403","issue":"12","language":"en","note":"_eprint: https://agupubs.onlinelibrary.wiley.com/doi/pdf/10.1029/2020GH000299","page":"e2020GH000299","source":"Wiley Online Library","title":"Malaria Exposure in Ann Township, Myanmar, as a Function of Land Cover and Land Use: Combining Satellite Earth Observations and Field Surveys","title-short":"Malaria Exposure in Ann Township, Myanmar, as a Function of Land Cover and Land Use","volume":"4","author":[{"family":"Hoffman-Hall","given":"Amanda"},{"family":"Puett","given":"Robin"},{"family":"Silva","given":"Julie A."},{"family":"Chen","given":"Dong"},{"family":"Baer","given":"Allison"},{"family":"Han","given":"Kay Thwe"},{"family":"Han","given":"Zay Yar"},{"family":"Thi","given":"Aung"},{"family":"Htay","given":"Thura"},{"family":"Thein","given":"Zaw Win"},{"family":"Aung","given":"Poe Poe"},{"family":"Plowe","given":"Christopher V."},{"family":"Nyunt","given":"Myaing Myaing"},{"family":"Loboda","given":"Tatiana V."}],"issued":{"date-parts":[["2020"]]}}},{"id":1388,"uris":["http://zotero.org/users/5456909/items/N2YIDYB5"],"uri":["http://zotero.org/users/5456909/items/N2YIDYB5"],"itemData":{"id":1388,"type":"article-journal","abstract":"a b s t r a c t Malaria and other vector borne diseases claim lives and cause illness, especially in less developed countries. Although well understood methods, such as spraying and insecti-cidal nets, are identified as effective deterrents to malaria transmission by mosquitoes, the nations that have the greatest burden from the disease also struggle to deploy such measures sufficiently. More targeted and up to date information is needed to identify which regions of malaria-endemic countries are most likely to be at risk of malaria in the near future. This will allow national governments, local officials and public health workers to deploy protective equipment and personnel where they are most needed. This paper explores the role of environmental data generated via satellite remote sensing as an ingredient to a Malaria Early Warning System. Data from remote sensing satellites can cover broad geographical areas frequently and consistently. Much of the relevant data may be accessed by malaria-endemic countries at minimal cost via international data sharing polices. While previous research studies have demonstrated the potential to assign malaria risk to a geographic region based on indicators from satellites and other sources, there is still a need to deploy such tools in a broader and more operational manner to inform decision making on malaria management. This paper describes current research on the use of satellite-based environmental data to predict malaria risk and examines the barriers and opportunities for implementing Malaria Early Warning Systems enabled by satellite remote sensing. A Systems Architecture Framework analyses the components of a Malaria Early Warning System and highlights the need for effective coordination across public and private sector organizations.","container-title":"Acta Astronautica","page":"292-305","title":"The current and potential role of satellite remote sensing in the campaign against malaria","volume":"121","author":[{"family":"Kazansky","given":"Yaniv"},{"family":"Wood","given":"Danielle"},{"family":"Sutherlun","given":"Jacob"}],"issued":{"date-parts":[["2016"]]}}},{"id":1117,"uris":["http://zotero.org/users/5456909/items/7LD7TUHF"],"uri":["http://zotero.org/users/5456909/items/7LD7TUHF"],"itemData":{"id":1117,"type":"article-journal","abstract":"West Nile Virus (WNV) is a globally important mosquito borne virus, with significant implications for human and animal health. The emergence and spread of new lineages, and increased pathogenicity, is the cause of escalating public health concern. Pinpointing the environmental conditions that favour WNV circulation and transmission to humans is challenging, due both to the complexity of its biological cycle, and the under-diagnosis and reporting of epidemiological data. Here, we used remote sensing and GIS to enable collation of multiple types of environmental data over a continental spatial scale, in order to model annual West Nile Fever (WNF) incidence across Europe and neighbouring countries. Multi-model selection and inference were used to gain a consensus from multiple linear mixed models. Climate and landscape were key predictors of WNF outbreaks (specifically, high precipitation in late winter/early spring, high summer temperatures, summer drought, occurrence of irrigated croplands and highly fragmented forests). Identification of the environmental conditions associated with WNF outbreaks is key to enabling public health bodies to properly focus surveillance and mitigation of West Nile virus impact, but more work needs to be done to enable accurate predictions of WNF risk.","container-title":"PLOS ONE","issue":"3","page":"e0121158-e0121158","title":"Identifying the environmental conditions favouring West Nile virus outbreaks in Europe","volume":"10","author":[{"family":"Marcantonio","given":"Matteo"},{"family":"Rizzoli","given":"Annapaola"},{"family":"Metz","given":"Markus"},{"family":"Rosà","given":"Roberto"},{"family":"Marini","given":"Giovanni"},{"family":"Chadwick","given":"Elizabeth"},{"family":"Neteler","given":"Markus"}],"issued":{"date-parts":[["2015",3]]}}},{"id":3804,"uris":["http://zotero.org/users/5456909/items/JXRQSUWC"],"uri":["http://zotero.org/users/5456909/items/JXRQSUWC"],"itemData":{"id":3804,"type":"article-journal","abstract":"To date, there is no effective treatment to cure dengue fever, a mosquito-borne disease which has a major impact on human populations in tropical and sub-tropical regions. Although the characteristics of dengue infection are well known, factors associated with landscape are highly scale dependent in time and space, and therefore difficult to monitor. We propose here a mapping review based on 78 articles that study the relationships between landscape factors and urban dengue cases considering household, neighborhood and administrative levels. Landscape factors were retrieved from survey questionnaires, Geographic Information Systems (GIS), and remote sensing (RS) techniques. We structured these into groups composed of land cover, land use, and housing type and characteristics, as well as subgroups referring to construction material, urban typology, and infrastructure level. We mapped the co-occurrence networks associated with these factors, and analyzed their relevance according to a three-valued interpretation (positive, negative, non significant). From a methodological perspective, coupling RS and GIS techniques with field surveys including entomological observations should be systematically considered, as none digital land use or land cover variables appears to be an univocal determinant of dengue occurrences. Remote sensing urban mapping is however of interest to provide a geographical frame to distribute human population and movement in relation to their activities in the city, and as spatialized input variables for epidemiological and entomological models.","container-title":"Remote Sensing","issue":"6","language":"en","page":"932","source":"www.mdpi.com","title":"A Mapping Review on Urban Landscape Factors of Dengue Retrieved from Earth Observation Data, GIS Techniques, and Survey Questionnaires","volume":"12","author":[{"family":"Marti","given":"Renaud"},{"family":"Li","given":"Zhichao"},{"family":"Catry","given":"Thibault"},{"family":"Roux","given":"Emmanuel"},{"family":"Mangeas","given":"Morgan"},{"family":"Handschumacher","given":"Pascal"},{"family":"Gaudart","given":"Jean"},{"family":"Tran","given":"Annelise"},{"family":"Demagistri","given":"Laurent"},{"family":"Faure","given":"Jean-François"},{"family":"Carvajal","given":"José Joaquín"},{"family":"Drumond","given":"Bruna"},{"family":"Xu","given":"Lei"},{"family":"Herbreteau","given":"Vincent"},{"family":"Gurgel","given":"Helen"},{"family":"Dessay","given":"Nadine"},{"family":"Gong","given":"Peng"}],"issued":{"date-parts":[["2020",1]]}}},{"id":1795,"uris":["http://zotero.org/users/5456909/items/XLTBMBR8"],"uri":["http://zotero.org/users/5456909/items/XLTBMBR8"],"itemData":{"id":1795,"type":"article-journal","abstract":"Mosquito-based surveillance is a practical way to estimate the risk of transmission of West Nile virus (WNV) to people. Variations in temperature and precipitation play a role in driving mosquito infection rates and transmis-sion of WNV, motivating efforts to predict infection rates based on prior weather conditions. Weather conditions and sequential patterns of meteorological events can have particularly important, but regionally distinctive, consequences for WNV transmission, with high temperatures and low precipitation often increasing WNV mos-quito infection. Predictive models that incorporate weather can thus be used to provide early indications of the risk of WNV infection. The purpose of this study was first, to assess the ability of a previously published model of WNV mosquito infection to predict infection for an area within the region for which it was developed, and se-cond, to improve the predictive ability of this model by incorporating new weather factors that may affect mos-quito development. The legacy model captured the primary trends in mosquito infection, but it was improved considerably when calibrated with local mosquito infection rates. The use of interaction terms between precipi-tation and temperature improved model performance. Specifically, temperature had a stronger influence than rainfall, so that lower than average temperature greatly reduced the effect of low rainfall on increased infection rates. When rainfall was lower, high temperature had an even stronger positive impact on infection rates. The final model is practical, stable, and operationally valid for predicting West Nile virus infection rates in future weeks when calibrated with local data.","container-title":"Journal of Medical Entomology","issue":"4","page":"935-944","title":"Predicting West Nile Virus Infection Risk From the Synergistic Effects of Rainfall and Temperature","volume":"53","author":[{"family":"Shand","given":"L"},{"family":"Brown","given":"W M"},{"family":"Chaves","given":"L F"},{"family":"Goldberg","given":"T L"},{"family":"Hamer","given":"G L"},{"family":"Haramis","given":"L"},{"family":"Kitron","given":"U"},{"family":"Walker","given":"E D"},{"family":"Ruiz","given":"M O"}],"issued":{"date-parts":[["2016"]]}}}],"schema":"https://github.com/citation-style-language/schema/raw/master/csl-citation.json"} </w:instrText>
      </w:r>
      <w:r w:rsidR="00734938" w:rsidRPr="00FE14A4">
        <w:rPr>
          <w:rFonts w:cs="Times New Roman"/>
          <w:szCs w:val="24"/>
        </w:rPr>
        <w:fldChar w:fldCharType="separate"/>
      </w:r>
      <w:r w:rsidR="002B37C7" w:rsidRPr="00FE14A4">
        <w:rPr>
          <w:rFonts w:cs="Times New Roman"/>
          <w:szCs w:val="24"/>
        </w:rPr>
        <w:t>(Hoffman-Hall et al., 2020; Kazansky et al., 2016; Marcantonio et al., 2015; Marti et al., 2020; Shand et al., 2016)</w:t>
      </w:r>
      <w:r w:rsidR="00734938" w:rsidRPr="00FE14A4">
        <w:rPr>
          <w:rFonts w:cs="Times New Roman"/>
          <w:szCs w:val="24"/>
        </w:rPr>
        <w:fldChar w:fldCharType="end"/>
      </w:r>
      <w:r w:rsidR="00734938" w:rsidRPr="00FE14A4">
        <w:rPr>
          <w:rFonts w:cs="Times New Roman"/>
          <w:szCs w:val="24"/>
        </w:rPr>
        <w:t>. However, challenges in identifying and mapping specific environmental drivers of mosquito-borne diseases from satellite earth observation data still remain. For example, even high</w:t>
      </w:r>
      <w:r w:rsidR="002B721D" w:rsidRPr="00FE14A4">
        <w:rPr>
          <w:rFonts w:cs="Times New Roman"/>
          <w:szCs w:val="24"/>
        </w:rPr>
        <w:t>-</w:t>
      </w:r>
      <w:r w:rsidR="00734938" w:rsidRPr="00FE14A4">
        <w:rPr>
          <w:rFonts w:cs="Times New Roman"/>
          <w:szCs w:val="24"/>
        </w:rPr>
        <w:t xml:space="preserve">resolution satellite imagery will not suffice to capture breeding sites of mosquitoes with a preference for small waterbodies. Researchers need to develop ways to relate satellite measurements to ecologically meaningful information that can predict when and where disease risk may be high. </w:t>
      </w:r>
    </w:p>
    <w:p w14:paraId="20B8C916" w14:textId="77777777" w:rsidR="00734938" w:rsidRPr="00AA3319" w:rsidRDefault="00734938" w:rsidP="00734938">
      <w:pPr>
        <w:pStyle w:val="Heading2"/>
        <w:rPr>
          <w:rFonts w:cs="Times New Roman"/>
        </w:rPr>
      </w:pPr>
      <w:bookmarkStart w:id="9" w:name="_Toc78889184"/>
      <w:r w:rsidRPr="00AA3319">
        <w:rPr>
          <w:rFonts w:cs="Times New Roman"/>
        </w:rPr>
        <w:t>Research overview</w:t>
      </w:r>
      <w:bookmarkEnd w:id="9"/>
    </w:p>
    <w:p w14:paraId="6C070776" w14:textId="4B35B9DA" w:rsidR="00734938" w:rsidRPr="00AA3319" w:rsidRDefault="00734938" w:rsidP="00734938">
      <w:pPr>
        <w:rPr>
          <w:rFonts w:cs="Times New Roman"/>
        </w:rPr>
      </w:pPr>
      <w:r w:rsidRPr="00AA3319">
        <w:rPr>
          <w:rFonts w:cs="Times New Roman"/>
        </w:rPr>
        <w:t xml:space="preserve">The following research aims to improve the understanding of environmental spatio-temporal variability and its influence on mosquito-borne diseases, as well as vector-mosquito distribution. This research </w:t>
      </w:r>
      <w:r w:rsidR="00FE54D5">
        <w:rPr>
          <w:rFonts w:cs="Times New Roman"/>
        </w:rPr>
        <w:t>assesses</w:t>
      </w:r>
      <w:r w:rsidRPr="00AA3319">
        <w:rPr>
          <w:rFonts w:cs="Times New Roman"/>
        </w:rPr>
        <w:t xml:space="preserve"> ways of using remotely-sensed environmental information and to identifying remotely-sensed variables that are relevant to the landscape ecology of mosquito-borne diseases. This will ultimately help us understand spatio-temporal environmental processes that influence mosquito distribution </w:t>
      </w:r>
      <w:r w:rsidRPr="00AA3319">
        <w:rPr>
          <w:rFonts w:cs="Times New Roman"/>
        </w:rPr>
        <w:lastRenderedPageBreak/>
        <w:t>and the risk of transmission of mosquito-borne diseases. Within this general objective, the goal of this research is to answer the following research questions:</w:t>
      </w:r>
    </w:p>
    <w:p w14:paraId="64B63C17" w14:textId="77777777" w:rsidR="00734938" w:rsidRPr="00AA3319" w:rsidRDefault="00734938" w:rsidP="00693AB0">
      <w:pPr>
        <w:pStyle w:val="ListParagraph"/>
        <w:numPr>
          <w:ilvl w:val="0"/>
          <w:numId w:val="3"/>
        </w:numPr>
        <w:rPr>
          <w:rFonts w:cs="Times New Roman"/>
        </w:rPr>
      </w:pPr>
      <w:r w:rsidRPr="00AA3319">
        <w:rPr>
          <w:rFonts w:cs="Times New Roman"/>
        </w:rPr>
        <w:t>What remotely-sensed variables are most associated with the distribution of mosquito-borne diseases?</w:t>
      </w:r>
    </w:p>
    <w:p w14:paraId="3E2C32DF" w14:textId="77777777" w:rsidR="00734938" w:rsidRPr="00AA3319" w:rsidRDefault="00734938" w:rsidP="00693AB0">
      <w:pPr>
        <w:pStyle w:val="ListParagraph"/>
        <w:numPr>
          <w:ilvl w:val="0"/>
          <w:numId w:val="3"/>
        </w:numPr>
        <w:rPr>
          <w:rFonts w:cs="Times New Roman"/>
        </w:rPr>
      </w:pPr>
      <w:r w:rsidRPr="00AA3319">
        <w:rPr>
          <w:rFonts w:cs="Times New Roman"/>
        </w:rPr>
        <w:t>How do these associations depend on the geographic setting?</w:t>
      </w:r>
    </w:p>
    <w:p w14:paraId="40A859CC" w14:textId="77777777" w:rsidR="00734938" w:rsidRPr="00AA3319" w:rsidRDefault="00734938" w:rsidP="00693AB0">
      <w:pPr>
        <w:pStyle w:val="ListParagraph"/>
        <w:numPr>
          <w:ilvl w:val="0"/>
          <w:numId w:val="3"/>
        </w:numPr>
        <w:rPr>
          <w:rFonts w:cs="Times New Roman"/>
        </w:rPr>
      </w:pPr>
      <w:r w:rsidRPr="00AA3319">
        <w:rPr>
          <w:rFonts w:cs="Times New Roman"/>
        </w:rPr>
        <w:t>How do remotely-sensed environmental variables compare to other environmental data sources in understanding disease transmission patterns?</w:t>
      </w:r>
    </w:p>
    <w:p w14:paraId="1589B736" w14:textId="7A665972" w:rsidR="00734938" w:rsidRPr="00AA3319" w:rsidRDefault="00734938" w:rsidP="00734938">
      <w:pPr>
        <w:rPr>
          <w:rFonts w:cs="Times New Roman"/>
        </w:rPr>
      </w:pPr>
      <w:r w:rsidRPr="00AA3319">
        <w:rPr>
          <w:rFonts w:cs="Times New Roman"/>
        </w:rPr>
        <w:t>The following research is structured in three research chapters and a final summary of the main findings, as well as a general conclusion. Chapters 2, 3, and 4 are standalone manuscripts of which chapter 2 and 3 are published</w:t>
      </w:r>
      <w:r w:rsidR="00FE54D5">
        <w:rPr>
          <w:rFonts w:cs="Times New Roman"/>
        </w:rPr>
        <w:t xml:space="preserve"> in peer-reviewed journals</w:t>
      </w:r>
      <w:r w:rsidRPr="00AA3319">
        <w:rPr>
          <w:rFonts w:cs="Times New Roman"/>
        </w:rPr>
        <w:t xml:space="preserve">, and chapter 4 is ready for submission. Each of those chapters showcases a specific use case of remote sensing technology application and presents research to address unique challenges of different mosquito-borne diseases, their ecology, the geographic context, and different ways </w:t>
      </w:r>
      <w:r w:rsidR="00FE54D5">
        <w:rPr>
          <w:rFonts w:cs="Times New Roman"/>
        </w:rPr>
        <w:t>that</w:t>
      </w:r>
      <w:r w:rsidR="00FE54D5" w:rsidRPr="00AA3319">
        <w:rPr>
          <w:rFonts w:cs="Times New Roman"/>
        </w:rPr>
        <w:t xml:space="preserve"> </w:t>
      </w:r>
      <w:r w:rsidRPr="00AA3319">
        <w:rPr>
          <w:rFonts w:cs="Times New Roman"/>
        </w:rPr>
        <w:t>public health data are reported and stored. Chapter 2 investigates the association of remotely-sensed static and dynamic environmental variables and malaria occurrence in two geographically distinct areas in Ethiopia. Chapter 3 explores the use of different geospatial environmental data for predicting spatial patterns of West Nile virus disease risk in South Dakota, USA. Chapter 4 compares remotely-sensed environmental variables with other environmental data sources to study the abundance of vector mosquitoes in Norman, Oklahoma. Chapter 5 provides a synthesis of research findings and draws general conclusion</w:t>
      </w:r>
      <w:r w:rsidR="00FE54D5">
        <w:rPr>
          <w:rFonts w:cs="Times New Roman"/>
        </w:rPr>
        <w:t>s</w:t>
      </w:r>
      <w:r w:rsidRPr="00AA3319">
        <w:rPr>
          <w:rFonts w:cs="Times New Roman"/>
        </w:rPr>
        <w:t>.</w:t>
      </w:r>
    </w:p>
    <w:bookmarkEnd w:id="5"/>
    <w:p w14:paraId="7E3641DA" w14:textId="73672034" w:rsidR="00EE74B8" w:rsidRPr="00AA3319" w:rsidRDefault="001B0273" w:rsidP="00EE74B8">
      <w:pPr>
        <w:pStyle w:val="Heading1"/>
        <w:rPr>
          <w:rFonts w:cs="Times New Roman"/>
          <w:b/>
          <w:bCs/>
        </w:rPr>
      </w:pPr>
      <w:r w:rsidRPr="00AA3319">
        <w:rPr>
          <w:rFonts w:cs="Times New Roman"/>
        </w:rPr>
        <w:br w:type="page"/>
      </w:r>
      <w:bookmarkStart w:id="10" w:name="_Toc78889185"/>
      <w:r w:rsidR="00EE74B8" w:rsidRPr="00AA3319">
        <w:rPr>
          <w:rFonts w:cs="Times New Roman"/>
          <w:b/>
          <w:bCs/>
        </w:rPr>
        <w:lastRenderedPageBreak/>
        <w:t>Remote sensing of environmental risk factors for malaria in different geographic contexts</w:t>
      </w:r>
      <w:bookmarkEnd w:id="10"/>
    </w:p>
    <w:p w14:paraId="4E599859" w14:textId="79524F0D" w:rsidR="00EE74B8" w:rsidRPr="00AA3319" w:rsidRDefault="00EE74B8" w:rsidP="00E31B84">
      <w:pPr>
        <w:rPr>
          <w:rFonts w:cs="Times New Roman"/>
          <w:b/>
          <w:bCs/>
        </w:rPr>
      </w:pPr>
      <w:r w:rsidRPr="00AA3319">
        <w:rPr>
          <w:rFonts w:cs="Times New Roman"/>
          <w:b/>
          <w:bCs/>
        </w:rPr>
        <w:t>Abstract</w:t>
      </w:r>
    </w:p>
    <w:p w14:paraId="683BB22C" w14:textId="77777777" w:rsidR="00EE74B8" w:rsidRPr="00AA3319" w:rsidRDefault="00EE74B8" w:rsidP="00EE74B8">
      <w:pPr>
        <w:rPr>
          <w:rFonts w:cs="Times New Roman"/>
        </w:rPr>
      </w:pPr>
      <w:r w:rsidRPr="00AA3319">
        <w:rPr>
          <w:rFonts w:cs="Times New Roman"/>
        </w:rPr>
        <w:t xml:space="preserve">Despite global intervention efforts, malaria remains a major public health concern in many parts of the world. Understanding geographic variation in malaria patterns and their environmental determinants can support targeting of malaria control and development of elimination strategies. </w:t>
      </w:r>
    </w:p>
    <w:p w14:paraId="0DB263A7" w14:textId="77777777" w:rsidR="00EE74B8" w:rsidRPr="00AA3319" w:rsidRDefault="00EE74B8" w:rsidP="00EE74B8">
      <w:pPr>
        <w:rPr>
          <w:rFonts w:cs="Times New Roman"/>
        </w:rPr>
      </w:pPr>
      <w:bookmarkStart w:id="11" w:name="_Hlk70583642"/>
      <w:bookmarkStart w:id="12" w:name="_Hlk69303086"/>
      <w:r w:rsidRPr="00AA3319">
        <w:rPr>
          <w:rFonts w:cs="Times New Roman"/>
        </w:rPr>
        <w:t xml:space="preserve">We used remotely sensed environmental data to analyze the influences of environmental risk factors on malaria cases caused by </w:t>
      </w:r>
      <w:r w:rsidRPr="00AA3319">
        <w:rPr>
          <w:rFonts w:cs="Times New Roman"/>
          <w:i/>
          <w:iCs/>
        </w:rPr>
        <w:t>Plasmodium falciparum</w:t>
      </w:r>
      <w:r w:rsidRPr="00AA3319">
        <w:rPr>
          <w:rFonts w:cs="Times New Roman"/>
        </w:rPr>
        <w:t xml:space="preserve"> and </w:t>
      </w:r>
      <w:r w:rsidRPr="00AA3319">
        <w:rPr>
          <w:rFonts w:cs="Times New Roman"/>
          <w:i/>
          <w:iCs/>
        </w:rPr>
        <w:t>Plasmodium vivax</w:t>
      </w:r>
      <w:r w:rsidRPr="00AA3319">
        <w:rPr>
          <w:rFonts w:cs="Times New Roman"/>
        </w:rPr>
        <w:t xml:space="preserve"> from 2014-2017 in two geographic settings in Ethiopia. Geospatial datasets were derived from multiple sources and characterized climate, vegetation, land use, topography, and surface water. All data were summarized annually at the sub-district (</w:t>
      </w:r>
      <w:r w:rsidRPr="00AA3319">
        <w:rPr>
          <w:rFonts w:cs="Times New Roman"/>
          <w:i/>
          <w:iCs/>
        </w:rPr>
        <w:t>kebele</w:t>
      </w:r>
      <w:r w:rsidRPr="00AA3319">
        <w:rPr>
          <w:rFonts w:cs="Times New Roman"/>
        </w:rPr>
        <w:t>) level for each of the two study areas. We analyzed the associations between environmental data and malaria cases with Boosted Regression Tree (BRT) models.</w:t>
      </w:r>
      <w:bookmarkEnd w:id="11"/>
    </w:p>
    <w:p w14:paraId="683BCA82" w14:textId="77777777" w:rsidR="00E31B84" w:rsidRPr="00AA3319" w:rsidRDefault="00EE74B8" w:rsidP="00EE74B8">
      <w:pPr>
        <w:rPr>
          <w:rFonts w:cs="Times New Roman"/>
        </w:rPr>
      </w:pPr>
      <w:bookmarkStart w:id="13" w:name="_Hlk71311978"/>
      <w:bookmarkEnd w:id="12"/>
      <w:r w:rsidRPr="00AA3319">
        <w:rPr>
          <w:rFonts w:cs="Times New Roman"/>
        </w:rPr>
        <w:t>We found considerable spatial variation in malaria occurrence. Spectral indices related to land cover greenness (NDVI) and moisture (NDWI) showed a negative association with malaria, as the highest malaria rates were found in landscapes with low vegetation cover and moisture during the months that follow the rainy season.</w:t>
      </w:r>
      <w:bookmarkEnd w:id="13"/>
      <w:r w:rsidRPr="00AA3319">
        <w:rPr>
          <w:rFonts w:cs="Times New Roman"/>
        </w:rPr>
        <w:t xml:space="preserve"> Climatic factors, including precipitation and land surface temperature, had positive associations with malaria. Settlement structure also played an important role, with different effects in the two study areas. Variables related to surface water, such as irrigated agriculture, wetlands, seasonally </w:t>
      </w:r>
      <w:r w:rsidRPr="00AA3319">
        <w:rPr>
          <w:rFonts w:cs="Times New Roman"/>
        </w:rPr>
        <w:lastRenderedPageBreak/>
        <w:t xml:space="preserve">flooded waterbodies, and height above nearest drainage did not have strong influences on malaria proportion. </w:t>
      </w:r>
    </w:p>
    <w:p w14:paraId="544D9952" w14:textId="0BF8F0D5" w:rsidR="00EE74B8" w:rsidRPr="00AA3319" w:rsidRDefault="00EE74B8" w:rsidP="00EE74B8">
      <w:pPr>
        <w:rPr>
          <w:rFonts w:cs="Times New Roman"/>
        </w:rPr>
      </w:pPr>
      <w:r w:rsidRPr="00AA3319">
        <w:rPr>
          <w:rFonts w:cs="Times New Roman"/>
        </w:rPr>
        <w:t xml:space="preserve">We found different relationships between malaria and environmental conditions in two geographically distinctive areas. </w:t>
      </w:r>
      <w:bookmarkStart w:id="14" w:name="_Hlk63111745"/>
      <w:r w:rsidRPr="00AA3319">
        <w:rPr>
          <w:rFonts w:cs="Times New Roman"/>
        </w:rPr>
        <w:t>These results emphasize that studies of malaria-environmental relationships and predictive models of malaria occurrence should be context specific to account for such differences.</w:t>
      </w:r>
      <w:bookmarkEnd w:id="14"/>
    </w:p>
    <w:p w14:paraId="3FFFD0E8" w14:textId="7C4EA47E" w:rsidR="00EE74B8" w:rsidRPr="00AA3319" w:rsidRDefault="00EE74B8" w:rsidP="00EE74B8">
      <w:pPr>
        <w:pStyle w:val="Heading2"/>
        <w:rPr>
          <w:rFonts w:eastAsiaTheme="minorHAnsi" w:cs="Times New Roman"/>
          <w:szCs w:val="22"/>
        </w:rPr>
      </w:pPr>
      <w:bookmarkStart w:id="15" w:name="_Toc78889186"/>
      <w:r w:rsidRPr="00AA3319">
        <w:rPr>
          <w:rFonts w:cs="Times New Roman"/>
        </w:rPr>
        <w:t>Introduction</w:t>
      </w:r>
      <w:bookmarkEnd w:id="15"/>
    </w:p>
    <w:p w14:paraId="53FE2042" w14:textId="2C57F41D" w:rsidR="00EE74B8" w:rsidRPr="00FE14A4" w:rsidRDefault="00EE74B8" w:rsidP="00EE74B8">
      <w:pPr>
        <w:rPr>
          <w:rFonts w:cs="Times New Roman"/>
          <w:szCs w:val="24"/>
        </w:rPr>
      </w:pPr>
      <w:r w:rsidRPr="00FE14A4">
        <w:rPr>
          <w:rFonts w:cs="Times New Roman"/>
          <w:szCs w:val="24"/>
        </w:rPr>
        <w:t xml:space="preserve">According to the United Nations Sustainable Development Goals (SDGs), combatting diseases, including mosquito borne diseases such as malaria, is a high priority. In particular, malaria is the focus of ongoing efforts toward control and elimination </w:t>
      </w:r>
      <w:r w:rsidRPr="00FE14A4">
        <w:rPr>
          <w:rFonts w:cs="Times New Roman"/>
          <w:szCs w:val="24"/>
        </w:rPr>
        <w:fldChar w:fldCharType="begin"/>
      </w:r>
      <w:r w:rsidR="00701ADA" w:rsidRPr="00FE14A4">
        <w:rPr>
          <w:rFonts w:cs="Times New Roman"/>
          <w:szCs w:val="24"/>
        </w:rPr>
        <w:instrText xml:space="preserve"> ADDIN ZOTERO_ITEM CSL_CITATION {"citationID":"IImyPYVQ","properties":{"formattedCitation":"(Dhiman, 2019; Newby et al., 2016; Talapko et al., 2019; Tanner et al., 2015)","plainCitation":"(Dhiman, 2019; Newby et al., 2016; Talapko et al., 2019; Tanner et al., 2015)","noteIndex":0},"citationItems":[{"id":1460,"uris":["http://zotero.org/users/5456909/items/UEVRQDTQ"],"uri":["http://zotero.org/users/5456909/items/UEVRQDTQ"],"itemData":{"id":1460,"type":"article-journal","abstract":"Although global efforts in the past decade have halved the number of deaths due to malaria, there are still an estimated 219 million cases of malaria a year, causing more than half a million deaths. In this forum article, we asked experts working in malaria research and control to discuss the ways in which malaria might eventually be eradicated. Their collective views highlight the challenges and opportunities, and explain how multi-factorial and integrated processes could eventually make malaria eradication a reality.","container-title":"BMC Medicine","issue":"167","page":"1-22","title":"Malaria eradication and elimination: views on how to translate a vision into reality","volume":"13","author":[{"family":"Tanner","given":"Marcel"},{"family":"Greenwood","given":"Brian"},{"family":"Whitty","given":"Christopher J M"},{"family":"Ansah","given":"Evelyn K"},{"family":"Price","given":"Ric N"},{"family":"Dondorp","given":"Arjen M"},{"family":"Seidlein","given":"Lorenz Von"},{"family":"Baird","given":"J Kevin"},{"family":"Beeson","given":"James G"}],"issued":{"date-parts":[["2015"]]}}},{"id":1467,"uris":["http://zotero.org/users/5456909/items/R4GTEY4H"],"uri":["http://zotero.org/users/5456909/items/R4GTEY4H"],"itemData":{"id":1467,"type":"article-journal","abstract":"In the past several years, as worldwide morbidity and mortality due to malaria have continued to decrease, the global malaria community has grown increasingly supportive of the idea of malaria eradication. In 2015, three noteworthy global documents were released—the WHO's Global Technical Strategy for Malaria 2016–2030, the Roll Back Malaria Partnership's Action and Investment to defeat Malaria 2016–2030, and From Aspiration to Action: What Will It Take to End Malaria?—that collectively advocate for malaria elimination and eradication and outline key operational, technical, and fi nancial strategies to achieve progress toward malaria eradication. In light of this remarkable change in global attitudes toward malaria elimination and eradication, and as the malaria community debates how and when to embark on this ambitious goal, it is important to assess current progress along the path to eradication. Although low-income, high-burden countries are often the focus when discussing the substantial challenges of eradication, the progress toward elimination in middle-income, low-burden countries is a major driver of global progress and deserves better recognition. Additionally, although global support and guidance is essential for success, malaria elimination and eradication eff orts will ultimately be driven at the country level and achieved in a collaborative manner, region by region. In this Review, we examine the present status of the 35 malaria-eliminating countries, summarise existing national and regional elimination goals and the regional frameworks that support them, and identify the most crucial enabling factors and potential barriers to achieving eradication by a theoretical end date of 2040.","container-title":"Lancet","page":"1775-1784","title":"The path to eradication: a progress report on the malaria-eliminating countries","volume":"387","author":[{"family":"Newby","given":"Gretchen"},{"family":"Bennett","given":"Adam"},{"family":"Larson","given":"Erika"},{"family":"Cotter","given":"Chris"},{"family":"Shretta","given":"Rima"},{"family":"Phillips","given":"Allison A"},{"family":"Feachem","given":"Richard G A"}],"issued":{"date-parts":[["2016"]]}}},{"id":4337,"uris":["http://zotero.org/users/5456909/items/5JMNB2QC"],"uri":["http://zotero.org/users/5456909/items/5JMNB2QC"],"itemData":{"id":4337,"type":"article-journal","abstract":"Malaria causes significant morbidity and mortality each year. In the past few years, the global malaria cases have been declining and many endemic countries are heading towards malaria elimination. Nevertheless, reducing the number of cases seems to be easy than sustained elimination. Therefore to achieve the objective of complete elimination and maintaining the elimination status, it is necessary to assess the gains made during the recent years.","container-title":"Infectious Diseases of Poverty","ISSN":"2049-9957","issue":"1","journalAbbreviation":"Infectious Diseases of Poverty","page":"14","source":"BioMed Central","title":"Are malaria elimination efforts on right track? An analysis of gains achieved and challenges ahead","title-short":"Are malaria elimination efforts on right track?","volume":"8","author":[{"family":"Dhiman","given":"Sunil"}],"issued":{"date-parts":[["2019",2,13]]}}},{"id":4341,"uris":["http://zotero.org/users/5456909/items/CSVXSVL9"],"uri":["http://zotero.org/users/5456909/items/CSVXSVL9"],"itemData":{"id":4341,"type":"article-journal","abstract":"Malaria is a severe disease caused by parasites of the genus Plasmodium, which is transmitted to humans by a bite of an infected female mosquito of the species Anopheles. Malaria remains the leading cause of mortality around the world, and early diagnosis and fast-acting treatment prevent unwanted outcomes. It is the most common disease in Africa and some countries of Asia, while in the developed world malaria occurs as imported from endemic areas. The sweet sagewort plant was used as early as the second century BC to treat malaria fever in China. Much later, quinine started being used as an antimalaria drug. A global battle against malaria started in 1955, and Croatia declared 1964 to be the year of eradication of malaria. The World Health Organization carries out a malaria control program on a global scale, focusing on local strengthening of primary health care, early diagnosis of the disease, timely treatment, and disease prevention. Globally, the burden of malaria is lower than ten years ago. However, in the last few years, there has been an increase in the number of malaria cases around the world. It is moving towards targets established by the WHO, but that progress has slowed down.","container-title":"Microorganisms","issue":"6","language":"en","page":"179","source":"www.mdpi.com","title":"Malaria: The Past and the Present","title-short":"Malaria","volume":"7","author":[{"family":"Talapko","given":"Jasminka"},{"family":"Škrlec","given":"Ivana"},{"family":"Alebić","given":"Tamara"},{"family":"Jukić","given":"Melita"},{"family":"Včev","given":"Aleksandar"}],"issued":{"date-parts":[["2019",6]]}}}],"schema":"https://github.com/citation-style-language/schema/raw/master/csl-citation.json"} </w:instrText>
      </w:r>
      <w:r w:rsidRPr="00FE14A4">
        <w:rPr>
          <w:rFonts w:cs="Times New Roman"/>
          <w:szCs w:val="24"/>
        </w:rPr>
        <w:fldChar w:fldCharType="separate"/>
      </w:r>
      <w:r w:rsidR="002B37C7" w:rsidRPr="00FE14A4">
        <w:rPr>
          <w:rFonts w:cs="Times New Roman"/>
          <w:szCs w:val="24"/>
        </w:rPr>
        <w:t>(Dhiman, 2019; Newby et al., 2016; Talapko et al., 2019; Tanner et al., 2015)</w:t>
      </w:r>
      <w:r w:rsidRPr="00FE14A4">
        <w:rPr>
          <w:rFonts w:cs="Times New Roman"/>
          <w:szCs w:val="24"/>
        </w:rPr>
        <w:fldChar w:fldCharType="end"/>
      </w:r>
      <w:r w:rsidRPr="00FE14A4">
        <w:rPr>
          <w:rFonts w:cs="Times New Roman"/>
          <w:szCs w:val="24"/>
        </w:rPr>
        <w:t xml:space="preserve">. </w:t>
      </w:r>
      <w:bookmarkStart w:id="16" w:name="_Hlk71312017"/>
      <w:r w:rsidRPr="00FE14A4">
        <w:rPr>
          <w:rFonts w:cs="Times New Roman"/>
          <w:szCs w:val="24"/>
        </w:rPr>
        <w:t xml:space="preserve">There has been significant progress in reducing </w:t>
      </w:r>
      <w:bookmarkStart w:id="17" w:name="_Hlk69460102"/>
      <w:r w:rsidRPr="00FE14A4">
        <w:rPr>
          <w:rFonts w:cs="Times New Roman"/>
          <w:szCs w:val="24"/>
        </w:rPr>
        <w:t xml:space="preserve">the burden of malaria, but it remains a major public health concern with 229 million malaria cases and 409,000 malaria deaths globally in 2019 </w:t>
      </w:r>
      <w:r w:rsidRPr="00FE14A4">
        <w:rPr>
          <w:rFonts w:cs="Times New Roman"/>
          <w:szCs w:val="24"/>
        </w:rPr>
        <w:fldChar w:fldCharType="begin"/>
      </w:r>
      <w:r w:rsidR="001B184A" w:rsidRPr="00FE14A4">
        <w:rPr>
          <w:rFonts w:cs="Times New Roman"/>
          <w:szCs w:val="24"/>
        </w:rPr>
        <w:instrText xml:space="preserve"> ADDIN ZOTERO_ITEM CSL_CITATION {"citationID":"Xi1KtDdU","properties":{"formattedCitation":"(WHO, 2020)","plainCitation":"(WHO, 2020)","noteIndex":0},"citationItems":[{"id":4313,"uris":["http://zotero.org/users/5456909/items/NN695WLT"],"uri":["http://zotero.org/users/5456909/items/NN695WLT"],"itemData":{"id":4313,"type":"report","abstract":"20 years of global progress &amp; challenges","event-place":"Geneva","language":"en","publisher-place":"Geneva","title":"World malaria report 2020","author":[{"family":"WHO","given":""}],"accessed":{"date-parts":[["2021",4,7]]},"issued":{"date-parts":[["2020"]]}}}],"schema":"https://github.com/citation-style-language/schema/raw/master/csl-citation.json"} </w:instrText>
      </w:r>
      <w:r w:rsidRPr="00FE14A4">
        <w:rPr>
          <w:rFonts w:cs="Times New Roman"/>
          <w:szCs w:val="24"/>
        </w:rPr>
        <w:fldChar w:fldCharType="separate"/>
      </w:r>
      <w:r w:rsidR="002B37C7" w:rsidRPr="00FE14A4">
        <w:rPr>
          <w:rFonts w:cs="Times New Roman"/>
          <w:szCs w:val="24"/>
        </w:rPr>
        <w:t>(WHO, 2020)</w:t>
      </w:r>
      <w:r w:rsidRPr="00FE14A4">
        <w:rPr>
          <w:rFonts w:cs="Times New Roman"/>
          <w:szCs w:val="24"/>
        </w:rPr>
        <w:fldChar w:fldCharType="end"/>
      </w:r>
      <w:r w:rsidRPr="00FE14A4">
        <w:rPr>
          <w:rFonts w:cs="Times New Roman"/>
          <w:szCs w:val="24"/>
        </w:rPr>
        <w:t xml:space="preserve">. </w:t>
      </w:r>
      <w:bookmarkEnd w:id="16"/>
      <w:bookmarkEnd w:id="17"/>
      <w:r w:rsidRPr="00FE14A4">
        <w:rPr>
          <w:rFonts w:cs="Times New Roman"/>
          <w:szCs w:val="24"/>
        </w:rPr>
        <w:t xml:space="preserve">The goal is to reduce these numbers by enabling access to prevention, diagnostic testing and treatment for all people </w:t>
      </w:r>
      <w:r w:rsidRPr="00FE14A4">
        <w:rPr>
          <w:rFonts w:cs="Times New Roman"/>
          <w:szCs w:val="24"/>
        </w:rPr>
        <w:fldChar w:fldCharType="begin"/>
      </w:r>
      <w:r w:rsidR="001B184A" w:rsidRPr="00FE14A4">
        <w:rPr>
          <w:rFonts w:cs="Times New Roman"/>
          <w:szCs w:val="24"/>
        </w:rPr>
        <w:instrText xml:space="preserve"> ADDIN ZOTERO_ITEM CSL_CITATION {"citationID":"7FNjflK6","properties":{"formattedCitation":"(United Nations, 2013)","plainCitation":"(United Nations, 2013)","noteIndex":0},"citationItems":[{"id":4270,"uris":["http://zotero.org/users/5456909/items/UUANENWR"],"uri":["http://zotero.org/users/5456909/items/UUANENWR"],"itemData":{"id":4270,"type":"report","event-place":"New York","publisher-place":"New York","title":"The Millennium Development Goals Report","author":[{"family":"United Nations","given":""}],"accessed":{"date-parts":[["2021",2,8]]},"issued":{"date-parts":[["2013"]]}}}],"schema":"https://github.com/citation-style-language/schema/raw/master/csl-citation.json"} </w:instrText>
      </w:r>
      <w:r w:rsidRPr="00FE14A4">
        <w:rPr>
          <w:rFonts w:cs="Times New Roman"/>
          <w:szCs w:val="24"/>
        </w:rPr>
        <w:fldChar w:fldCharType="separate"/>
      </w:r>
      <w:r w:rsidR="002B37C7" w:rsidRPr="00FE14A4">
        <w:rPr>
          <w:rFonts w:cs="Times New Roman"/>
          <w:szCs w:val="24"/>
        </w:rPr>
        <w:t>(United Nations, 2013)</w:t>
      </w:r>
      <w:r w:rsidRPr="00FE14A4">
        <w:rPr>
          <w:rFonts w:cs="Times New Roman"/>
          <w:szCs w:val="24"/>
        </w:rPr>
        <w:fldChar w:fldCharType="end"/>
      </w:r>
      <w:r w:rsidRPr="00FE14A4">
        <w:rPr>
          <w:rFonts w:cs="Times New Roman"/>
          <w:szCs w:val="24"/>
        </w:rPr>
        <w:t xml:space="preserve">. However, global funding to achieve these goals is limited </w:t>
      </w:r>
      <w:r w:rsidRPr="00FE14A4">
        <w:rPr>
          <w:rFonts w:cs="Times New Roman"/>
          <w:szCs w:val="24"/>
        </w:rPr>
        <w:fldChar w:fldCharType="begin"/>
      </w:r>
      <w:r w:rsidR="006B043F" w:rsidRPr="00FE14A4">
        <w:rPr>
          <w:rFonts w:cs="Times New Roman"/>
          <w:szCs w:val="24"/>
        </w:rPr>
        <w:instrText xml:space="preserve"> ADDIN ZOTERO_ITEM CSL_CITATION {"citationID":"qpl8ltNj","properties":{"formattedCitation":"(Patouillard et al., 2017; Pigott et al., 2012)","plainCitation":"(Patouillard et al., 2017; Pigott et al., 2012)","noteIndex":0},"citationItems":[{"id":1463,"uris":["http://zotero.org/users/5456909/items/5WHAVC5L"],"uri":["http://zotero.org/users/5456909/items/5WHAVC5L"],"itemData":{"id":1463,"type":"article-journal","abstract":"Background: The last decade has seen a dramatic increase in international and domestic funding for malaria control, coupled with important declines in malaria incidence and mortality in some regions of the world. As the ongoing climate of financial uncertainty places strains on investment in global health, there is an increasing need to audit the origin, recipients and geographical distribution of funding for malaria control relative to populations at risk of the disease. Methods: A comprehensive review of malaria control funding from international donors, bilateral sources and national governments was undertaken to reconstruct total funding by country for each year 2006 to 2010. Regions at risk from Plasmodium falciparum and/or Plasmodium vivax transmission were identified using global risk maps for 2010 and funding was assessed relative to populations at risk. Those nations with unequal funding relative to a regional average were identified and potential explanations highlighted, such as differences in national policies, government inaction or donor neglect. Results: US$8.9 billion was disbursed for malaria control and elimination programmes over the study period. Africa had the largest levels of funding per capita-at-risk, with most nations supported primarily by international aid. Countries of the Americas, in contrast, were supported typically through national government funding. Disbursements and government funding in Asia were far lower with a large variation in funding patterns. Nations with relatively high and low levels of funding are discussed. Conclusions: Global funding for malaria control is substantially less than required. Inequity in funding is pronounced in some regions particularly when considering the distinct goals of malaria control and malaria elimination. Efforts to sustain and increase international investment in malaria control should be informed by evidence-based assessment of funding equity.","container-title":"Malaria Journal","issue":"246","title":"Funding for malaria control 2006–2010: A comprehensive global assessment","volume":"11","author":[{"family":"Pigott","given":"David M"},{"family":"Atun","given":"Rifat"},{"family":"Moyes","given":"Catherine L"},{"family":"Hay","given":"Simon I"},{"family":"Gething","given":"Peter W"}],"issued":{"date-parts":[["2012"]]}}},{"id":4332,"uris":["http://zotero.org/users/5456909/items/PXPTK78E"],"uri":["http://zotero.org/users/5456909/items/PXPTK78E"],"itemData":{"id":4332,"type":"article-journal","abstract":"Background: Access to malaria control interventions falls short of universal health coverage. The Global Technical Strategy for malaria targets at least 90% reduction in case incidence and mortality rates, and elimination in 35 countries by 2030. The potential to reach these targets will be determined in part by investments in malaria. This study estimates the financing required for malaria control and elimination over the 2016–2030 period.\nMethods: A mathematical transmission model was used to explore the impact of increasing intervention coverage on burden and costs. The cost analysis took a public provider perspective covering all 97 malaria endemic countries and territories in 2015. All control interventions currently recommended by the WHO were considered. Cost data were sourced from procurement databases, the peer-reviewed literature, national malaria strategic plans, the WHO-CHOICE project and key informant interviews.\nResults: Annual investments of $6.4 billion (95% uncertainty interval (UI $4.5–$9.0 billion)) by 2020, $7.7 billion (95% UI $5.4–$10.9 billion) by 2025 and $8.7 billion (95% UI $6.0–$12.3 billion) by 2030 will be required to reach the targets set in the Global Technical Strategy. These are equivalent to annual investment per person at risk of malaria of US$3.90 by 2020, US$4.30 by 2025 and US$4.40 by 2030, compared with US $2.30 if interventions were sustained at current coverage levels. The 20 countries with the highest burden in 2015 will require 88% of the total investment.\nConclusions: Given the challenges in increasing domestic and international funding, the efficient use of currently available resources should be a priority.","container-title":"BMJ Global Health","ISSN":"2059-7908","issue":"2","journalAbbreviation":"BMJ Glob Health","language":"en","page":"e000176","source":"DOI.org (Crossref)","title":"Global investment targets for malaria control and elimination between 2016 and 2030","volume":"2","author":[{"family":"Patouillard","given":"Edith"},{"family":"Griffin","given":"Jamie"},{"family":"Bhatt","given":"Samir"},{"family":"Ghani","given":"Azra"},{"family":"Cibulskis","given":"Richard"}],"issued":{"date-parts":[["2017",5]]}}}],"schema":"https://github.com/citation-style-language/schema/raw/master/csl-citation.json"} </w:instrText>
      </w:r>
      <w:r w:rsidRPr="00FE14A4">
        <w:rPr>
          <w:rFonts w:cs="Times New Roman"/>
          <w:szCs w:val="24"/>
        </w:rPr>
        <w:fldChar w:fldCharType="separate"/>
      </w:r>
      <w:r w:rsidR="002B37C7" w:rsidRPr="00FE14A4">
        <w:rPr>
          <w:rFonts w:cs="Times New Roman"/>
          <w:szCs w:val="24"/>
        </w:rPr>
        <w:t>(Patouillard et al., 2017; Pigott et al., 2012)</w:t>
      </w:r>
      <w:r w:rsidRPr="00FE14A4">
        <w:rPr>
          <w:rFonts w:cs="Times New Roman"/>
          <w:szCs w:val="24"/>
        </w:rPr>
        <w:fldChar w:fldCharType="end"/>
      </w:r>
      <w:r w:rsidRPr="00FE14A4">
        <w:rPr>
          <w:rFonts w:cs="Times New Roman"/>
          <w:szCs w:val="24"/>
        </w:rPr>
        <w:t xml:space="preserve">. It is essential to use available resources efficiently by spatially targeting prevention, control, and elimination efforts. Therefore, identifying areas with high risk of disease transmission is crucial when responding to disease outbreaks, and knowing what environmental factors drive spatial and temporal patterns of disease risk can aid in identifying disease hotspots </w:t>
      </w:r>
      <w:r w:rsidRPr="00FE14A4">
        <w:rPr>
          <w:rFonts w:cs="Times New Roman"/>
          <w:szCs w:val="24"/>
        </w:rPr>
        <w:fldChar w:fldCharType="begin"/>
      </w:r>
      <w:r w:rsidR="006B043F" w:rsidRPr="00FE14A4">
        <w:rPr>
          <w:rFonts w:cs="Times New Roman"/>
          <w:szCs w:val="24"/>
        </w:rPr>
        <w:instrText xml:space="preserve"> ADDIN ZOTERO_ITEM CSL_CITATION {"citationID":"ngyaYfKu","properties":{"formattedCitation":"(Bousema et al., 2012; Cohen et al., 2017; Hay et al., 2013; Pigott et al., 2015)","plainCitation":"(Bousema et al., 2012; Cohen et al., 2017; Hay et al., 2013; Pigott et al., 2015)","noteIndex":0},"citationItems":[{"id":667,"uris":["http://zotero.org/users/5456909/items/X9GC3HIS"],"uri":["http://zotero.org/users/5456909/items/X9GC3HIS"],"itemData":{"id":667,"type":"article-journal","abstract":"Teun Bousema and colleagues argue that targeting malaria “hotspots” is a highly efficient way to reduce malaria transmission at all levels of transmission intensity.","container-title":"PLoS Medicine","issue":"1","page":"e1001165-e1001165","title":"Hitting hotspots: spatial targeting of malaria for control and elimination","volume":"9","author":[{"family":"Bousema","given":"Teun"},{"family":"Griffin","given":"Jamie T."},{"family":"Sauerwein","given":"Robert W."},{"family":"Smith","given":"David L."},{"family":"Churcher","given":"Thomas S."},{"family":"Takken","given":"Willem"},{"family":"Ghani","given":"Azra"},{"family":"Drakeley","given":"Chris"},{"family":"Gosling","given":"Roly"}],"issued":{"date-parts":[["2012",1]]}}},{"id":1477,"uris":["http://zotero.org/users/5456909/items/T8WE4ELM"],"uri":["http://zotero.org/users/5456909/items/T8WE4ELM"],"itemData":{"id":1477,"type":"article-journal","abstract":"The primary aim of this review was to evaluate the state of knowledge of the geographical distribution of all infectious diseases of clinical significance to humans. A systematic review was conducted to enumerate cartographic progress, with respect to the data available for mapping and the methods currently applied. The results helped define the minimum information requirements for mapping infectious disease occurrence, and a quantitative framework for assessing the mapping opportunities for all infectious diseases. This revealed that of 355 infectious diseases identified, 174 (49%) have a strong rationale for mapping and of these only 7 (4%) had been comprehensively mapped. A variety of ambitions, such as the quantification of the global burden of infectious disease, international biosurveillance, assessing the like-lihood of infectious disease outbreaks and exploring the propensity for infectious disease evolution and emergence, are limited by these omissions. An overview of the factors hindering progress in disease cartography is pro-vided. It is argued that rapid improvement in the landscape of infectious diseases mapping can be made by embracing non-conventional data sources, automation of geo-positioning and mapping procedures enabled by machine learning and information technology, respectively, in addition to harnessing labour of the volunteer 'cognitive surplus' through crowdsourcing.","container-title":"Philosophical Transactions of the Royal Society B: Biological Sciences","page":"20120250-20120250","title":"Global mapping of infectious disease","volume":"368","author":[{"family":"Hay","given":"Simon I"},{"family":"Battle","given":"Katherine E"},{"family":"Pigott","given":"David M"},{"family":"Smith","given":"David L"},{"family":"Moyes","given":"Catherine L"},{"family":"Bhatt","given":"Samir"},{"family":"Brownstein","given":"John S"},{"family":"Collier","given":"Nigel"},{"family":"Myers","given":"Monica F"},{"family":"George","given":"Dylan B"},{"family":"Gething","given":"Peter W"}],"issued":{"date-parts":[["2013"]]}}},{"id":1465,"uris":["http://zotero.org/users/5456909/items/N78MMPI2"],"uri":["http://zotero.org/users/5456909/items/N78MMPI2"],"itemData":{"id":1465,"type":"article-journal","abstract":"Background","container-title":"PLoS Neglected Tropical Disease","issue":"6","page":"e0003756-e0003756","title":"Prioritising infectious disease mapping","volume":"9","author":[{"family":"Pigott","given":"David M"},{"family":"Howes","given":"Rosalind E"},{"family":"Wiebe","given":"Antoinette"},{"family":"Battle","given":"Katherine E"},{"family":"Golding","given":"Nick"},{"family":"Gething","given":"Peter W"},{"family":"Dowell","given":"Scott F"},{"family":"Farag","given":"Tamer H"},{"family":"Garcia","given":"Andres J"},{"family":"Kimball","given":"Ann M"},{"family":"Krause","given":"L Kendall"},{"family":"Smith","given":"Craig H"},{"family":"Brooker","given":"Simon J"},{"family":"Kyu","given":"Hmwe H"},{"family":"Vos","given":"Theo"},{"family":"Murray","given":"Christopher J L"},{"family":"Moyes","given":"Catherine L"},{"family":"Hay","given":"Simon I"}],"issued":{"date-parts":[["2015"]]}}},{"id":4344,"uris":["http://zotero.org/users/5456909/items/QV8FZI6N"],"uri":["http://zotero.org/users/5456909/items/QV8FZI6N"],"itemData":{"id":4344,"type":"article-journal","abstract":"There is a long history of considering the constituent components of malaria risk and the malaria transmission cycle via the use of mathematical models, yet strategic planning in endemic countries tends not to take full advantage of available disease intelligence to tailor interventions. National malaria programmes typically make operational decisions about where to implement vector control and surveillance activities based upon simple categorizations of annual parasite incidence. With technological advances, an enormous opportunity exists to better target specific malaria interventions to the places where they will have greatest impact by mapping and evaluating metrics related to a variety of risk components, each of which describes a different facet of the transmission cycle. Here, these components and their implications for operational decision-making are reviewed. For each component, related mappable malaria metrics are also described which may be measured and evaluated by malaria programmes seeking to better understand the determinants of malaria risk. Implementing tailored programmes based on knowledge of the heterogeneous distribution of the drivers of malaria transmission rather than only consideration of traditional metrics such as case incidence has the potential to result in substantial improvements in decision-making. As programmes improve their ability to prioritize their available tools to the places where evidence suggests they will be most effective, elimination aspirations may become increasingly feasible.","container-title":"Malaria Journal","ISSN":"1475-2875","issue":"1","journalAbbreviation":"Malaria Journal","page":"459","source":"BioMed Central","title":"Mapping multiple components of malaria risk for improved targeting of elimination interventions","volume":"16","author":[{"family":"Cohen","given":"Justin M."},{"family":"Le Menach","given":"Arnaud"},{"family":"Pothin","given":"Emilie"},{"family":"Eisele","given":"Thomas P."},{"family":"Gething","given":"Peter W."},{"family":"Eckhoff","given":"Philip A."},{"family":"Moonen","given":"Bruno"},{"family":"Schapira","given":"Allan"},{"family":"Smith","given":"David L."}],"issued":{"date-parts":[["2017",11,13]]}}}],"schema":"https://github.com/citation-style-language/schema/raw/master/csl-citation.json"} </w:instrText>
      </w:r>
      <w:r w:rsidRPr="00FE14A4">
        <w:rPr>
          <w:rFonts w:cs="Times New Roman"/>
          <w:szCs w:val="24"/>
        </w:rPr>
        <w:fldChar w:fldCharType="separate"/>
      </w:r>
      <w:r w:rsidR="002B37C7" w:rsidRPr="00FE14A4">
        <w:rPr>
          <w:rFonts w:cs="Times New Roman"/>
          <w:szCs w:val="24"/>
        </w:rPr>
        <w:t>(Bousema et al., 2012; Cohen et al., 2017; Hay et al., 2013; Pigott et al., 2015)</w:t>
      </w:r>
      <w:r w:rsidRPr="00FE14A4">
        <w:rPr>
          <w:rFonts w:cs="Times New Roman"/>
          <w:szCs w:val="24"/>
        </w:rPr>
        <w:fldChar w:fldCharType="end"/>
      </w:r>
      <w:r w:rsidRPr="00FE14A4">
        <w:rPr>
          <w:rFonts w:cs="Times New Roman"/>
          <w:szCs w:val="24"/>
        </w:rPr>
        <w:t xml:space="preserve">. </w:t>
      </w:r>
    </w:p>
    <w:p w14:paraId="572864DC" w14:textId="21A764DD" w:rsidR="00EE74B8" w:rsidRPr="00FE14A4" w:rsidRDefault="00EE74B8" w:rsidP="00EE74B8">
      <w:pPr>
        <w:rPr>
          <w:rFonts w:cs="Times New Roman"/>
          <w:szCs w:val="24"/>
        </w:rPr>
      </w:pPr>
      <w:r w:rsidRPr="00FE14A4">
        <w:rPr>
          <w:rFonts w:cs="Times New Roman"/>
          <w:szCs w:val="24"/>
        </w:rPr>
        <w:lastRenderedPageBreak/>
        <w:t xml:space="preserve">Mosquito borne diseases, such as malaria, are highly sensitive to environmental conditions. Mosquito life history traits like longevity, fecundity, and biting rates are highly influenced by temperature </w:t>
      </w:r>
      <w:r w:rsidRPr="00FE14A4">
        <w:rPr>
          <w:rFonts w:cs="Times New Roman"/>
          <w:szCs w:val="24"/>
        </w:rPr>
        <w:fldChar w:fldCharType="begin"/>
      </w:r>
      <w:r w:rsidR="000D258D" w:rsidRPr="00FE14A4">
        <w:rPr>
          <w:rFonts w:cs="Times New Roman"/>
          <w:szCs w:val="24"/>
        </w:rPr>
        <w:instrText xml:space="preserve"> ADDIN ZOTERO_ITEM CSL_CITATION {"citationID":"ELmAvhh9","properties":{"formattedCitation":"(Mordecai et al., 2019)","plainCitation":"(Mordecai et al., 2019)","noteIndex":0},"citationItems":[{"id":3987,"uris":["http://zotero.org/users/5456909/items/XDHECYB3"],"uri":["http://zotero.org/users/5456909/items/XDHECYB3"],"itemData":{"id":3987,"type":"article-journal","abstract":"Mosquito-borne diseases cause a major burden of disease worldwide. The vital rates of these ectothermic vectors and parasites respond strongly and nonlinearly to temperature and therefore to climate change. Here, we review how trait-based approaches can synthesise and mechanistically predict the temperature dependence of transmission across vectors, pathogens, and environments. We present 11 pathogens transmitted by 15 different mosquito species – including globally important diseases like malaria, dengue, and Zika – synthesised from previously published studies. Transmission varied strongly and unimodally with temperature, peaking at 23–29ºC and declining to zero below 9–23ºC and above 32–38ºC. Different traits restricted transmission at low versus high temperatures, and temperature effects on transmission varied by both mosquito and parasite species. Temperate pathogens exhibit broader thermal ranges and cooler thermal minima and optima than tropical pathogens. Among tropical pathogens, malaria and Ross River virus had lower thermal optima (25–26ºC) while dengue and Zika viruses had the highest (29ºC) thermal optima. We expect warming to increase transmission below thermal optima but decrease transmission above optima. Key directions for future work include linking mechanistic models to field transmission, combining temperature effects with control measures, incorporating trait variation and temperature variation, and investigating climate adaptation and migration.","container-title":"Ecology Letters","ISSN":"1461-0248","issue":"10","language":"en","page":"1690-1708","source":"Wiley Online Library","title":"Thermal biology of mosquito-borne disease","volume":"22","author":[{"family":"Mordecai","given":"Erin A."},{"family":"Caldwell","given":"Jamie M."},{"family":"Grossman","given":"Marissa K."},{"family":"Lippi","given":"Catherine A."},{"family":"Johnson","given":"Leah R."},{"family":"Neira","given":"Marco"},{"family":"Rohr","given":"Jason R."},{"family":"Ryan","given":"Sadie J."},{"family":"Savage","given":"Van"},{"family":"Shocket","given":"Marta S."},{"family":"Sippy","given":"Rachel"},{"family":"Ibarra","given":"Anna M. Stewart"},{"family":"Thomas","given":"Matthew B."},{"family":"Villena","given":"Oswaldo"}],"issued":{"date-parts":[["2019"]]}}}],"schema":"https://github.com/citation-style-language/schema/raw/master/csl-citation.json"} </w:instrText>
      </w:r>
      <w:r w:rsidRPr="00FE14A4">
        <w:rPr>
          <w:rFonts w:cs="Times New Roman"/>
          <w:szCs w:val="24"/>
        </w:rPr>
        <w:fldChar w:fldCharType="separate"/>
      </w:r>
      <w:r w:rsidR="002B37C7" w:rsidRPr="00FE14A4">
        <w:rPr>
          <w:rFonts w:cs="Times New Roman"/>
          <w:szCs w:val="24"/>
        </w:rPr>
        <w:t>(Mordecai et al., 2019)</w:t>
      </w:r>
      <w:r w:rsidRPr="00FE14A4">
        <w:rPr>
          <w:rFonts w:cs="Times New Roman"/>
          <w:szCs w:val="24"/>
        </w:rPr>
        <w:fldChar w:fldCharType="end"/>
      </w:r>
      <w:r w:rsidRPr="00FE14A4">
        <w:rPr>
          <w:rFonts w:cs="Times New Roman"/>
          <w:szCs w:val="24"/>
        </w:rPr>
        <w:t xml:space="preserve"> and humidity </w:t>
      </w:r>
      <w:r w:rsidRPr="00FE14A4">
        <w:rPr>
          <w:rFonts w:cs="Times New Roman"/>
          <w:szCs w:val="24"/>
        </w:rPr>
        <w:fldChar w:fldCharType="begin"/>
      </w:r>
      <w:r w:rsidR="002B37C7" w:rsidRPr="00FE14A4">
        <w:rPr>
          <w:rFonts w:cs="Times New Roman"/>
          <w:szCs w:val="24"/>
        </w:rPr>
        <w:instrText xml:space="preserve"> ADDIN ZOTERO_ITEM CSL_CITATION {"citationID":"DkRV7ZCh","properties":{"formattedCitation":"(Lunde et al., 2013; Yamana and Eltahir, 2013)","plainCitation":"(Lunde et al., 2013; Yamana and Eltahir, 2013)","noteIndex":0},"citationItems":[{"id":4347,"uris":["http://zotero.org/users/5456909/items/Z7I7V5WV"],"uri":["http://zotero.org/users/5456909/items/Z7I7V5WV"],"itemData":{"id":4347,"type":"article-journal","abstract":"Most of the current biophysical models designed to address the large-scale distribution of malaria assume that transmission of the disease is independent of the vector involved. Another common assumption in these type of model is that the mortality rate of mosquitoes is constant over their life span and that their dispersion is negligible. Mosquito models are important in the prediction of malaria and hence there is a need for a realistic representation of the vectors involved.","container-title":"Malaria Journal","ISSN":"1475-2875","issue":"1","journalAbbreviation":"Malar J","language":"en","page":"28","source":"Springer Link","title":"A dynamic model of some malaria-transmitting anopheline mosquitoes of the Afrotropical region. I. Model description and sensitivity analysis","volume":"12","author":[{"family":"Lunde","given":"Torleif Markussen"},{"family":"Korecha","given":"Diriba"},{"family":"Loha","given":"Eskindir"},{"family":"Sorteberg","given":"Asgeir"},{"family":"Lindtjørn","given":"Bernt"}],"issued":{"date-parts":[["2013",1,23]]}}},{"id":2255,"uris":["http://zotero.org/users/5456909/items/8J2PGWT9"],"uri":["http://zotero.org/users/5456909/items/8J2PGWT9"],"itemData":{"id":2255,"type":"article-journal","abstract":"BackgroundLow levels of relative humidity are known to decrease the lifespan of mosquitoes. However, most current models of malaria transmission do not account for the effects of relative humidity on mosquito survival. In the Sahel, where relative humidity drops to levels &lt;20% for several months of the year, we expect relative humidity to play a significant role in shaping the seasonal profile of mosquito populations. Here, we present a new formulation for Anopheles gambiae sensu lato (s.l.) mosquito survival as a function of temperature and relative humidity and investigate the effect of humidity on simulated mosquito populations.MethodsUsing existing observations on relationships between temperature, relative humidity and mosquito longevity, we developed a new equation for mosquito survival as a function of temperature and relative humidity. We collected simultaneous field observations on temperature, wind, relative humidity, and anopheline mosquito populations for two villages from the Sahel region of Africa, which are presented in this paper. We apply this equation to the environmental data and conduct numerical simulations of mosquito populations using the Hydrology, Entomology and Malaria Transmission Simulator (HYDREMATS).ResultsRelative humidity drops to levels that are uncomfortable for mosquitoes at the end of the rainy season. In one village, Banizoumbou, water pools dried up and interrupted mosquito breeding shortly after the end of the rainy season. In this case, relative humidity had little effect on the mosquito population. However, in the other village, Zindarou, the relatively shallow water table led to water pools that persisted several months beyond the end of the rainy season. In this case, the decrease in mosquito survival due to relative humidity improved the model’s ability to reproduce the seasonal pattern of observed mosquito abundance.ConclusionsWe proposed a new equation to describe Anopheles gambiae s.l. mosquito survival as a function of temperature and relative humidity. We demonstrated that relative humidity can play a significant role in mosquito population and malaria transmission dynamics. Future modeling work should account for these effects of relative humidity.","container-title":"Parasites &amp; Vectors","issue":"1","journalAbbreviation":"Parasites Vectors","language":"en","page":"235","source":"Springer Link","title":"Incorporating the effects of humidity in a mechanistic model of Anopheles gambiae mosquito population dynamics in the Sahel region of Africa","volume":"6","author":[{"family":"Yamana","given":"Teresa K."},{"family":"Eltahir","given":"Elfatih A. B."}],"issued":{"date-parts":[["2013",8,9]]}}}],"schema":"https://github.com/citation-style-language/schema/raw/master/csl-citation.json"} </w:instrText>
      </w:r>
      <w:r w:rsidRPr="00FE14A4">
        <w:rPr>
          <w:rFonts w:cs="Times New Roman"/>
          <w:szCs w:val="24"/>
        </w:rPr>
        <w:fldChar w:fldCharType="separate"/>
      </w:r>
      <w:r w:rsidR="002B37C7" w:rsidRPr="00FE14A4">
        <w:rPr>
          <w:rFonts w:cs="Times New Roman"/>
          <w:szCs w:val="24"/>
        </w:rPr>
        <w:t>(Lunde et al., 2013; Yamana and Eltahir, 2013)</w:t>
      </w:r>
      <w:r w:rsidRPr="00FE14A4">
        <w:rPr>
          <w:rFonts w:cs="Times New Roman"/>
          <w:szCs w:val="24"/>
        </w:rPr>
        <w:fldChar w:fldCharType="end"/>
      </w:r>
      <w:r w:rsidRPr="00FE14A4">
        <w:rPr>
          <w:rFonts w:cs="Times New Roman"/>
          <w:szCs w:val="24"/>
        </w:rPr>
        <w:t xml:space="preserve">. The rate of pathogen development inside the mosquito (extrinsic incubation period) and transmission probabilities between human and mosquito are also influenced by temperature </w:t>
      </w:r>
      <w:r w:rsidRPr="00FE14A4">
        <w:rPr>
          <w:rFonts w:cs="Times New Roman"/>
          <w:szCs w:val="24"/>
        </w:rPr>
        <w:fldChar w:fldCharType="begin"/>
      </w:r>
      <w:r w:rsidR="000D258D" w:rsidRPr="00FE14A4">
        <w:rPr>
          <w:rFonts w:cs="Times New Roman"/>
          <w:szCs w:val="24"/>
        </w:rPr>
        <w:instrText xml:space="preserve"> ADDIN ZOTERO_ITEM CSL_CITATION {"citationID":"jtjPI0n2","properties":{"formattedCitation":"(Mordecai et al., 2019)","plainCitation":"(Mordecai et al., 2019)","noteIndex":0},"citationItems":[{"id":3987,"uris":["http://zotero.org/users/5456909/items/XDHECYB3"],"uri":["http://zotero.org/users/5456909/items/XDHECYB3"],"itemData":{"id":3987,"type":"article-journal","abstract":"Mosquito-borne diseases cause a major burden of disease worldwide. The vital rates of these ectothermic vectors and parasites respond strongly and nonlinearly to temperature and therefore to climate change. Here, we review how trait-based approaches can synthesise and mechanistically predict the temperature dependence of transmission across vectors, pathogens, and environments. We present 11 pathogens transmitted by 15 different mosquito species – including globally important diseases like malaria, dengue, and Zika – synthesised from previously published studies. Transmission varied strongly and unimodally with temperature, peaking at 23–29ºC and declining to zero below 9–23ºC and above 32–38ºC. Different traits restricted transmission at low versus high temperatures, and temperature effects on transmission varied by both mosquito and parasite species. Temperate pathogens exhibit broader thermal ranges and cooler thermal minima and optima than tropical pathogens. Among tropical pathogens, malaria and Ross River virus had lower thermal optima (25–26ºC) while dengue and Zika viruses had the highest (29ºC) thermal optima. We expect warming to increase transmission below thermal optima but decrease transmission above optima. Key directions for future work include linking mechanistic models to field transmission, combining temperature effects with control measures, incorporating trait variation and temperature variation, and investigating climate adaptation and migration.","container-title":"Ecology Letters","ISSN":"1461-0248","issue":"10","language":"en","page":"1690-1708","source":"Wiley Online Library","title":"Thermal biology of mosquito-borne disease","volume":"22","author":[{"family":"Mordecai","given":"Erin A."},{"family":"Caldwell","given":"Jamie M."},{"family":"Grossman","given":"Marissa K."},{"family":"Lippi","given":"Catherine A."},{"family":"Johnson","given":"Leah R."},{"family":"Neira","given":"Marco"},{"family":"Rohr","given":"Jason R."},{"family":"Ryan","given":"Sadie J."},{"family":"Savage","given":"Van"},{"family":"Shocket","given":"Marta S."},{"family":"Sippy","given":"Rachel"},{"family":"Ibarra","given":"Anna M. Stewart"},{"family":"Thomas","given":"Matthew B."},{"family":"Villena","given":"Oswaldo"}],"issued":{"date-parts":[["2019"]]}}}],"schema":"https://github.com/citation-style-language/schema/raw/master/csl-citation.json"} </w:instrText>
      </w:r>
      <w:r w:rsidRPr="00FE14A4">
        <w:rPr>
          <w:rFonts w:cs="Times New Roman"/>
          <w:szCs w:val="24"/>
        </w:rPr>
        <w:fldChar w:fldCharType="separate"/>
      </w:r>
      <w:r w:rsidR="002B37C7" w:rsidRPr="00FE14A4">
        <w:rPr>
          <w:rFonts w:cs="Times New Roman"/>
          <w:szCs w:val="24"/>
        </w:rPr>
        <w:t>(Mordecai et al., 2019)</w:t>
      </w:r>
      <w:r w:rsidRPr="00FE14A4">
        <w:rPr>
          <w:rFonts w:cs="Times New Roman"/>
          <w:szCs w:val="24"/>
        </w:rPr>
        <w:fldChar w:fldCharType="end"/>
      </w:r>
      <w:r w:rsidRPr="00FE14A4">
        <w:rPr>
          <w:rFonts w:cs="Times New Roman"/>
          <w:szCs w:val="24"/>
        </w:rPr>
        <w:t xml:space="preserve">. Larval habitats, and therefore mosquito abundance, are influenced by land cover </w:t>
      </w:r>
      <w:r w:rsidRPr="00FE14A4">
        <w:rPr>
          <w:rFonts w:cs="Times New Roman"/>
          <w:szCs w:val="24"/>
        </w:rPr>
        <w:fldChar w:fldCharType="begin"/>
      </w:r>
      <w:r w:rsidR="00531D94" w:rsidRPr="00FE14A4">
        <w:rPr>
          <w:rFonts w:cs="Times New Roman"/>
          <w:szCs w:val="24"/>
        </w:rPr>
        <w:instrText xml:space="preserve"> ADDIN ZOTERO_ITEM CSL_CITATION {"citationID":"CznfHxJo","properties":{"formattedCitation":"(Debebe et al., 2018; Munga et al., 2006)","plainCitation":"(Debebe et al., 2018; Munga et al., 2006)","noteIndex":0},"citationItems":[{"id":4068,"uris":["http://zotero.org/users/5456909/items/2PC6LSN9"],"uri":["http://zotero.org/users/5456909/items/2PC6LSN9"],"itemData":{"id":4068,"type":"article-journal","abstract":"We examined the effects of land cover type on survivorship and productivity of Anopheles gambiae in Kakamega in the western Kenyan highlands (elevation = 1,420-1,580 meters above sea level). Under natural conditions, An. gambiae sensu lato adults emerged only from farmland habitats, with an estimated productivity of 1.82 mosquitoes/meter(2)/week, but not from forest and swamp habitats. To determine the effects of intraspecific competition and land cover types, semi-natural larval habitats were created within three land cover types (farmland, forest, and natural swamp), and three different densities of An. gambiae sensu stricto larvae were introduced to the larval habitats. The mosquito pupation rate in farmland habitats was significantly greater than in swamp and forest habitats, and larval-to-pupal development times were significantly shorter. At higher densities, the larvae responded to increased intraspecific competition by extending their development time and emerging as smaller adults, but initial larval density showed no significant effects on pupation rate. Land cover type may affect larval survivorship and adult productivity through its effects on water temperature and nutrients in the aquatic habitats, as shown by the significantly higher water temperature in farmland habitats, enhanced pupation rates and shortened development times from the addition of food to habitats, and a significant negative correlation of the occurrence of An. gambiae larvae with canopy cover and emergent plants in natural habitats. These results suggest that deforestation and cultivation of natural swamps in the western Kenyan highland create conditions favorable for the survival of An. gambiae larvae, and consequently increase the risks of malaria transmission to the human population.","container-title":"The American Journal of Tropical Medicine and Hygiene","ISSN":"0002-9637","issue":"1","journalAbbreviation":"Am J Trop Med Hyg","language":"eng","note":"PMID: 16407348","page":"69-75","source":"PubMed","title":"Association between land cover and habitat productivity of malaria vectors in western Kenyan highlands","volume":"74","author":[{"family":"Munga","given":"Stephen"},{"family":"Minakawa","given":"Noboru"},{"family":"Zhou","given":"Guofa"},{"family":"Mushinzimana","given":"Emmanuel"},{"family":"Barrack","given":"Okeyo-Owuor J."},{"family":"Githeko","given":"Andrew K."},{"family":"Yan","given":"Guiyun"}],"issued":{"date-parts":[["2006",1]]}}},{"id":4354,"uris":["http://zotero.org/users/5456909/items/FFIS2VFY"],"uri":["http://zotero.org/users/5456909/items/FFIS2VFY"],"itemData":{"id":4354,"type":"article-journal","abstract":"Understanding the ecology of exophilic anophelines is a key step toward developing outdoor control strategies to complement existing indoor control tools against malaria vectors. This study was conducted to assess the movement pattern of exophilic Anopheles mosquitoes between blood meal sources and resting habitats, and the landscape factors dictating their resting habitat choice.","container-title":"Malaria Journal","ISSN":"1475-2875","issue":"1","journalAbbreviation":"Malaria Journal","page":"351","source":"BioMed Central","title":"Shady business: understanding the spatial ecology of exophilic Anopheles mosquitoes","title-short":"Shady business","volume":"17","author":[{"family":"Debebe","given":"Yared"},{"family":"Hill","given":"Sharon R."},{"family":"Tekie","given":"Habte"},{"family":"Ignell","given":"Rickard"},{"family":"Hopkins","given":"Richard J."}],"issued":{"date-parts":[["2018",10,5]]}}}],"schema":"https://github.com/citation-style-language/schema/raw/master/csl-citation.json"} </w:instrText>
      </w:r>
      <w:r w:rsidRPr="00FE14A4">
        <w:rPr>
          <w:rFonts w:cs="Times New Roman"/>
          <w:szCs w:val="24"/>
        </w:rPr>
        <w:fldChar w:fldCharType="separate"/>
      </w:r>
      <w:r w:rsidR="002B37C7" w:rsidRPr="00FE14A4">
        <w:rPr>
          <w:rFonts w:cs="Times New Roman"/>
          <w:szCs w:val="24"/>
        </w:rPr>
        <w:t>(Debebe et al., 2018; Munga et al., 2006)</w:t>
      </w:r>
      <w:r w:rsidRPr="00FE14A4">
        <w:rPr>
          <w:rFonts w:cs="Times New Roman"/>
          <w:szCs w:val="24"/>
        </w:rPr>
        <w:fldChar w:fldCharType="end"/>
      </w:r>
      <w:r w:rsidRPr="00FE14A4">
        <w:rPr>
          <w:rFonts w:cs="Times New Roman"/>
          <w:szCs w:val="24"/>
        </w:rPr>
        <w:t xml:space="preserve">, hydrological setting </w:t>
      </w:r>
      <w:r w:rsidRPr="00FE14A4">
        <w:rPr>
          <w:rFonts w:cs="Times New Roman"/>
          <w:szCs w:val="24"/>
        </w:rPr>
        <w:fldChar w:fldCharType="begin"/>
      </w:r>
      <w:r w:rsidR="00D5378A" w:rsidRPr="00FE14A4">
        <w:rPr>
          <w:rFonts w:cs="Times New Roman"/>
          <w:szCs w:val="24"/>
        </w:rPr>
        <w:instrText xml:space="preserve"> ADDIN ZOTERO_ITEM CSL_CITATION {"citationID":"d204uD0v","properties":{"formattedCitation":"(Hardy et al., 2013)","plainCitation":"(Hardy et al., 2013)","noteIndex":0},"citationItems":[{"id":30,"uris":["http://zotero.org/users/5456909/items/7VEBNVMT"],"uri":["http://zotero.org/users/5456909/items/7VEBNVMT"],"itemData":{"id":30,"type":"article-journal","abstract":"BackgroundLarval source management is a promising component of integrated malaria control and elimination. This requires development of a framework to target productive locations through process-based understanding of habitat hydrology and geomorphology. MethodsWe conducted the first catchment scale study of fine resolution spatial and temporal variation in Anopheles habitat and productivity in relation to rainfall, hydrology and geomorphology for a high malaria transmission area of Tanzania. ResultsMonthly aggregates of rainfall, river stage and water table were not significantly related to the abundance of vector larvae. However, these metrics showed strong explanatory power to predict mosquito larval abundances after stratification by water body type, with a clear seasonal trend for each, defined on the basis of its geomorphological setting and origin. ConclusionHydrological and geomorphological processes governing the availability and productivity of Anopheles breeding habitat need to be understood at the local scale for which larval source management is implemented in order to effectively target larval source interventions. Mapping and monitoring these processes is a well-established practice providing a tractable way forward for developing important malaria management tools.","container-title":"PLOS ONE","ISSN":"1932-6203","issue":"12","journalAbbreviation":"PLOS ONE","language":"en","page":"e81931","source":"PLoS Journals","title":"Habitat hydrology and geomorphology control the distribution of malaria vector larvae in rural Africa","volume":"8","author":[{"family":"Hardy","given":"Andrew J."},{"family":"Gamarra","given":"Javier G. P."},{"family":"Cross","given":"Dónall E."},{"family":"Macklin","given":"Mark G."},{"family":"Smith","given":"Mark W."},{"family":"Kihonda","given":"Japhet"},{"family":"Killeen","given":"Gerry F."},{"family":"Ling’ala","given":"George N."},{"family":"Thomas","given":"Chris J."}],"issued":{"date-parts":[["2013",3,12]]}}}],"schema":"https://github.com/citation-style-language/schema/raw/master/csl-citation.json"} </w:instrText>
      </w:r>
      <w:r w:rsidRPr="00FE14A4">
        <w:rPr>
          <w:rFonts w:cs="Times New Roman"/>
          <w:szCs w:val="24"/>
        </w:rPr>
        <w:fldChar w:fldCharType="separate"/>
      </w:r>
      <w:r w:rsidR="002B37C7" w:rsidRPr="00FE14A4">
        <w:rPr>
          <w:rFonts w:cs="Times New Roman"/>
          <w:szCs w:val="24"/>
        </w:rPr>
        <w:t>(Hardy et al., 2013)</w:t>
      </w:r>
      <w:r w:rsidRPr="00FE14A4">
        <w:rPr>
          <w:rFonts w:cs="Times New Roman"/>
          <w:szCs w:val="24"/>
        </w:rPr>
        <w:fldChar w:fldCharType="end"/>
      </w:r>
      <w:r w:rsidRPr="00FE14A4">
        <w:rPr>
          <w:rFonts w:cs="Times New Roman"/>
          <w:szCs w:val="24"/>
        </w:rPr>
        <w:t xml:space="preserve"> and water management for irrigation </w:t>
      </w:r>
      <w:r w:rsidRPr="00FE14A4">
        <w:rPr>
          <w:rFonts w:cs="Times New Roman"/>
          <w:szCs w:val="24"/>
        </w:rPr>
        <w:fldChar w:fldCharType="begin"/>
      </w:r>
      <w:r w:rsidR="00D5378A" w:rsidRPr="00FE14A4">
        <w:rPr>
          <w:rFonts w:cs="Times New Roman"/>
          <w:szCs w:val="24"/>
        </w:rPr>
        <w:instrText xml:space="preserve"> ADDIN ZOTERO_ITEM CSL_CITATION {"citationID":"IkCBv3c8","properties":{"formattedCitation":"(Kibret et al., 2014)","plainCitation":"(Kibret et al., 2014)","noteIndex":0},"citationItems":[{"id":3957,"uris":["http://zotero.org/users/5456909/items/C2UN6R34"],"uri":["http://zotero.org/users/5456909/items/C2UN6R34"],"itemData":{"id":3957,"type":"article-journal","abstract":"Background\nIrrigation schemes have been blamed for the increase in malaria in many parts of sub-Saharan Africa. However, proper water management could help mitigate malaria around irrigation schemes in this region. This study investigates the link between irrigation and malaria in Central Ethiopia.\n\nMethods\nLarval and adult mosquitoes were collected fortnightly between November 2009 and October 2010 from two irrigated and two non-irrigated (control) villages in the Ziway area, Central Ethiopia. Daily canal water releases were recorded during the study period and bi-weekly correlation analysis was done to determine relationships between canal water releases and larval/adult vector densities. Blood meal sources (bovine vs human) and malaria sporozoite infection were tested using enzyme-linked immunosorbent assay (ELISA). Monthly malaria data were also collected from central health centre of the study villages.\n\nResults\nMonthly malaria incidence was over six-fold higher in the irrigated villages than the non-irrigated villages. The number of anopheline breeding habitats was 3.6 times higher in the irrigated villages than the non-irrigated villages and the most common Anopheles mosquito breeding habitats were waterlogged field puddles, leakage pools from irrigation canals and poorly functioning irrigation canals. Larval and adult anopheline densities were seven- and nine-fold higher in the irrigated villages than in the non-irrigated villages, respectively, during the study period. Anopheles arabiensis was the predominant species in the study area. Plasmodium falciparum sporozoite rates of An. arabiensis and Anopheles pharoensis were significantly higher in the irrigated villages than the non-irrigated villages. The annual entomological inoculation rate (EIR) calculated for the irrigated and non-irrigated villages were 34.8 and 0.25 P. falciparum infective bites per person per year, respectively. A strong positive correlation was found between bi-weekly anopheline larval density and canal water releases. Similarly, there was a strong positive correlation between bi-weekly vector density and canal water releases lagged by two weeks. Furthermore, monthly malaria incidence was strongly correlated with monthly vector density lagged by a month in the irrigated villages.\n\nConclusion\nThe present study revealed that the irrigation schemes resulted in intensified malaria transmission due to poor canal water management. Proper canal water management could reduce vector abundance and malaria transmission in the irrigated villages.","container-title":"Malaria Journal","ISSN":"1475-2875","journalAbbreviation":"Malar J","note":"PMID: 25218697\nPMCID: PMC4182787","source":"PubMed Central","title":"Increased malaria transmission around irrigation schemes in Ethiopia and the potential of canal water management for malaria vector control","volume":"13","author":[{"family":"Kibret","given":"Solomon"},{"family":"Wilson","given":"G Glenn"},{"family":"Tekie","given":"Habte"},{"family":"Petros","given":"Beyene"}],"issued":{"date-parts":[["2014",9,13]]}}}],"schema":"https://github.com/citation-style-language/schema/raw/master/csl-citation.json"} </w:instrText>
      </w:r>
      <w:r w:rsidRPr="00FE14A4">
        <w:rPr>
          <w:rFonts w:cs="Times New Roman"/>
          <w:szCs w:val="24"/>
        </w:rPr>
        <w:fldChar w:fldCharType="separate"/>
      </w:r>
      <w:r w:rsidR="002B37C7" w:rsidRPr="00FE14A4">
        <w:rPr>
          <w:rFonts w:cs="Times New Roman"/>
          <w:szCs w:val="24"/>
        </w:rPr>
        <w:t>(Kibret et al., 2014)</w:t>
      </w:r>
      <w:r w:rsidRPr="00FE14A4">
        <w:rPr>
          <w:rFonts w:cs="Times New Roman"/>
          <w:szCs w:val="24"/>
        </w:rPr>
        <w:fldChar w:fldCharType="end"/>
      </w:r>
      <w:r w:rsidRPr="00FE14A4">
        <w:rPr>
          <w:rFonts w:cs="Times New Roman"/>
          <w:szCs w:val="24"/>
        </w:rPr>
        <w:t xml:space="preserve">. </w:t>
      </w:r>
      <w:bookmarkStart w:id="18" w:name="_Hlk70584277"/>
      <w:bookmarkStart w:id="19" w:name="_Hlk71311014"/>
      <w:r w:rsidRPr="00FE14A4">
        <w:rPr>
          <w:rFonts w:cs="Times New Roman"/>
          <w:szCs w:val="24"/>
        </w:rPr>
        <w:t>All of these factor</w:t>
      </w:r>
      <w:r w:rsidRPr="00FE14A4">
        <w:rPr>
          <w:rFonts w:cs="Times New Roman"/>
          <w:szCs w:val="24"/>
          <w:u w:val="single"/>
        </w:rPr>
        <w:t>s</w:t>
      </w:r>
      <w:r w:rsidRPr="00FE14A4">
        <w:rPr>
          <w:rFonts w:cs="Times New Roman"/>
          <w:szCs w:val="24"/>
        </w:rPr>
        <w:t xml:space="preserve"> determine the </w:t>
      </w:r>
      <w:r w:rsidRPr="00FE14A4">
        <w:rPr>
          <w:rFonts w:cs="Times New Roman"/>
          <w:i/>
          <w:szCs w:val="24"/>
        </w:rPr>
        <w:t>receptivity</w:t>
      </w:r>
      <w:r w:rsidRPr="00FE14A4">
        <w:rPr>
          <w:rFonts w:cs="Times New Roman"/>
          <w:szCs w:val="24"/>
        </w:rPr>
        <w:t xml:space="preserve"> of an ecosystem, defined as its potential to support vector mosquitoes and malaria transmission cycles </w:t>
      </w:r>
      <w:r w:rsidRPr="00FE14A4">
        <w:rPr>
          <w:rFonts w:cs="Times New Roman"/>
          <w:szCs w:val="24"/>
        </w:rPr>
        <w:fldChar w:fldCharType="begin"/>
      </w:r>
      <w:r w:rsidR="002B37C7" w:rsidRPr="00FE14A4">
        <w:rPr>
          <w:rFonts w:cs="Times New Roman"/>
          <w:szCs w:val="24"/>
        </w:rPr>
        <w:instrText xml:space="preserve"> ADDIN ZOTERO_ITEM CSL_CITATION {"citationID":"9aosOBR4","properties":{"formattedCitation":"(WHO and World Health Organization, 2017)","plainCitation":"(WHO and World Health Organization, 2017)","noteIndex":0},"citationItems":[{"id":4381,"uris":["http://zotero.org/users/5456909/items/HASVK84X"],"uri":["http://zotero.org/users/5456909/items/HASVK84X"],"itemData":{"id":4381,"type":"report","abstract":"\"The malaria landscape has changed significantly in the last decade. Funding has increased, life-saving tools have been scaled up, burden has decreased and more countries are pursuing elimination. This updated 2017 framework provides guidance on the tools, activities and strategies required to achieve malaria elimination and prevent re-establishment of transmission in countries, regardless of where they lie across the spectrum of transmission intensity. It is intended to inform national malaria elimination strategic plans and should be adapted to local contexts. This new framework supersedes the 2007 field manual for malaria elimination in low and moderate endemic countries.\"--","language":"en","note":"OCLC: 982386044","source":"Open WorldCat","title":"A framework for malaria elimination","author":[{"literal":"WHO"},{"literal":"World Health Organization"}],"issued":{"date-parts":[["2017"]]}}}],"schema":"https://github.com/citation-style-language/schema/raw/master/csl-citation.json"} </w:instrText>
      </w:r>
      <w:r w:rsidRPr="00FE14A4">
        <w:rPr>
          <w:rFonts w:cs="Times New Roman"/>
          <w:szCs w:val="24"/>
        </w:rPr>
        <w:fldChar w:fldCharType="separate"/>
      </w:r>
      <w:r w:rsidR="002B37C7" w:rsidRPr="00FE14A4">
        <w:rPr>
          <w:rFonts w:cs="Times New Roman"/>
          <w:szCs w:val="24"/>
        </w:rPr>
        <w:t>(WHO and World Health Organization, 2017)</w:t>
      </w:r>
      <w:r w:rsidRPr="00FE14A4">
        <w:rPr>
          <w:rFonts w:cs="Times New Roman"/>
          <w:szCs w:val="24"/>
        </w:rPr>
        <w:fldChar w:fldCharType="end"/>
      </w:r>
      <w:r w:rsidRPr="00FE14A4">
        <w:rPr>
          <w:rFonts w:cs="Times New Roman"/>
          <w:szCs w:val="24"/>
        </w:rPr>
        <w:t xml:space="preserve">. Receptivity is also affected by the </w:t>
      </w:r>
      <w:r w:rsidRPr="00FE14A4">
        <w:rPr>
          <w:rFonts w:cs="Times New Roman"/>
          <w:i/>
          <w:iCs/>
          <w:szCs w:val="24"/>
        </w:rPr>
        <w:t>susceptibility</w:t>
      </w:r>
      <w:r w:rsidRPr="00FE14A4">
        <w:rPr>
          <w:rFonts w:cs="Times New Roman"/>
          <w:szCs w:val="24"/>
        </w:rPr>
        <w:t xml:space="preserve"> of humans to malaria, which depends on their exposure to mosquito bites and access to resources for malaria prevention and treatment. In addition, the </w:t>
      </w:r>
      <w:r w:rsidRPr="00FE14A4">
        <w:rPr>
          <w:rFonts w:cs="Times New Roman"/>
          <w:i/>
          <w:szCs w:val="24"/>
        </w:rPr>
        <w:t>vulnerability</w:t>
      </w:r>
      <w:r w:rsidRPr="00FE14A4">
        <w:rPr>
          <w:rFonts w:cs="Times New Roman"/>
          <w:szCs w:val="24"/>
        </w:rPr>
        <w:t xml:space="preserve"> of a location to malaria is defined as the rate at which parasites are imported through movement of humans or mosquitoes from endemic areas </w:t>
      </w:r>
      <w:r w:rsidRPr="00FE14A4">
        <w:rPr>
          <w:rFonts w:cs="Times New Roman"/>
          <w:szCs w:val="24"/>
        </w:rPr>
        <w:fldChar w:fldCharType="begin"/>
      </w:r>
      <w:r w:rsidR="002B37C7" w:rsidRPr="00FE14A4">
        <w:rPr>
          <w:rFonts w:cs="Times New Roman"/>
          <w:szCs w:val="24"/>
        </w:rPr>
        <w:instrText xml:space="preserve"> ADDIN ZOTERO_ITEM CSL_CITATION {"citationID":"pReuty1w","properties":{"formattedCitation":"(WHO and World Health Organization, 2017)","plainCitation":"(WHO and World Health Organization, 2017)","noteIndex":0},"citationItems":[{"id":4381,"uris":["http://zotero.org/users/5456909/items/HASVK84X"],"uri":["http://zotero.org/users/5456909/items/HASVK84X"],"itemData":{"id":4381,"type":"report","abstract":"\"The malaria landscape has changed significantly in the last decade. Funding has increased, life-saving tools have been scaled up, burden has decreased and more countries are pursuing elimination. This updated 2017 framework provides guidance on the tools, activities and strategies required to achieve malaria elimination and prevent re-establishment of transmission in countries, regardless of where they lie across the spectrum of transmission intensity. It is intended to inform national malaria elimination strategic plans and should be adapted to local contexts. This new framework supersedes the 2007 field manual for malaria elimination in low and moderate endemic countries.\"--","language":"en","note":"OCLC: 982386044","source":"Open WorldCat","title":"A framework for malaria elimination","author":[{"literal":"WHO"},{"literal":"World Health Organization"}],"issued":{"date-parts":[["2017"]]}}}],"schema":"https://github.com/citation-style-language/schema/raw/master/csl-citation.json"} </w:instrText>
      </w:r>
      <w:r w:rsidRPr="00FE14A4">
        <w:rPr>
          <w:rFonts w:cs="Times New Roman"/>
          <w:szCs w:val="24"/>
        </w:rPr>
        <w:fldChar w:fldCharType="separate"/>
      </w:r>
      <w:r w:rsidR="002B37C7" w:rsidRPr="00FE14A4">
        <w:rPr>
          <w:rFonts w:cs="Times New Roman"/>
          <w:szCs w:val="24"/>
        </w:rPr>
        <w:t>(WHO and World Health Organization, 2017)</w:t>
      </w:r>
      <w:r w:rsidRPr="00FE14A4">
        <w:rPr>
          <w:rFonts w:cs="Times New Roman"/>
          <w:szCs w:val="24"/>
        </w:rPr>
        <w:fldChar w:fldCharType="end"/>
      </w:r>
      <w:r w:rsidRPr="00FE14A4">
        <w:rPr>
          <w:rFonts w:cs="Times New Roman"/>
          <w:szCs w:val="24"/>
        </w:rPr>
        <w:t>.</w:t>
      </w:r>
      <w:bookmarkEnd w:id="18"/>
    </w:p>
    <w:bookmarkEnd w:id="19"/>
    <w:p w14:paraId="43B22071" w14:textId="34544A08" w:rsidR="00EE74B8" w:rsidRPr="00093C5E" w:rsidRDefault="00EE74B8" w:rsidP="00EE74B8">
      <w:pPr>
        <w:rPr>
          <w:rFonts w:cs="Times New Roman"/>
          <w:szCs w:val="24"/>
        </w:rPr>
      </w:pPr>
      <w:r w:rsidRPr="00FE14A4">
        <w:rPr>
          <w:rFonts w:cs="Times New Roman"/>
          <w:szCs w:val="24"/>
        </w:rPr>
        <w:t xml:space="preserve">The increasing availability of very-high resolution satellite data and long-term satellite records provide new opportunities for malaria research </w:t>
      </w:r>
      <w:r w:rsidRPr="00FE14A4">
        <w:rPr>
          <w:rFonts w:cs="Times New Roman"/>
          <w:szCs w:val="24"/>
        </w:rPr>
        <w:fldChar w:fldCharType="begin"/>
      </w:r>
      <w:r w:rsidR="00FF3DA9" w:rsidRPr="00FE14A4">
        <w:rPr>
          <w:rFonts w:cs="Times New Roman"/>
          <w:szCs w:val="24"/>
        </w:rPr>
        <w:instrText xml:space="preserve"> ADDIN ZOTERO_ITEM CSL_CITATION {"citationID":"NEoIjEAv","properties":{"formattedCitation":"(Wimberly et al., 2021)","plainCitation":"(Wimberly et al., 2021)","noteIndex":0},"citationItems":[{"id":4327,"uris":["http://zotero.org/users/5456909/items/LH9PZX6B"],"uri":["http://zotero.org/users/5456909/items/LH9PZX6B"],"itemData":{"id":4327,"type":"article-journal","abstract":"Satellite remote sensing provides a wealth of information about environmental factors that influence malaria transmission cycles and human populations at risk. Long-term observations facilitate analysis of climate-malaria relationships, and high-resolution data can be used to assess the effects of agriculture, urbanization, deforestation, and water management on malaria. New sources of very-high-resolution satellite imagery and synthetic aperture radar data will increase the precision and frequency of observations. Cloud computing platforms for remote sensing data combined with analysis-ready datasets and high-level data products have made satellite remote sensing more accessible to nonspecialists. Further collaboration between the malaria and remote sensing communities is needed to develop and implement useful geospatial data products that will support global efforts toward malaria control, elimination, and eradication.","container-title":"Trends in Parasitology","ISSN":"1471-5007","journalAbbreviation":"Trends Parasitol","language":"eng","note":"PMID: 33775559","source":"PubMed","title":"Satellite Observations and Malaria: New Opportunities for Research and Applications","title-short":"Satellite Observations and Malaria","author":[{"family":"Wimberly","given":"Michael C."},{"family":"Beurs","given":"Kirsten M.","non-dropping-particle":"de"},{"family":"Loboda","given":"Tatiana V."},{"family":"Pan","given":"William K."}],"issued":{"date-parts":[["2021",3,25]]}}}],"schema":"https://github.com/citation-style-language/schema/raw/master/csl-citation.json"} </w:instrText>
      </w:r>
      <w:r w:rsidRPr="00FE14A4">
        <w:rPr>
          <w:rFonts w:cs="Times New Roman"/>
          <w:szCs w:val="24"/>
        </w:rPr>
        <w:fldChar w:fldCharType="separate"/>
      </w:r>
      <w:r w:rsidR="00FF3DA9" w:rsidRPr="00FE14A4">
        <w:rPr>
          <w:rFonts w:cs="Times New Roman"/>
          <w:szCs w:val="24"/>
        </w:rPr>
        <w:t>(Wimberly et al., 2021)</w:t>
      </w:r>
      <w:r w:rsidRPr="00FE14A4">
        <w:rPr>
          <w:rFonts w:cs="Times New Roman"/>
          <w:szCs w:val="24"/>
        </w:rPr>
        <w:fldChar w:fldCharType="end"/>
      </w:r>
      <w:r w:rsidRPr="00FE14A4">
        <w:rPr>
          <w:rFonts w:cs="Times New Roman"/>
          <w:szCs w:val="24"/>
        </w:rPr>
        <w:t xml:space="preserve">. The use of geospatial environmental data to study the risk of diseases, including those transmitted by mosquitoes, has greatly expanded in recent decades </w:t>
      </w:r>
      <w:r w:rsidRPr="00FE14A4">
        <w:rPr>
          <w:rFonts w:cs="Times New Roman"/>
          <w:szCs w:val="24"/>
        </w:rPr>
        <w:fldChar w:fldCharType="begin"/>
      </w:r>
      <w:r w:rsidR="000D258D" w:rsidRPr="00FE14A4">
        <w:rPr>
          <w:rFonts w:cs="Times New Roman"/>
          <w:szCs w:val="24"/>
        </w:rPr>
        <w:instrText xml:space="preserve"> ADDIN ZOTERO_ITEM CSL_CITATION {"citationID":"u6B2mkhu","properties":{"formattedCitation":"(Kazansky et al., 2016; Parselia et al., 2019)","plainCitation":"(Kazansky et al., 2016; Parselia et al., 2019)","noteIndex":0},"citationItems":[{"id":1388,"uris":["http://zotero.org/users/5456909/items/N2YIDYB5"],"uri":["http://zotero.org/users/5456909/items/N2YIDYB5"],"itemData":{"id":1388,"type":"article-journal","abstract":"a b s t r a c t Malaria and other vector borne diseases claim lives and cause illness, especially in less developed countries. Although well understood methods, such as spraying and insecti-cidal nets, are identified as effective deterrents to malaria transmission by mosquitoes, the nations that have the greatest burden from the disease also struggle to deploy such measures sufficiently. More targeted and up to date information is needed to identify which regions of malaria-endemic countries are most likely to be at risk of malaria in the near future. This will allow national governments, local officials and public health workers to deploy protective equipment and personnel where they are most needed. This paper explores the role of environmental data generated via satellite remote sensing as an ingredient to a Malaria Early Warning System. Data from remote sensing satellites can cover broad geographical areas frequently and consistently. Much of the relevant data may be accessed by malaria-endemic countries at minimal cost via international data sharing polices. While previous research studies have demonstrated the potential to assign malaria risk to a geographic region based on indicators from satellites and other sources, there is still a need to deploy such tools in a broader and more operational manner to inform decision making on malaria management. This paper describes current research on the use of satellite-based environmental data to predict malaria risk and examines the barriers and opportunities for implementing Malaria Early Warning Systems enabled by satellite remote sensing. A Systems Architecture Framework analyses the components of a Malaria Early Warning System and highlights the need for effective coordination across public and private sector organizations.","container-title":"Acta Astronautica","page":"292-305","title":"The current and potential role of satellite remote sensing in the campaign against malaria","volume":"121","author":[{"family":"Kazansky","given":"Yaniv"},{"family":"Wood","given":"Danielle"},{"family":"Sutherlun","given":"Jacob"}],"issued":{"date-parts":[["2016"]]}}},{"id":3996,"uris":["http://zotero.org/users/5456909/items/5YXT3A69"],"uri":["http://zotero.org/users/5456909/items/5YXT3A69"],"itemData":{"id":3996,"type":"article-journal","abstract":"Earth Observation (EO) data can be leveraged to estimate environmental variables that influence the transmission cycle of the pathogens that lead to mosquito-borne diseases (MBDs). The aim of this scoping review is to examine the state-of-the-art and identify knowledge gaps on the latest methods that used satellite EO data in their epidemiological models focusing on malaria, dengue and West Nile Virus (WNV). In total, 43 scientific papers met the inclusion criteria and were considered in this review. Researchers have examined a wide variety of methodologies ranging from statistical to machine learning algorithms. A number of studies used models and EO data that seemed promising and claimed to be easily replicated in different geographic contexts, enabling the realization of systems on regional and national scales. The need has emerged to leverage furthermore new powerful modeling approaches, like artificial intelligence and ensemble modeling and explore new and enhanced EO sensors towards the analysis of big satellite data, in order to develop accurate epidemiological models and contribute to the reduction of the burden of MBDs.","container-title":"Remote Sensing","issue":"16","language":"en","page":"1862","title":"Satellite earth observation data in epidemiological modeling of malaria, dengue and West Nile virus: a scoping review","title-short":"Satellite Earth Observation Data in Epidemiological Modeling of Malaria, Dengue and West Nile Virus","volume":"11","author":[{"family":"Parselia","given":"Elisavet"},{"family":"Kontoes","given":"Charalampos"},{"family":"Tsouni","given":"Alexia"},{"family":"Hadjichristodoulou","given":"Christos"},{"family":"Kioutsioukis","given":"Ioannis"},{"family":"Magiorkinis","given":"Gkikas"},{"family":"Stilianakis","given":"Nikolaos I."}],"issued":{"date-parts":[["2019",1]]}}}],"schema":"https://github.com/citation-style-language/schema/raw/master/csl-citation.json"} </w:instrText>
      </w:r>
      <w:r w:rsidRPr="00FE14A4">
        <w:rPr>
          <w:rFonts w:cs="Times New Roman"/>
          <w:szCs w:val="24"/>
        </w:rPr>
        <w:fldChar w:fldCharType="separate"/>
      </w:r>
      <w:r w:rsidR="002B37C7" w:rsidRPr="00FE14A4">
        <w:rPr>
          <w:rFonts w:cs="Times New Roman"/>
          <w:szCs w:val="24"/>
        </w:rPr>
        <w:t>(Kazansky et al., 2016; Parselia et al., 2019)</w:t>
      </w:r>
      <w:r w:rsidRPr="00FE14A4">
        <w:rPr>
          <w:rFonts w:cs="Times New Roman"/>
          <w:szCs w:val="24"/>
        </w:rPr>
        <w:fldChar w:fldCharType="end"/>
      </w:r>
      <w:r w:rsidRPr="00FE14A4">
        <w:rPr>
          <w:rFonts w:cs="Times New Roman"/>
          <w:szCs w:val="24"/>
        </w:rPr>
        <w:t xml:space="preserve">. Satellite imagery enables the continuous monitoring of environmental conditions over large areas. </w:t>
      </w:r>
      <w:bookmarkStart w:id="20" w:name="_Hlk70873226"/>
      <w:bookmarkStart w:id="21" w:name="_Hlk71312936"/>
      <w:r w:rsidRPr="00FE14A4">
        <w:rPr>
          <w:rFonts w:cs="Times New Roman"/>
          <w:szCs w:val="24"/>
        </w:rPr>
        <w:t xml:space="preserve">The large number of available sensors allows us to measure a wide range of environmental factors that influence malaria receptivity, including </w:t>
      </w:r>
      <w:bookmarkStart w:id="22" w:name="_Hlk70873327"/>
      <w:r w:rsidRPr="00FE14A4">
        <w:rPr>
          <w:rFonts w:cs="Times New Roman"/>
          <w:szCs w:val="24"/>
        </w:rPr>
        <w:t xml:space="preserve">meteorological </w:t>
      </w:r>
      <w:bookmarkEnd w:id="22"/>
      <w:r w:rsidRPr="00FE14A4">
        <w:rPr>
          <w:rFonts w:cs="Times New Roman"/>
          <w:szCs w:val="24"/>
        </w:rPr>
        <w:t xml:space="preserve">factors such as temperature, humidity, and precipitation as well as </w:t>
      </w:r>
      <w:r w:rsidRPr="00093C5E">
        <w:rPr>
          <w:rFonts w:cs="Times New Roman"/>
          <w:szCs w:val="24"/>
        </w:rPr>
        <w:t xml:space="preserve">landscape features </w:t>
      </w:r>
      <w:r w:rsidRPr="00093C5E">
        <w:rPr>
          <w:rFonts w:cs="Times New Roman"/>
          <w:szCs w:val="24"/>
        </w:rPr>
        <w:lastRenderedPageBreak/>
        <w:t xml:space="preserve">related to land use, vegetation, surface water, and terrain </w:t>
      </w:r>
      <w:r w:rsidRPr="00093C5E">
        <w:rPr>
          <w:rFonts w:cs="Times New Roman"/>
          <w:szCs w:val="24"/>
        </w:rPr>
        <w:fldChar w:fldCharType="begin"/>
      </w:r>
      <w:r w:rsidR="00FF3DA9" w:rsidRPr="00093C5E">
        <w:rPr>
          <w:rFonts w:cs="Times New Roman"/>
          <w:szCs w:val="24"/>
        </w:rPr>
        <w:instrText xml:space="preserve"> ADDIN ZOTERO_ITEM CSL_CITATION {"citationID":"yFM8lgmW","properties":{"formattedCitation":"(Wimberly et al., 2021)","plainCitation":"(Wimberly et al., 2021)","noteIndex":0},"citationItems":[{"id":4327,"uris":["http://zotero.org/users/5456909/items/LH9PZX6B"],"uri":["http://zotero.org/users/5456909/items/LH9PZX6B"],"itemData":{"id":4327,"type":"article-journal","abstract":"Satellite remote sensing provides a wealth of information about environmental factors that influence malaria transmission cycles and human populations at risk. Long-term observations facilitate analysis of climate-malaria relationships, and high-resolution data can be used to assess the effects of agriculture, urbanization, deforestation, and water management on malaria. New sources of very-high-resolution satellite imagery and synthetic aperture radar data will increase the precision and frequency of observations. Cloud computing platforms for remote sensing data combined with analysis-ready datasets and high-level data products have made satellite remote sensing more accessible to nonspecialists. Further collaboration between the malaria and remote sensing communities is needed to develop and implement useful geospatial data products that will support global efforts toward malaria control, elimination, and eradication.","container-title":"Trends in Parasitology","ISSN":"1471-5007","journalAbbreviation":"Trends Parasitol","language":"eng","note":"PMID: 33775559","source":"PubMed","title":"Satellite Observations and Malaria: New Opportunities for Research and Applications","title-short":"Satellite Observations and Malaria","author":[{"family":"Wimberly","given":"Michael C."},{"family":"Beurs","given":"Kirsten M.","non-dropping-particle":"de"},{"family":"Loboda","given":"Tatiana V."},{"family":"Pan","given":"William K."}],"issued":{"date-parts":[["2021",3,25]]}}}],"schema":"https://github.com/citation-style-language/schema/raw/master/csl-citation.json"} </w:instrText>
      </w:r>
      <w:r w:rsidRPr="00093C5E">
        <w:rPr>
          <w:rFonts w:cs="Times New Roman"/>
          <w:szCs w:val="24"/>
        </w:rPr>
        <w:fldChar w:fldCharType="separate"/>
      </w:r>
      <w:r w:rsidR="00FF3DA9" w:rsidRPr="00093C5E">
        <w:rPr>
          <w:rFonts w:cs="Times New Roman"/>
          <w:szCs w:val="24"/>
        </w:rPr>
        <w:t>(Wimberly et al., 2021)</w:t>
      </w:r>
      <w:r w:rsidRPr="00093C5E">
        <w:rPr>
          <w:rFonts w:cs="Times New Roman"/>
          <w:szCs w:val="24"/>
        </w:rPr>
        <w:fldChar w:fldCharType="end"/>
      </w:r>
      <w:bookmarkEnd w:id="20"/>
      <w:r w:rsidRPr="00093C5E">
        <w:rPr>
          <w:rFonts w:cs="Times New Roman"/>
          <w:szCs w:val="24"/>
        </w:rPr>
        <w:t xml:space="preserve">. </w:t>
      </w:r>
      <w:bookmarkEnd w:id="21"/>
      <w:r w:rsidRPr="00093C5E">
        <w:rPr>
          <w:rFonts w:cs="Times New Roman"/>
          <w:szCs w:val="24"/>
        </w:rPr>
        <w:t xml:space="preserve">Long-term records from moderate resolution sensors such as MODIS (1 km spatial resolution) have been used to study the influences of climate variation on seasonal and interannual variations in malaria </w:t>
      </w:r>
      <w:r w:rsidRPr="00093C5E">
        <w:rPr>
          <w:rFonts w:cs="Times New Roman"/>
          <w:szCs w:val="24"/>
        </w:rPr>
        <w:fldChar w:fldCharType="begin"/>
      </w:r>
      <w:r w:rsidR="006B043F" w:rsidRPr="00093C5E">
        <w:rPr>
          <w:rFonts w:cs="Times New Roman"/>
          <w:szCs w:val="24"/>
        </w:rPr>
        <w:instrText xml:space="preserve"> ADDIN ZOTERO_ITEM CSL_CITATION {"citationID":"aXKohAQW","properties":{"formattedCitation":"(Davis et al., 2019; Sewe et al., 2017)","plainCitation":"(Davis et al., 2019; Sewe et al., 2017)","noteIndex":0},"citationItems":[{"id":3660,"uris":["http://zotero.org/users/5456909/items/TECXJ9KS"],"uri":["http://zotero.org/users/5456909/items/TECXJ9KS"],"itemData":{"id":3660,"type":"article-journal","abstract":"&lt;p&gt;Time series models of malaria cases can be applied to forecast epidemics and support proactive interventions. Mosquito life history and parasite development are sensitive to environmental factors such as temperature and precipitation, and these variables are often used as predictors in malaria models. However, malaria-environment relationships can vary with ecological and social context. We used a genetic algorithm to optimize a spatiotemporal malaria model by aggregating locations into clusters with similar environmental sensitivities. We tested the algorithm in the Amhara Region of Ethiopia using seven years of weekly &lt;em&gt;Plasmodium falciparum&lt;/em&gt; data from 47 districts and remotely-sensed land surface temperature, precipitation, and spectral indices as predictors. The best model identified six clusters, and the districts in each cluster had distinctive responses to the environmental predictors. We conclude that spatial stratification can improve the fit of environmentally-driven disease models, and genetic algorithms provide a practical and effective approach for identifying these clusters.&lt;/p&gt;","container-title":"Environmental Modelling and Software","page":"275-284","title":"A genetic algorithm for identifying spatially-varying environmental drivers in a malaria time series model","volume":"119","author":[{"family":"Davis","given":"Justin K."},{"family":"Gebrehiwot","given":"Teklehaymanot"},{"family":"Worku","given":"Mastewal"},{"family":"Awoke","given":"Worku"},{"family":"Mihretie","given":"Abere"},{"family":"Nekorchuk","given":"Dawn"},{"family":"Wimberly","given":"Michael C."}],"issued":{"date-parts":[["2019"]]}}},{"id":2239,"uris":["http://zotero.org/users/5456909/items/KL4K6EXK"],"uri":["http://zotero.org/users/5456909/items/KL4K6EXK"],"itemData":{"id":2239,"type":"article-journal","abstract":"Malaria surveillance data provide opportunity to develop forecasting models. Seasonal variability in environmental factors correlate with malaria transmission, thus the identification of transmission patterns is useful in developing prediction models. However, with changing seasonal transmission patterns, either due to interventions or shifting weather seasons, traditional modelling approaches may not yield adequate predictive skill. Two statistical models,a general additive model (GAM) and GAMBOOST model with boosted regression were contrasted by assessing their predictive accuracy in forecasting malaria admissions at lead times of one to three months. Monthly admission data for children under five years with confirmed malaria at the Siaya district hospital in Western Kenya for the period 2003 to 2013 were used together with satellite derived data on rainfall, average temperature and evapotranspiration(ET). There was a total of 8,476 confirmed malaria admissions. The peak of malaria season changed and malaria admissions reduced overtime. The GAMBOOST model at 1-month lead time had the highest predictive skill during both the training and test periods and thus can be utilized in a malaria early warning system.","container-title":"Scientific Reports","issue":"1","language":"En","page":"2589","source":"www.nature.com","title":"Using remote sensing environmental data to forecast malaria incidence at a rural district hospital in Western Kenya","volume":"7","author":[{"family":"Sewe","given":"Maquins Odhiambo"},{"family":"Tozan","given":"Yesim"},{"family":"Ahlm","given":"Clas"},{"family":"Rocklöv","given":"Joacim"}],"issued":{"date-parts":[["2017"]]}}}],"schema":"https://github.com/citation-style-language/schema/raw/master/csl-citation.json"} </w:instrText>
      </w:r>
      <w:r w:rsidRPr="00093C5E">
        <w:rPr>
          <w:rFonts w:cs="Times New Roman"/>
          <w:szCs w:val="24"/>
        </w:rPr>
        <w:fldChar w:fldCharType="separate"/>
      </w:r>
      <w:r w:rsidR="002B37C7" w:rsidRPr="00093C5E">
        <w:rPr>
          <w:rFonts w:cs="Times New Roman"/>
          <w:szCs w:val="24"/>
        </w:rPr>
        <w:t>(Davis et al., 2019; Sewe et al., 2017)</w:t>
      </w:r>
      <w:r w:rsidRPr="00093C5E">
        <w:rPr>
          <w:rFonts w:cs="Times New Roman"/>
          <w:szCs w:val="24"/>
        </w:rPr>
        <w:fldChar w:fldCharType="end"/>
      </w:r>
      <w:r w:rsidRPr="00093C5E">
        <w:rPr>
          <w:rFonts w:cs="Times New Roman"/>
          <w:szCs w:val="24"/>
        </w:rPr>
        <w:t xml:space="preserve">. Data from high-resolution sensors such as Landsat (30 m spatial resolution) have been used to assess the effects of water, land cover, and land use on spatial patterns of mosquito vectors </w:t>
      </w:r>
      <w:r w:rsidRPr="00093C5E">
        <w:rPr>
          <w:rFonts w:cs="Times New Roman"/>
          <w:szCs w:val="24"/>
        </w:rPr>
        <w:fldChar w:fldCharType="begin"/>
      </w:r>
      <w:r w:rsidR="000B7BAA" w:rsidRPr="00093C5E">
        <w:rPr>
          <w:rFonts w:cs="Times New Roman"/>
          <w:szCs w:val="24"/>
        </w:rPr>
        <w:instrText xml:space="preserve"> ADDIN ZOTERO_ITEM CSL_CITATION {"citationID":"CavIZtD6","properties":{"formattedCitation":"(Adeola et al., 2017)","plainCitation":"(Adeola et al., 2017)","noteIndex":0},"citationItems":[{"id":4429,"uris":["http://zotero.org/users/5456909/items/F7KEKXSH"],"uri":["http://zotero.org/users/5456909/items/F7KEKXSH"],"itemData":{"id":4429,"type":"article-journal","abstract":"The advancement, availability and high level of accuracy of satellite data provide a unique opportunity to conduct environmental and epidemiological studies using remotely sensed measurements. In this study, information derived from remote sensing data is used to determine breeding habitats for Anopheles arabiensis which is the prevalent mosquito species over Nkomazi municipality. In particular, we have utilized the normalized difference vegetation index (NDVI) and normalized difference water index (NDWI) coupled with land surface temperature (LST) derived from Landsat 5 TM satellite data. NDVI, NDWI and LST are considered as key environmental factors that influence the mosquito habitation. The breeding habitat was derived using multi-criteria evaluation (MCE) within ArcGIS using the derived environmental metric with appropriate weight assigned to them. Additionally, notified malaria cases were analysed and spatial data layers of water bodies, including rivers and dams, were buffered to further illustrate areas at risk of malaria. The output map from the MCE was then classified into three classes which are low, medium and high areas. The resulting malaria risk map depicts that areas of Komatieport, Malelane, Madadeni and Tonga of the district are subjected to high malaria incidence. The time series analysis of environmental metrics and malaria cases can help to provide an adequate mechanism for monitoring, control and early warning for malaria incidence.","container-title":"South African Geographical Journal","ISSN":"0373-6245","issue":"1","note":"publisher: Routledge\n_eprint: https://doi.org/10.1080/03736245.2015.1117012","page":"14-28","source":"Taylor and Francis+NEJM","title":"Landsat satellite derived environmental metric for mapping mosquitoes breeding habitats in the Nkomazi municipality, Mpumalanga Province, South Africa","volume":"99","author":[{"family":"Adeola","given":"A. M."},{"family":"Olwoch","given":"J. M."},{"family":"Botai","given":"J. O."},{"family":"Rautenbach","given":"C. J.","dropping-particle":"deW"},{"family":"Kalumba","given":"A. M."},{"family":"Tsela","given":"P. L."},{"family":"Adisa","given":"O. M."},{"family":"Nsubuga","given":"F. W. N."}],"issued":{"date-parts":[["2017",1,2]]}}}],"schema":"https://github.com/citation-style-language/schema/raw/master/csl-citation.json"} </w:instrText>
      </w:r>
      <w:r w:rsidRPr="00093C5E">
        <w:rPr>
          <w:rFonts w:cs="Times New Roman"/>
          <w:szCs w:val="24"/>
        </w:rPr>
        <w:fldChar w:fldCharType="separate"/>
      </w:r>
      <w:r w:rsidR="002B37C7" w:rsidRPr="00093C5E">
        <w:rPr>
          <w:rFonts w:cs="Times New Roman"/>
          <w:szCs w:val="24"/>
        </w:rPr>
        <w:t>(Adeola et al., 2017)</w:t>
      </w:r>
      <w:r w:rsidRPr="00093C5E">
        <w:rPr>
          <w:rFonts w:cs="Times New Roman"/>
          <w:szCs w:val="24"/>
        </w:rPr>
        <w:fldChar w:fldCharType="end"/>
      </w:r>
      <w:r w:rsidRPr="00093C5E">
        <w:rPr>
          <w:rFonts w:cs="Times New Roman"/>
          <w:szCs w:val="24"/>
        </w:rPr>
        <w:t xml:space="preserve"> and malaria cases </w:t>
      </w:r>
      <w:r w:rsidRPr="00093C5E">
        <w:rPr>
          <w:rFonts w:cs="Times New Roman"/>
          <w:szCs w:val="24"/>
        </w:rPr>
        <w:fldChar w:fldCharType="begin"/>
      </w:r>
      <w:r w:rsidR="006B043F" w:rsidRPr="00093C5E">
        <w:rPr>
          <w:rFonts w:cs="Times New Roman"/>
          <w:szCs w:val="24"/>
        </w:rPr>
        <w:instrText xml:space="preserve"> ADDIN ZOTERO_ITEM CSL_CITATION {"citationID":"uVaxlooT","properties":{"formattedCitation":"(Bui et al., 2019; Midekisa et al., 2014; Rakotoarison et al., 2020)","plainCitation":"(Bui et al., 2019; Midekisa et al., 2014; Rakotoarison et al., 2020)","noteIndex":0},"citationItems":[{"id":2183,"uris":["http://zotero.org/users/5456909/items/HKEZJGAK"],"uri":["http://zotero.org/users/5456909/items/HKEZJGAK"],"itemData":{"id":2183,"type":"article-journal","container-title":"Water Resources Research","issue":"11","page":"8791-8806","title":"Multisensor earth observations to characterize wetlands and malaria epidemiology in Ethiopia","volume":"50","author":[{"family":"Midekisa","given":"Alemayehu"},{"family":"Senay","given":"Gabriel B."},{"family":"Wimberly","given":"Michael C."}],"issued":{"date-parts":[["2014",11]]}}},{"id":4423,"uris":["http://zotero.org/users/5456909/items/HCBCGFSH"],"uri":["http://zotero.org/users/5456909/items/HCBCGFSH"],"itemData":{"id":4423,"type":"article-journal","abstract":"The National Malaria Control Program (NMCP) in Madagascar classifies Malagasy districts into two malaria situations: districts in the pre-elimination phase and districts in the control phase. Indoor residual spraying (IRS) is identified as the main intervention means to control malaria in the Central Highlands. However, it involves an important logistical mobilization and thus necessitates prioritization of interventions according to the magnitude of malaria risks. Our objectives were to map the malaria transmission risk and to develop a tool to support the Malagasy Ministry of Public Health (MoH) for selective IRS implementation. For the 2014&amp;ndash;2016 period, different sources of remotely sensed data were used to update land cover information and substitute in situ climatic data. Spatial modeling was performed based on multi-criteria evaluation (MCE) to assess malaria risk. Models were mainly based on environment and climate. Three annual malaria risk maps were obtained for 2014, 2015, and 2016. Annual parasite incidence data were used to validate the results. In 2016, the validation of the model using a receiver operating characteristic (ROC) curve showed an accuracy of 0.736; 95% CI [0.669&amp;ndash;0.803]. A free plugin for QGIS software was made available for NMCP decision makers to prioritize areas for IRS. An annual update of the model provides the basic information for decision making before each IRS campaign. In Madagascar and beyond, the availability of the free plugin for open-source software facilitates the transfer to the MoH and allows further application to other problems and contexts.","container-title":"Remote Sensing","issue":"10","language":"en","page":"1585","source":"www.mdpi.com","title":"Remote Sensing and Multi-Criteria Evaluation for Malaria Risk Mapping to Support Indoor Residual Spraying Prioritization in the Central Highlands of Madagascar","volume":"12","author":[{"family":"Rakotoarison","given":"Hobiniaina Anthonio"},{"family":"Rasamimalala","given":"Mampionona"},{"family":"Rakotondramanga","given":"Jean Marius"},{"family":"Ramiranirina","given":"Brune"},{"family":"Franchard","given":"Thierry"},{"family":"Kapesa","given":"Laurent"},{"family":"Razafindrakoto","given":"Jocelyn"},{"family":"Guis","given":"Hélène"},{"family":"Tantely","given":"Luciano Michaël"},{"family":"Girod","given":"Romain"},{"family":"Rakotoniaina","given":"Solofoarisoa"},{"family":"Baril","given":"Laurence"},{"family":"Piola","given":"Patrice"},{"family":"Rakotomanana","given":"Fanjasoa"}],"issued":{"date-parts":[["2020",1]]}}},{"id":4427,"uris":["http://zotero.org/users/5456909/items/DQSMQJUJ"],"uri":["http://zotero.org/users/5456909/items/DQSMQJUJ"],"itemData":{"id":4427,"type":"article-journal","abstract":"This study examines the potentials of remotely sensed data, GIS and some machine learning classifiers and ensemble techniques in the investigation of the non-linear relationship between malaria occurrences and socio-physical conditions in the Dak Nong province of Viet Nam. Accuracy assessment was determined with Receiver Operating Characteristic (ROC) curve and pair t-test. The results showed that the area under ROC of Random Subspace ensemble model performed better than the other models based on statistical indicators. Comparing pair t-test with Area Under Curve values showed a slight difference of about 1%. Therefore ensemble techniques had significantly improved the performance of the base classifier. However, the performances might vary according to geographic locations. It is concluded that the machine learning classifiers combined with remotely sensed data and GIS is promising for malaria vulnerability mapping, and the derived maps can be used as a fundamental basis for programmes on spatial disease control.","container-title":"Geocarto International","ISSN":"1010-6049","issue":"12","note":"publisher: Taylor &amp; Francis\n_eprint: https://doi.org/10.1080/10106049.2018.1478890","page":"1300-1314","source":"Taylor and Francis+NEJM","title":"Understanding spatial variations of malaria in Vietnam using remotely sensed data integrated into GIS and machine learning classifiers","volume":"34","author":[{"family":"Bui","given":"Quang-Thanh"},{"family":"Nguyen","given":"Quoc-Huy"},{"family":"Pham","given":"Van Manh"},{"family":"Pham","given":"Minh Hai"},{"family":"Tran","given":"Anh Tuan"}],"issued":{"date-parts":[["2019",10,15]]}}}],"schema":"https://github.com/citation-style-language/schema/raw/master/csl-citation.json"} </w:instrText>
      </w:r>
      <w:r w:rsidRPr="00093C5E">
        <w:rPr>
          <w:rFonts w:cs="Times New Roman"/>
          <w:szCs w:val="24"/>
        </w:rPr>
        <w:fldChar w:fldCharType="separate"/>
      </w:r>
      <w:r w:rsidR="002B37C7" w:rsidRPr="00093C5E">
        <w:rPr>
          <w:rFonts w:cs="Times New Roman"/>
          <w:szCs w:val="24"/>
        </w:rPr>
        <w:t>(Bui et al., 2019; Midekisa et al., 2014; Rakotoarison et al., 2020)</w:t>
      </w:r>
      <w:r w:rsidRPr="00093C5E">
        <w:rPr>
          <w:rFonts w:cs="Times New Roman"/>
          <w:szCs w:val="24"/>
        </w:rPr>
        <w:fldChar w:fldCharType="end"/>
      </w:r>
      <w:r w:rsidRPr="00093C5E">
        <w:rPr>
          <w:rFonts w:cs="Times New Roman"/>
          <w:szCs w:val="24"/>
        </w:rPr>
        <w:t xml:space="preserve">. Very-high resolution imagery from commercial satellites such as GeoEye (0.5 m spatial resolution) has been used to map individual households </w:t>
      </w:r>
      <w:r w:rsidRPr="00093C5E">
        <w:rPr>
          <w:rFonts w:cs="Times New Roman"/>
          <w:szCs w:val="24"/>
        </w:rPr>
        <w:fldChar w:fldCharType="begin"/>
      </w:r>
      <w:r w:rsidR="006B043F" w:rsidRPr="00093C5E">
        <w:rPr>
          <w:rFonts w:cs="Times New Roman"/>
          <w:szCs w:val="24"/>
        </w:rPr>
        <w:instrText xml:space="preserve"> ADDIN ZOTERO_ITEM CSL_CITATION {"citationID":"nrAJvVLS","properties":{"formattedCitation":"(Shields et al., 2016)","plainCitation":"(Shields et al., 2016)","noteIndex":0},"citationItems":[{"id":4437,"uris":["http://zotero.org/users/5456909/items/R6VH3YFV"],"uri":["http://zotero.org/users/5456909/items/R6VH3YFV"],"itemData":{"id":4437,"type":"article-journal","abstract":"Satellite imagery is increasingly available at high spatial resolution and can be used for various purposes in public health research and program implementation. Comparing a census generated from two satellite images of the same region in rural southern Zambia obtained four and a half years apart identified patterns of household locations and change over time. The length of time that a satellite image-based census is accurate determines its utility. Households were enumerated manually from satellite images obtained in 2006 and 2011 of the same area. Spatial statistics were used to describe clustering, cluster detection, and spatial variation in the location of households. A total of 3,821 household locations were enumerated in 2006 and 4,256 in 2011, a net change of 435 houses (11.4% increase). Comparison of the images indicated that 971 (25.4%) structures were added and 536 (14.0%) removed. Further analysis suggested similar household clustering in the two images and no substantial difference in concentration of households across the study area. Cluster detection analysis identified a small area where significantly more household structures were removed than expected; however, the amount of change was of limited practical significance. These findings suggest that random sampling of households for study participation would not induce geographic bias if based on a 4.5 year old image in this region. Application of spatial statistical methods provide insights into the population distribution changes between two time periods and can be helpful in assessing the accuracy of satellite imagery.","container-title":"Geospatial health","issue":"2","journalAbbreviation":"Geospat Health","page":"410","source":"PubMed Central","title":"Spatial and temporal changes in household structure locations using high-resolution satellite imagery for population assessment: an analysis of household locations in southern Zambia between 2006 and 2011","title-short":"Spatial and temporal changes in household structure locations using high-resolution satellite imagery for population assessment","volume":"11","author":[{"family":"Shields","given":"Timothy"},{"family":"Pinchoff","given":"Jessie"},{"family":"Lubinda","given":"Jailos"},{"family":"Hamapumbu","given":"Harry"},{"family":"Searle","given":"Kelly"},{"family":"Kobayashi","given":"Tamaki"},{"family":"Thuma","given":"Philip E."},{"family":"Moss","given":"William J."},{"family":"Curriero","given":"Frank C."}],"issued":{"date-parts":[["2016",5,31]]}}}],"schema":"https://github.com/citation-style-language/schema/raw/master/csl-citation.json"} </w:instrText>
      </w:r>
      <w:r w:rsidRPr="00093C5E">
        <w:rPr>
          <w:rFonts w:cs="Times New Roman"/>
          <w:szCs w:val="24"/>
        </w:rPr>
        <w:fldChar w:fldCharType="separate"/>
      </w:r>
      <w:r w:rsidR="002B37C7" w:rsidRPr="00093C5E">
        <w:rPr>
          <w:rFonts w:cs="Times New Roman"/>
          <w:szCs w:val="24"/>
        </w:rPr>
        <w:t>(Shields et al., 2016)</w:t>
      </w:r>
      <w:r w:rsidRPr="00093C5E">
        <w:rPr>
          <w:rFonts w:cs="Times New Roman"/>
          <w:szCs w:val="24"/>
        </w:rPr>
        <w:fldChar w:fldCharType="end"/>
      </w:r>
      <w:r w:rsidRPr="00093C5E">
        <w:rPr>
          <w:rFonts w:cs="Times New Roman"/>
          <w:szCs w:val="24"/>
        </w:rPr>
        <w:t xml:space="preserve">, and SPOT imagery (1.5 m spatial resolution) has been used to map larval habitats </w:t>
      </w:r>
      <w:r w:rsidRPr="00093C5E">
        <w:rPr>
          <w:rFonts w:cs="Times New Roman"/>
          <w:szCs w:val="24"/>
        </w:rPr>
        <w:fldChar w:fldCharType="begin"/>
      </w:r>
      <w:r w:rsidR="00D5378A" w:rsidRPr="00093C5E">
        <w:rPr>
          <w:rFonts w:cs="Times New Roman"/>
          <w:szCs w:val="24"/>
        </w:rPr>
        <w:instrText xml:space="preserve"> ADDIN ZOTERO_ITEM CSL_CITATION {"citationID":"esMVAo6C","properties":{"formattedCitation":"(Kabaria et al., 2016)","plainCitation":"(Kabaria et al., 2016)","noteIndex":0},"citationItems":[{"id":3234,"uris":["http://zotero.org/users/5456909/items/D9UJ6B9A"],"uri":["http://zotero.org/users/5456909/items/D9UJ6B9A"],"itemData":{"id":3234,"type":"article-journal","abstract":"With more than half of Africa’s population expected to live in urban settlements by 2030, the burden of malaria among urban populations in Africa continues to rise with an increasing number of people at risk of infection. However, malaria intervention across Africa remains focused on rural, highly endemic communities with far fewer strategic policy directions for the control of malaria in rapidly growing African urban settlements. The complex and heterogeneous nature of urban malaria requires a better understanding of the spatial and temporal patterns of urban malaria risk in order to design effective urban malaria control programs. In this study, we use remotely sensed variables and other environmental covariates to examine the predictability of intra-urban variations of malaria infection risk across the rapidly growing city of Dar es Salaam, Tanzania between 2006 and 2014.","container-title":"International Journal of Health Geographics","ISSN":"1476-072X","issue":"1","journalAbbreviation":"International Journal of Health Geographics","page":"26","source":"BioMed Central","title":"Mapping intra-urban malaria risk using high resolution satellite imagery: a case study of Dar es Salaam","title-short":"Mapping intra-urban malaria risk using high resolution satellite imagery","volume":"15","author":[{"family":"Kabaria","given":"Caroline W."},{"family":"Molteni","given":"Fabrizio"},{"family":"Mandike","given":"Renata"},{"family":"Chacky","given":"Frank"},{"family":"Noor","given":"Abdisalan M."},{"family":"Snow","given":"Robert W."},{"family":"Linard","given":"Catherine"}],"issued":{"date-parts":[["2016",7,30]]}}}],"schema":"https://github.com/citation-style-language/schema/raw/master/csl-citation.json"} </w:instrText>
      </w:r>
      <w:r w:rsidRPr="00093C5E">
        <w:rPr>
          <w:rFonts w:cs="Times New Roman"/>
          <w:szCs w:val="24"/>
        </w:rPr>
        <w:fldChar w:fldCharType="separate"/>
      </w:r>
      <w:r w:rsidR="002B37C7" w:rsidRPr="00093C5E">
        <w:rPr>
          <w:rFonts w:cs="Times New Roman"/>
          <w:szCs w:val="24"/>
        </w:rPr>
        <w:t>(Kabaria et al., 2016)</w:t>
      </w:r>
      <w:r w:rsidRPr="00093C5E">
        <w:rPr>
          <w:rFonts w:cs="Times New Roman"/>
          <w:szCs w:val="24"/>
        </w:rPr>
        <w:fldChar w:fldCharType="end"/>
      </w:r>
      <w:r w:rsidRPr="00093C5E">
        <w:rPr>
          <w:rFonts w:cs="Times New Roman"/>
          <w:szCs w:val="24"/>
        </w:rPr>
        <w:t xml:space="preserve"> in support of malaria research and control efforts. Thus, remote sensing is a useful tool for studying the effects of environmental conditions on mosquito borne diseases like malaria </w:t>
      </w:r>
      <w:r w:rsidRPr="00093C5E">
        <w:rPr>
          <w:rFonts w:cs="Times New Roman"/>
          <w:szCs w:val="24"/>
        </w:rPr>
        <w:fldChar w:fldCharType="begin"/>
      </w:r>
      <w:r w:rsidR="00701ADA" w:rsidRPr="00093C5E">
        <w:rPr>
          <w:rFonts w:cs="Times New Roman"/>
          <w:szCs w:val="24"/>
        </w:rPr>
        <w:instrText xml:space="preserve"> ADDIN ZOTERO_ITEM CSL_CITATION {"citationID":"uwU3ZmV6","properties":{"formattedCitation":"(Davis et al., 2019; Ebhuoma and Gebreslasie, 2016; Machault et al., 2011; Midekisa et al., 2012; Solano-Villarreal et al., 2019)","plainCitation":"(Davis et al., 2019; Ebhuoma and Gebreslasie, 2016; Machault et al., 2011; Midekisa et al., 2012; Solano-Villarreal et al., 2019)","noteIndex":0},"citationItems":[{"id":3660,"uris":["http://zotero.org/users/5456909/items/TECXJ9KS"],"uri":["http://zotero.org/users/5456909/items/TECXJ9KS"],"itemData":{"id":3660,"type":"article-journal","abstract":"&lt;p&gt;Time series models of malaria cases can be applied to forecast epidemics and support proactive interventions. Mosquito life history and parasite development are sensitive to environmental factors such as temperature and precipitation, and these variables are often used as predictors in malaria models. However, malaria-environment relationships can vary with ecological and social context. We used a genetic algorithm to optimize a spatiotemporal malaria model by aggregating locations into clusters with similar environmental sensitivities. We tested the algorithm in the Amhara Region of Ethiopia using seven years of weekly &lt;em&gt;Plasmodium falciparum&lt;/em&gt; data from 47 districts and remotely-sensed land surface temperature, precipitation, and spectral indices as predictors. The best model identified six clusters, and the districts in each cluster had distinctive responses to the environmental predictors. We conclude that spatial stratification can improve the fit of environmentally-driven disease models, and genetic algorithms provide a practical and effective approach for identifying these clusters.&lt;/p&gt;","container-title":"Environmental Modelling and Software","page":"275-284","title":"A genetic algorithm for identifying spatially-varying environmental drivers in a malaria time series model","volume":"119","author":[{"family":"Davis","given":"Justin K."},{"family":"Gebrehiwot","given":"Teklehaymanot"},{"family":"Worku","given":"Mastewal"},{"family":"Awoke","given":"Worku"},{"family":"Mihretie","given":"Abere"},{"family":"Nekorchuk","given":"Dawn"},{"family":"Wimberly","given":"Michael C."}],"issued":{"date-parts":[["2019"]]}}},{"id":4001,"uris":["http://zotero.org/users/5456909/items/FYS7YL23"],"uri":["http://zotero.org/users/5456909/items/FYS7YL23"],"itemData":{"id":4001,"type":"article-journal","abstract":"Malaria is a serious public health threat in Sub-Saharan Africa (SSA), and its transmission risk varies geographically. Modelling its geographic characteristics is essential for identifying the spatial and temporal risk of malaria transmission. Remote sensing (RS) has been serving as an important tool in providing and assessing a variety of potential climatic/environmental malaria transmission variables in diverse areas. This review focuses on the utilization of RS-driven climatic/environmental variables in determining malaria transmission in SSA. A systematic search on Google Scholar and the Institute for Scientific Information (ISI) Web of KnowledgeSM databases (PubMed, Web of Science and ScienceDirect) was carried out. We identified thirty-five peer-reviewed articles that studied the relationship between remotely-sensed climatic variable(s) and malaria epidemiological data in the SSA sub-regions. The relationship between malaria disease and different climatic/environmental proxies was examined using different statistical methods. Across the SSA sub-region, the normalized difference vegetation index (NDVI) derived from either the National Oceanic and Atmospheric Administration (NOAA) Advanced Very High Resolution Radiometer (AVHRR) or Moderate-resolution Imaging Spectrometer (MODIS) satellite sensors was most frequently returned as a statistically-significant variable to model both spatial and temporal malaria transmission. Furthermore, generalized linear models (linear regression, logistic regression and Poisson regression) were the most frequently-employed methods of statistical analysis in determining malaria transmission predictors in East, Southern and West Africa. By contrast, multivariate analysis was used in Central Africa. We stress that the utilization of RS in determining reliable malaria transmission predictors and climatic/environmental monitoring variables would require a tailored approach that will have cognizance of the geographical/climatic setting, the stage of malaria elimination continuum, the characteristics of the RS variables and the analytical approach, which in turn, would support the channeling of intervention resources sustainably.","container-title":"International Journal of Environmental Research and Public Health","issue":"6","language":"en","note":"number: 6\npublisher: Multidisciplinary Digital Publishing Institute","page":"584","source":"www.mdpi.com","title":"Remote sensing-driven climatic/environmental variables for modelling malaria transmission in sub-saharan Africa","volume":"13","author":[{"family":"Ebhuoma","given":"Osadolor"},{"family":"Gebreslasie","given":"Michael"}],"issued":{"date-parts":[["2016",6]]}}},{"id":1996,"uris":["http://zotero.org/users/5456909/items/U4B3D5YG"],"uri":["http://zotero.org/users/5456909/items/U4B3D5YG"],"itemData":{"id":1996,"type":"article-journal","abstract":"Mapping and anticipating risk is a major issue in the fight against malaria, a disease causing an estimated one million deaths each year. Approximately half the world’s population is at risk and it is of prime importance to evaluate the burden of malaria at the spatial as well as the temporal level. The role of the environment with regard to the determinants of transmission and burden of the disease are described followed by a discussion of special issues such as urban malaria, human population mapping and the detection of changes at the temporal scale. Risk maps at appropriate scales can provide valuable information for targeted control and the present review discusses the essentials of principles, methods, advantages and limitations of remote sensing along with a presentation of ecological, meteorological and climatologic data which rule the distribution of malaria. The panel of commonly used analytic methods is examined and the methodological limitations are highlighted. A review of the literature details the increasing interest in the use of remotely sensed data in the study of malaria, by mapping or modeling several malariometric indices such as prevalence, morbidity and mortality, which are discussed with reference to vector breeding, vector density and entomological inoculation rate, estimates of which constitute the foundation for understanding endemicity and epidemics.","container-title":"Geospatial Health","ISSN":"1827-1987","issue":"2","page":"151-168","title":"The use of remotely sensed environmental data in the study of malaria","volume":"5","author":[{"family":"Machault","given":"Vanessa"},{"family":"Vignolles","given":"C??cile"},{"family":"Borchi","given":"Fran??ois"},{"family":"Vounatsou","given":"Penelope"},{"family":"Pages","given":"Fr??d??ric"},{"family":"Briolant","given":"S??bastien"},{"family":"Lacaux","given":"Jean Pierre"},{"family":"Rogier","given":"Christophe"}],"issued":{"date-parts":[["2011"]]}}},{"id":2187,"uris":["http://zotero.org/users/5456909/items/XZR3T2GK"],"uri":["http://zotero.org/users/5456909/items/XZR3T2GK"],"itemData":{"id":2187,"type":"article-journal","abstract":"BACKGROUND: Malaria is one of the leading public health problems in most of sub-Saharan Africa, particularly in Ethiopia. Almost all demographic groups are at risk of malaria because of seasonal and unstable transmission of the disease. Therefore, there is a need to develop malaria early-warning systems to enhance public health decision making for control and prevention of malaria epidemics. Data from orbiting earth-observing sensors can monitor environmental risk factors that trigger malaria epidemics. Remotely sensed environmental indicators were used to examine the influences of climatic and environmental variability on temporal patterns of malaria cases in the Amhara region of Ethiopia.\\n\\nMETHODS: In this study seasonal autoregressive integrated moving average (SARIMA) models were used to quantify the relationship between malaria cases and remotely sensed environmental variables, including rainfall, land-surface temperature (LST), vegetation indices (NDVI and EVI), and actual evapotranspiration (ETa) with lags ranging from one to three months. Predictions from the best model with environmental variables were compared to the actual observations from the last 12 months of the time series.\\n\\nRESULTS: Malaria cases exhibited positive associations with LST at a lag of one month and positive associations with indicators of moisture (rainfall, EVI and ETa) at lags from one to three months. SARIMA models that included these environmental covariates had better fits and more accurate predictions, as evidenced by lower AIC and RMSE values, than models without environmental covariates.\\n\\nCONCLUSIONS: Malaria risk indicators such as satellite-based rainfall estimates, LST, EVI, and ETa exhibited significant lagged associations with malaria cases in the Amhara region and improved model fit and prediction accuracy. These variables can be monitored frequently and extensively across large geographic areas using data from earth-observing sensors to support public health decisions.","container-title":"Malaria journal","issue":"1","page":"165-165","title":"Remote sensing-based time series models for malaria early warning in the highlands of Ethiopia.","volume":"11","author":[{"family":"Midekisa","given":"Alemayehu"},{"family":"Senay","given":"Gabriel"},{"family":"Henebry","given":"Geoffrey M"},{"family":"Semuniguse","given":"Paulos"},{"family":"Wimberly","given":"Michael C"}],"issued":{"date-parts":[["2012"]]}}},{"id":3930,"uris":["http://zotero.org/users/5456909/items/LDT9VHJ3"],"uri":["http://zotero.org/users/5456909/items/LDT9VHJ3"],"itemData":{"id":3930,"type":"article-journal","abstract":"This is the first study to assess the risk of co-endemic Plasmodium vivax and Plasmodium falciparum transmission in the Peruvian Amazon using boosted regression tree (BRT) models based on social and environmental predictors derived from satellite imagery and data. Yearly cross-validated BRT models were created to discriminate high-risk (annual parasite index API &gt; 10 cases/1000 people) and very-high-risk for malaria (API &gt; 50 cases/1000 people) in 2766 georeferenced villages of Loreto department, between 2010–2017 as other parts in the article (graphs, tables, and texts). Predictors were cumulative annual rainfall, forest coverage, annual forest loss, annual mean land surface temperature, normalized difference vegetation index (NDVI), normalized difference water index (NDWI), shortest distance to rivers, time to populated villages, and population density. BRT models built with predictor data of a given year efficiently discriminated the malaria risk for that year in villages (area under the ROC curve (AUC) &gt; 0.80), and most models also effectively predicted malaria risk in the following year. Cumulative rainfall, population density and time to populated villages were consistently the top three predictors for both P. vivax and P. falciparum incidence. Maps created using the BRT models characterize the spatial distribution of the malaria incidence in Loreto and should contribute to malaria-related decision making in the area.","container-title":"Scientific Reports","ISSN":"2045-2322","issue":"1","language":"en","note":"number: 1\npublisher: Nature Publishing Group","page":"15173","source":"www.nature.com","title":"Malaria risk assessment and mapping using satellite imagery and boosted regression trees in the Peruvian Amazon","volume":"9","author":[{"family":"Solano-Villarreal","given":"Elisa"},{"family":"Valdivia","given":"Walter"},{"family":"Pearcy","given":"Morgan"},{"family":"Linard","given":"Catherine"},{"family":"Pasapera-Gonzales","given":"José"},{"family":"Moreno-Gutierrez","given":"Diamantina"},{"family":"Lejeune","given":"Philippe"},{"family":"Llanos-Cuentas","given":"Alejandro"},{"family":"Speybroeck","given":"Niko"},{"family":"Hayette","given":"Marie-Pierre"},{"family":"Rosas-Aguirre","given":"Angel"}],"issued":{"date-parts":[["2019",10,23]]}}}],"schema":"https://github.com/citation-style-language/schema/raw/master/csl-citation.json"} </w:instrText>
      </w:r>
      <w:r w:rsidRPr="00093C5E">
        <w:rPr>
          <w:rFonts w:cs="Times New Roman"/>
          <w:szCs w:val="24"/>
        </w:rPr>
        <w:fldChar w:fldCharType="separate"/>
      </w:r>
      <w:r w:rsidR="00701ADA" w:rsidRPr="00093C5E">
        <w:rPr>
          <w:rFonts w:cs="Times New Roman"/>
          <w:szCs w:val="24"/>
        </w:rPr>
        <w:t>(Davis et al., 2019; Ebhuoma and Gebreslasie, 2016; Machault et al., 2011; Midekisa et al., 2012; Solano-Villarreal et al., 2019)</w:t>
      </w:r>
      <w:r w:rsidRPr="00093C5E">
        <w:rPr>
          <w:rFonts w:cs="Times New Roman"/>
          <w:szCs w:val="24"/>
        </w:rPr>
        <w:fldChar w:fldCharType="end"/>
      </w:r>
      <w:r w:rsidRPr="00093C5E">
        <w:rPr>
          <w:rFonts w:cs="Times New Roman"/>
          <w:szCs w:val="24"/>
        </w:rPr>
        <w:t xml:space="preserve">. </w:t>
      </w:r>
      <w:bookmarkStart w:id="23" w:name="_Hlk70873280"/>
      <w:bookmarkStart w:id="24" w:name="_Hlk71312965"/>
      <w:r w:rsidRPr="00093C5E">
        <w:rPr>
          <w:rFonts w:cs="Times New Roman"/>
          <w:szCs w:val="24"/>
        </w:rPr>
        <w:t xml:space="preserve">In Ethiopia, such studies have established relationships between malaria risk and remotely-sensed environmental factors, such as land surface temperature </w:t>
      </w:r>
      <w:r w:rsidRPr="00093C5E">
        <w:rPr>
          <w:rFonts w:cs="Times New Roman"/>
          <w:szCs w:val="24"/>
        </w:rPr>
        <w:fldChar w:fldCharType="begin"/>
      </w:r>
      <w:r w:rsidR="002B37C7" w:rsidRPr="00093C5E">
        <w:rPr>
          <w:rFonts w:cs="Times New Roman"/>
          <w:szCs w:val="24"/>
        </w:rPr>
        <w:instrText xml:space="preserve"> ADDIN ZOTERO_ITEM CSL_CITATION {"citationID":"viPNdltX","properties":{"formattedCitation":"(Endo and Eltahir, 2020; Midekisa et al., 2012; Minale and Alemu, 2018)","plainCitation":"(Endo and Eltahir, 2020; Midekisa et al., 2012; Minale and Alemu, 2018)","noteIndex":0},"citationItems":[{"id":2187,"uris":["http://zotero.org/users/5456909/items/XZR3T2GK"],"uri":["http://zotero.org/users/5456909/items/XZR3T2GK"],"itemData":{"id":2187,"type":"article-journal","abstract":"BACKGROUND: Malaria is one of the leading public health problems in most of sub-Saharan Africa, particularly in Ethiopia. Almost all demographic groups are at risk of malaria because of seasonal and unstable transmission of the disease. Therefore, there is a need to develop malaria early-warning systems to enhance public health decision making for control and prevention of malaria epidemics. Data from orbiting earth-observing sensors can monitor environmental risk factors that trigger malaria epidemics. Remotely sensed environmental indicators were used to examine the influences of climatic and environmental variability on temporal patterns of malaria cases in the Amhara region of Ethiopia.\\n\\nMETHODS: In this study seasonal autoregressive integrated moving average (SARIMA) models were used to quantify the relationship between malaria cases and remotely sensed environmental variables, including rainfall, land-surface temperature (LST), vegetation indices (NDVI and EVI), and actual evapotranspiration (ETa) with lags ranging from one to three months. Predictions from the best model with environmental variables were compared to the actual observations from the last 12 months of the time series.\\n\\nRESULTS: Malaria cases exhibited positive associations with LST at a lag of one month and positive associations with indicators of moisture (rainfall, EVI and ETa) at lags from one to three months. SARIMA models that included these environmental covariates had better fits and more accurate predictions, as evidenced by lower AIC and RMSE values, than models without environmental covariates.\\n\\nCONCLUSIONS: Malaria risk indicators such as satellite-based rainfall estimates, LST, EVI, and ETa exhibited significant lagged associations with malaria cases in the Amhara region and improved model fit and prediction accuracy. These variables can be monitored frequently and extensively across large geographic areas using data from earth-observing sensors to support public health decisions.","container-title":"Malaria journal","issue":"1","page":"165-165","title":"Remote sensing-based time series models for malaria early warning in the highlands of Ethiopia.","volume":"11","author":[{"family":"Midekisa","given":"Alemayehu"},{"family":"Senay","given":"Gabriel"},{"family":"Henebry","given":"Geoffrey M"},{"family":"Semuniguse","given":"Paulos"},{"family":"Wimberly","given":"Michael C"}],"issued":{"date-parts":[["2012"]]}}},{"id":2241,"uris":["http://zotero.org/users/5456909/items/VGGDIXPY"],"uri":["http://zotero.org/users/5456909/items/VGGDIXPY"],"itemData":{"id":2241,"type":"article-journal","container-title":"Geospatial Health","issue":"660","language":"en","page":"157-163","title":"Malaria-risk assessment using geographical information system and remote sensing in Mecha District, West Gojjam, Ethiopia","volume":"13","author":[{"family":"Minale","given":"Amare Sewnet"},{"family":"Alemu","given":"Kalkidan"}],"issued":{"date-parts":[["2018"]]}}},{"id":3900,"uris":["http://zotero.org/users/5456909/items/U7FPSI8Q"],"uri":["http://zotero.org/users/5456909/items/U7FPSI8Q"],"itemData":{"id":3900,"type":"article-journal","abstract":"The heavily populated highlands of Ethiopia are currently at low risk for malaria transmission, but\nglobal warming may change the risk level significantly. The inhabitants of the Ethiopian Highlands\nare highly vulnerable to this potential hazard due to their lack of immunity. Here, we identify\nhotspots within the Highlands where projected warming towards the end of the 21st century will\nincrease the risk of malaria transmission significantly. Based on projected temperature changes, we\nconclude that about a third of the region's population and roughly 14% of its land area will become\nat high risk for malaria transmission within a century under the high-emissions-no-mitigation\nbaseline scenario for future climate change. Our analysis combines dynamically down-scaled regional\nclimate projections, high resolution satellite observations of temperature, and a village-scale\nmalaria transmission model that was developed based on climatic, environmental, entomological, and\nmedical data c...","container-title":"Environmental Research Letters","title":"Increased risk of malaria transmission with warming temperature in the Ethiopian Highlands","author":[{"family":"Endo","given":"Noriko"},{"family":"Eltahir","given":"Elfatih A B"}],"issued":{"date-parts":[["2020"]]}}}],"schema":"https://github.com/citation-style-language/schema/raw/master/csl-citation.json"} </w:instrText>
      </w:r>
      <w:r w:rsidRPr="00093C5E">
        <w:rPr>
          <w:rFonts w:cs="Times New Roman"/>
          <w:szCs w:val="24"/>
        </w:rPr>
        <w:fldChar w:fldCharType="separate"/>
      </w:r>
      <w:r w:rsidR="002B37C7" w:rsidRPr="00093C5E">
        <w:rPr>
          <w:rFonts w:cs="Times New Roman"/>
          <w:szCs w:val="24"/>
        </w:rPr>
        <w:t>(Endo and Eltahir, 2020; Midekisa et al., 2012; Minale and Alemu, 2018)</w:t>
      </w:r>
      <w:r w:rsidRPr="00093C5E">
        <w:rPr>
          <w:rFonts w:cs="Times New Roman"/>
          <w:szCs w:val="24"/>
        </w:rPr>
        <w:fldChar w:fldCharType="end"/>
      </w:r>
      <w:r w:rsidRPr="00093C5E">
        <w:rPr>
          <w:rFonts w:cs="Times New Roman"/>
          <w:szCs w:val="24"/>
        </w:rPr>
        <w:t xml:space="preserve">, precipitation </w:t>
      </w:r>
      <w:r w:rsidRPr="00093C5E">
        <w:rPr>
          <w:rFonts w:cs="Times New Roman"/>
          <w:szCs w:val="24"/>
        </w:rPr>
        <w:fldChar w:fldCharType="begin"/>
      </w:r>
      <w:r w:rsidR="002B37C7" w:rsidRPr="00093C5E">
        <w:rPr>
          <w:rFonts w:cs="Times New Roman"/>
          <w:szCs w:val="24"/>
        </w:rPr>
        <w:instrText xml:space="preserve"> ADDIN ZOTERO_ITEM CSL_CITATION {"citationID":"upxd7BC7","properties":{"formattedCitation":"(Belay et al., 2017; Minale and Alemu, 2018)","plainCitation":"(Belay et al., 2017; Minale and Alemu, 2018)","noteIndex":0},"citationItems":[{"id":2241,"uris":["http://zotero.org/users/5456909/items/VGGDIXPY"],"uri":["http://zotero.org/users/5456909/items/VGGDIXPY"],"itemData":{"id":2241,"type":"article-journal","container-title":"Geospatial Health","issue":"660","language":"en","page":"157-163","title":"Malaria-risk assessment using geographical information system and remote sensing in Mecha District, West Gojjam, Ethiopia","volume":"13","author":[{"family":"Minale","given":"Amare Sewnet"},{"family":"Alemu","given":"Kalkidan"}],"issued":{"date-parts":[["2018"]]}}},{"id":1361,"uris":["http://zotero.org/users/5456909/items/J5GIVSFK"],"uri":["http://zotero.org/users/5456909/items/J5GIVSFK"],"itemData":{"id":1361,"type":"article-journal","abstract":"This paper studies the effect of mosquito abundance and malaria incidence in the last 3 weeks, and their interaction, on the hazard of time to malaria in a previously studied cohort of children in Ethiopia. We model the mosquito abundance and time to malaria data jointly in a Bayesian framework. We found that the interaction of mosquito abundance and incidence plays a prominent role on malaria risk. We quantify and compare relative risks of various factors, and determine the predominant role of the interaction between incidence and mosquito abundance in describing malaria risk. Seasonal rain patterns, distance to a water source of the households, temperature and relative humidity are all significant in explaining mosquito abundance, and through this affect malaria risk. Analyzing jointly the time to malaria data and the mosquito abundance allows a precise comparison of factors affecting the spread of malaria. The effect of the interaction between mosquito abundances and local presence of malaria parasites has an important effect on the hazard of time to malaria, beyond abundance alone. Each additional one km away from the dam gives an average reduction of malaria relative risk of 5.7%. The importance of the interaction between abundance and incidence leads to the hypothesis that preventive intervention could advantageously target the infectious population, in addition to mosquito control, which is the typical intervention today.","container-title":"BMC Infectious Diseases","issue":"1","page":"415-415","title":"Joint Bayesian modeling of time to malaria and mosquito abundance in Ethiopia","volume":"17","author":[{"family":"Belay","given":"Denekew Bitew"},{"family":"Kifle","given":"Yehenew Getachew"},{"family":"Goshu","given":"Ayele Taye"},{"family":"Gran","given":"Jon Michael"},{"family":"Yewhalaw","given":"Delenasaw"},{"family":"Duchateau","given":"Luc"},{"family":"Frigessi","given":"Arnoldo"}],"issued":{"date-parts":[["2017"]]}}}],"schema":"https://github.com/citation-style-language/schema/raw/master/csl-citation.json"} </w:instrText>
      </w:r>
      <w:r w:rsidRPr="00093C5E">
        <w:rPr>
          <w:rFonts w:cs="Times New Roman"/>
          <w:szCs w:val="24"/>
        </w:rPr>
        <w:fldChar w:fldCharType="separate"/>
      </w:r>
      <w:r w:rsidR="002B37C7" w:rsidRPr="00093C5E">
        <w:rPr>
          <w:rFonts w:cs="Times New Roman"/>
          <w:szCs w:val="24"/>
        </w:rPr>
        <w:t>(Belay et al., 2017; Minale and Alemu, 2018)</w:t>
      </w:r>
      <w:r w:rsidRPr="00093C5E">
        <w:rPr>
          <w:rFonts w:cs="Times New Roman"/>
          <w:szCs w:val="24"/>
        </w:rPr>
        <w:fldChar w:fldCharType="end"/>
      </w:r>
      <w:r w:rsidRPr="00093C5E">
        <w:rPr>
          <w:rFonts w:cs="Times New Roman"/>
          <w:szCs w:val="24"/>
        </w:rPr>
        <w:t xml:space="preserve">, greenness and moisture indices </w:t>
      </w:r>
      <w:r w:rsidRPr="00093C5E">
        <w:rPr>
          <w:rFonts w:cs="Times New Roman"/>
          <w:szCs w:val="24"/>
        </w:rPr>
        <w:fldChar w:fldCharType="begin"/>
      </w:r>
      <w:r w:rsidR="000D258D" w:rsidRPr="00093C5E">
        <w:rPr>
          <w:rFonts w:cs="Times New Roman"/>
          <w:szCs w:val="24"/>
        </w:rPr>
        <w:instrText xml:space="preserve"> ADDIN ZOTERO_ITEM CSL_CITATION {"citationID":"9xlDm438","properties":{"formattedCitation":"(Midekisa et al., 2012)","plainCitation":"(Midekisa et al., 2012)","noteIndex":0},"citationItems":[{"id":2187,"uris":["http://zotero.org/users/5456909/items/XZR3T2GK"],"uri":["http://zotero.org/users/5456909/items/XZR3T2GK"],"itemData":{"id":2187,"type":"article-journal","abstract":"BACKGROUND: Malaria is one of the leading public health problems in most of sub-Saharan Africa, particularly in Ethiopia. Almost all demographic groups are at risk of malaria because of seasonal and unstable transmission of the disease. Therefore, there is a need to develop malaria early-warning systems to enhance public health decision making for control and prevention of malaria epidemics. Data from orbiting earth-observing sensors can monitor environmental risk factors that trigger malaria epidemics. Remotely sensed environmental indicators were used to examine the influences of climatic and environmental variability on temporal patterns of malaria cases in the Amhara region of Ethiopia.\\n\\nMETHODS: In this study seasonal autoregressive integrated moving average (SARIMA) models were used to quantify the relationship between malaria cases and remotely sensed environmental variables, including rainfall, land-surface temperature (LST), vegetation indices (NDVI and EVI), and actual evapotranspiration (ETa) with lags ranging from one to three months. Predictions from the best model with environmental variables were compared to the actual observations from the last 12 months of the time series.\\n\\nRESULTS: Malaria cases exhibited positive associations with LST at a lag of one month and positive associations with indicators of moisture (rainfall, EVI and ETa) at lags from one to three months. SARIMA models that included these environmental covariates had better fits and more accurate predictions, as evidenced by lower AIC and RMSE values, than models without environmental covariates.\\n\\nCONCLUSIONS: Malaria risk indicators such as satellite-based rainfall estimates, LST, EVI, and ETa exhibited significant lagged associations with malaria cases in the Amhara region and improved model fit and prediction accuracy. These variables can be monitored frequently and extensively across large geographic areas using data from earth-observing sensors to support public health decisions.","container-title":"Malaria journal","issue":"1","page":"165-165","title":"Remote sensing-based time series models for malaria early warning in the highlands of Ethiopia.","volume":"11","author":[{"family":"Midekisa","given":"Alemayehu"},{"family":"Senay","given":"Gabriel"},{"family":"Henebry","given":"Geoffrey M"},{"family":"Semuniguse","given":"Paulos"},{"family":"Wimberly","given":"Michael C"}],"issued":{"date-parts":[["2012"]]}}}],"schema":"https://github.com/citation-style-language/schema/raw/master/csl-citation.json"} </w:instrText>
      </w:r>
      <w:r w:rsidRPr="00093C5E">
        <w:rPr>
          <w:rFonts w:cs="Times New Roman"/>
          <w:szCs w:val="24"/>
        </w:rPr>
        <w:fldChar w:fldCharType="separate"/>
      </w:r>
      <w:r w:rsidR="002B37C7" w:rsidRPr="00093C5E">
        <w:rPr>
          <w:rFonts w:cs="Times New Roman"/>
          <w:szCs w:val="24"/>
        </w:rPr>
        <w:t>(Midekisa et al., 2012)</w:t>
      </w:r>
      <w:r w:rsidRPr="00093C5E">
        <w:rPr>
          <w:rFonts w:cs="Times New Roman"/>
          <w:szCs w:val="24"/>
        </w:rPr>
        <w:fldChar w:fldCharType="end"/>
      </w:r>
      <w:r w:rsidRPr="00093C5E">
        <w:rPr>
          <w:rFonts w:cs="Times New Roman"/>
          <w:szCs w:val="24"/>
        </w:rPr>
        <w:t xml:space="preserve">, wetland cover </w:t>
      </w:r>
      <w:r w:rsidRPr="00093C5E">
        <w:rPr>
          <w:rFonts w:cs="Times New Roman"/>
          <w:szCs w:val="24"/>
        </w:rPr>
        <w:fldChar w:fldCharType="begin"/>
      </w:r>
      <w:r w:rsidR="000D258D" w:rsidRPr="00093C5E">
        <w:rPr>
          <w:rFonts w:cs="Times New Roman"/>
          <w:szCs w:val="24"/>
        </w:rPr>
        <w:instrText xml:space="preserve"> ADDIN ZOTERO_ITEM CSL_CITATION {"citationID":"mKkrj8eY","properties":{"formattedCitation":"(Midekisa et al., 2014)","plainCitation":"(Midekisa et al., 2014)","noteIndex":0},"citationItems":[{"id":2183,"uris":["http://zotero.org/users/5456909/items/HKEZJGAK"],"uri":["http://zotero.org/users/5456909/items/HKEZJGAK"],"itemData":{"id":2183,"type":"article-journal","container-title":"Water Resources Research","issue":"11","page":"8791-8806","title":"Multisensor earth observations to characterize wetlands and malaria epidemiology in Ethiopia","volume":"50","author":[{"family":"Midekisa","given":"Alemayehu"},{"family":"Senay","given":"Gabriel B."},{"family":"Wimberly","given":"Michael C."}],"issued":{"date-parts":[["2014",11]]}}}],"schema":"https://github.com/citation-style-language/schema/raw/master/csl-citation.json"} </w:instrText>
      </w:r>
      <w:r w:rsidRPr="00093C5E">
        <w:rPr>
          <w:rFonts w:cs="Times New Roman"/>
          <w:szCs w:val="24"/>
        </w:rPr>
        <w:fldChar w:fldCharType="separate"/>
      </w:r>
      <w:r w:rsidR="002B37C7" w:rsidRPr="00093C5E">
        <w:rPr>
          <w:rFonts w:cs="Times New Roman"/>
          <w:szCs w:val="24"/>
        </w:rPr>
        <w:t>(Midekisa et al., 2014)</w:t>
      </w:r>
      <w:r w:rsidRPr="00093C5E">
        <w:rPr>
          <w:rFonts w:cs="Times New Roman"/>
          <w:szCs w:val="24"/>
        </w:rPr>
        <w:fldChar w:fldCharType="end"/>
      </w:r>
      <w:r w:rsidRPr="00093C5E">
        <w:rPr>
          <w:rFonts w:cs="Times New Roman"/>
          <w:szCs w:val="24"/>
        </w:rPr>
        <w:t xml:space="preserve">, and distance to water bodies </w:t>
      </w:r>
      <w:r w:rsidRPr="00093C5E">
        <w:rPr>
          <w:rFonts w:cs="Times New Roman"/>
          <w:szCs w:val="24"/>
        </w:rPr>
        <w:fldChar w:fldCharType="begin"/>
      </w:r>
      <w:r w:rsidR="002B37C7" w:rsidRPr="00093C5E">
        <w:rPr>
          <w:rFonts w:cs="Times New Roman"/>
          <w:szCs w:val="24"/>
        </w:rPr>
        <w:instrText xml:space="preserve"> ADDIN ZOTERO_ITEM CSL_CITATION {"citationID":"DfSLpP4R","properties":{"formattedCitation":"(Minale and Alemu, 2018)","plainCitation":"(Minale and Alemu, 2018)","noteIndex":0},"citationItems":[{"id":2241,"uris":["http://zotero.org/users/5456909/items/VGGDIXPY"],"uri":["http://zotero.org/users/5456909/items/VGGDIXPY"],"itemData":{"id":2241,"type":"article-journal","container-title":"Geospatial Health","issue":"660","language":"en","page":"157-163","title":"Malaria-risk assessment using geographical information system and remote sensing in Mecha District, West Gojjam, Ethiopia","volume":"13","author":[{"family":"Minale","given":"Amare Sewnet"},{"family":"Alemu","given":"Kalkidan"}],"issued":{"date-parts":[["2018"]]}}}],"schema":"https://github.com/citation-style-language/schema/raw/master/csl-citation.json"} </w:instrText>
      </w:r>
      <w:r w:rsidRPr="00093C5E">
        <w:rPr>
          <w:rFonts w:cs="Times New Roman"/>
          <w:szCs w:val="24"/>
        </w:rPr>
        <w:fldChar w:fldCharType="separate"/>
      </w:r>
      <w:r w:rsidR="002B37C7" w:rsidRPr="00093C5E">
        <w:rPr>
          <w:rFonts w:cs="Times New Roman"/>
          <w:szCs w:val="24"/>
        </w:rPr>
        <w:t>(Minale and Alemu, 2018)</w:t>
      </w:r>
      <w:r w:rsidRPr="00093C5E">
        <w:rPr>
          <w:rFonts w:cs="Times New Roman"/>
          <w:szCs w:val="24"/>
        </w:rPr>
        <w:fldChar w:fldCharType="end"/>
      </w:r>
      <w:r w:rsidRPr="00093C5E">
        <w:rPr>
          <w:rFonts w:cs="Times New Roman"/>
          <w:szCs w:val="24"/>
        </w:rPr>
        <w:t xml:space="preserve">. </w:t>
      </w:r>
      <w:bookmarkEnd w:id="23"/>
    </w:p>
    <w:bookmarkEnd w:id="24"/>
    <w:p w14:paraId="239364B2" w14:textId="3A38E5CE" w:rsidR="00EE74B8" w:rsidRPr="00093C5E" w:rsidRDefault="00EE74B8" w:rsidP="00EE74B8">
      <w:pPr>
        <w:rPr>
          <w:rFonts w:cs="Times New Roman"/>
          <w:szCs w:val="24"/>
        </w:rPr>
      </w:pPr>
      <w:r w:rsidRPr="00093C5E">
        <w:rPr>
          <w:rFonts w:cs="Times New Roman"/>
          <w:szCs w:val="24"/>
        </w:rPr>
        <w:t xml:space="preserve">Identifying the environmental risk factors for malaria is challenging because malaria-environment relationships are heterogeneous across different geographic settings </w:t>
      </w:r>
      <w:r w:rsidRPr="00093C5E">
        <w:rPr>
          <w:rFonts w:cs="Times New Roman"/>
          <w:szCs w:val="24"/>
        </w:rPr>
        <w:fldChar w:fldCharType="begin"/>
      </w:r>
      <w:r w:rsidR="00701ADA" w:rsidRPr="00093C5E">
        <w:rPr>
          <w:rFonts w:cs="Times New Roman"/>
          <w:szCs w:val="24"/>
        </w:rPr>
        <w:instrText xml:space="preserve"> ADDIN ZOTERO_ITEM CSL_CITATION {"citationID":"oWmBWoKV","properties":{"formattedCitation":"(Stresman, 2010)","plainCitation":"(Stresman, 2010)","noteIndex":0},"citationItems":[{"id":33,"uris":["http://zotero.org/users/5456909/items/UR2932YC"],"uri":["http://zotero.org/users/5456909/items/UR2932YC"],"itemData":{"id":33,"type":"article-journal","abstract":"Being able to identify the ecological factors that impact risk for malaria would confer important predictive capacity to target malaria control interventions in a community. Temperature and water available for breeding habitats have been shown to be important primary ecological factors that impact the distribution of the malaria vectors and the rate at which the mosquito and parasite develop. However, to this point, studies focusing on the local level have been met with many inconsistent results when assessing malaria risk using both temperature and precipitation. This paper reviewed existing literature to determine if other ecological factors beyond temperature and water are present that may be modifying any associations present between ecological factors and malaria risk. It was found that the ability for water to pool and persist, water quality, elevation, deforestation, and agriculture have all been associated with malaria and may be modifying risk. Using the primary and modifying ecological variables, identifying the interactions between these factors and speciﬁc thresholds for increased malaria risk is critical: ﬁlling this knowledge gap would enable communities to develop tailored malaria control interventions targeted to their speciﬁc circumstances.","container-title":"Acta Tropica","ISSN":"0001706X","issue":"3","language":"en","page":"167-172","source":"Crossref","title":"Beyond temperature and precipitation: Ecological risk factors that modify malaria transmission","title-short":"Beyond temperature and precipitation","volume":"116","author":[{"family":"Stresman","given":"Gillian H."}],"issued":{"date-parts":[["2010",12]]}}}],"schema":"https://github.com/citation-style-language/schema/raw/master/csl-citation.json"} </w:instrText>
      </w:r>
      <w:r w:rsidRPr="00093C5E">
        <w:rPr>
          <w:rFonts w:cs="Times New Roman"/>
          <w:szCs w:val="24"/>
        </w:rPr>
        <w:fldChar w:fldCharType="separate"/>
      </w:r>
      <w:r w:rsidR="002B37C7" w:rsidRPr="00093C5E">
        <w:rPr>
          <w:rFonts w:cs="Times New Roman"/>
          <w:szCs w:val="24"/>
        </w:rPr>
        <w:t>(Stresman, 2010)</w:t>
      </w:r>
      <w:r w:rsidRPr="00093C5E">
        <w:rPr>
          <w:rFonts w:cs="Times New Roman"/>
          <w:szCs w:val="24"/>
        </w:rPr>
        <w:fldChar w:fldCharType="end"/>
      </w:r>
      <w:r w:rsidRPr="00093C5E">
        <w:rPr>
          <w:rFonts w:cs="Times New Roman"/>
          <w:szCs w:val="24"/>
        </w:rPr>
        <w:t xml:space="preserve">. For example, the influence of rainfall on malaria cases in the Amazon varied between wetlands and upland regions </w:t>
      </w:r>
      <w:r w:rsidRPr="00093C5E">
        <w:rPr>
          <w:rFonts w:cs="Times New Roman"/>
          <w:szCs w:val="24"/>
        </w:rPr>
        <w:fldChar w:fldCharType="begin"/>
      </w:r>
      <w:r w:rsidR="000D258D" w:rsidRPr="00093C5E">
        <w:rPr>
          <w:rFonts w:cs="Times New Roman"/>
          <w:szCs w:val="24"/>
        </w:rPr>
        <w:instrText xml:space="preserve"> ADDIN ZOTERO_ITEM CSL_CITATION {"citationID":"QNCkNCIR","properties":{"formattedCitation":"(Olson et al., 2009)","plainCitation":"(Olson et al., 2009)","noteIndex":0},"citationItems":[{"id":1507,"uris":["http://zotero.org/users/5456909/items/2VK6DSF2"],"uri":["http://zotero.org/users/5456909/items/2VK6DSF2"],"itemData":{"id":1507,"type":"article-journal","abstract":"Climate changes are altering patterns of temperature and precipitation, potentially affecting regions of malaria transmission. We show that areas of the Amazon Basin with few wetlands show a variable relationship between precipitation and malaria, while areas with extensive wetlands show a negative relationship with malaria incidence.","container-title":"Emerging Infectious Diseases","issue":"4","page":"659-662","title":"Links between climate, malaria, and wetlands in the amazon basin","volume":"15","author":[{"family":"Olson","given":"Sarah H."},{"family":"Gangnon","given":"Ronald"},{"family":"Elguero","given":"Eric"},{"family":"Durieux","given":"Laurent"},{"family":"Guégan","given":"Jean François"},{"family":"Foley","given":"Jonathan A."},{"family":"Patz","given":"Jonathan A."}],"issued":{"date-parts":[["2009"]]}}}],"schema":"https://github.com/citation-style-language/schema/raw/master/csl-citation.json"} </w:instrText>
      </w:r>
      <w:r w:rsidRPr="00093C5E">
        <w:rPr>
          <w:rFonts w:cs="Times New Roman"/>
          <w:szCs w:val="24"/>
        </w:rPr>
        <w:fldChar w:fldCharType="separate"/>
      </w:r>
      <w:r w:rsidR="002B37C7" w:rsidRPr="00093C5E">
        <w:rPr>
          <w:rFonts w:cs="Times New Roman"/>
          <w:szCs w:val="24"/>
        </w:rPr>
        <w:t>(Olson et al., 2009)</w:t>
      </w:r>
      <w:r w:rsidRPr="00093C5E">
        <w:rPr>
          <w:rFonts w:cs="Times New Roman"/>
          <w:szCs w:val="24"/>
        </w:rPr>
        <w:fldChar w:fldCharType="end"/>
      </w:r>
      <w:r w:rsidRPr="00093C5E">
        <w:rPr>
          <w:rFonts w:cs="Times New Roman"/>
          <w:szCs w:val="24"/>
        </w:rPr>
        <w:t xml:space="preserve">, and the seasonal effects </w:t>
      </w:r>
      <w:r w:rsidRPr="00093C5E">
        <w:rPr>
          <w:rFonts w:cs="Times New Roman"/>
          <w:szCs w:val="24"/>
        </w:rPr>
        <w:lastRenderedPageBreak/>
        <w:t xml:space="preserve">of rainfall on malaria vector larvae in Tanzania depended on the type of water body and its geomorphological setting </w:t>
      </w:r>
      <w:r w:rsidRPr="00093C5E">
        <w:rPr>
          <w:rFonts w:cs="Times New Roman"/>
          <w:szCs w:val="24"/>
        </w:rPr>
        <w:fldChar w:fldCharType="begin"/>
      </w:r>
      <w:r w:rsidR="00D5378A" w:rsidRPr="00093C5E">
        <w:rPr>
          <w:rFonts w:cs="Times New Roman"/>
          <w:szCs w:val="24"/>
        </w:rPr>
        <w:instrText xml:space="preserve"> ADDIN ZOTERO_ITEM CSL_CITATION {"citationID":"TmSwpGls","properties":{"formattedCitation":"(Hardy et al., 2013)","plainCitation":"(Hardy et al., 2013)","noteIndex":0},"citationItems":[{"id":30,"uris":["http://zotero.org/users/5456909/items/7VEBNVMT"],"uri":["http://zotero.org/users/5456909/items/7VEBNVMT"],"itemData":{"id":30,"type":"article-journal","abstract":"BackgroundLarval source management is a promising component of integrated malaria control and elimination. This requires development of a framework to target productive locations through process-based understanding of habitat hydrology and geomorphology. MethodsWe conducted the first catchment scale study of fine resolution spatial and temporal variation in Anopheles habitat and productivity in relation to rainfall, hydrology and geomorphology for a high malaria transmission area of Tanzania. ResultsMonthly aggregates of rainfall, river stage and water table were not significantly related to the abundance of vector larvae. However, these metrics showed strong explanatory power to predict mosquito larval abundances after stratification by water body type, with a clear seasonal trend for each, defined on the basis of its geomorphological setting and origin. ConclusionHydrological and geomorphological processes governing the availability and productivity of Anopheles breeding habitat need to be understood at the local scale for which larval source management is implemented in order to effectively target larval source interventions. Mapping and monitoring these processes is a well-established practice providing a tractable way forward for developing important malaria management tools.","container-title":"PLOS ONE","ISSN":"1932-6203","issue":"12","journalAbbreviation":"PLOS ONE","language":"en","page":"e81931","source":"PLoS Journals","title":"Habitat hydrology and geomorphology control the distribution of malaria vector larvae in rural Africa","volume":"8","author":[{"family":"Hardy","given":"Andrew J."},{"family":"Gamarra","given":"Javier G. P."},{"family":"Cross","given":"Dónall E."},{"family":"Macklin","given":"Mark G."},{"family":"Smith","given":"Mark W."},{"family":"Kihonda","given":"Japhet"},{"family":"Killeen","given":"Gerry F."},{"family":"Ling’ala","given":"George N."},{"family":"Thomas","given":"Chris J."}],"issued":{"date-parts":[["2013",3,12]]}}}],"schema":"https://github.com/citation-style-language/schema/raw/master/csl-citation.json"} </w:instrText>
      </w:r>
      <w:r w:rsidRPr="00093C5E">
        <w:rPr>
          <w:rFonts w:cs="Times New Roman"/>
          <w:szCs w:val="24"/>
        </w:rPr>
        <w:fldChar w:fldCharType="separate"/>
      </w:r>
      <w:r w:rsidR="002B37C7" w:rsidRPr="00093C5E">
        <w:rPr>
          <w:rFonts w:cs="Times New Roman"/>
          <w:szCs w:val="24"/>
        </w:rPr>
        <w:t>(Hardy et al., 2013)</w:t>
      </w:r>
      <w:r w:rsidRPr="00093C5E">
        <w:rPr>
          <w:rFonts w:cs="Times New Roman"/>
          <w:szCs w:val="24"/>
        </w:rPr>
        <w:fldChar w:fldCharType="end"/>
      </w:r>
      <w:r w:rsidRPr="00093C5E">
        <w:rPr>
          <w:rFonts w:cs="Times New Roman"/>
          <w:szCs w:val="24"/>
        </w:rPr>
        <w:t xml:space="preserve">. </w:t>
      </w:r>
      <w:bookmarkStart w:id="25" w:name="_Hlk70617706"/>
      <w:r w:rsidRPr="00093C5E">
        <w:rPr>
          <w:rFonts w:cs="Times New Roman"/>
          <w:szCs w:val="24"/>
        </w:rPr>
        <w:t xml:space="preserve">In the Amhara region of Ethiopia, yearly fluctuations in malaria cases were influenced more by temperature in wetter climates and by precipitation and other variables sensitive to soil moisture in drier locations </w:t>
      </w:r>
      <w:r w:rsidRPr="00093C5E">
        <w:rPr>
          <w:rFonts w:cs="Times New Roman"/>
          <w:szCs w:val="24"/>
        </w:rPr>
        <w:fldChar w:fldCharType="begin"/>
      </w:r>
      <w:r w:rsidR="000D258D" w:rsidRPr="00093C5E">
        <w:rPr>
          <w:rFonts w:cs="Times New Roman"/>
          <w:szCs w:val="24"/>
        </w:rPr>
        <w:instrText xml:space="preserve"> ADDIN ZOTERO_ITEM CSL_CITATION {"citationID":"K3UCWE7T","properties":{"formattedCitation":"(Midekisa et al., 2015)","plainCitation":"(Midekisa et al., 2015)","noteIndex":0},"citationItems":[{"id":2227,"uris":["http://zotero.org/users/5456909/items/MCGXSBF2"],"uri":["http://zotero.org/users/5456909/items/MCGXSBF2"],"itemData":{"id":2227,"type":"article-journal","abstract":"The impacts of interannual climate fluctuations on vector-borne diseases, especially malaria, have received considerable attention in the scientific literature. These effects can be significant in semi-arid and high-elevation areas such as the highlands of East Africa because cooler temperature and seasonally dry conditions limit malaria transmission. Many previous studies have examined short-term lagged effects of climate on malaria (weeks to months), but fewer have explored the possibility of longer-term seasonal effects.","container-title":"Parasites &amp; Vectors","issue":"1","journalAbbreviation":"Parasites &amp; Vectors","page":"339","source":"BioMed Central","title":"Seasonal associations of climatic drivers and malaria in the highlands of Ethiopia","volume":"8","author":[{"family":"Midekisa","given":"Alemayehu"},{"family":"Beyene","given":"Belay"},{"family":"Mihretie","given":"Abere"},{"family":"Bayabil","given":"Estifanos"},{"family":"Wimberly","given":"Michael C."}],"issued":{"date-parts":[["2015"]]}}}],"schema":"https://github.com/citation-style-language/schema/raw/master/csl-citation.json"} </w:instrText>
      </w:r>
      <w:r w:rsidRPr="00093C5E">
        <w:rPr>
          <w:rFonts w:cs="Times New Roman"/>
          <w:szCs w:val="24"/>
        </w:rPr>
        <w:fldChar w:fldCharType="separate"/>
      </w:r>
      <w:r w:rsidR="002B37C7" w:rsidRPr="00093C5E">
        <w:rPr>
          <w:rFonts w:cs="Times New Roman"/>
          <w:szCs w:val="24"/>
        </w:rPr>
        <w:t>(Midekisa et al., 2015)</w:t>
      </w:r>
      <w:r w:rsidRPr="00093C5E">
        <w:rPr>
          <w:rFonts w:cs="Times New Roman"/>
          <w:szCs w:val="24"/>
        </w:rPr>
        <w:fldChar w:fldCharType="end"/>
      </w:r>
      <w:r w:rsidRPr="00093C5E">
        <w:rPr>
          <w:rFonts w:cs="Times New Roman"/>
          <w:szCs w:val="24"/>
        </w:rPr>
        <w:t xml:space="preserve">. The accuracy of climate-driven models of malaria can be improved by identifying groups of locations that have similar climate sensitivities data and fitting a separate model for each group </w:t>
      </w:r>
      <w:r w:rsidRPr="00093C5E">
        <w:rPr>
          <w:rFonts w:cs="Times New Roman"/>
          <w:szCs w:val="24"/>
        </w:rPr>
        <w:fldChar w:fldCharType="begin"/>
      </w:r>
      <w:r w:rsidR="001B184A" w:rsidRPr="00093C5E">
        <w:rPr>
          <w:rFonts w:cs="Times New Roman"/>
          <w:szCs w:val="24"/>
        </w:rPr>
        <w:instrText xml:space="preserve"> ADDIN ZOTERO_ITEM CSL_CITATION {"citationID":"PJo2MSIt","properties":{"formattedCitation":"(Davis et al., 2019)","plainCitation":"(Davis et al., 2019)","noteIndex":0},"citationItems":[{"id":3660,"uris":["http://zotero.org/users/5456909/items/TECXJ9KS"],"uri":["http://zotero.org/users/5456909/items/TECXJ9KS"],"itemData":{"id":3660,"type":"article-journal","abstract":"&lt;p&gt;Time series models of malaria cases can be applied to forecast epidemics and support proactive interventions. Mosquito life history and parasite development are sensitive to environmental factors such as temperature and precipitation, and these variables are often used as predictors in malaria models. However, malaria-environment relationships can vary with ecological and social context. We used a genetic algorithm to optimize a spatiotemporal malaria model by aggregating locations into clusters with similar environmental sensitivities. We tested the algorithm in the Amhara Region of Ethiopia using seven years of weekly &lt;em&gt;Plasmodium falciparum&lt;/em&gt; data from 47 districts and remotely-sensed land surface temperature, precipitation, and spectral indices as predictors. The best model identified six clusters, and the districts in each cluster had distinctive responses to the environmental predictors. We conclude that spatial stratification can improve the fit of environmentally-driven disease models, and genetic algorithms provide a practical and effective approach for identifying these clusters.&lt;/p&gt;","container-title":"Environmental Modelling and Software","page":"275-284","title":"A genetic algorithm for identifying spatially-varying environmental drivers in a malaria time series model","volume":"119","author":[{"family":"Davis","given":"Justin K."},{"family":"Gebrehiwot","given":"Teklehaymanot"},{"family":"Worku","given":"Mastewal"},{"family":"Awoke","given":"Worku"},{"family":"Mihretie","given":"Abere"},{"family":"Nekorchuk","given":"Dawn"},{"family":"Wimberly","given":"Michael C."}],"issued":{"date-parts":[["2019"]]}}}],"schema":"https://github.com/citation-style-language/schema/raw/master/csl-citation.json"} </w:instrText>
      </w:r>
      <w:r w:rsidRPr="00093C5E">
        <w:rPr>
          <w:rFonts w:cs="Times New Roman"/>
          <w:szCs w:val="24"/>
        </w:rPr>
        <w:fldChar w:fldCharType="separate"/>
      </w:r>
      <w:r w:rsidR="002B37C7" w:rsidRPr="00093C5E">
        <w:rPr>
          <w:rFonts w:cs="Times New Roman"/>
          <w:szCs w:val="24"/>
        </w:rPr>
        <w:t>(Davis et al., 2019)</w:t>
      </w:r>
      <w:r w:rsidRPr="00093C5E">
        <w:rPr>
          <w:rFonts w:cs="Times New Roman"/>
          <w:szCs w:val="24"/>
        </w:rPr>
        <w:fldChar w:fldCharType="end"/>
      </w:r>
      <w:r w:rsidRPr="00093C5E">
        <w:rPr>
          <w:rFonts w:cs="Times New Roman"/>
          <w:szCs w:val="24"/>
        </w:rPr>
        <w:t xml:space="preserve">. </w:t>
      </w:r>
    </w:p>
    <w:bookmarkEnd w:id="25"/>
    <w:p w14:paraId="688ACBBD" w14:textId="1C38F739" w:rsidR="00EE74B8" w:rsidRPr="00093C5E" w:rsidRDefault="00EE74B8" w:rsidP="00EE74B8">
      <w:pPr>
        <w:rPr>
          <w:rFonts w:cs="Times New Roman"/>
          <w:iCs/>
          <w:szCs w:val="24"/>
        </w:rPr>
      </w:pPr>
      <w:r w:rsidRPr="00093C5E">
        <w:rPr>
          <w:rFonts w:cs="Times New Roman"/>
          <w:szCs w:val="24"/>
        </w:rPr>
        <w:t>Malaria-environment relationships are also sensitive to spatial scale</w:t>
      </w:r>
      <w:bookmarkStart w:id="26" w:name="_Hlk71311297"/>
      <w:r w:rsidRPr="00093C5E">
        <w:rPr>
          <w:rFonts w:cs="Times New Roman"/>
          <w:szCs w:val="24"/>
        </w:rPr>
        <w:t>. In Ethiopia, spatial analyses of malaria often use case data that are aggregated by district (</w:t>
      </w:r>
      <w:r w:rsidRPr="00093C5E">
        <w:rPr>
          <w:rFonts w:cs="Times New Roman"/>
          <w:i/>
          <w:iCs/>
          <w:szCs w:val="24"/>
        </w:rPr>
        <w:t>woreda</w:t>
      </w:r>
      <w:r w:rsidRPr="00093C5E">
        <w:rPr>
          <w:rFonts w:cs="Times New Roman"/>
          <w:szCs w:val="24"/>
        </w:rPr>
        <w:t xml:space="preserve">) </w:t>
      </w:r>
      <w:r w:rsidRPr="00093C5E">
        <w:rPr>
          <w:rFonts w:cs="Times New Roman"/>
          <w:szCs w:val="24"/>
        </w:rPr>
        <w:fldChar w:fldCharType="begin"/>
      </w:r>
      <w:r w:rsidR="002B37C7" w:rsidRPr="00093C5E">
        <w:rPr>
          <w:rFonts w:cs="Times New Roman"/>
          <w:szCs w:val="24"/>
        </w:rPr>
        <w:instrText xml:space="preserve"> ADDIN ZOTERO_ITEM CSL_CITATION {"citationID":"c46VqDOx","properties":{"formattedCitation":"(Lankir et al., 2020; Lemma, 2020)","plainCitation":"(Lankir et al., 2020; Lemma, 2020)","noteIndex":0},"citationItems":[{"id":3903,"uris":["http://zotero.org/users/5456909/items/9H99IDB6"],"uri":["http://zotero.org/users/5456909/items/9H99IDB6"],"itemData":{"id":3903,"type":"article-journal","abstract":"Trend analysis of malaria surveillance data is essential to inform stakeholders on progress towards malaria control. From the total 387,096 cases of malaria reported in Amhara region in 2017, 167,079 (43.2%) cases were in Central, North and West Gondar zones. From this total figure of zones, 15,445 (9.2%) were ≤ 5 years which contributes 4% of cases in the region. So, the purpose of this study was to analyze trends of malaria parasite in Selected Zones of Amhara Region, Northwest Ethiopia.","container-title":"BMC Public Health","page":"1175","title":"A five-year trend analysis of malaria surveillance data in selected zones of Amhara region, Northwest Ethiopia","volume":"20","author":[{"family":"Lankir","given":"Damtie"},{"family":"Solomon","given":"Samrawit"},{"family":"Gize","given":"Addisu"}],"issued":{"date-parts":[["2020"]]}}},{"id":4038,"uris":["http://zotero.org/users/5456909/items/7D337MFV"],"uri":["http://zotero.org/users/5456909/items/7D337MFV"],"itemData":{"id":4038,"type":"article-journal","abstract":"Seasonal migrant and permanent laborers who are working in big mechanized agricultural farms in Metema – Humera lowlands are not included in Ethiopia Malaria Elimination Program. The aim of this research was to show the high confirmed and treated malaria cases in these laborers.","container-title":"BMC Public Health","ISSN":"1471-2458","issue":"1","journalAbbreviation":"BMC Public Health","language":"en","page":"320","source":"Springer Link","title":"Impact of high malaria incidence in seasonal migrant and permanent adult male laborers in mechanized agricultural farms in Metema – Humera lowlands on malaria elimination program in Ethiopia","volume":"20","author":[{"family":"Lemma","given":"Wossenseged"}],"issued":{"date-parts":[["2020",3,12]]}}}],"schema":"https://github.com/citation-style-language/schema/raw/master/csl-citation.json"} </w:instrText>
      </w:r>
      <w:r w:rsidRPr="00093C5E">
        <w:rPr>
          <w:rFonts w:cs="Times New Roman"/>
          <w:szCs w:val="24"/>
        </w:rPr>
        <w:fldChar w:fldCharType="separate"/>
      </w:r>
      <w:r w:rsidR="002B37C7" w:rsidRPr="00093C5E">
        <w:rPr>
          <w:rFonts w:cs="Times New Roman"/>
          <w:szCs w:val="24"/>
        </w:rPr>
        <w:t>(Lankir et al., 2020; Lemma, 2020)</w:t>
      </w:r>
      <w:r w:rsidRPr="00093C5E">
        <w:rPr>
          <w:rFonts w:cs="Times New Roman"/>
          <w:szCs w:val="24"/>
        </w:rPr>
        <w:fldChar w:fldCharType="end"/>
      </w:r>
      <w:r w:rsidRPr="00093C5E">
        <w:rPr>
          <w:rFonts w:cs="Times New Roman"/>
          <w:szCs w:val="24"/>
        </w:rPr>
        <w:t xml:space="preserve">, including several previous studies relating malaria cases to environmental risk factors </w:t>
      </w:r>
      <w:r w:rsidRPr="00093C5E">
        <w:rPr>
          <w:rFonts w:cs="Times New Roman"/>
          <w:szCs w:val="24"/>
        </w:rPr>
        <w:fldChar w:fldCharType="begin"/>
      </w:r>
      <w:r w:rsidR="00D5378A" w:rsidRPr="00093C5E">
        <w:rPr>
          <w:rFonts w:cs="Times New Roman"/>
          <w:szCs w:val="24"/>
        </w:rPr>
        <w:instrText xml:space="preserve"> ADDIN ZOTERO_ITEM CSL_CITATION {"citationID":"URbg5GKf","properties":{"formattedCitation":"(Davis et al., 2019; Merkord et al., 2017)","plainCitation":"(Davis et al., 2019; Merkord et al., 2017)","noteIndex":0},"citationItems":[{"id":3660,"uris":["http://zotero.org/users/5456909/items/TECXJ9KS"],"uri":["http://zotero.org/users/5456909/items/TECXJ9KS"],"itemData":{"id":3660,"type":"article-journal","abstract":"&lt;p&gt;Time series models of malaria cases can be applied to forecast epidemics and support proactive interventions. Mosquito life history and parasite development are sensitive to environmental factors such as temperature and precipitation, and these variables are often used as predictors in malaria models. However, malaria-environment relationships can vary with ecological and social context. We used a genetic algorithm to optimize a spatiotemporal malaria model by aggregating locations into clusters with similar environmental sensitivities. We tested the algorithm in the Amhara Region of Ethiopia using seven years of weekly &lt;em&gt;Plasmodium falciparum&lt;/em&gt; data from 47 districts and remotely-sensed land surface temperature, precipitation, and spectral indices as predictors. The best model identified six clusters, and the districts in each cluster had distinctive responses to the environmental predictors. We conclude that spatial stratification can improve the fit of environmentally-driven disease models, and genetic algorithms provide a practical and effective approach for identifying these clusters.&lt;/p&gt;","container-title":"Environmental Modelling and Software","page":"275-284","title":"A genetic algorithm for identifying spatially-varying environmental drivers in a malaria time series model","volume":"119","author":[{"family":"Davis","given":"Justin K."},{"family":"Gebrehiwot","given":"Teklehaymanot"},{"family":"Worku","given":"Mastewal"},{"family":"Awoke","given":"Worku"},{"family":"Mihretie","given":"Abere"},{"family":"Nekorchuk","given":"Dawn"},{"family":"Wimberly","given":"Michael C."}],"issued":{"date-parts":[["2019"]]}}},{"id":2843,"uris":["http://zotero.org/users/5456909/items/9ZW3TKWG"],"uri":["http://zotero.org/users/5456909/items/9ZW3TKWG"],"itemData":{"id":2843,"type":"article-journal","abstract":"Early indication of an emerging malaria epidemic can provide an opportunity for proactive interventions. Challenges to the identification of nascent malaria epidemics include obtaining recent epidemiological surveillance data, spatially and temporally harmonizing this information with timely data on environmental precursors, applying models for early detection and early warning, and communicating results to public health officials. Automated web-based informatics systems can provide a solution to these problems, but their implementation in real-world settings has been limited.","container-title":"Malaria Journal","ISSN":"1475-2875","issue":"1","journalAbbreviation":"Malaria Journal","page":"89","source":"BioMed Central","title":"Integrating malaria surveillance with climate data for outbreak detection and forecasting: the EPIDEMIA system","title-short":"Integrating malaria surveillance with climate data for outbreak detection and forecasting","volume":"16","author":[{"family":"Merkord","given":"Christopher L."},{"family":"Liu","given":"Yi"},{"family":"Mihretie","given":"Abere"},{"family":"Gebrehiwot","given":"Teklehaymanot"},{"family":"Awoke","given":"Worku"},{"family":"Bayabil","given":"Estifanos"},{"family":"Henebry","given":"Geoffrey M."},{"family":"Kassa","given":"Gebeyaw T."},{"family":"Lake","given":"Mastewal"},{"family":"Wimberly","given":"Michael C."}],"issued":{"date-parts":[["2017"]]}}}],"schema":"https://github.com/citation-style-language/schema/raw/master/csl-citation.json"} </w:instrText>
      </w:r>
      <w:r w:rsidRPr="00093C5E">
        <w:rPr>
          <w:rFonts w:cs="Times New Roman"/>
          <w:szCs w:val="24"/>
        </w:rPr>
        <w:fldChar w:fldCharType="separate"/>
      </w:r>
      <w:r w:rsidR="002B37C7" w:rsidRPr="00093C5E">
        <w:rPr>
          <w:rFonts w:cs="Times New Roman"/>
          <w:szCs w:val="24"/>
        </w:rPr>
        <w:t>(Davis et al., 2019; Merkord et al., 2017)</w:t>
      </w:r>
      <w:r w:rsidRPr="00093C5E">
        <w:rPr>
          <w:rFonts w:cs="Times New Roman"/>
          <w:szCs w:val="24"/>
        </w:rPr>
        <w:fldChar w:fldCharType="end"/>
      </w:r>
      <w:r w:rsidRPr="00093C5E">
        <w:rPr>
          <w:rFonts w:cs="Times New Roman"/>
          <w:szCs w:val="24"/>
        </w:rPr>
        <w:t>. However, woredas vary considerably in size (from &lt; 1 km</w:t>
      </w:r>
      <w:r w:rsidRPr="00093C5E">
        <w:rPr>
          <w:rFonts w:cs="Times New Roman"/>
          <w:szCs w:val="24"/>
          <w:vertAlign w:val="superscript"/>
        </w:rPr>
        <w:t>2</w:t>
      </w:r>
      <w:r w:rsidRPr="00093C5E">
        <w:rPr>
          <w:rFonts w:cs="Times New Roman"/>
          <w:szCs w:val="24"/>
        </w:rPr>
        <w:t xml:space="preserve"> in cities to &gt; 10,000 km</w:t>
      </w:r>
      <w:r w:rsidRPr="00093C5E">
        <w:rPr>
          <w:rFonts w:cs="Times New Roman"/>
          <w:szCs w:val="24"/>
          <w:vertAlign w:val="superscript"/>
        </w:rPr>
        <w:t>2</w:t>
      </w:r>
      <w:r w:rsidRPr="00093C5E">
        <w:rPr>
          <w:rFonts w:cs="Times New Roman"/>
          <w:szCs w:val="24"/>
        </w:rPr>
        <w:t xml:space="preserve"> in some rural areas) and encompass varied climate, topography, and population density. </w:t>
      </w:r>
      <w:bookmarkEnd w:id="26"/>
      <w:r w:rsidRPr="00093C5E">
        <w:rPr>
          <w:rFonts w:cs="Times New Roman"/>
          <w:szCs w:val="24"/>
        </w:rPr>
        <w:t xml:space="preserve">Research conducted at the individual household level shows that overall malaria prevalence varies considerably between households </w:t>
      </w:r>
      <w:r w:rsidRPr="00093C5E">
        <w:rPr>
          <w:rFonts w:cs="Times New Roman"/>
          <w:szCs w:val="24"/>
        </w:rPr>
        <w:fldChar w:fldCharType="begin"/>
      </w:r>
      <w:r w:rsidR="00033042" w:rsidRPr="00093C5E">
        <w:rPr>
          <w:rFonts w:cs="Times New Roman"/>
          <w:szCs w:val="24"/>
        </w:rPr>
        <w:instrText xml:space="preserve"> ADDIN ZOTERO_ITEM CSL_CITATION {"citationID":"0bcClrhU","properties":{"formattedCitation":"(Esayas et al., 2020; Zemene et al., 2018)","plainCitation":"(Esayas et al., 2020; Zemene et al., 2018)","noteIndex":0},"citationItems":[{"id":3899,"uris":["http://zotero.org/users/5456909/items/SZ6EP9AB"],"uri":["http://zotero.org/users/5456909/items/SZ6EP9AB"],"itemData":{"id":3899,"type":"article-journal","abstract":"&lt;p&gt;Malaria is a complex disease and its distribution is not random in endemic areas, and hence areas with low malaria transmission require fine spatial sampling and careful follow-up to identify the hot spots for effective resource utilization to control malaria. The present study is aimed to assess malaria infection in both humans and mosquitoes in a small residential lowland area of southern Ethiopia from July to December 2016. A repeated cross-sectional household survey was conducted in Kolla-Shara &lt;em&gt;Kebele&lt;/em&gt; (village) to describe the distribution of malaria and infectious mosquitoes. For the parasitological surveys, a total of 90 households were randomly selected from five sub-villages in equal proportion. About a quarter of the total households included for the surveys were randomly selected for entomological surveys. A &lt;em&gt;P&lt;/em&gt;-value of &amp;lt;0.05 was used as a cut-off point for statistical significance. More than a third (35.1%, 46 of 131) febrile cases were microscopically confirmed malaria positive. Above half (58.7%, 27 of 46) of those positive cases were due to &lt;em&gt;P. falciparum&lt;/em&gt; and the rest (41.3%, 19 of 46) were due to &lt;em&gt;P. vivax&lt;/em&gt;. This study identified two of the five sub-villages as independent clusters with higher risk of malaria infection. Four times higher relative risk (RR) of malaria infection was documented in Abullo sub-village compared to the others (RR = 3.87; &lt;em&gt;P&lt;/em&gt; = 0.002). Most of the falciparum malaria cases were aggregated in these sub-villages. About six infectious bites of &lt;em&gt;An. arabiensis&lt;/em&gt; per person was recorded during the survey. The infectious bite per person was 17.0 in Abullo and 10.6 in Erze clusters where higher human infections were detected. It is clearly indicated that a smaller portion of the population carry higher malaria cases and infectious bites. Malaria interventions targeting such areas could be effective in the context of malaria elimination strategy in Ethiopia, which consider district as a planning and implementing unit. Future research would preferably be designed to perform long duration of follow-up to identify the appropriate period for interventions and more participants with more heterogeneous villages and districts.&lt;/p&gt;","container-title":"Parasite Epidemiology and Control","page":"e00149","title":"Malaria infection clustered into small residential areas in lowlands of southern Ethiopia","volume":"10","author":[{"family":"Esayas","given":"Endashaw"},{"family":"Woyessa","given":"Adugna"},{"family":"Massebo","given":"Fekadu"}],"issued":{"date-parts":[["2020"]]}}},{"id":3878,"uris":["http://zotero.org/users/5456909/items/EXCILRQN"],"uri":["http://zotero.org/users/5456909/items/EXCILRQN"],"itemData":{"id":3878,"type":"article-journal","abstract":"Sub-microscopic and asymptomatic infections could be bottlenecks to malaria elimination efforts in Ethiopia. This study determined the prevalence of malaria, and individual and household-level factors associated with Plasmodium infections obtained following detection of index cases in health facilities in Jimma Zone.","container-title":"Malaria Journal","ISSN":"1475-2875","issue":"1","journalAbbreviation":"Malar J","language":"en","page":"390","source":"Springer Link","title":"Detection of foci of residual malaria transmission through reactive case detection in Ethiopia","volume":"17","author":[{"family":"Zemene","given":"Endalew"},{"family":"Koepfli","given":"Cristian"},{"family":"Tiruneh","given":"Abebaw"},{"family":"Yeshiwondim","given":"Asnakew K."},{"family":"Seyoum","given":"Dinberu"},{"family":"Lee","given":"Ming-Chieh"},{"family":"Yan","given":"Guiyun"},{"family":"Yewhalaw","given":"Delenasaw"}],"issued":{"date-parts":[["2018"]]}}}],"schema":"https://github.com/citation-style-language/schema/raw/master/csl-citation.json"} </w:instrText>
      </w:r>
      <w:r w:rsidRPr="00093C5E">
        <w:rPr>
          <w:rFonts w:cs="Times New Roman"/>
          <w:szCs w:val="24"/>
        </w:rPr>
        <w:fldChar w:fldCharType="separate"/>
      </w:r>
      <w:r w:rsidR="002B37C7" w:rsidRPr="00093C5E">
        <w:rPr>
          <w:rFonts w:cs="Times New Roman"/>
          <w:szCs w:val="24"/>
        </w:rPr>
        <w:t>(Esayas et al., 2020; Zemene et al., 2018)</w:t>
      </w:r>
      <w:r w:rsidRPr="00093C5E">
        <w:rPr>
          <w:rFonts w:cs="Times New Roman"/>
          <w:szCs w:val="24"/>
        </w:rPr>
        <w:fldChar w:fldCharType="end"/>
      </w:r>
      <w:r w:rsidRPr="00093C5E">
        <w:rPr>
          <w:rFonts w:cs="Times New Roman"/>
          <w:szCs w:val="24"/>
        </w:rPr>
        <w:t xml:space="preserve">, as do the distributions of </w:t>
      </w:r>
      <w:r w:rsidRPr="00093C5E">
        <w:rPr>
          <w:rFonts w:cs="Times New Roman"/>
          <w:i/>
          <w:iCs/>
          <w:szCs w:val="24"/>
        </w:rPr>
        <w:t>P. falciparum</w:t>
      </w:r>
      <w:r w:rsidRPr="00093C5E">
        <w:rPr>
          <w:rFonts w:cs="Times New Roman"/>
          <w:szCs w:val="24"/>
        </w:rPr>
        <w:t xml:space="preserve"> and </w:t>
      </w:r>
      <w:r w:rsidRPr="00093C5E">
        <w:rPr>
          <w:rFonts w:cs="Times New Roman"/>
          <w:i/>
          <w:iCs/>
          <w:szCs w:val="24"/>
        </w:rPr>
        <w:t xml:space="preserve">P. vivax </w:t>
      </w:r>
      <w:r w:rsidRPr="00093C5E">
        <w:rPr>
          <w:rFonts w:cs="Times New Roman"/>
          <w:i/>
          <w:iCs/>
          <w:szCs w:val="24"/>
        </w:rPr>
        <w:fldChar w:fldCharType="begin"/>
      </w:r>
      <w:r w:rsidR="00FF3DA9" w:rsidRPr="00093C5E">
        <w:rPr>
          <w:rFonts w:cs="Times New Roman"/>
          <w:i/>
          <w:iCs/>
          <w:szCs w:val="24"/>
        </w:rPr>
        <w:instrText xml:space="preserve"> ADDIN ZOTERO_ITEM CSL_CITATION {"citationID":"zs0N6e5P","properties":{"formattedCitation":"(Yalew et al., 2017)","plainCitation":"(Yalew et al., 2017)","noteIndex":0},"citationItems":[{"id":3869,"uris":["http://zotero.org/users/5456909/items/4A5GHQ9K"],"uri":["http://zotero.org/users/5456909/items/4A5GHQ9K"],"itemData":{"id":3869,"type":"article-journal","abstract":"Since 2005, Ethiopia has aggressively scaled up malaria prevention and case management. As a result, the number of malaria cases and deaths has significantly declined. In order to track progress towards the elimination of malaria in Amhara Region, coverage of malaria control tools and current malaria transmission need to be documented.","container-title":"Malaria Journal","ISSN":"1475-2875","issue":"1","journalAbbreviation":"Malaria Journal","page":"242","source":"BioMed Central","title":"Current and cumulative malaria infections in a setting embarking on elimination: Amhara, Ethiopia","title-short":"Current and cumulative malaria infections in a setting embarking on elimination","volume":"16","author":[{"family":"Yalew","given":"Woyneshet G."},{"family":"Pal","given":"Sampa"},{"family":"Bansil","given":"Pooja"},{"family":"Dabbs","given":"Rebecca"},{"family":"Tetteh","given":"Kevin"},{"family":"Guinovart","given":"Caterina"},{"family":"Kalnoky","given":"Michael"},{"family":"Serda","given":"Belendia A."},{"family":"Tesfay","given":"Berhane H."},{"family":"Beyene","given":"Belay B."},{"family":"Seneviratne","given":"Catherine"},{"family":"Littrell","given":"Megan"},{"family":"Yokobe","given":"Lindsay"},{"family":"Noland","given":"Gregory S."},{"family":"Domingo","given":"Gonzalo J."},{"family":"Getachew","given":"Asefaw"},{"family":"Drakeley","given":"Chris"},{"family":"Steketee","given":"Richard W."}],"issued":{"date-parts":[["2017"]]}}}],"schema":"https://github.com/citation-style-language/schema/raw/master/csl-citation.json"} </w:instrText>
      </w:r>
      <w:r w:rsidRPr="00093C5E">
        <w:rPr>
          <w:rFonts w:cs="Times New Roman"/>
          <w:i/>
          <w:iCs/>
          <w:szCs w:val="24"/>
        </w:rPr>
        <w:fldChar w:fldCharType="separate"/>
      </w:r>
      <w:r w:rsidR="002B37C7" w:rsidRPr="00093C5E">
        <w:rPr>
          <w:rFonts w:cs="Times New Roman"/>
          <w:szCs w:val="24"/>
        </w:rPr>
        <w:t>(Yalew et al., 2017)</w:t>
      </w:r>
      <w:r w:rsidRPr="00093C5E">
        <w:rPr>
          <w:rFonts w:cs="Times New Roman"/>
          <w:i/>
          <w:iCs/>
          <w:szCs w:val="24"/>
        </w:rPr>
        <w:fldChar w:fldCharType="end"/>
      </w:r>
      <w:r w:rsidRPr="00093C5E">
        <w:rPr>
          <w:rFonts w:cs="Times New Roman"/>
          <w:iCs/>
          <w:szCs w:val="24"/>
        </w:rPr>
        <w:t xml:space="preserve">. </w:t>
      </w:r>
      <w:bookmarkStart w:id="27" w:name="_Hlk71312704"/>
      <w:r w:rsidRPr="00093C5E">
        <w:rPr>
          <w:rFonts w:cs="Times New Roman"/>
          <w:iCs/>
          <w:szCs w:val="24"/>
        </w:rPr>
        <w:t xml:space="preserve">However, these household-based studies are typically limited to a few villages or to a sample of households across a larger region. </w:t>
      </w:r>
    </w:p>
    <w:bookmarkEnd w:id="27"/>
    <w:p w14:paraId="2FB71203" w14:textId="6CC969F4" w:rsidR="00EE74B8" w:rsidRPr="00093C5E" w:rsidRDefault="00EE74B8" w:rsidP="00EE74B8">
      <w:pPr>
        <w:rPr>
          <w:rFonts w:cs="Times New Roman"/>
          <w:szCs w:val="24"/>
        </w:rPr>
      </w:pPr>
      <w:r w:rsidRPr="00093C5E">
        <w:rPr>
          <w:rFonts w:cs="Times New Roman"/>
          <w:iCs/>
          <w:szCs w:val="24"/>
        </w:rPr>
        <w:t xml:space="preserve">The goal of this study was to assess the potential for using satellite remote sensing data to quantify malaria receptivity across two study sites in Ethiopia. We considered a wide range of variables derived from moderate, high, and very high-resolution satellite imagery that measured climate variation, land cover and land use, surface water dynamics, and human settlements. The study used a malaria surveillance dataset that was aggregated at the scale of </w:t>
      </w:r>
      <w:r w:rsidRPr="00093C5E">
        <w:rPr>
          <w:rFonts w:cs="Times New Roman"/>
          <w:szCs w:val="24"/>
        </w:rPr>
        <w:t xml:space="preserve">sub-district administrative units called </w:t>
      </w:r>
      <w:r w:rsidRPr="00093C5E">
        <w:rPr>
          <w:rFonts w:cs="Times New Roman"/>
          <w:i/>
          <w:szCs w:val="24"/>
        </w:rPr>
        <w:t>kebeles.</w:t>
      </w:r>
      <w:r w:rsidRPr="00093C5E">
        <w:rPr>
          <w:rFonts w:cs="Times New Roman"/>
          <w:szCs w:val="24"/>
        </w:rPr>
        <w:t xml:space="preserve"> These are the smallest administrative </w:t>
      </w:r>
      <w:r w:rsidRPr="00093C5E">
        <w:rPr>
          <w:rFonts w:cs="Times New Roman"/>
          <w:szCs w:val="24"/>
        </w:rPr>
        <w:lastRenderedPageBreak/>
        <w:t xml:space="preserve">units in Ethiopia and are important for the planning and implementation of malaria interventions. Previous research has shown that there is considerable kebele-level variation of </w:t>
      </w:r>
      <w:r w:rsidRPr="00093C5E">
        <w:rPr>
          <w:rFonts w:cs="Times New Roman"/>
          <w:iCs/>
          <w:szCs w:val="24"/>
        </w:rPr>
        <w:t xml:space="preserve">malaria prevalence within the same district in the Amhara </w:t>
      </w:r>
      <w:r w:rsidRPr="00093C5E">
        <w:rPr>
          <w:rFonts w:cs="Times New Roman"/>
          <w:iCs/>
          <w:szCs w:val="24"/>
        </w:rPr>
        <w:fldChar w:fldCharType="begin"/>
      </w:r>
      <w:r w:rsidR="006B043F" w:rsidRPr="00093C5E">
        <w:rPr>
          <w:rFonts w:cs="Times New Roman"/>
          <w:iCs/>
          <w:szCs w:val="24"/>
        </w:rPr>
        <w:instrText xml:space="preserve"> ADDIN ZOTERO_ITEM CSL_CITATION {"citationID":"PzRxAoyE","properties":{"formattedCitation":"(Scott et al., 2016)","plainCitation":"(Scott et al., 2016)","noteIndex":0},"citationItems":[{"id":3872,"uris":["http://zotero.org/users/5456909/items/ADYFAKVM"],"uri":["http://zotero.org/users/5456909/items/ADYFAKVM"],"itemData":{"id":3872,"type":"article-journal","abstract":"In areas with ongoing malaria transmission, strategies to clear parasites from populations can reduce infection and transmission. The objective of this paper was to describe a malaria mass testing and treatment (MTAT) intervention implemented in six kebeles (villages) in Amhara Region, Ethiopia, at the beginning of the 2014 transmission season.","container-title":"Malaria Journal","issue":"1","journalAbbreviation":"Malar J","language":"en","page":"305","source":"Springer Link","title":"Mass testing and treatment for malaria in low transmission areas in Amhara Region, Ethiopia","volume":"15","author":[{"family":"Scott","given":"Callie A."},{"family":"Yeshiwondim","given":"Asnakew K."},{"family":"Serda","given":"Belendia"},{"family":"Guinovart","given":"Caterina"},{"family":"Tesfay","given":"Berhane H."},{"family":"Agmas","given":"Adem"},{"family":"Zeleke","given":"Melkamu T."},{"family":"Guesses","given":"Girma S."},{"family":"Ayenew","given":"Asmamaw L."},{"family":"Workie","given":"Worku M."},{"family":"Steketee","given":"Richard W."},{"family":"Earle","given":"Duncan"},{"family":"Bezabih","given":"Belay"},{"family":"Getachew","given":"Asefaw"}],"issued":{"date-parts":[["2016"]]}}}],"schema":"https://github.com/citation-style-language/schema/raw/master/csl-citation.json"} </w:instrText>
      </w:r>
      <w:r w:rsidRPr="00093C5E">
        <w:rPr>
          <w:rFonts w:cs="Times New Roman"/>
          <w:iCs/>
          <w:szCs w:val="24"/>
        </w:rPr>
        <w:fldChar w:fldCharType="separate"/>
      </w:r>
      <w:r w:rsidR="002B37C7" w:rsidRPr="00093C5E">
        <w:rPr>
          <w:rFonts w:cs="Times New Roman"/>
          <w:szCs w:val="24"/>
        </w:rPr>
        <w:t>(Scott et al., 2016)</w:t>
      </w:r>
      <w:r w:rsidRPr="00093C5E">
        <w:rPr>
          <w:rFonts w:cs="Times New Roman"/>
          <w:iCs/>
          <w:szCs w:val="24"/>
        </w:rPr>
        <w:fldChar w:fldCharType="end"/>
      </w:r>
      <w:r w:rsidRPr="00093C5E">
        <w:rPr>
          <w:rFonts w:cs="Times New Roman"/>
          <w:szCs w:val="24"/>
        </w:rPr>
        <w:t xml:space="preserve"> and Oromia </w:t>
      </w:r>
      <w:r w:rsidRPr="00093C5E">
        <w:rPr>
          <w:rFonts w:cs="Times New Roman"/>
          <w:szCs w:val="24"/>
        </w:rPr>
        <w:fldChar w:fldCharType="begin"/>
      </w:r>
      <w:r w:rsidR="00033042" w:rsidRPr="00093C5E">
        <w:rPr>
          <w:rFonts w:cs="Times New Roman"/>
          <w:szCs w:val="24"/>
        </w:rPr>
        <w:instrText xml:space="preserve"> ADDIN ZOTERO_ITEM CSL_CITATION {"citationID":"OT77y08F","properties":{"formattedCitation":"(Zemene et al., 2018)","plainCitation":"(Zemene et al., 2018)","noteIndex":0},"citationItems":[{"id":3878,"uris":["http://zotero.org/users/5456909/items/EXCILRQN"],"uri":["http://zotero.org/users/5456909/items/EXCILRQN"],"itemData":{"id":3878,"type":"article-journal","abstract":"Sub-microscopic and asymptomatic infections could be bottlenecks to malaria elimination efforts in Ethiopia. This study determined the prevalence of malaria, and individual and household-level factors associated with Plasmodium infections obtained following detection of index cases in health facilities in Jimma Zone.","container-title":"Malaria Journal","ISSN":"1475-2875","issue":"1","journalAbbreviation":"Malar J","language":"en","page":"390","source":"Springer Link","title":"Detection of foci of residual malaria transmission through reactive case detection in Ethiopia","volume":"17","author":[{"family":"Zemene","given":"Endalew"},{"family":"Koepfli","given":"Cristian"},{"family":"Tiruneh","given":"Abebaw"},{"family":"Yeshiwondim","given":"Asnakew K."},{"family":"Seyoum","given":"Dinberu"},{"family":"Lee","given":"Ming-Chieh"},{"family":"Yan","given":"Guiyun"},{"family":"Yewhalaw","given":"Delenasaw"}],"issued":{"date-parts":[["2018"]]}}}],"schema":"https://github.com/citation-style-language/schema/raw/master/csl-citation.json"} </w:instrText>
      </w:r>
      <w:r w:rsidRPr="00093C5E">
        <w:rPr>
          <w:rFonts w:cs="Times New Roman"/>
          <w:szCs w:val="24"/>
        </w:rPr>
        <w:fldChar w:fldCharType="separate"/>
      </w:r>
      <w:r w:rsidR="002B37C7" w:rsidRPr="00093C5E">
        <w:rPr>
          <w:rFonts w:cs="Times New Roman"/>
          <w:szCs w:val="24"/>
        </w:rPr>
        <w:t>(Zemene et al., 2018)</w:t>
      </w:r>
      <w:r w:rsidRPr="00093C5E">
        <w:rPr>
          <w:rFonts w:cs="Times New Roman"/>
          <w:szCs w:val="24"/>
        </w:rPr>
        <w:fldChar w:fldCharType="end"/>
      </w:r>
      <w:r w:rsidRPr="00093C5E">
        <w:rPr>
          <w:rFonts w:cs="Times New Roman"/>
          <w:szCs w:val="24"/>
        </w:rPr>
        <w:t xml:space="preserve"> regions of Ethiopia. Specific objectives were to identify the remotely sensed variables that were most effective at predicting spatial and interannual variability of malaria cases at the kebele level and to determine whether these relationships varied between two distinctive geographic settings. </w:t>
      </w:r>
    </w:p>
    <w:p w14:paraId="1D3ADCB3" w14:textId="3B4AB9D1" w:rsidR="00EE74B8" w:rsidRPr="00AA3319" w:rsidRDefault="00EE74B8" w:rsidP="00EE74B8">
      <w:pPr>
        <w:pStyle w:val="Heading2"/>
        <w:rPr>
          <w:rFonts w:cs="Times New Roman"/>
        </w:rPr>
      </w:pPr>
      <w:bookmarkStart w:id="28" w:name="_Toc78889187"/>
      <w:r w:rsidRPr="00AA3319">
        <w:rPr>
          <w:rFonts w:cs="Times New Roman"/>
        </w:rPr>
        <w:t>Methods</w:t>
      </w:r>
      <w:bookmarkEnd w:id="28"/>
    </w:p>
    <w:p w14:paraId="7631902C" w14:textId="48B45A69" w:rsidR="00EE74B8" w:rsidRPr="00AA3319" w:rsidRDefault="00EE74B8" w:rsidP="00EE74B8">
      <w:pPr>
        <w:pStyle w:val="Heading3"/>
        <w:rPr>
          <w:rFonts w:cs="Times New Roman"/>
        </w:rPr>
      </w:pPr>
      <w:bookmarkStart w:id="29" w:name="_Toc78889188"/>
      <w:r w:rsidRPr="00AA3319">
        <w:rPr>
          <w:rFonts w:cs="Times New Roman"/>
        </w:rPr>
        <w:t>Study area</w:t>
      </w:r>
      <w:bookmarkEnd w:id="29"/>
      <w:r w:rsidRPr="00AA3319">
        <w:rPr>
          <w:rFonts w:cs="Times New Roman"/>
        </w:rPr>
        <w:t xml:space="preserve"> </w:t>
      </w:r>
    </w:p>
    <w:p w14:paraId="6674DD52" w14:textId="1EFCF922" w:rsidR="00EE74B8" w:rsidRPr="00093C5E" w:rsidRDefault="00EE74B8" w:rsidP="00EE74B8">
      <w:pPr>
        <w:rPr>
          <w:rFonts w:cs="Times New Roman"/>
          <w:szCs w:val="24"/>
        </w:rPr>
      </w:pPr>
      <w:bookmarkStart w:id="30" w:name="_Hlk69303339"/>
      <w:r w:rsidRPr="00093C5E">
        <w:rPr>
          <w:rFonts w:cs="Times New Roman"/>
          <w:szCs w:val="24"/>
        </w:rPr>
        <w:t xml:space="preserve">Our study area covers four woredas in the Amhara region of Ethiopia that were selected because they were part of a malaria elimination demonstration project </w:t>
      </w:r>
      <w:bookmarkEnd w:id="30"/>
      <w:r w:rsidRPr="00093C5E">
        <w:rPr>
          <w:rFonts w:cs="Times New Roman"/>
          <w:szCs w:val="24"/>
        </w:rPr>
        <w:t xml:space="preserve">to enhance surveillance at sub-district levels (Figure </w:t>
      </w:r>
      <w:r w:rsidR="00064D1B" w:rsidRPr="00093C5E">
        <w:rPr>
          <w:rFonts w:cs="Times New Roman"/>
          <w:szCs w:val="24"/>
        </w:rPr>
        <w:t>2-</w:t>
      </w:r>
      <w:r w:rsidRPr="00093C5E">
        <w:rPr>
          <w:rFonts w:cs="Times New Roman"/>
          <w:szCs w:val="24"/>
        </w:rPr>
        <w:t xml:space="preserve">1). The Amhara region is located in northwestern Ethiopia and is geographically very diverse. Elevation ranges from 500 m to 4500 m. </w:t>
      </w:r>
      <w:bookmarkStart w:id="31" w:name="_Hlk71312234"/>
      <w:r w:rsidRPr="00093C5E">
        <w:rPr>
          <w:rFonts w:cs="Times New Roman"/>
          <w:szCs w:val="24"/>
        </w:rPr>
        <w:t xml:space="preserve">Climate is very seasonal with a pronounced dry season (January – April), rainy season (May – August) and a transition season (September – December). Average monthly rainfalls in Ethiopia ranges from 15 mm in January to 200 mm in July </w:t>
      </w:r>
      <w:r w:rsidRPr="00093C5E">
        <w:rPr>
          <w:rFonts w:cs="Times New Roman"/>
          <w:szCs w:val="24"/>
        </w:rPr>
        <w:fldChar w:fldCharType="begin"/>
      </w:r>
      <w:r w:rsidR="00F57B21">
        <w:rPr>
          <w:rFonts w:cs="Times New Roman"/>
          <w:szCs w:val="24"/>
        </w:rPr>
        <w:instrText xml:space="preserve"> ADDIN ZOTERO_ITEM CSL_CITATION {"citationID":"NARtNWfL","properties":{"formattedCitation":"(E. Lemma et al., 2019)","plainCitation":"(E. Lemma et al., 2019)","dontUpdate":true,"noteIndex":0},"citationItems":[{"id":4377,"uris":["http://zotero.org/users/5456909/items/24I397DN"],"uri":["http://zotero.org/users/5456909/items/24I397DN"],"itemData":{"id":4377,"type":"article-journal","abstract":"Continuous availability of a variety of satellite and reanalysis rainfall products have triggered the use of such products as an alternate source of rainfall data in sparsely gauge networked areas. However, before utilizing them a detailed validation of these datasets are essential to have some level of guarantee. In many parts of Africa in general and most parts of Ethiopia particularly in the lowland areas, gauge stations are very sparse and unevenly distributed. In addition, due to the nature of complex topography and geographical location, Ethiopian rainfall shows high variability both temporally and spatially. In view of the above, the present study is aimed at statistically evaluating such rainfall products across different rainfall regimes (regions with different rainfall characteristics as defined by National Meteorological Agency (NMA) of Ethiopia). In the current study, five satellite and two reanalysis rainfall products such as African Rainfall Climatology version 2 (ARC2), Tropical Applications of Meteorology using SATellite and ground-based observations (TAMSAT), Tropical Rainfall Measuring Mission-3B43 version 7 (TRMM 3B43v7), Climate Prediction Center Morphing Technique (CMORPH), Climate Hazards Group Infrared Precipitation with Stations version 2 (CHIRPSv2), the Climate Forecast System Reanalysis (CFSR) and the European Center for Medium Range Weather Forecast Reanalysis (ERA-Interim) are considered based on their spatial coverage, spatial resolution, temporal resolution, latency period and length of data records. Evaluation is done at monthly and seasonal time scales against the observed gauge rainfall data provided by the National Meteorological Agency of Ethiopia across entire Ethiopia in two different manners, first by considering the entire country as one homogeneous unit and secondly in a distributed manner across the three rainfall regimes of Ethiopia. The obtained results show that: (i) CHIRPSv2 and TRMM 3B43v7 show better performance during June to September (the main rainfall season) and during February to May (the smaller rainfall season) in regimes 1 and 2. (ii) In regime 3 these products show good performance from October to November (smaller rainy season of this regime) and March to May (main rainy season of this regime); (iii).CMORPH, TAMSAT and ARC2 show moderate performance in all three regimes; (iv) CFSR and ERA-Interim exhibit poor performance in all rainfall regimes. Overall, the detailed analysis of statistical evaluation results of the rainfall products at monthly timescale shows that CHIRPSv2 performs comparatively better than the other tested rainfall products across all rainfall regimes. However, the best performance of CHIRPSv2 is obtained in regime 2 followed by regime 1 and regime 3.","container-title":"International Journal of Remote Sensing","ISSN":"0143-1161","issue":"10","note":"publisher: Taylor &amp; Francis\n_eprint: https://doi.org/10.1080/01431161.2018.1558373","page":"4019-4042","source":"Taylor and Francis+NEJM","title":"Investigating the performance of satellite and reanalysis rainfall products at monthly timescales across different rainfall regimes of Ethiopia","volume":"40","author":[{"family":"Lemma","given":"Estifanos"},{"family":"Upadhyaya","given":"Shruti"},{"family":"Ramsankaran","given":"RAAJ"}],"issued":{"date-parts":[["2019",5,19]]}}}],"schema":"https://github.com/citation-style-language/schema/raw/master/csl-citation.json"} </w:instrText>
      </w:r>
      <w:r w:rsidRPr="00093C5E">
        <w:rPr>
          <w:rFonts w:cs="Times New Roman"/>
          <w:szCs w:val="24"/>
        </w:rPr>
        <w:fldChar w:fldCharType="separate"/>
      </w:r>
      <w:r w:rsidR="002B37C7" w:rsidRPr="00093C5E">
        <w:rPr>
          <w:rFonts w:cs="Times New Roman"/>
          <w:szCs w:val="24"/>
        </w:rPr>
        <w:t>(Lemma et al., 2019)</w:t>
      </w:r>
      <w:r w:rsidRPr="00093C5E">
        <w:rPr>
          <w:rFonts w:cs="Times New Roman"/>
          <w:szCs w:val="24"/>
        </w:rPr>
        <w:fldChar w:fldCharType="end"/>
      </w:r>
      <w:bookmarkEnd w:id="31"/>
      <w:r w:rsidRPr="00093C5E">
        <w:rPr>
          <w:rFonts w:cs="Times New Roman"/>
          <w:szCs w:val="24"/>
        </w:rPr>
        <w:t>. The four woredas are located in two separate areas with distinctive environmental characteristics. To explore how different environment-malaria relationships depended on geographic context, we studied each area individually.</w:t>
      </w:r>
    </w:p>
    <w:p w14:paraId="2C5B7E03" w14:textId="5E7A7C6F" w:rsidR="00EE74B8" w:rsidRPr="00093C5E" w:rsidRDefault="00EE74B8" w:rsidP="00EE74B8">
      <w:pPr>
        <w:rPr>
          <w:rFonts w:cs="Times New Roman"/>
          <w:szCs w:val="24"/>
        </w:rPr>
      </w:pPr>
      <w:r w:rsidRPr="00093C5E">
        <w:rPr>
          <w:rFonts w:cs="Times New Roman"/>
          <w:szCs w:val="24"/>
        </w:rPr>
        <w:t xml:space="preserve">The first study area, encompassing Mecha and Bahir Dar Zuria, is located south of Lake Tana and the city of Bahir Dar in central Amhara. Elevations range from 1,500 m to 3,200 m, mean daily temperatures range from 16 °C to 26 °C, and annual precipitation is between </w:t>
      </w:r>
      <w:r w:rsidRPr="00093C5E">
        <w:rPr>
          <w:rFonts w:cs="Times New Roman"/>
          <w:szCs w:val="24"/>
        </w:rPr>
        <w:lastRenderedPageBreak/>
        <w:t xml:space="preserve">1,000 mm and 2,000 mm. The northern section is relatively flat with large expanses of mixed agriculture and extensive wetlands, transitioning to the foothills of the Choke Mountains in the southern section. This study area contains a substantial area of irrigated agriculture within the Koga irrigation development project. The Koga project encompasses two dams with respective water detention ponds and water storage reservoirs. It irrigates 7,004 ha of farmland via a system of canals </w:t>
      </w:r>
      <w:r w:rsidRPr="00093C5E">
        <w:rPr>
          <w:rFonts w:cs="Times New Roman"/>
          <w:szCs w:val="24"/>
        </w:rPr>
        <w:fldChar w:fldCharType="begin"/>
      </w:r>
      <w:r w:rsidR="001B184A" w:rsidRPr="00093C5E">
        <w:rPr>
          <w:rFonts w:cs="Times New Roman"/>
          <w:szCs w:val="24"/>
        </w:rPr>
        <w:instrText xml:space="preserve"> ADDIN ZOTERO_ITEM CSL_CITATION {"citationID":"AloTDvUI","properties":{"formattedCitation":"(Kassie et al., 2018)","plainCitation":"(Kassie et al., 2018)","noteIndex":0},"citationItems":[{"id":3647,"uris":["http://zotero.org/users/5456909/items/RZWY2I5R"],"uri":["http://zotero.org/users/5456909/items/RZWY2I5R"],"itemData":{"id":3647,"type":"article-journal","container-title":"Asian Development Perspectives","language":"en","page":"29","source":"Zotero","title":"Impact of irrigation on household multidimensional poverty reduction in the Koga irrigation development project, northern Ethiopia","author":[{"family":"Kassie","given":"Koyachew Enkuahone"},{"family":"Alemu","given":"Bamlak Alamirew"},{"family":"Wedajoo","given":"Aseffa Seyoum"}],"issued":{"date-parts":[["2018"]]}}}],"schema":"https://github.com/citation-style-language/schema/raw/master/csl-citation.json"} </w:instrText>
      </w:r>
      <w:r w:rsidRPr="00093C5E">
        <w:rPr>
          <w:rFonts w:cs="Times New Roman"/>
          <w:szCs w:val="24"/>
        </w:rPr>
        <w:fldChar w:fldCharType="separate"/>
      </w:r>
      <w:r w:rsidR="002B37C7" w:rsidRPr="00093C5E">
        <w:rPr>
          <w:rFonts w:cs="Times New Roman"/>
          <w:szCs w:val="24"/>
        </w:rPr>
        <w:t>(Kassie et al., 2018)</w:t>
      </w:r>
      <w:r w:rsidRPr="00093C5E">
        <w:rPr>
          <w:rFonts w:cs="Times New Roman"/>
          <w:szCs w:val="24"/>
        </w:rPr>
        <w:fldChar w:fldCharType="end"/>
      </w:r>
      <w:r w:rsidRPr="00093C5E">
        <w:rPr>
          <w:rFonts w:cs="Times New Roman"/>
          <w:szCs w:val="24"/>
        </w:rPr>
        <w:t xml:space="preserve">. </w:t>
      </w:r>
    </w:p>
    <w:p w14:paraId="4CFE1028" w14:textId="77777777" w:rsidR="00EE74B8" w:rsidRPr="00093C5E" w:rsidRDefault="00EE74B8" w:rsidP="00EE74B8">
      <w:pPr>
        <w:rPr>
          <w:rFonts w:cs="Times New Roman"/>
          <w:szCs w:val="24"/>
        </w:rPr>
      </w:pPr>
      <w:r w:rsidRPr="00093C5E">
        <w:rPr>
          <w:rFonts w:cs="Times New Roman"/>
          <w:szCs w:val="24"/>
        </w:rPr>
        <w:t>The second study area, encompassing Aneded and Awabel, is located on the southern edge of the Amhara region between the Choke Mountains to the north and the Blue Nile River to the south. Elevations range from 1,000 m to 3,600 m, mean daily temperatures range from 15 °C to 28 °C, and annual precipitation is between 900 mm and 1300 mm. This northern section has gradually sloping terrain and is covered by a mosaic of croplands and wetlands, while the southern section drops steeply into the Blue Nile Gorge and has some croplands with large areas of bare soil and sparse vegetation. There is no large-scale irrigation scheme in this area.</w:t>
      </w:r>
    </w:p>
    <w:p w14:paraId="3DA75BF9" w14:textId="77777777" w:rsidR="00734291" w:rsidRPr="00AA3319" w:rsidRDefault="00EE74B8" w:rsidP="00734291">
      <w:pPr>
        <w:keepNext/>
        <w:rPr>
          <w:rFonts w:cs="Times New Roman"/>
        </w:rPr>
      </w:pPr>
      <w:r w:rsidRPr="00AA3319">
        <w:rPr>
          <w:rFonts w:cs="Times New Roman"/>
          <w:noProof/>
        </w:rPr>
        <w:lastRenderedPageBreak/>
        <w:drawing>
          <wp:inline distT="0" distB="0" distL="0" distR="0" wp14:anchorId="7D590E85" wp14:editId="5CA39BE4">
            <wp:extent cx="5503333" cy="4127500"/>
            <wp:effectExtent l="0" t="0" r="254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6858" cy="4130144"/>
                    </a:xfrm>
                    <a:prstGeom prst="rect">
                      <a:avLst/>
                    </a:prstGeom>
                    <a:noFill/>
                    <a:ln>
                      <a:noFill/>
                    </a:ln>
                  </pic:spPr>
                </pic:pic>
              </a:graphicData>
            </a:graphic>
          </wp:inline>
        </w:drawing>
      </w:r>
    </w:p>
    <w:p w14:paraId="32AFD1CA" w14:textId="6E470334" w:rsidR="00EE74B8" w:rsidRPr="00AA3319" w:rsidRDefault="00734291" w:rsidP="008A3850">
      <w:pPr>
        <w:pStyle w:val="Caption"/>
        <w:ind w:firstLine="0"/>
        <w:rPr>
          <w:rFonts w:cs="Times New Roman"/>
        </w:rPr>
      </w:pPr>
      <w:bookmarkStart w:id="32" w:name="_Toc78881283"/>
      <w:r w:rsidRPr="00AA3319">
        <w:rPr>
          <w:rFonts w:cs="Times New Roman"/>
        </w:rPr>
        <w:t xml:space="preserve">Figure </w:t>
      </w:r>
      <w:r w:rsidR="004C1B0D">
        <w:rPr>
          <w:rFonts w:cs="Times New Roman"/>
        </w:rPr>
        <w:fldChar w:fldCharType="begin"/>
      </w:r>
      <w:r w:rsidR="004C1B0D">
        <w:rPr>
          <w:rFonts w:cs="Times New Roman"/>
        </w:rPr>
        <w:instrText xml:space="preserve"> STYLEREF 1 \s </w:instrText>
      </w:r>
      <w:r w:rsidR="004C1B0D">
        <w:rPr>
          <w:rFonts w:cs="Times New Roman"/>
        </w:rPr>
        <w:fldChar w:fldCharType="separate"/>
      </w:r>
      <w:r w:rsidR="00F243F7">
        <w:rPr>
          <w:rFonts w:cs="Times New Roman"/>
          <w:noProof/>
        </w:rPr>
        <w:t>2</w:t>
      </w:r>
      <w:r w:rsidR="004C1B0D">
        <w:rPr>
          <w:rFonts w:cs="Times New Roman"/>
        </w:rPr>
        <w:fldChar w:fldCharType="end"/>
      </w:r>
      <w:r w:rsidR="004C1B0D">
        <w:rPr>
          <w:rFonts w:cs="Times New Roman"/>
        </w:rPr>
        <w:noBreakHyphen/>
      </w:r>
      <w:r w:rsidR="004C1B0D">
        <w:rPr>
          <w:rFonts w:cs="Times New Roman"/>
        </w:rPr>
        <w:fldChar w:fldCharType="begin"/>
      </w:r>
      <w:r w:rsidR="004C1B0D">
        <w:rPr>
          <w:rFonts w:cs="Times New Roman"/>
        </w:rPr>
        <w:instrText xml:space="preserve"> SEQ Figure \* ARABIC \s 1 </w:instrText>
      </w:r>
      <w:r w:rsidR="004C1B0D">
        <w:rPr>
          <w:rFonts w:cs="Times New Roman"/>
        </w:rPr>
        <w:fldChar w:fldCharType="separate"/>
      </w:r>
      <w:r w:rsidR="00F243F7">
        <w:rPr>
          <w:rFonts w:cs="Times New Roman"/>
          <w:noProof/>
        </w:rPr>
        <w:t>1</w:t>
      </w:r>
      <w:r w:rsidR="004C1B0D">
        <w:rPr>
          <w:rFonts w:cs="Times New Roman"/>
        </w:rPr>
        <w:fldChar w:fldCharType="end"/>
      </w:r>
      <w:r w:rsidRPr="00AA3319">
        <w:rPr>
          <w:rFonts w:cs="Times New Roman"/>
        </w:rPr>
        <w:t xml:space="preserve">: Study area in the Amhara region of Ethiopia. </w:t>
      </w:r>
      <w:r w:rsidR="00EE74B8" w:rsidRPr="00AA3319">
        <w:rPr>
          <w:rFonts w:cs="Times New Roman"/>
        </w:rPr>
        <w:t>The left map shows the two study areas within the greater geographic area. The right map shows the two study areas and the topography of the area. Blue lines indicate woredas (district) boundaries, green lines indicate the kebeles within those woredas.</w:t>
      </w:r>
      <w:bookmarkEnd w:id="32"/>
    </w:p>
    <w:p w14:paraId="1E0FF2C0" w14:textId="1AFC99AE" w:rsidR="00EE74B8" w:rsidRPr="00093C5E" w:rsidRDefault="00EE74B8" w:rsidP="00EE74B8">
      <w:pPr>
        <w:rPr>
          <w:rFonts w:cs="Times New Roman"/>
          <w:szCs w:val="24"/>
        </w:rPr>
      </w:pPr>
      <w:r w:rsidRPr="00093C5E">
        <w:rPr>
          <w:rFonts w:cs="Times New Roman"/>
          <w:szCs w:val="24"/>
        </w:rPr>
        <w:t xml:space="preserve">The Amhara region has unstable malaria transmission that results in sporadic localized and regional outbreaks </w:t>
      </w:r>
      <w:r w:rsidRPr="00093C5E">
        <w:rPr>
          <w:rFonts w:cs="Times New Roman"/>
          <w:szCs w:val="24"/>
        </w:rPr>
        <w:fldChar w:fldCharType="begin"/>
      </w:r>
      <w:r w:rsidR="000B7BAA" w:rsidRPr="00093C5E">
        <w:rPr>
          <w:rFonts w:cs="Times New Roman"/>
          <w:szCs w:val="24"/>
        </w:rPr>
        <w:instrText xml:space="preserve"> ADDIN ZOTERO_ITEM CSL_CITATION {"citationID":"rAAPh5A6","properties":{"formattedCitation":"(Abeku et al., 2002)","plainCitation":"(Abeku et al., 2002)","noteIndex":0},"citationItems":[{"id":3944,"uris":["http://zotero.org/users/5456909/items/RZNLWUIU"],"uri":["http://zotero.org/users/5456909/items/RZNLWUIU"],"itemData":{"id":3944,"type":"article-journal","abstract":"The aim of this study was to assess the accuracy of different methods of forecasting malaria incidence from historical morbidity patterns in areas with unstable transmission. We tested five methods using incidence data reported from health facilities in 20 areas in central and north-western Ethiopia. The accuracy of each method was determined by calculating errors resulting from the difference between observed incidence and corresponding forecasts obtained for prediction intervals of up to 12 months. Simple seasonal adjustment methods outperformed a statistically more advanced autoregressive integrated moving average method. In particular, a seasonal adjustment method that uses mean deviation of the last three observations from expected seasonal values consistently produced the best forecasts. Using 3 years' observation to generate forecasts with this method gave lower errors than shorter or longer periods. Incidence during the rainy months of June–August was the most predictable with this method. Forecasts for the normally dry months, particularly December–February, were less accurate. The study shows the limitations of forecasting incidence from historical morbidity patterns alone, and indicates the need for improved epidemic early warning by incorporating external predictors such as meteorological factors.","container-title":"Tropical Medicine &amp; International Health","ISSN":"1365-3156","issue":"10","language":"en","note":"_eprint: https://onlinelibrary.wiley.com/doi/pdf/10.1046/j.1365-3156.2002.00924.x","page":"851-857","source":"Wiley Online Library","title":"Forecasting malaria incidence from historical morbidity patterns in epidemic-prone areas of Ethiopia: a simple seasonal adjustment method performs best","title-short":"Forecasting malaria incidence from historical morbidity patterns in epidemic-prone areas of Ethiopia","volume":"7","author":[{"family":"Abeku","given":"Tarekegn A."},{"family":"Vlas","given":"Sake J. De"},{"family":"Borsboom","given":"Gerard"},{"family":"Teklehaimanot","given":"Awash"},{"family":"Kebede","given":"Asnakew"},{"family":"Olana","given":"Dereje"},{"family":"Oortmarssen","given":"Gerrit J. Van"},{"family":"Habbema","given":"J. D. F."}],"issued":{"date-parts":[["2002"]]}}}],"schema":"https://github.com/citation-style-language/schema/raw/master/csl-citation.json"} </w:instrText>
      </w:r>
      <w:r w:rsidRPr="00093C5E">
        <w:rPr>
          <w:rFonts w:cs="Times New Roman"/>
          <w:szCs w:val="24"/>
        </w:rPr>
        <w:fldChar w:fldCharType="separate"/>
      </w:r>
      <w:r w:rsidR="002B37C7" w:rsidRPr="00093C5E">
        <w:rPr>
          <w:rFonts w:cs="Times New Roman"/>
          <w:szCs w:val="24"/>
        </w:rPr>
        <w:t>(Abeku et al., 2002)</w:t>
      </w:r>
      <w:r w:rsidRPr="00093C5E">
        <w:rPr>
          <w:rFonts w:cs="Times New Roman"/>
          <w:szCs w:val="24"/>
        </w:rPr>
        <w:fldChar w:fldCharType="end"/>
      </w:r>
      <w:r w:rsidRPr="00093C5E">
        <w:rPr>
          <w:rFonts w:cs="Times New Roman"/>
          <w:szCs w:val="24"/>
        </w:rPr>
        <w:t xml:space="preserve">. Outbreaks occur primarily between September and December. The malaria parasites in this region are </w:t>
      </w:r>
      <w:r w:rsidRPr="00093C5E">
        <w:rPr>
          <w:rFonts w:cs="Times New Roman"/>
          <w:i/>
          <w:iCs/>
          <w:szCs w:val="24"/>
        </w:rPr>
        <w:t>Plasmodium falciparum</w:t>
      </w:r>
      <w:r w:rsidRPr="00093C5E">
        <w:rPr>
          <w:rFonts w:cs="Times New Roman"/>
          <w:szCs w:val="24"/>
        </w:rPr>
        <w:t xml:space="preserve"> and </w:t>
      </w:r>
      <w:r w:rsidRPr="00093C5E">
        <w:rPr>
          <w:rFonts w:cs="Times New Roman"/>
          <w:i/>
          <w:iCs/>
          <w:szCs w:val="24"/>
        </w:rPr>
        <w:t xml:space="preserve">Plasmodium vivax </w:t>
      </w:r>
      <w:r w:rsidRPr="00093C5E">
        <w:rPr>
          <w:rFonts w:cs="Times New Roman"/>
          <w:i/>
          <w:iCs/>
          <w:szCs w:val="24"/>
        </w:rPr>
        <w:fldChar w:fldCharType="begin"/>
      </w:r>
      <w:r w:rsidR="00FF3DA9" w:rsidRPr="00093C5E">
        <w:rPr>
          <w:rFonts w:cs="Times New Roman"/>
          <w:i/>
          <w:iCs/>
          <w:szCs w:val="24"/>
        </w:rPr>
        <w:instrText xml:space="preserve"> ADDIN ZOTERO_ITEM CSL_CITATION {"citationID":"phnoaFft","properties":{"formattedCitation":"(Yalew et al., 2017)","plainCitation":"(Yalew et al., 2017)","noteIndex":0},"citationItems":[{"id":3869,"uris":["http://zotero.org/users/5456909/items/4A5GHQ9K"],"uri":["http://zotero.org/users/5456909/items/4A5GHQ9K"],"itemData":{"id":3869,"type":"article-journal","abstract":"Since 2005, Ethiopia has aggressively scaled up malaria prevention and case management. As a result, the number of malaria cases and deaths has significantly declined. In order to track progress towards the elimination of malaria in Amhara Region, coverage of malaria control tools and current malaria transmission need to be documented.","container-title":"Malaria Journal","ISSN":"1475-2875","issue":"1","journalAbbreviation":"Malaria Journal","page":"242","source":"BioMed Central","title":"Current and cumulative malaria infections in a setting embarking on elimination: Amhara, Ethiopia","title-short":"Current and cumulative malaria infections in a setting embarking on elimination","volume":"16","author":[{"family":"Yalew","given":"Woyneshet G."},{"family":"Pal","given":"Sampa"},{"family":"Bansil","given":"Pooja"},{"family":"Dabbs","given":"Rebecca"},{"family":"Tetteh","given":"Kevin"},{"family":"Guinovart","given":"Caterina"},{"family":"Kalnoky","given":"Michael"},{"family":"Serda","given":"Belendia A."},{"family":"Tesfay","given":"Berhane H."},{"family":"Beyene","given":"Belay B."},{"family":"Seneviratne","given":"Catherine"},{"family":"Littrell","given":"Megan"},{"family":"Yokobe","given":"Lindsay"},{"family":"Noland","given":"Gregory S."},{"family":"Domingo","given":"Gonzalo J."},{"family":"Getachew","given":"Asefaw"},{"family":"Drakeley","given":"Chris"},{"family":"Steketee","given":"Richard W."}],"issued":{"date-parts":[["2017"]]}}}],"schema":"https://github.com/citation-style-language/schema/raw/master/csl-citation.json"} </w:instrText>
      </w:r>
      <w:r w:rsidRPr="00093C5E">
        <w:rPr>
          <w:rFonts w:cs="Times New Roman"/>
          <w:i/>
          <w:iCs/>
          <w:szCs w:val="24"/>
        </w:rPr>
        <w:fldChar w:fldCharType="separate"/>
      </w:r>
      <w:r w:rsidR="002B37C7" w:rsidRPr="00093C5E">
        <w:rPr>
          <w:rFonts w:cs="Times New Roman"/>
          <w:szCs w:val="24"/>
        </w:rPr>
        <w:t>(Yalew et al., 2017)</w:t>
      </w:r>
      <w:r w:rsidRPr="00093C5E">
        <w:rPr>
          <w:rFonts w:cs="Times New Roman"/>
          <w:i/>
          <w:iCs/>
          <w:szCs w:val="24"/>
        </w:rPr>
        <w:fldChar w:fldCharType="end"/>
      </w:r>
      <w:r w:rsidRPr="00093C5E">
        <w:rPr>
          <w:rFonts w:cs="Times New Roman"/>
          <w:iCs/>
          <w:szCs w:val="24"/>
        </w:rPr>
        <w:t xml:space="preserve"> and t</w:t>
      </w:r>
      <w:r w:rsidRPr="00093C5E">
        <w:rPr>
          <w:rFonts w:cs="Times New Roman"/>
          <w:szCs w:val="24"/>
        </w:rPr>
        <w:t xml:space="preserve">he primary vector species in this region is the mosquito </w:t>
      </w:r>
      <w:r w:rsidRPr="00093C5E">
        <w:rPr>
          <w:rFonts w:cs="Times New Roman"/>
          <w:i/>
          <w:iCs/>
          <w:szCs w:val="24"/>
        </w:rPr>
        <w:t>Anopheles arabiensis</w:t>
      </w:r>
      <w:r w:rsidRPr="00093C5E">
        <w:rPr>
          <w:rFonts w:cs="Times New Roman"/>
          <w:szCs w:val="24"/>
        </w:rPr>
        <w:t xml:space="preserve"> </w:t>
      </w:r>
      <w:r w:rsidRPr="00093C5E">
        <w:rPr>
          <w:rFonts w:cs="Times New Roman"/>
          <w:szCs w:val="24"/>
        </w:rPr>
        <w:fldChar w:fldCharType="begin"/>
      </w:r>
      <w:r w:rsidR="000D258D" w:rsidRPr="00093C5E">
        <w:rPr>
          <w:rFonts w:cs="Times New Roman"/>
          <w:szCs w:val="24"/>
        </w:rPr>
        <w:instrText xml:space="preserve"> ADDIN ZOTERO_ITEM CSL_CITATION {"citationID":"Ve1ezikp","properties":{"formattedCitation":"(Animut et al., 2013)","plainCitation":"(Animut et al., 2013)","noteIndex":0},"citationItems":[{"id":3940,"uris":["http://zotero.org/users/5456909/items/BZUMBUSS"],"uri":["http://zotero.org/users/5456909/items/BZUMBUSS"],"itemData":{"id":3940,"type":"article-journal","abstract":"Exposure of individuals to malaria infection may depend on their housing conditions as houses serve as biting and resting places of vectors. This study describes the association of housing conditions with densities of indoor-biting and indoor-resting Anopheles arabiensis in Hobe, Dirama and Wurib villages of a highland area in central Ethiopia.","container-title":"Malaria Journal","ISSN":"1475-2875","issue":"1","journalAbbreviation":"Malaria Journal","page":"393","source":"BioMed Central","title":"Impact of housing condition on indoor-biting and indoor-resting Anopheles arabiensis density in a highland area, central Ethiopia","volume":"12","author":[{"family":"Animut","given":"Abebe"},{"family":"Balkew","given":"Meshesha"},{"family":"Lindtjørn","given":"Bernt"}],"issued":{"date-parts":[["2013",11,5]]}}}],"schema":"https://github.com/citation-style-language/schema/raw/master/csl-citation.json"} </w:instrText>
      </w:r>
      <w:r w:rsidRPr="00093C5E">
        <w:rPr>
          <w:rFonts w:cs="Times New Roman"/>
          <w:szCs w:val="24"/>
        </w:rPr>
        <w:fldChar w:fldCharType="separate"/>
      </w:r>
      <w:r w:rsidR="002B37C7" w:rsidRPr="00093C5E">
        <w:rPr>
          <w:rFonts w:cs="Times New Roman"/>
          <w:szCs w:val="24"/>
        </w:rPr>
        <w:t>(Animut et al., 2013)</w:t>
      </w:r>
      <w:r w:rsidRPr="00093C5E">
        <w:rPr>
          <w:rFonts w:cs="Times New Roman"/>
          <w:szCs w:val="24"/>
        </w:rPr>
        <w:fldChar w:fldCharType="end"/>
      </w:r>
      <w:r w:rsidRPr="00093C5E">
        <w:rPr>
          <w:rFonts w:cs="Times New Roman"/>
          <w:szCs w:val="24"/>
        </w:rPr>
        <w:t xml:space="preserve">. The Ethiopian government is committed to move towards nationwide malaria elimination by 2030 </w:t>
      </w:r>
      <w:r w:rsidRPr="00093C5E">
        <w:rPr>
          <w:rFonts w:cs="Times New Roman"/>
          <w:szCs w:val="24"/>
        </w:rPr>
        <w:fldChar w:fldCharType="begin"/>
      </w:r>
      <w:r w:rsidR="001B184A" w:rsidRPr="00093C5E">
        <w:rPr>
          <w:rFonts w:cs="Times New Roman"/>
          <w:szCs w:val="24"/>
        </w:rPr>
        <w:instrText xml:space="preserve"> ADDIN ZOTERO_ITEM CSL_CITATION {"citationID":"k7VbnFhN","properties":{"formattedCitation":"(Federal Ministry of Health, 2020)","plainCitation":"(Federal Ministry of Health, 2020)","noteIndex":0},"citationItems":[{"id":4277,"uris":["http://zotero.org/users/5456909/items/8N69EEFS"],"uri":["http://zotero.org/users/5456909/items/8N69EEFS"],"itemData":{"id":4277,"type":"report","event-place":"Addis Ababa","publisher-place":"Addis Ababa","title":"National malaria elimination strategic plan: 2021-2025","author":[{"family":"Federal Ministry of Health","given":""}],"issued":{"date-parts":[["2020"]]}}}],"schema":"https://github.com/citation-style-language/schema/raw/master/csl-citation.json"} </w:instrText>
      </w:r>
      <w:r w:rsidRPr="00093C5E">
        <w:rPr>
          <w:rFonts w:cs="Times New Roman"/>
          <w:szCs w:val="24"/>
        </w:rPr>
        <w:fldChar w:fldCharType="separate"/>
      </w:r>
      <w:r w:rsidR="002B37C7" w:rsidRPr="00093C5E">
        <w:rPr>
          <w:rFonts w:cs="Times New Roman"/>
          <w:szCs w:val="24"/>
        </w:rPr>
        <w:t>(Federal Ministry of Health, 2020)</w:t>
      </w:r>
      <w:r w:rsidRPr="00093C5E">
        <w:rPr>
          <w:rFonts w:cs="Times New Roman"/>
          <w:szCs w:val="24"/>
        </w:rPr>
        <w:fldChar w:fldCharType="end"/>
      </w:r>
      <w:r w:rsidRPr="00093C5E">
        <w:rPr>
          <w:rFonts w:cs="Times New Roman"/>
          <w:szCs w:val="24"/>
        </w:rPr>
        <w:t xml:space="preserve">. Due to successes of malaria control efforts, malaria incidence and mortality rates have been declining in the Amhara region </w:t>
      </w:r>
      <w:r w:rsidRPr="00093C5E">
        <w:rPr>
          <w:rFonts w:cs="Times New Roman"/>
          <w:szCs w:val="24"/>
        </w:rPr>
        <w:fldChar w:fldCharType="begin"/>
      </w:r>
      <w:r w:rsidR="00D5378A" w:rsidRPr="00093C5E">
        <w:rPr>
          <w:rFonts w:cs="Times New Roman"/>
          <w:szCs w:val="24"/>
        </w:rPr>
        <w:instrText xml:space="preserve"> ADDIN ZOTERO_ITEM CSL_CITATION {"citationID":"9GwyKNcl","properties":{"formattedCitation":"(Lankir et al., 2020)","plainCitation":"(Lankir et al., 2020)","noteIndex":0},"citationItems":[{"id":3903,"uris":["http://zotero.org/users/5456909/items/9H99IDB6"],"uri":["http://zotero.org/users/5456909/items/9H99IDB6"],"itemData":{"id":3903,"type":"article-journal","abstract":"Trend analysis of malaria surveillance data is essential to inform stakeholders on progress towards malaria control. From the total 387,096 cases of malaria reported in Amhara region in 2017, 167,079 (43.2%) cases were in Central, North and West Gondar zones. From this total figure of zones, 15,445 (9.2%) were ≤ 5 years which contributes 4% of cases in the region. So, the purpose of this study was to analyze trends of malaria parasite in Selected Zones of Amhara Region, Northwest Ethiopia.","container-title":"BMC Public Health","page":"1175","title":"A five-year trend analysis of malaria surveillance data in selected zones of Amhara region, Northwest Ethiopia","volume":"20","author":[{"family":"Lankir","given":"Damtie"},{"family":"Solomon","given":"Samrawit"},{"family":"Gize","given":"Addisu"}],"issued":{"date-parts":[["2020"]]}}}],"schema":"https://github.com/citation-style-language/schema/raw/master/csl-citation.json"} </w:instrText>
      </w:r>
      <w:r w:rsidRPr="00093C5E">
        <w:rPr>
          <w:rFonts w:cs="Times New Roman"/>
          <w:szCs w:val="24"/>
        </w:rPr>
        <w:fldChar w:fldCharType="separate"/>
      </w:r>
      <w:r w:rsidR="002B37C7" w:rsidRPr="00093C5E">
        <w:rPr>
          <w:rFonts w:cs="Times New Roman"/>
          <w:szCs w:val="24"/>
        </w:rPr>
        <w:t>(Lankir et al., 2020)</w:t>
      </w:r>
      <w:r w:rsidRPr="00093C5E">
        <w:rPr>
          <w:rFonts w:cs="Times New Roman"/>
          <w:szCs w:val="24"/>
        </w:rPr>
        <w:fldChar w:fldCharType="end"/>
      </w:r>
      <w:r w:rsidRPr="00093C5E">
        <w:rPr>
          <w:rFonts w:cs="Times New Roman"/>
          <w:szCs w:val="24"/>
        </w:rPr>
        <w:t xml:space="preserve"> and in other parts of </w:t>
      </w:r>
      <w:r w:rsidRPr="00093C5E">
        <w:rPr>
          <w:rFonts w:cs="Times New Roman"/>
          <w:szCs w:val="24"/>
        </w:rPr>
        <w:lastRenderedPageBreak/>
        <w:t xml:space="preserve">Ethiopia </w:t>
      </w:r>
      <w:r w:rsidRPr="00093C5E">
        <w:rPr>
          <w:rFonts w:cs="Times New Roman"/>
          <w:szCs w:val="24"/>
        </w:rPr>
        <w:fldChar w:fldCharType="begin"/>
      </w:r>
      <w:r w:rsidR="001B184A" w:rsidRPr="00093C5E">
        <w:rPr>
          <w:rFonts w:cs="Times New Roman"/>
          <w:szCs w:val="24"/>
        </w:rPr>
        <w:instrText xml:space="preserve"> ADDIN ZOTERO_ITEM CSL_CITATION {"citationID":"dTHwjUve","properties":{"formattedCitation":"(WHO, 2020)","plainCitation":"(WHO, 2020)","noteIndex":0},"citationItems":[{"id":4313,"uris":["http://zotero.org/users/5456909/items/NN695WLT"],"uri":["http://zotero.org/users/5456909/items/NN695WLT"],"itemData":{"id":4313,"type":"report","abstract":"20 years of global progress &amp; challenges","event-place":"Geneva","language":"en","publisher-place":"Geneva","title":"World malaria report 2020","author":[{"family":"WHO","given":""}],"accessed":{"date-parts":[["2021",4,7]]},"issued":{"date-parts":[["2020"]]}}}],"schema":"https://github.com/citation-style-language/schema/raw/master/csl-citation.json"} </w:instrText>
      </w:r>
      <w:r w:rsidRPr="00093C5E">
        <w:rPr>
          <w:rFonts w:cs="Times New Roman"/>
          <w:szCs w:val="24"/>
        </w:rPr>
        <w:fldChar w:fldCharType="separate"/>
      </w:r>
      <w:r w:rsidR="002B37C7" w:rsidRPr="00093C5E">
        <w:rPr>
          <w:rFonts w:cs="Times New Roman"/>
          <w:szCs w:val="24"/>
        </w:rPr>
        <w:t>(WHO, 2020)</w:t>
      </w:r>
      <w:r w:rsidRPr="00093C5E">
        <w:rPr>
          <w:rFonts w:cs="Times New Roman"/>
          <w:szCs w:val="24"/>
        </w:rPr>
        <w:fldChar w:fldCharType="end"/>
      </w:r>
      <w:r w:rsidRPr="00093C5E">
        <w:rPr>
          <w:rFonts w:cs="Times New Roman"/>
          <w:szCs w:val="24"/>
        </w:rPr>
        <w:t xml:space="preserve">. </w:t>
      </w:r>
      <w:bookmarkStart w:id="33" w:name="_Hlk71312797"/>
      <w:r w:rsidRPr="00093C5E">
        <w:rPr>
          <w:rFonts w:cs="Times New Roman"/>
          <w:szCs w:val="24"/>
        </w:rPr>
        <w:t>In Ethiopia, malaria surveillance data are usually reported from health facilities and then aggregated by woredas. As part of a malaria elimination pilot project, malaria data from the four woredas were tracked at the kebele level from 2013-2018.</w:t>
      </w:r>
      <w:bookmarkEnd w:id="33"/>
      <w:r w:rsidRPr="00093C5E">
        <w:rPr>
          <w:rFonts w:cs="Times New Roman"/>
          <w:szCs w:val="24"/>
        </w:rPr>
        <w:t xml:space="preserve"> Kebeles are the smallest administrative unit in Ethiopia, with areas of kebeles for the entire country ranging from 0.1 km</w:t>
      </w:r>
      <w:r w:rsidRPr="00093C5E">
        <w:rPr>
          <w:rFonts w:cs="Times New Roman"/>
          <w:szCs w:val="24"/>
          <w:vertAlign w:val="superscript"/>
        </w:rPr>
        <w:t>2</w:t>
      </w:r>
      <w:r w:rsidRPr="00093C5E">
        <w:rPr>
          <w:rFonts w:cs="Times New Roman"/>
          <w:szCs w:val="24"/>
        </w:rPr>
        <w:t xml:space="preserve"> – 9,500 km</w:t>
      </w:r>
      <w:r w:rsidRPr="00093C5E">
        <w:rPr>
          <w:rFonts w:cs="Times New Roman"/>
          <w:szCs w:val="24"/>
          <w:vertAlign w:val="superscript"/>
        </w:rPr>
        <w:t>2</w:t>
      </w:r>
      <w:r w:rsidRPr="00093C5E">
        <w:rPr>
          <w:rFonts w:cs="Times New Roman"/>
          <w:szCs w:val="24"/>
          <w:vertAlign w:val="subscript"/>
        </w:rPr>
        <w:t>.</w:t>
      </w:r>
      <w:r w:rsidRPr="00093C5E">
        <w:rPr>
          <w:rFonts w:cs="Times New Roman"/>
          <w:szCs w:val="24"/>
          <w:vertAlign w:val="superscript"/>
        </w:rPr>
        <w:t xml:space="preserve"> </w:t>
      </w:r>
      <w:r w:rsidRPr="00093C5E">
        <w:rPr>
          <w:rFonts w:cs="Times New Roman"/>
          <w:szCs w:val="24"/>
        </w:rPr>
        <w:t>The average size is 50 km</w:t>
      </w:r>
      <w:r w:rsidRPr="00093C5E">
        <w:rPr>
          <w:rFonts w:cs="Times New Roman"/>
          <w:szCs w:val="24"/>
          <w:vertAlign w:val="superscript"/>
        </w:rPr>
        <w:t>2</w:t>
      </w:r>
      <w:r w:rsidRPr="00093C5E">
        <w:rPr>
          <w:rFonts w:cs="Times New Roman"/>
          <w:szCs w:val="24"/>
        </w:rPr>
        <w:t xml:space="preserve"> with a population of typically a few thousand inhabitants </w:t>
      </w:r>
      <w:r w:rsidRPr="00093C5E">
        <w:rPr>
          <w:rFonts w:cs="Times New Roman"/>
          <w:szCs w:val="24"/>
        </w:rPr>
        <w:fldChar w:fldCharType="begin"/>
      </w:r>
      <w:r w:rsidR="001B184A" w:rsidRPr="00093C5E">
        <w:rPr>
          <w:rFonts w:cs="Times New Roman"/>
          <w:szCs w:val="24"/>
        </w:rPr>
        <w:instrText xml:space="preserve"> ADDIN ZOTERO_ITEM CSL_CITATION {"citationID":"Sw5hVxSV","properties":{"formattedCitation":"(Central Statistical Agency, 2012)","plainCitation":"(Central Statistical Agency, 2012)","noteIndex":0},"citationItems":[{"id":4374,"uris":["http://zotero.org/users/5456909/items/BSAIZXL7"],"uri":["http://zotero.org/users/5456909/items/BSAIZXL7"],"itemData":{"id":4374,"type":"report","event-place":"Addis Ababa","publisher-place":"Addis Ababa","title":"2007 population and housing census of Ethiopia. Administrative Report.","author":[{"family":"Central Statistical Agency","given":""}],"accessed":{"date-parts":[["2021",4,15]]},"issued":{"date-parts":[["2012"]]}}}],"schema":"https://github.com/citation-style-language/schema/raw/master/csl-citation.json"} </w:instrText>
      </w:r>
      <w:r w:rsidRPr="00093C5E">
        <w:rPr>
          <w:rFonts w:cs="Times New Roman"/>
          <w:szCs w:val="24"/>
        </w:rPr>
        <w:fldChar w:fldCharType="separate"/>
      </w:r>
      <w:r w:rsidR="002B37C7" w:rsidRPr="00093C5E">
        <w:rPr>
          <w:rFonts w:cs="Times New Roman"/>
          <w:szCs w:val="24"/>
        </w:rPr>
        <w:t>(Central Statistical Agency, 2012)</w:t>
      </w:r>
      <w:r w:rsidRPr="00093C5E">
        <w:rPr>
          <w:rFonts w:cs="Times New Roman"/>
          <w:szCs w:val="24"/>
        </w:rPr>
        <w:fldChar w:fldCharType="end"/>
      </w:r>
      <w:r w:rsidRPr="00093C5E">
        <w:rPr>
          <w:rFonts w:cs="Times New Roman"/>
          <w:szCs w:val="24"/>
        </w:rPr>
        <w:t>. Each kebele has at least one health post that serves up to 5,000 people. Larger kebeles have health centers that serve 20,000 people. Our study area includes a total of 122 kebeles from the four study woredas: Mecha, Bahir Dar Zuria, Aneded and Awabel.</w:t>
      </w:r>
    </w:p>
    <w:p w14:paraId="64E06459" w14:textId="2886A050" w:rsidR="00EE74B8" w:rsidRPr="00AA3319" w:rsidRDefault="00EE74B8" w:rsidP="00EE74B8">
      <w:pPr>
        <w:pStyle w:val="Heading3"/>
        <w:rPr>
          <w:rFonts w:cs="Times New Roman"/>
        </w:rPr>
      </w:pPr>
      <w:bookmarkStart w:id="34" w:name="_Toc78889189"/>
      <w:r w:rsidRPr="00AA3319">
        <w:rPr>
          <w:rFonts w:cs="Times New Roman"/>
        </w:rPr>
        <w:t>Malaria data</w:t>
      </w:r>
      <w:bookmarkEnd w:id="34"/>
    </w:p>
    <w:p w14:paraId="0F7697CE" w14:textId="77777777" w:rsidR="00EE74B8" w:rsidRPr="00093C5E" w:rsidRDefault="00EE74B8" w:rsidP="00EE74B8">
      <w:pPr>
        <w:rPr>
          <w:rFonts w:cs="Times New Roman"/>
          <w:szCs w:val="24"/>
        </w:rPr>
      </w:pPr>
      <w:r w:rsidRPr="00093C5E">
        <w:rPr>
          <w:rFonts w:cs="Times New Roman"/>
          <w:szCs w:val="24"/>
        </w:rPr>
        <w:t xml:space="preserve">Malaria case data were collected at local health posts and health centers, summarized by week for each kebele, and reported to the Amhara Regional Health Bureau. The data included malaria cases of patients who sought care at a health post or health center. </w:t>
      </w:r>
      <w:bookmarkStart w:id="35" w:name="_Hlk69303527"/>
      <w:bookmarkStart w:id="36" w:name="_Hlk69303439"/>
      <w:r w:rsidRPr="00093C5E">
        <w:rPr>
          <w:rFonts w:cs="Times New Roman"/>
          <w:szCs w:val="24"/>
        </w:rPr>
        <w:t>As per national malaria guidelines, all suspected malaria cases at all health facilities were confirmed by multi species rapid diagnostic tests (at rural health posts) or Giemsa based microscopy (at hospitals and health centers).</w:t>
      </w:r>
      <w:bookmarkEnd w:id="35"/>
      <w:r w:rsidRPr="00093C5E">
        <w:rPr>
          <w:rFonts w:cs="Times New Roman"/>
          <w:szCs w:val="24"/>
        </w:rPr>
        <w:t xml:space="preserve"> </w:t>
      </w:r>
      <w:bookmarkEnd w:id="36"/>
      <w:r w:rsidRPr="00093C5E">
        <w:rPr>
          <w:rFonts w:cs="Times New Roman"/>
          <w:szCs w:val="24"/>
        </w:rPr>
        <w:t xml:space="preserve">Weekly summaries included information on the malaria-causing pathogen (total </w:t>
      </w:r>
      <w:r w:rsidRPr="00093C5E">
        <w:rPr>
          <w:rFonts w:cs="Times New Roman"/>
          <w:i/>
          <w:iCs/>
          <w:szCs w:val="24"/>
        </w:rPr>
        <w:t xml:space="preserve">P. falciparum </w:t>
      </w:r>
      <w:r w:rsidRPr="00093C5E">
        <w:rPr>
          <w:rFonts w:cs="Times New Roman"/>
          <w:szCs w:val="24"/>
        </w:rPr>
        <w:t xml:space="preserve">cases, </w:t>
      </w:r>
      <w:r w:rsidRPr="00093C5E">
        <w:rPr>
          <w:rFonts w:cs="Times New Roman"/>
          <w:i/>
          <w:iCs/>
          <w:szCs w:val="24"/>
        </w:rPr>
        <w:t>P. vivax</w:t>
      </w:r>
      <w:r w:rsidRPr="00093C5E">
        <w:rPr>
          <w:rFonts w:cs="Times New Roman"/>
          <w:szCs w:val="24"/>
        </w:rPr>
        <w:t xml:space="preserve"> cases, and mixed infections), age of the patients (above or below 5 years of age), the number of malaria patients with a travel history, and the number of total outpatients seeking care during a given week. </w:t>
      </w:r>
    </w:p>
    <w:p w14:paraId="53AA7BC6" w14:textId="6738A560" w:rsidR="00EE74B8" w:rsidRPr="00093C5E" w:rsidRDefault="00EE74B8" w:rsidP="00EE74B8">
      <w:pPr>
        <w:rPr>
          <w:rFonts w:cs="Times New Roman"/>
          <w:szCs w:val="24"/>
        </w:rPr>
      </w:pPr>
      <w:r w:rsidRPr="00093C5E">
        <w:rPr>
          <w:rFonts w:cs="Times New Roman"/>
          <w:szCs w:val="24"/>
        </w:rPr>
        <w:t xml:space="preserve">Because no recent population data were available at the kebele level, we calculated the proportion of outpatients diagnosed with malaria (hereafter referred to as malaria proportion). </w:t>
      </w:r>
      <w:bookmarkStart w:id="37" w:name="_Hlk69301456"/>
      <w:r w:rsidRPr="00093C5E">
        <w:rPr>
          <w:rFonts w:cs="Times New Roman"/>
          <w:szCs w:val="24"/>
        </w:rPr>
        <w:t xml:space="preserve">This ratio is considered a reliable indicator of malaria burden because it </w:t>
      </w:r>
      <w:r w:rsidRPr="00093C5E">
        <w:rPr>
          <w:rFonts w:cs="Times New Roman"/>
          <w:szCs w:val="24"/>
        </w:rPr>
        <w:lastRenderedPageBreak/>
        <w:t xml:space="preserve">controls for temporal variation in health facility attendance, can be calculated in situations where accurate population data are not available </w:t>
      </w:r>
      <w:r w:rsidRPr="00093C5E">
        <w:rPr>
          <w:rFonts w:cs="Times New Roman"/>
          <w:szCs w:val="24"/>
        </w:rPr>
        <w:fldChar w:fldCharType="begin"/>
      </w:r>
      <w:r w:rsidR="001B184A" w:rsidRPr="00093C5E">
        <w:rPr>
          <w:rFonts w:cs="Times New Roman"/>
          <w:szCs w:val="24"/>
        </w:rPr>
        <w:instrText xml:space="preserve"> ADDIN ZOTERO_ITEM CSL_CITATION {"citationID":"iHou6AnJ","properties":{"formattedCitation":"(Guintran et al., 2006)","plainCitation":"(Guintran et al., 2006)","noteIndex":0},"citationItems":[{"id":3986,"uris":["http://zotero.org/users/5456909/items/8QX7NHDP"],"uri":["http://zotero.org/users/5456909/items/8QX7NHDP"],"itemData":{"id":3986,"type":"report","event-place":"Geneva","publisher":"World Health Organization","publisher-place":"Geneva","title":"Systems for the early detection of malaria epidemics in Africa: an analysis of current practices and future priorities.","author":[{"family":"Guintran","given":"Jean-Olivier"},{"family":"Delacollette","given":"Charles"},{"family":"Trigg","given":"Peter"}],"issued":{"date-parts":[["2006"]]}}}],"schema":"https://github.com/citation-style-language/schema/raw/master/csl-citation.json"} </w:instrText>
      </w:r>
      <w:r w:rsidRPr="00093C5E">
        <w:rPr>
          <w:rFonts w:cs="Times New Roman"/>
          <w:szCs w:val="24"/>
        </w:rPr>
        <w:fldChar w:fldCharType="separate"/>
      </w:r>
      <w:r w:rsidR="002B37C7" w:rsidRPr="00093C5E">
        <w:rPr>
          <w:rFonts w:cs="Times New Roman"/>
          <w:szCs w:val="24"/>
        </w:rPr>
        <w:t>(Guintran et al., 2006)</w:t>
      </w:r>
      <w:r w:rsidRPr="00093C5E">
        <w:rPr>
          <w:rFonts w:cs="Times New Roman"/>
          <w:szCs w:val="24"/>
        </w:rPr>
        <w:fldChar w:fldCharType="end"/>
      </w:r>
      <w:r w:rsidRPr="00093C5E">
        <w:rPr>
          <w:rFonts w:cs="Times New Roman"/>
          <w:szCs w:val="24"/>
        </w:rPr>
        <w:t xml:space="preserve">, and has been used as a measure of malaria burden in previous studies </w:t>
      </w:r>
      <w:bookmarkEnd w:id="37"/>
      <w:r w:rsidRPr="00093C5E">
        <w:rPr>
          <w:rFonts w:cs="Times New Roman"/>
          <w:szCs w:val="24"/>
        </w:rPr>
        <w:t xml:space="preserve">. Although global population datasets like WorldPop </w:t>
      </w:r>
      <w:r w:rsidRPr="00093C5E">
        <w:rPr>
          <w:rFonts w:cs="Times New Roman"/>
          <w:szCs w:val="24"/>
        </w:rPr>
        <w:fldChar w:fldCharType="begin"/>
      </w:r>
      <w:r w:rsidR="00701ADA" w:rsidRPr="00093C5E">
        <w:rPr>
          <w:rFonts w:cs="Times New Roman"/>
          <w:szCs w:val="24"/>
        </w:rPr>
        <w:instrText xml:space="preserve"> ADDIN ZOTERO_ITEM CSL_CITATION {"citationID":"fVSE1Qlp","properties":{"formattedCitation":"(Tatem, 2017)","plainCitation":"(Tatem, 2017)","noteIndex":0},"citationItems":[{"id":4518,"uris":["http://zotero.org/users/5456909/items/VCVQ3F4G"],"uri":["http://zotero.org/users/5456909/items/VCVQ3F4G"],"itemData":{"id":4518,"type":"article-journal","abstract":"High resolution, contemporary data on human population distributions, their characteristics and changes over time are a prerequisite for the accurate measurement of the impacts of population growth, for monitoring changes and for planning interventions. WorldPop aims to meet these needs through the provision of detailed and open access spatial demographic datasets built using transparent approaches. The Scientific Data WorldPop collection brings together descriptor papers on these datasets and is introduced here.","container-title":"Scientific Data","ISSN":"2052-4463","issue":"1","journalAbbreviation":"Sci Data","language":"en","note":"number: 1\npublisher: Nature Publishing Group","page":"170004","source":"www.nature.com","title":"WorldPop, open data for spatial demography","volume":"4","author":[{"family":"Tatem","given":"Andrew J."}],"issued":{"date-parts":[["2017",1,31]]}}}],"schema":"https://github.com/citation-style-language/schema/raw/master/csl-citation.json"} </w:instrText>
      </w:r>
      <w:r w:rsidRPr="00093C5E">
        <w:rPr>
          <w:rFonts w:cs="Times New Roman"/>
          <w:szCs w:val="24"/>
        </w:rPr>
        <w:fldChar w:fldCharType="separate"/>
      </w:r>
      <w:r w:rsidR="002B37C7" w:rsidRPr="00093C5E">
        <w:rPr>
          <w:rFonts w:cs="Times New Roman"/>
          <w:szCs w:val="24"/>
        </w:rPr>
        <w:t>(Tatem, 2017)</w:t>
      </w:r>
      <w:r w:rsidRPr="00093C5E">
        <w:rPr>
          <w:rFonts w:cs="Times New Roman"/>
          <w:szCs w:val="24"/>
        </w:rPr>
        <w:fldChar w:fldCharType="end"/>
      </w:r>
      <w:r w:rsidRPr="00093C5E">
        <w:rPr>
          <w:rFonts w:cs="Times New Roman"/>
          <w:szCs w:val="24"/>
        </w:rPr>
        <w:t xml:space="preserve"> and LandScan </w:t>
      </w:r>
      <w:r w:rsidRPr="00093C5E">
        <w:rPr>
          <w:rFonts w:cs="Times New Roman"/>
          <w:szCs w:val="24"/>
        </w:rPr>
        <w:fldChar w:fldCharType="begin"/>
      </w:r>
      <w:r w:rsidR="00531D94" w:rsidRPr="00093C5E">
        <w:rPr>
          <w:rFonts w:cs="Times New Roman"/>
          <w:szCs w:val="24"/>
        </w:rPr>
        <w:instrText xml:space="preserve"> ADDIN ZOTERO_ITEM CSL_CITATION {"citationID":"1c4DP9XC","properties":{"formattedCitation":"(Dobson et al., 2000)","plainCitation":"(Dobson et al., 2000)","noteIndex":0},"citationItems":[{"id":4523,"uris":["http://zotero.org/users/5456909/items/RT54AME4"],"uri":["http://zotero.org/users/5456909/items/RT54AME4"],"itemData":{"id":4523,"type":"article-journal","container-title":"Photogrammetric Engineering &amp; Remote Sensing","language":"en","page":"849-857","title":"LandScan: a global population database for estimating populations at risk","title-short":"LandScan","volume":"66","author":[{"family":"Dobson","given":"Jerome E."},{"family":"Bright","given":"Edward A."},{"family":"Coleman","given":"Phillip R."},{"family":"Durfee","given":"Richard C."},{"family":"Worley","given":"Brian A."}],"issued":{"date-parts":[["2000"]]}}}],"schema":"https://github.com/citation-style-language/schema/raw/master/csl-citation.json"} </w:instrText>
      </w:r>
      <w:r w:rsidRPr="00093C5E">
        <w:rPr>
          <w:rFonts w:cs="Times New Roman"/>
          <w:szCs w:val="24"/>
        </w:rPr>
        <w:fldChar w:fldCharType="separate"/>
      </w:r>
      <w:r w:rsidR="002B37C7" w:rsidRPr="00093C5E">
        <w:rPr>
          <w:rFonts w:cs="Times New Roman"/>
          <w:szCs w:val="24"/>
        </w:rPr>
        <w:t>(Dobson et al., 2000)</w:t>
      </w:r>
      <w:r w:rsidRPr="00093C5E">
        <w:rPr>
          <w:rFonts w:cs="Times New Roman"/>
          <w:szCs w:val="24"/>
        </w:rPr>
        <w:fldChar w:fldCharType="end"/>
      </w:r>
      <w:r w:rsidRPr="00093C5E">
        <w:rPr>
          <w:rFonts w:cs="Times New Roman"/>
          <w:szCs w:val="24"/>
        </w:rPr>
        <w:t xml:space="preserve"> are also available, we decided not to use them because we were not able to validate their accuracy a</w:t>
      </w:r>
      <w:r w:rsidR="00EE7B61">
        <w:rPr>
          <w:rFonts w:cs="Times New Roman"/>
          <w:szCs w:val="24"/>
        </w:rPr>
        <w:t>t</w:t>
      </w:r>
      <w:r w:rsidRPr="00093C5E">
        <w:rPr>
          <w:rFonts w:cs="Times New Roman"/>
          <w:szCs w:val="24"/>
        </w:rPr>
        <w:t xml:space="preserve"> the kebele level within ou</w:t>
      </w:r>
      <w:r w:rsidR="00EE7B61">
        <w:rPr>
          <w:rFonts w:cs="Times New Roman"/>
          <w:szCs w:val="24"/>
        </w:rPr>
        <w:t>r</w:t>
      </w:r>
      <w:r w:rsidRPr="00093C5E">
        <w:rPr>
          <w:rFonts w:cs="Times New Roman"/>
          <w:szCs w:val="24"/>
        </w:rPr>
        <w:t xml:space="preserve"> study area.</w:t>
      </w:r>
    </w:p>
    <w:p w14:paraId="4E5B2EC6" w14:textId="77777777" w:rsidR="00EE74B8" w:rsidRPr="00093C5E" w:rsidRDefault="00EE74B8" w:rsidP="00EE74B8">
      <w:pPr>
        <w:rPr>
          <w:rFonts w:cs="Times New Roman"/>
          <w:szCs w:val="24"/>
        </w:rPr>
      </w:pPr>
      <w:r w:rsidRPr="00093C5E">
        <w:rPr>
          <w:rFonts w:cs="Times New Roman"/>
          <w:szCs w:val="24"/>
        </w:rPr>
        <w:t xml:space="preserve">The case data ranged from September 2013 to July 2018. However, we only used data from 2014-2017, as these were available for the entire year. Out of 472 reporting health posts or health centers, we did not have reliable location data for six. Together, these six reported only 23 malaria cases for the entire time frame and their exclusion was not expected to influence the results. </w:t>
      </w:r>
    </w:p>
    <w:p w14:paraId="1B1E4596" w14:textId="316F5766" w:rsidR="00EE74B8" w:rsidRPr="00093C5E" w:rsidRDefault="00EE74B8" w:rsidP="00EE74B8">
      <w:pPr>
        <w:rPr>
          <w:rFonts w:cs="Times New Roman"/>
          <w:szCs w:val="24"/>
        </w:rPr>
      </w:pPr>
      <w:bookmarkStart w:id="38" w:name="_Hlk69302840"/>
      <w:r w:rsidRPr="00093C5E">
        <w:rPr>
          <w:rFonts w:cs="Times New Roman"/>
          <w:szCs w:val="24"/>
        </w:rPr>
        <w:t xml:space="preserve">Epidemiological data were summarized for all health posts within a kebele and for each year to produce a kebele-wide annual tally of total malaria cases. For treatment and reporting purposes, malaria cases are grouped into two categories: 1) </w:t>
      </w:r>
      <w:r w:rsidRPr="00093C5E">
        <w:rPr>
          <w:rFonts w:cs="Times New Roman"/>
          <w:i/>
          <w:szCs w:val="24"/>
        </w:rPr>
        <w:t>P. falciparum</w:t>
      </w:r>
      <w:r w:rsidRPr="00093C5E">
        <w:rPr>
          <w:rFonts w:cs="Times New Roman"/>
          <w:szCs w:val="24"/>
        </w:rPr>
        <w:t xml:space="preserve"> plus mixed infections, 2) </w:t>
      </w:r>
      <w:r w:rsidRPr="00093C5E">
        <w:rPr>
          <w:rFonts w:cs="Times New Roman"/>
          <w:i/>
          <w:szCs w:val="24"/>
        </w:rPr>
        <w:t>P. vivax</w:t>
      </w:r>
      <w:r w:rsidRPr="00093C5E">
        <w:rPr>
          <w:rFonts w:cs="Times New Roman"/>
          <w:szCs w:val="24"/>
        </w:rPr>
        <w:t xml:space="preserve"> only. We additionally summarized total malaria cases. </w:t>
      </w:r>
      <w:bookmarkEnd w:id="38"/>
      <w:r w:rsidRPr="00093C5E">
        <w:rPr>
          <w:rFonts w:cs="Times New Roman"/>
          <w:szCs w:val="24"/>
        </w:rPr>
        <w:t xml:space="preserve">To detect statistically significant spatial clusters in malaria occurrence, we performed a scan statistic using SaTScan software version 9.6 </w:t>
      </w:r>
      <w:r w:rsidRPr="00093C5E">
        <w:rPr>
          <w:rFonts w:cs="Times New Roman"/>
          <w:szCs w:val="24"/>
        </w:rPr>
        <w:fldChar w:fldCharType="begin"/>
      </w:r>
      <w:r w:rsidR="001B184A" w:rsidRPr="00093C5E">
        <w:rPr>
          <w:rFonts w:cs="Times New Roman"/>
          <w:szCs w:val="24"/>
        </w:rPr>
        <w:instrText xml:space="preserve"> ADDIN ZOTERO_ITEM CSL_CITATION {"citationID":"1LpDuVDv","properties":{"formattedCitation":"(Kulldorff, 2018)","plainCitation":"(Kulldorff, 2018)","noteIndex":0},"citationItems":[{"id":508,"uris":["http://zotero.org/users/5456909/items/Y27MLSEV"],"uri":["http://zotero.org/users/5456909/items/Y27MLSEV"],"itemData":{"id":508,"type":"book","title":"SaTScan TM User Guide","author":[{"family":"Kulldorff","given":"Martin"}],"issued":{"date-parts":[["2018"]]}}}],"schema":"https://github.com/citation-style-language/schema/raw/master/csl-citation.json"} </w:instrText>
      </w:r>
      <w:r w:rsidRPr="00093C5E">
        <w:rPr>
          <w:rFonts w:cs="Times New Roman"/>
          <w:szCs w:val="24"/>
        </w:rPr>
        <w:fldChar w:fldCharType="separate"/>
      </w:r>
      <w:r w:rsidR="002B37C7" w:rsidRPr="00093C5E">
        <w:rPr>
          <w:rFonts w:cs="Times New Roman"/>
          <w:szCs w:val="24"/>
        </w:rPr>
        <w:t>(Kulldorff, 2018)</w:t>
      </w:r>
      <w:r w:rsidRPr="00093C5E">
        <w:rPr>
          <w:rFonts w:cs="Times New Roman"/>
          <w:szCs w:val="24"/>
        </w:rPr>
        <w:fldChar w:fldCharType="end"/>
      </w:r>
      <w:r w:rsidRPr="00093C5E">
        <w:rPr>
          <w:rFonts w:cs="Times New Roman"/>
          <w:szCs w:val="24"/>
        </w:rPr>
        <w:t xml:space="preserve">. We ran a retrospective purely spatial discrete Poisson model with total outpatients as the population at risk. The scan statistic was performed with an elliptical window for each year and each malaria pathogen group (total malaria cases, </w:t>
      </w:r>
      <w:r w:rsidRPr="00093C5E">
        <w:rPr>
          <w:rFonts w:cs="Times New Roman"/>
          <w:i/>
          <w:szCs w:val="24"/>
        </w:rPr>
        <w:t xml:space="preserve">P. falciparum + </w:t>
      </w:r>
      <w:r w:rsidRPr="00093C5E">
        <w:rPr>
          <w:rFonts w:cs="Times New Roman"/>
          <w:szCs w:val="24"/>
        </w:rPr>
        <w:t xml:space="preserve">mixed cases, and </w:t>
      </w:r>
      <w:r w:rsidRPr="00093C5E">
        <w:rPr>
          <w:rFonts w:cs="Times New Roman"/>
          <w:i/>
          <w:szCs w:val="24"/>
        </w:rPr>
        <w:t>P. vivax</w:t>
      </w:r>
      <w:r w:rsidRPr="00093C5E">
        <w:rPr>
          <w:rFonts w:cs="Times New Roman"/>
          <w:szCs w:val="24"/>
        </w:rPr>
        <w:t xml:space="preserve"> cases) separately. After determining the spatial clusters for each year, we then identified stable hot spots (areas with recurring clusters in three or four years), unstable hot spots (clusters </w:t>
      </w:r>
      <w:r w:rsidRPr="00093C5E">
        <w:rPr>
          <w:rFonts w:cs="Times New Roman"/>
          <w:szCs w:val="24"/>
        </w:rPr>
        <w:lastRenderedPageBreak/>
        <w:t xml:space="preserve">in one or two years), and areas that were never identified as clusters. More details on the SaTScan analysis can be found in </w:t>
      </w:r>
      <w:r w:rsidR="00BC1366">
        <w:rPr>
          <w:rFonts w:cs="Times New Roman"/>
          <w:szCs w:val="24"/>
        </w:rPr>
        <w:t>chapter 2.6</w:t>
      </w:r>
      <w:r w:rsidRPr="00093C5E">
        <w:rPr>
          <w:rFonts w:cs="Times New Roman"/>
          <w:szCs w:val="24"/>
        </w:rPr>
        <w:t>.</w:t>
      </w:r>
    </w:p>
    <w:p w14:paraId="51B51B3A" w14:textId="1197A034" w:rsidR="00EE74B8" w:rsidRPr="00AA3319" w:rsidRDefault="00EE74B8" w:rsidP="00EE74B8">
      <w:pPr>
        <w:pStyle w:val="Heading3"/>
        <w:rPr>
          <w:rFonts w:cs="Times New Roman"/>
        </w:rPr>
      </w:pPr>
      <w:bookmarkStart w:id="39" w:name="_Toc78889190"/>
      <w:r w:rsidRPr="00AA3319">
        <w:rPr>
          <w:rFonts w:cs="Times New Roman"/>
        </w:rPr>
        <w:t>Environmental variables</w:t>
      </w:r>
      <w:bookmarkEnd w:id="39"/>
    </w:p>
    <w:p w14:paraId="2D4D2AA4" w14:textId="0AE865F7" w:rsidR="00766DF8" w:rsidRPr="00AA3319" w:rsidRDefault="00EE74B8" w:rsidP="00C47789">
      <w:pPr>
        <w:rPr>
          <w:rFonts w:cs="Times New Roman"/>
        </w:rPr>
      </w:pPr>
      <w:bookmarkStart w:id="40" w:name="_Hlk71312310"/>
      <w:bookmarkStart w:id="41" w:name="_Hlk69386474"/>
      <w:r w:rsidRPr="00AA3319">
        <w:rPr>
          <w:rFonts w:cs="Times New Roman"/>
        </w:rPr>
        <w:t xml:space="preserve">Two types of explanatory environmental variables were used to investigate malaria case patterns: dynamic and static variables (Table </w:t>
      </w:r>
      <w:r w:rsidR="0021152F">
        <w:rPr>
          <w:rFonts w:cs="Times New Roman"/>
        </w:rPr>
        <w:t>2-</w:t>
      </w:r>
      <w:r w:rsidRPr="00AA3319">
        <w:rPr>
          <w:rFonts w:cs="Times New Roman"/>
        </w:rPr>
        <w:t xml:space="preserve">1). </w:t>
      </w:r>
      <w:bookmarkEnd w:id="40"/>
      <w:r w:rsidRPr="00AA3319">
        <w:rPr>
          <w:rFonts w:cs="Times New Roman"/>
          <w:i/>
        </w:rPr>
        <w:t>Dynamic variables</w:t>
      </w:r>
      <w:r w:rsidRPr="00AA3319">
        <w:rPr>
          <w:rFonts w:cs="Times New Roman"/>
        </w:rPr>
        <w:t xml:space="preserve"> included environmental conditions that were expected to vary between and within years</w:t>
      </w:r>
      <w:r w:rsidRPr="00AA3319">
        <w:rPr>
          <w:rFonts w:cs="Times New Roman"/>
          <w:iCs/>
        </w:rPr>
        <w:t>, such as</w:t>
      </w:r>
      <w:r w:rsidRPr="00AA3319">
        <w:rPr>
          <w:rFonts w:cs="Times New Roman"/>
          <w:i/>
        </w:rPr>
        <w:t xml:space="preserve"> </w:t>
      </w:r>
      <w:r w:rsidRPr="00AA3319">
        <w:rPr>
          <w:rFonts w:cs="Times New Roman"/>
        </w:rPr>
        <w:t xml:space="preserve">land surface temperature and remotely sensed greenness and moisture indices. </w:t>
      </w:r>
      <w:r w:rsidRPr="00AA3319">
        <w:rPr>
          <w:rFonts w:cs="Times New Roman"/>
          <w:i/>
          <w:iCs/>
        </w:rPr>
        <w:t>Static</w:t>
      </w:r>
      <w:r w:rsidRPr="00AA3319">
        <w:rPr>
          <w:rFonts w:cs="Times New Roman"/>
        </w:rPr>
        <w:t xml:space="preserve"> variables included variables related to land cover, land use, and physiography that were not expected to vary substantially from year to year</w:t>
      </w:r>
      <w:bookmarkStart w:id="42" w:name="_Hlk71312374"/>
      <w:r w:rsidRPr="00AA3319">
        <w:rPr>
          <w:rFonts w:cs="Times New Roman"/>
        </w:rPr>
        <w:t>. All satellite data were reprojected to UTM zone 37 before we calculated zonal summaries for each kebele.</w:t>
      </w:r>
      <w:bookmarkEnd w:id="42"/>
      <w:r w:rsidRPr="00AA3319">
        <w:rPr>
          <w:rFonts w:cs="Times New Roman"/>
        </w:rPr>
        <w:t xml:space="preserve"> Maps of summaries of selected variables are shown in Figure </w:t>
      </w:r>
      <w:r w:rsidR="00064D1B" w:rsidRPr="00AA3319">
        <w:rPr>
          <w:rFonts w:cs="Times New Roman"/>
        </w:rPr>
        <w:t>2-</w:t>
      </w:r>
      <w:r w:rsidRPr="00AA3319">
        <w:rPr>
          <w:rFonts w:cs="Times New Roman"/>
        </w:rPr>
        <w:t xml:space="preserve">2. Additional baseline maps of land cover, settlements, and topography can be found in </w:t>
      </w:r>
      <w:r w:rsidR="00BC1366">
        <w:rPr>
          <w:rFonts w:cs="Times New Roman"/>
        </w:rPr>
        <w:t>figures 2.7 and 2.8</w:t>
      </w:r>
      <w:r w:rsidRPr="00AA3319">
        <w:rPr>
          <w:rFonts w:cs="Times New Roman"/>
        </w:rPr>
        <w:t>.</w:t>
      </w:r>
    </w:p>
    <w:p w14:paraId="7769B5C7" w14:textId="116A6183" w:rsidR="00C47789" w:rsidRPr="00AA3319" w:rsidRDefault="00C47789" w:rsidP="00C47789">
      <w:pPr>
        <w:pStyle w:val="Caption"/>
        <w:keepNext/>
        <w:ind w:firstLine="0"/>
        <w:rPr>
          <w:rFonts w:cs="Times New Roman"/>
        </w:rPr>
      </w:pPr>
      <w:bookmarkStart w:id="43" w:name="_Toc78879968"/>
      <w:r w:rsidRPr="00AA3319">
        <w:rPr>
          <w:rFonts w:cs="Times New Roman"/>
        </w:rPr>
        <w:t xml:space="preserve">Table </w:t>
      </w:r>
      <w:r w:rsidR="00BC1366">
        <w:rPr>
          <w:rFonts w:cs="Times New Roman"/>
        </w:rPr>
        <w:fldChar w:fldCharType="begin"/>
      </w:r>
      <w:r w:rsidR="00BC1366">
        <w:rPr>
          <w:rFonts w:cs="Times New Roman"/>
        </w:rPr>
        <w:instrText xml:space="preserve"> STYLEREF 1 \s </w:instrText>
      </w:r>
      <w:r w:rsidR="00BC1366">
        <w:rPr>
          <w:rFonts w:cs="Times New Roman"/>
        </w:rPr>
        <w:fldChar w:fldCharType="separate"/>
      </w:r>
      <w:r w:rsidR="00F243F7">
        <w:rPr>
          <w:rFonts w:cs="Times New Roman"/>
          <w:noProof/>
        </w:rPr>
        <w:t>2</w:t>
      </w:r>
      <w:r w:rsidR="00BC1366">
        <w:rPr>
          <w:rFonts w:cs="Times New Roman"/>
        </w:rPr>
        <w:fldChar w:fldCharType="end"/>
      </w:r>
      <w:r w:rsidR="00BC1366">
        <w:rPr>
          <w:rFonts w:cs="Times New Roman"/>
        </w:rPr>
        <w:noBreakHyphen/>
      </w:r>
      <w:r w:rsidR="00BC1366">
        <w:rPr>
          <w:rFonts w:cs="Times New Roman"/>
        </w:rPr>
        <w:fldChar w:fldCharType="begin"/>
      </w:r>
      <w:r w:rsidR="00BC1366">
        <w:rPr>
          <w:rFonts w:cs="Times New Roman"/>
        </w:rPr>
        <w:instrText xml:space="preserve"> SEQ Table \* ARABIC \s 1 </w:instrText>
      </w:r>
      <w:r w:rsidR="00BC1366">
        <w:rPr>
          <w:rFonts w:cs="Times New Roman"/>
        </w:rPr>
        <w:fldChar w:fldCharType="separate"/>
      </w:r>
      <w:r w:rsidR="00F243F7">
        <w:rPr>
          <w:rFonts w:cs="Times New Roman"/>
          <w:noProof/>
        </w:rPr>
        <w:t>1</w:t>
      </w:r>
      <w:r w:rsidR="00BC1366">
        <w:rPr>
          <w:rFonts w:cs="Times New Roman"/>
        </w:rPr>
        <w:fldChar w:fldCharType="end"/>
      </w:r>
      <w:r w:rsidRPr="00AA3319">
        <w:rPr>
          <w:rFonts w:cs="Times New Roman"/>
        </w:rPr>
        <w:t>: List of static and dynamic variables used to predict malaria proportion.</w:t>
      </w:r>
      <w:bookmarkEnd w:id="43"/>
    </w:p>
    <w:p w14:paraId="4E3F6E0A" w14:textId="78AD3D0D" w:rsidR="002A3087" w:rsidRPr="00AA3319" w:rsidRDefault="002A3087" w:rsidP="00EE74B8">
      <w:pPr>
        <w:rPr>
          <w:rFonts w:cs="Times New Roman"/>
        </w:rPr>
      </w:pPr>
      <w:r w:rsidRPr="00AA3319">
        <w:rPr>
          <w:rFonts w:cs="Times New Roman"/>
          <w:noProof/>
          <w:sz w:val="20"/>
          <w:szCs w:val="20"/>
        </w:rPr>
        <w:drawing>
          <wp:inline distT="0" distB="0" distL="0" distR="0" wp14:anchorId="290C261E" wp14:editId="1B668679">
            <wp:extent cx="5623268" cy="2362200"/>
            <wp:effectExtent l="0" t="0" r="0" b="0"/>
            <wp:docPr id="12" name="Picture 6">
              <a:extLst xmlns:a="http://schemas.openxmlformats.org/drawingml/2006/main">
                <a:ext uri="{FF2B5EF4-FFF2-40B4-BE49-F238E27FC236}">
                  <a16:creationId xmlns:a16="http://schemas.microsoft.com/office/drawing/2014/main" id="{542E1E67-1E50-4830-BBC6-EA0F8A71F9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542E1E67-1E50-4830-BBC6-EA0F8A71F944}"/>
                        </a:ext>
                      </a:extLst>
                    </pic:cNvPr>
                    <pic:cNvPicPr>
                      <a:picLocks noChangeAspect="1"/>
                    </pic:cNvPicPr>
                  </pic:nvPicPr>
                  <pic:blipFill rotWithShape="1">
                    <a:blip r:embed="rId11"/>
                    <a:srcRect l="12219" t="32053" r="11619" b="11058"/>
                    <a:stretch/>
                  </pic:blipFill>
                  <pic:spPr bwMode="auto">
                    <a:xfrm>
                      <a:off x="0" y="0"/>
                      <a:ext cx="5627461" cy="2363961"/>
                    </a:xfrm>
                    <a:prstGeom prst="rect">
                      <a:avLst/>
                    </a:prstGeom>
                    <a:ln>
                      <a:noFill/>
                    </a:ln>
                    <a:extLst>
                      <a:ext uri="{53640926-AAD7-44D8-BBD7-CCE9431645EC}">
                        <a14:shadowObscured xmlns:a14="http://schemas.microsoft.com/office/drawing/2010/main"/>
                      </a:ext>
                    </a:extLst>
                  </pic:spPr>
                </pic:pic>
              </a:graphicData>
            </a:graphic>
          </wp:inline>
        </w:drawing>
      </w:r>
    </w:p>
    <w:bookmarkEnd w:id="41"/>
    <w:p w14:paraId="09C5C80D" w14:textId="4814A303" w:rsidR="00EE74B8" w:rsidRPr="00093C5E" w:rsidRDefault="00EE74B8" w:rsidP="00EE74B8">
      <w:pPr>
        <w:rPr>
          <w:rFonts w:cs="Times New Roman"/>
          <w:szCs w:val="24"/>
        </w:rPr>
      </w:pPr>
      <w:r w:rsidRPr="00093C5E">
        <w:rPr>
          <w:rFonts w:cs="Times New Roman"/>
          <w:szCs w:val="24"/>
        </w:rPr>
        <w:t xml:space="preserve">Temperature data were derived from the MODIS Terra Land Surface Temperature and Emissivity Product (MOD11A2) </w:t>
      </w:r>
      <w:r w:rsidRPr="00093C5E">
        <w:rPr>
          <w:rFonts w:cs="Times New Roman"/>
          <w:szCs w:val="24"/>
        </w:rPr>
        <w:fldChar w:fldCharType="begin"/>
      </w:r>
      <w:r w:rsidR="001B184A" w:rsidRPr="00093C5E">
        <w:rPr>
          <w:rFonts w:cs="Times New Roman"/>
          <w:szCs w:val="24"/>
        </w:rPr>
        <w:instrText xml:space="preserve"> ADDIN ZOTERO_ITEM CSL_CITATION {"citationID":"wlZ2ZSWK","properties":{"formattedCitation":"(Wan et al., 2015)","plainCitation":"(Wan et al., 2015)","noteIndex":0},"citationItems":[{"id":3939,"uris":["http://zotero.org/users/5456909/items/N95U3KJ6"],"uri":["http://zotero.org/users/5456909/items/N95U3KJ6"],"itemData":{"id":3939,"type":"book","publisher":"NASA EOSDIS Land Processes DAAC","title":"MOD11A2 MODIS/Terra land surface temperature/emissivity 8-day L3 global 1km SIN grid V006","author":[{"family":"Wan","given":"Z"},{"family":"Hook","given":"S"},{"family":"Hulley","given":"G"}],"issued":{"date-parts":[["2015"]]}}}],"schema":"https://github.com/citation-style-language/schema/raw/master/csl-citation.json"} </w:instrText>
      </w:r>
      <w:r w:rsidRPr="00093C5E">
        <w:rPr>
          <w:rFonts w:cs="Times New Roman"/>
          <w:szCs w:val="24"/>
        </w:rPr>
        <w:fldChar w:fldCharType="separate"/>
      </w:r>
      <w:r w:rsidR="002B37C7" w:rsidRPr="00093C5E">
        <w:rPr>
          <w:rFonts w:cs="Times New Roman"/>
          <w:szCs w:val="24"/>
        </w:rPr>
        <w:t>(Wan et al., 2015)</w:t>
      </w:r>
      <w:r w:rsidRPr="00093C5E">
        <w:rPr>
          <w:rFonts w:cs="Times New Roman"/>
          <w:szCs w:val="24"/>
        </w:rPr>
        <w:fldChar w:fldCharType="end"/>
      </w:r>
      <w:r w:rsidRPr="00093C5E">
        <w:rPr>
          <w:rFonts w:cs="Times New Roman"/>
          <w:szCs w:val="24"/>
        </w:rPr>
        <w:t xml:space="preserve">. These data have a spatial resolution </w:t>
      </w:r>
      <w:r w:rsidRPr="00093C5E">
        <w:rPr>
          <w:rFonts w:cs="Times New Roman"/>
          <w:szCs w:val="24"/>
        </w:rPr>
        <w:lastRenderedPageBreak/>
        <w:t>of 1km and are provided as 8-day composites. We used daytime observations to reduce the problem of missing data from nighttime clouds. Data were filtered using the quality assurance flags to only include observations with an average LST error of below 2 °K. Temperature values were then converted to °C.</w:t>
      </w:r>
    </w:p>
    <w:p w14:paraId="039860DC" w14:textId="02DCF13E" w:rsidR="00EE74B8" w:rsidRPr="00093C5E" w:rsidRDefault="00EE74B8" w:rsidP="00EE74B8">
      <w:pPr>
        <w:rPr>
          <w:rFonts w:cs="Times New Roman"/>
          <w:szCs w:val="24"/>
        </w:rPr>
      </w:pPr>
      <w:r w:rsidRPr="00093C5E">
        <w:rPr>
          <w:rFonts w:cs="Times New Roman"/>
          <w:szCs w:val="24"/>
        </w:rPr>
        <w:t xml:space="preserve">Spectral indices measuring vegetation greenness and surface moisture were derived from daily 500 m spatial resolution MODIS Nadir BRDF-Adjusted Reflectance data (MCD43A4) </w:t>
      </w:r>
      <w:r w:rsidRPr="00093C5E">
        <w:rPr>
          <w:rFonts w:cs="Times New Roman"/>
          <w:szCs w:val="24"/>
        </w:rPr>
        <w:fldChar w:fldCharType="begin"/>
      </w:r>
      <w:r w:rsidR="002B37C7" w:rsidRPr="00093C5E">
        <w:rPr>
          <w:rFonts w:cs="Times New Roman"/>
          <w:szCs w:val="24"/>
        </w:rPr>
        <w:instrText xml:space="preserve"> ADDIN ZOTERO_ITEM CSL_CITATION {"citationID":"oVqsI66v","properties":{"formattedCitation":"(Schaaf and Wang, 2015)","plainCitation":"(Schaaf and Wang, 2015)","noteIndex":0},"citationItems":[{"id":1172,"uris":["http://zotero.org/users/5456909/items/ZN9BTFQB"],"uri":["http://zotero.org/users/5456909/items/ZN9BTFQB"],"itemData":{"id":1172,"type":"article-journal","title":"MCD43C4 MODIS/Terra+Aqua BRDF/Albedo Nadir BRDF-Adjusted Ref Daily L3 Global 0.05Deg CMG V006 [Data set]","author":[{"family":"Schaaf","given":"C."},{"family":"Wang","given":"Z."}],"issued":{"date-parts":[["2015"]]}}}],"schema":"https://github.com/citation-style-language/schema/raw/master/csl-citation.json"} </w:instrText>
      </w:r>
      <w:r w:rsidRPr="00093C5E">
        <w:rPr>
          <w:rFonts w:cs="Times New Roman"/>
          <w:szCs w:val="24"/>
        </w:rPr>
        <w:fldChar w:fldCharType="separate"/>
      </w:r>
      <w:r w:rsidR="002B37C7" w:rsidRPr="00093C5E">
        <w:rPr>
          <w:rFonts w:cs="Times New Roman"/>
          <w:szCs w:val="24"/>
        </w:rPr>
        <w:t>(Schaaf and Wang, 2015)</w:t>
      </w:r>
      <w:r w:rsidRPr="00093C5E">
        <w:rPr>
          <w:rFonts w:cs="Times New Roman"/>
          <w:szCs w:val="24"/>
        </w:rPr>
        <w:fldChar w:fldCharType="end"/>
      </w:r>
      <w:r w:rsidRPr="00093C5E">
        <w:rPr>
          <w:rFonts w:cs="Times New Roman"/>
          <w:szCs w:val="24"/>
        </w:rPr>
        <w:t xml:space="preserve">. We applied a data quality filter using the BRDF/Albedo quality product (MCD43A2) and only included observations that were flagged as land and were “good” or “best” quality. We then calculated the Normalized Difference Vegetation Index (NDVI) </w:t>
      </w:r>
      <w:r w:rsidRPr="00093C5E">
        <w:rPr>
          <w:rFonts w:cs="Times New Roman"/>
          <w:szCs w:val="24"/>
        </w:rPr>
        <w:fldChar w:fldCharType="begin"/>
      </w:r>
      <w:r w:rsidR="00FF3DA9" w:rsidRPr="00093C5E">
        <w:rPr>
          <w:rFonts w:cs="Times New Roman"/>
          <w:szCs w:val="24"/>
        </w:rPr>
        <w:instrText xml:space="preserve"> ADDIN ZOTERO_ITEM CSL_CITATION {"citationID":"46701cea","properties":{"formattedCitation":"(Tucker, 1979)","plainCitation":"(Tucker, 1979)","noteIndex":0},"citationItems":[{"id":663,"uris":["http://zotero.org/users/5456909/items/2G52PXE8"],"uri":["http://zotero.org/users/5456909/items/2G52PXE8"],"itemData":{"id":663,"type":"article-journal","abstract":"In situ collected spectrometer data were used to evaluate and quantify the relationships between various linear combinations of red and photographic infrared radiances and experimental plot biomass, leaf water content, and chlorophyll content. The radiance variables evaluated included the red and photographic infrared (IR) radiance and the linear combinations of the IR/red ratio, the square root of the IR/red ratio, the IR-red difference, the vegetation index, and the transformed vegetation index. In addition, the corresponding green and red linear combinations were evaluated for comparative purposes. Three data sets were used from June, September, and October sampling periods. Regression analysis showed the increased utility of the IR and red linear combinations vis-à-vis the same green and red linear combinations. The red and IR linear combinations had 7% and 14% greater regression significance than the green and red linear combinations for the June and September sampling periods, respectively. The vegetation index, transformed vegetation index, and square root of the IR/red ratio were the most significant, followed closely by the IR/red ratio. Less than a 6% difference separated the highest and lowest of these four ER and red linear combinations. The use of these linear combinations was shown to be sensitive primarily to the green leaf area or green leaf biomass. As such, these linear combinations of the red and photographic IR radiances can be employed to monitor the photosynthetically active biomass of plant canopies.","container-title":"Remote Sensing of Environment","issue":"2","page":"127-150","title":"Red and photographic infrared linear combinations for monitoring vegetation","volume":"8","author":[{"family":"Tucker","given":"Compton J."}],"issued":{"date-parts":[["1979",5]]}}}],"schema":"https://github.com/citation-style-language/schema/raw/master/csl-citation.json"} </w:instrText>
      </w:r>
      <w:r w:rsidRPr="00093C5E">
        <w:rPr>
          <w:rFonts w:cs="Times New Roman"/>
          <w:szCs w:val="24"/>
        </w:rPr>
        <w:fldChar w:fldCharType="separate"/>
      </w:r>
      <w:r w:rsidR="002B37C7" w:rsidRPr="00093C5E">
        <w:rPr>
          <w:rFonts w:cs="Times New Roman"/>
          <w:szCs w:val="24"/>
        </w:rPr>
        <w:t>(Tucker, 1979)</w:t>
      </w:r>
      <w:r w:rsidRPr="00093C5E">
        <w:rPr>
          <w:rFonts w:cs="Times New Roman"/>
          <w:szCs w:val="24"/>
        </w:rPr>
        <w:fldChar w:fldCharType="end"/>
      </w:r>
      <w:r w:rsidRPr="00093C5E">
        <w:rPr>
          <w:rFonts w:cs="Times New Roman"/>
          <w:szCs w:val="24"/>
        </w:rPr>
        <w:t xml:space="preserve">, as well as a Normalized Difference Moisture Index (NDMI) </w:t>
      </w:r>
      <w:r w:rsidRPr="00093C5E">
        <w:rPr>
          <w:rFonts w:cs="Times New Roman"/>
          <w:szCs w:val="24"/>
        </w:rPr>
        <w:fldChar w:fldCharType="begin"/>
      </w:r>
      <w:r w:rsidR="00D5378A" w:rsidRPr="00093C5E">
        <w:rPr>
          <w:rFonts w:cs="Times New Roman"/>
          <w:szCs w:val="24"/>
        </w:rPr>
        <w:instrText xml:space="preserve"> ADDIN ZOTERO_ITEM CSL_CITATION {"citationID":"PDiW4Doe","properties":{"formattedCitation":"(Gao, 1996)","plainCitation":"(Gao, 1996)","noteIndex":0},"citationItems":[{"id":1686,"uris":["http://zotero.org/users/5456909/items/Y594I9NP"],"uri":["http://zotero.org/users/5456909/items/Y594I9NP"],"itemData":{"id":1686,"type":"article-journal","abstract":"The normalized difference vegetation index (NDVI) has been widely used for remote sensing of vegetation for many years. This index uses radiances or reflectances from a red channel around 0.66 μm and a near-IR channel around 0.86 μm. The red channel is located in the strong chlorophyll absorption region, while the near-IR channel is located in the high reflectance plateau of vegetation canopies. The two channels sense very different depths through vegetation canopies. In this article, another index, namely the normalized difference water index (NDWI), is proposed for remote sensing of vegetation liquid water from space. NDWI is defined as (p(0.86 μm) - ρ(1.24 μm))/(ρ(0.86 μm) + ρ(1.24 μm)), where ρ represents the radiance in reflectance units. Both the 0.86-μm and the 1.24-μm channels are located in the high reflectance plateau of vegetation canopies. They sense similar depths through vegetation canopies. They sense similar depths through vegetation canopies. Absorption by vegetation liquid water near 0.86 μm is negligible. Weak liquid absorption at 1.24 μm is present. Canopy scattering enhances the water absorption. As a result, NDWI is sensitive to changes in liquid water content of vegetation canopies. Atmospheric aerosol scattering effects in the 0.86-1.24 μm region are weak. NDWI is less sensitive to atmospheric effects than NDVI. NDWI does not remove completely the background soil reflectance effects, similar to NDVI. Because the information about vegetation canopies contained in the 1.24-μm channel is very different from that contained in the red channel near 0.66 μm. NDWI should be considered as an independent vegetation index. It is complementary to, not a substitute for NDVI. Laboratory-measured reflectance of stacked green leaves, and spectral imaging data acquired with Airborne Visible Infrared Imaging Spectrometer (AVIRIS) over Jasper Ridge in California and the High Plains in northern Colorado, are used to demonstrate the usefulness of NDWI. Comparisons between NDWI and NDVI images are also given.","container-title":"Remote Sensing of Environment","ISSN":"0034-4257","issue":"3","page":"257-266","title":"NDWI - A normalized difference water index for remote sensing of vegetation liquid water from space","volume":"58","author":[{"family":"Gao","given":"Bo Cai"}],"issued":{"date-parts":[["1996"]]}}}],"schema":"https://github.com/citation-style-language/schema/raw/master/csl-citation.json"} </w:instrText>
      </w:r>
      <w:r w:rsidRPr="00093C5E">
        <w:rPr>
          <w:rFonts w:cs="Times New Roman"/>
          <w:szCs w:val="24"/>
        </w:rPr>
        <w:fldChar w:fldCharType="separate"/>
      </w:r>
      <w:r w:rsidR="002B37C7" w:rsidRPr="00093C5E">
        <w:rPr>
          <w:rFonts w:cs="Times New Roman"/>
          <w:szCs w:val="24"/>
        </w:rPr>
        <w:t>(Gao, 1996)</w:t>
      </w:r>
      <w:r w:rsidRPr="00093C5E">
        <w:rPr>
          <w:rFonts w:cs="Times New Roman"/>
          <w:szCs w:val="24"/>
        </w:rPr>
        <w:fldChar w:fldCharType="end"/>
      </w:r>
      <w:r w:rsidRPr="00093C5E">
        <w:rPr>
          <w:rFonts w:cs="Times New Roman"/>
          <w:szCs w:val="24"/>
        </w:rPr>
        <w:t xml:space="preserve">. </w:t>
      </w:r>
    </w:p>
    <w:p w14:paraId="07C88C00" w14:textId="413C4A02" w:rsidR="00EE74B8" w:rsidRPr="00093C5E" w:rsidRDefault="00EE74B8" w:rsidP="00EE74B8">
      <w:pPr>
        <w:rPr>
          <w:rFonts w:cs="Times New Roman"/>
          <w:szCs w:val="24"/>
        </w:rPr>
      </w:pPr>
      <w:r w:rsidRPr="00093C5E">
        <w:rPr>
          <w:rFonts w:cs="Times New Roman"/>
          <w:szCs w:val="24"/>
        </w:rPr>
        <w:t xml:space="preserve">We imputed missing values and replaced outliers from imperfect cloud-screening using a robust linear regression model from the R MASS library </w:t>
      </w:r>
      <w:r w:rsidRPr="00093C5E">
        <w:rPr>
          <w:rFonts w:cs="Times New Roman"/>
          <w:szCs w:val="24"/>
        </w:rPr>
        <w:fldChar w:fldCharType="begin"/>
      </w:r>
      <w:r w:rsidR="002B37C7" w:rsidRPr="00093C5E">
        <w:rPr>
          <w:rFonts w:cs="Times New Roman"/>
          <w:szCs w:val="24"/>
        </w:rPr>
        <w:instrText xml:space="preserve"> ADDIN ZOTERO_ITEM CSL_CITATION {"citationID":"YfTp9mnB","properties":{"formattedCitation":"(Venables and Ripley, 2002)","plainCitation":"(Venables and Ripley, 2002)","noteIndex":0},"citationItems":[{"id":3928,"uris":["http://zotero.org/users/5456909/items/9V5BV4AC"],"uri":["http://zotero.org/users/5456909/items/9V5BV4AC"],"itemData":{"id":3928,"type":"book","edition":"4","event-place":"New York","ISBN":"0-387-95457-0","publisher":"Springer","publisher-place":"New York","title":"Modern Applied Statistics with S","author":[{"family":"Venables","given":"WM"},{"family":"Ripley","given":"BD"}],"issued":{"date-parts":[["2002"]]}}}],"schema":"https://github.com/citation-style-language/schema/raw/master/csl-citation.json"} </w:instrText>
      </w:r>
      <w:r w:rsidRPr="00093C5E">
        <w:rPr>
          <w:rFonts w:cs="Times New Roman"/>
          <w:szCs w:val="24"/>
        </w:rPr>
        <w:fldChar w:fldCharType="separate"/>
      </w:r>
      <w:r w:rsidR="002B37C7" w:rsidRPr="00093C5E">
        <w:rPr>
          <w:rFonts w:cs="Times New Roman"/>
          <w:szCs w:val="24"/>
        </w:rPr>
        <w:t>(Venables and Ripley, 2002)</w:t>
      </w:r>
      <w:r w:rsidRPr="00093C5E">
        <w:rPr>
          <w:rFonts w:cs="Times New Roman"/>
          <w:szCs w:val="24"/>
        </w:rPr>
        <w:fldChar w:fldCharType="end"/>
      </w:r>
      <w:r w:rsidRPr="00093C5E">
        <w:rPr>
          <w:rFonts w:cs="Times New Roman"/>
          <w:szCs w:val="24"/>
        </w:rPr>
        <w:t xml:space="preserve">. We fitted a robust linear regression model on our temporal data for NDVI, NDMI, and LST using cyclical splines and estimated outliers with a z-score above 3 or below -3. We then removed observations that were identified as outliers and replaced them, as well as missing values, with predicted values from the robust linear regression model. </w:t>
      </w:r>
    </w:p>
    <w:p w14:paraId="33AF98B1" w14:textId="6BD32C0F" w:rsidR="00EE74B8" w:rsidRPr="00093C5E" w:rsidRDefault="00EE74B8" w:rsidP="00EE74B8">
      <w:pPr>
        <w:rPr>
          <w:rFonts w:cs="Times New Roman"/>
          <w:szCs w:val="24"/>
        </w:rPr>
      </w:pPr>
      <w:r w:rsidRPr="00093C5E">
        <w:rPr>
          <w:rFonts w:cs="Times New Roman"/>
          <w:szCs w:val="24"/>
        </w:rPr>
        <w:t xml:space="preserve">Precipitation data were derived from the Integrated Multi-satellitE Retrievals for Global Precipitation Measurement product (IMERG) </w:t>
      </w:r>
      <w:r w:rsidRPr="00093C5E">
        <w:rPr>
          <w:rFonts w:cs="Times New Roman"/>
          <w:szCs w:val="24"/>
        </w:rPr>
        <w:fldChar w:fldCharType="begin"/>
      </w:r>
      <w:r w:rsidR="00166D79">
        <w:rPr>
          <w:rFonts w:cs="Times New Roman"/>
          <w:szCs w:val="24"/>
        </w:rPr>
        <w:instrText xml:space="preserve"> ADDIN ZOTERO_ITEM CSL_CITATION {"citationID":"TLDAL9vK","properties":{"formattedCitation":"(Huffman et al., 2020)","plainCitation":"(Huffman et al., 2020)","noteIndex":0},"citationItems":[{"id":4618,"uris":["http://zotero.org/users/5456909/items/6YIQCC2K"],"uri":["http://zotero.org/users/5456909/items/6YIQCC2K"],"itemData":{"id":4618,"type":"article","title":"NASA Global Precipitation Measurement (GPM) Integrated Multi-satellitE Retrievals for GPM (IMERG)","URL":"https://gpm.nasa.gov/sites/default/files/2020-05/IMERG_ATBD_V06.3.pdf","author":[{"family":"Huffman","given":"G.J."},{"family":"Bolvin","given":"D.T."},{"family":"Braithwaite","given":"D."},{"family":"Hsu","given":"K."},{"family":"Joyce","given":"R."},{"family":"Xie","given":"P."},{"family":"Yoo","given":"S.H."}],"accessed":{"date-parts":[["2021",8,2]]},"issued":{"date-parts":[["2020"]]}}}],"schema":"https://github.com/citation-style-language/schema/raw/master/csl-citation.json"} </w:instrText>
      </w:r>
      <w:r w:rsidRPr="00093C5E">
        <w:rPr>
          <w:rFonts w:cs="Times New Roman"/>
          <w:szCs w:val="24"/>
        </w:rPr>
        <w:fldChar w:fldCharType="separate"/>
      </w:r>
      <w:r w:rsidR="00166D79" w:rsidRPr="00166D79">
        <w:rPr>
          <w:rFonts w:cs="Times New Roman"/>
        </w:rPr>
        <w:t>(Huffman et al., 2020)</w:t>
      </w:r>
      <w:r w:rsidRPr="00093C5E">
        <w:rPr>
          <w:rFonts w:cs="Times New Roman"/>
          <w:szCs w:val="24"/>
        </w:rPr>
        <w:fldChar w:fldCharType="end"/>
      </w:r>
      <w:r w:rsidRPr="00093C5E">
        <w:rPr>
          <w:rFonts w:cs="Times New Roman"/>
          <w:szCs w:val="24"/>
        </w:rPr>
        <w:t xml:space="preserve">. </w:t>
      </w:r>
      <w:bookmarkStart w:id="44" w:name="_Hlk71312416"/>
      <w:r w:rsidRPr="00093C5E">
        <w:rPr>
          <w:rFonts w:cs="Times New Roman"/>
          <w:szCs w:val="24"/>
        </w:rPr>
        <w:t>IMERG has a spatial resolution of 0.1° (approximately 11km) and a temporal resolution of 30 minutes</w:t>
      </w:r>
      <w:bookmarkEnd w:id="44"/>
      <w:r w:rsidRPr="00093C5E">
        <w:rPr>
          <w:rFonts w:cs="Times New Roman"/>
          <w:szCs w:val="24"/>
        </w:rPr>
        <w:t xml:space="preserve">. </w:t>
      </w:r>
      <w:bookmarkStart w:id="45" w:name="_Hlk69387353"/>
      <w:r w:rsidRPr="00093C5E">
        <w:rPr>
          <w:rFonts w:cs="Times New Roman"/>
          <w:szCs w:val="24"/>
        </w:rPr>
        <w:t xml:space="preserve">The dynamic variables for land surface temperature, spectral indices, and precipitation were summarized for each kebele and for each season of the year: dry season (January – April), </w:t>
      </w:r>
      <w:r w:rsidRPr="00093C5E">
        <w:rPr>
          <w:rFonts w:cs="Times New Roman"/>
          <w:szCs w:val="24"/>
        </w:rPr>
        <w:lastRenderedPageBreak/>
        <w:t xml:space="preserve">rainy season (May – August), and the transition season (September – December). For each kebele we then calculated the mean seasonal value of each dynamic variable for each year. </w:t>
      </w:r>
    </w:p>
    <w:bookmarkEnd w:id="45"/>
    <w:p w14:paraId="72819D15" w14:textId="5C65B225" w:rsidR="00EE74B8" w:rsidRPr="00093C5E" w:rsidRDefault="00EE74B8" w:rsidP="00EE74B8">
      <w:pPr>
        <w:rPr>
          <w:rFonts w:cs="Times New Roman"/>
          <w:szCs w:val="24"/>
        </w:rPr>
      </w:pPr>
      <w:r w:rsidRPr="00093C5E">
        <w:rPr>
          <w:rFonts w:cs="Times New Roman"/>
          <w:szCs w:val="24"/>
        </w:rPr>
        <w:t xml:space="preserve">Because distance to potential breeding habitat has been identified as risk factor for anopheline mosquito abundance </w:t>
      </w:r>
      <w:r w:rsidRPr="00093C5E">
        <w:rPr>
          <w:rFonts w:cs="Times New Roman"/>
          <w:szCs w:val="24"/>
        </w:rPr>
        <w:fldChar w:fldCharType="begin"/>
      </w:r>
      <w:r w:rsidR="000D258D" w:rsidRPr="00093C5E">
        <w:rPr>
          <w:rFonts w:cs="Times New Roman"/>
          <w:szCs w:val="24"/>
        </w:rPr>
        <w:instrText xml:space="preserve"> ADDIN ZOTERO_ITEM CSL_CITATION {"citationID":"We43KOLK","properties":{"formattedCitation":"(Mushinzimana et al., 2006)","plainCitation":"(Mushinzimana et al., 2006)","noteIndex":0},"citationItems":[{"id":4363,"uris":["http://zotero.org/users/5456909/items/ISWB2KT4"],"uri":["http://zotero.org/users/5456909/items/ISWB2KT4"],"itemData":{"id":4363,"type":"article-journal","abstract":"In the past two decades the east African highlands have experienced several major malaria epidemics. Currently there is a renewed interest in exploring the possibility of anopheline larval control through environmental management or larvicide as an additional means of reducing malaria transmission in Africa. This study examined the landscape determinants of anopheline mosquito larval habitats and usefulness of remote sensing in identifying these habitats in western Kenya highlands.","container-title":"Malaria Journal","ISSN":"1475-2875","issue":"1","journalAbbreviation":"Malar J","language":"en","page":"13","source":"Springer Link","title":"Landscape determinants and remote sensing of anopheline mosquito larval habitats in the western Kenya highlands","volume":"5","author":[{"family":"Mushinzimana","given":"Emmanuel"},{"family":"Munga","given":"Stephen"},{"family":"Minakawa","given":"Noboru"},{"family":"Li","given":"Li"},{"family":"Feng","given":"Chen-chieh"},{"family":"Bian","given":"Ling"},{"family":"Kitron","given":"Uriel"},{"family":"Schmidt","given":"Cindy"},{"family":"Beck","given":"Louisa"},{"family":"Zhou","given":"Guofa"},{"family":"Githeko","given":"Andrew K."},{"family":"Yan","given":"Guiyun"}],"issued":{"date-parts":[["2006",2,16]]}}}],"schema":"https://github.com/citation-style-language/schema/raw/master/csl-citation.json"} </w:instrText>
      </w:r>
      <w:r w:rsidRPr="00093C5E">
        <w:rPr>
          <w:rFonts w:cs="Times New Roman"/>
          <w:szCs w:val="24"/>
        </w:rPr>
        <w:fldChar w:fldCharType="separate"/>
      </w:r>
      <w:r w:rsidR="002B37C7" w:rsidRPr="00093C5E">
        <w:rPr>
          <w:rFonts w:cs="Times New Roman"/>
          <w:szCs w:val="24"/>
        </w:rPr>
        <w:t>(Mushinzimana et al., 2006)</w:t>
      </w:r>
      <w:r w:rsidRPr="00093C5E">
        <w:rPr>
          <w:rFonts w:cs="Times New Roman"/>
          <w:szCs w:val="24"/>
        </w:rPr>
        <w:fldChar w:fldCharType="end"/>
      </w:r>
      <w:r w:rsidRPr="00093C5E">
        <w:rPr>
          <w:rFonts w:cs="Times New Roman"/>
          <w:szCs w:val="24"/>
        </w:rPr>
        <w:t xml:space="preserve">, we mapped seasonally flooded areas. We used 30 m Landsat 8 Operational Land Imager (OLI) imagery for the dry season and the rainy season of each year. We removed pixels that were flagged as cloud or cloud shadow and calculated the Normalized Difference Water Index (NDWI) </w:t>
      </w:r>
      <w:r w:rsidRPr="00093C5E">
        <w:rPr>
          <w:rFonts w:cs="Times New Roman"/>
          <w:szCs w:val="24"/>
        </w:rPr>
        <w:fldChar w:fldCharType="begin"/>
      </w:r>
      <w:r w:rsidR="00D5378A" w:rsidRPr="00093C5E">
        <w:rPr>
          <w:rFonts w:cs="Times New Roman"/>
          <w:szCs w:val="24"/>
        </w:rPr>
        <w:instrText xml:space="preserve"> ADDIN ZOTERO_ITEM CSL_CITATION {"citationID":"4cwJxRWX","properties":{"formattedCitation":"(McFeeters, 1996)","plainCitation":"(McFeeters, 1996)","noteIndex":0},"citationItems":[{"id":1470,"uris":["http://zotero.org/users/5456909/items/6M9RNKTT"],"uri":["http://zotero.org/users/5456909/items/6M9RNKTT"],"itemData":{"id":1470,"type":"article-journal","container-title":"International Journal of Remote Sensing","issue":"7","page":"1425-1432","title":"The use of the normalized difference water index (NDWI) in the delineation of open water features","volume":"17","author":[{"family":"McFeeters","given":"Stuart K"}],"issued":{"date-parts":[["1996",5]]}}}],"schema":"https://github.com/citation-style-language/schema/raw/master/csl-citation.json"} </w:instrText>
      </w:r>
      <w:r w:rsidRPr="00093C5E">
        <w:rPr>
          <w:rFonts w:cs="Times New Roman"/>
          <w:szCs w:val="24"/>
        </w:rPr>
        <w:fldChar w:fldCharType="separate"/>
      </w:r>
      <w:r w:rsidR="002B37C7" w:rsidRPr="00093C5E">
        <w:rPr>
          <w:rFonts w:cs="Times New Roman"/>
          <w:szCs w:val="24"/>
        </w:rPr>
        <w:t>(McFeeters, 1996)</w:t>
      </w:r>
      <w:r w:rsidRPr="00093C5E">
        <w:rPr>
          <w:rFonts w:cs="Times New Roman"/>
          <w:szCs w:val="24"/>
        </w:rPr>
        <w:fldChar w:fldCharType="end"/>
      </w:r>
      <w:r w:rsidRPr="00093C5E">
        <w:rPr>
          <w:rFonts w:cs="Times New Roman"/>
          <w:szCs w:val="24"/>
        </w:rPr>
        <w:t xml:space="preserve"> for each Landsat scene. To identify seasonally flooded areas, we extracted areas where the median NDWI during the end of the wet season (September - October) was above zero and the median NDWI during the dry season (January – April) was below zero. We then calculated the distance of each pixel to the nearest seasonally flooded pixel, expressed as cumulative cost distance of the shortest path measured in meters from the neatest water source. This was done for each year separately to account for inter-annual variation in flooding extents. Additionally, we added “year” as a continuous variable, to capture inter-annual trends of malaria proportion that are not related to environmental conditions.</w:t>
      </w:r>
    </w:p>
    <w:p w14:paraId="71742636" w14:textId="0296CFE7" w:rsidR="00EE74B8" w:rsidRPr="00093C5E" w:rsidRDefault="00EE74B8" w:rsidP="00EE74B8">
      <w:pPr>
        <w:rPr>
          <w:rFonts w:cs="Times New Roman"/>
          <w:szCs w:val="24"/>
        </w:rPr>
      </w:pPr>
      <w:r w:rsidRPr="00093C5E">
        <w:rPr>
          <w:rFonts w:cs="Times New Roman"/>
          <w:szCs w:val="24"/>
        </w:rPr>
        <w:t>S</w:t>
      </w:r>
      <w:r w:rsidRPr="00093C5E">
        <w:rPr>
          <w:rFonts w:cs="Times New Roman"/>
          <w:i/>
          <w:szCs w:val="24"/>
        </w:rPr>
        <w:t xml:space="preserve">tatic variables </w:t>
      </w:r>
      <w:r w:rsidRPr="00093C5E">
        <w:rPr>
          <w:rFonts w:cs="Times New Roman"/>
          <w:szCs w:val="24"/>
        </w:rPr>
        <w:t xml:space="preserve">measured environmental conditions that were not expected to change substantially between years. These included data on settlement structures, land cover, and the hydrological setting of the landscape. We created two settlement density indices from 3 m spatial resolution PlanetScope imagery </w:t>
      </w:r>
      <w:r w:rsidRPr="00093C5E">
        <w:rPr>
          <w:rFonts w:cs="Times New Roman"/>
          <w:szCs w:val="24"/>
        </w:rPr>
        <w:fldChar w:fldCharType="begin"/>
      </w:r>
      <w:r w:rsidR="001B184A" w:rsidRPr="00093C5E">
        <w:rPr>
          <w:rFonts w:cs="Times New Roman"/>
          <w:szCs w:val="24"/>
        </w:rPr>
        <w:instrText xml:space="preserve"> ADDIN ZOTERO_ITEM CSL_CITATION {"citationID":"WKMw7tqi","properties":{"formattedCitation":"(Planet Team, 2017)","plainCitation":"(Planet Team, 2017)","noteIndex":0},"citationItems":[{"id":3929,"uris":["http://zotero.org/users/5456909/items/HCEAH4KW"],"uri":["http://zotero.org/users/5456909/items/HCEAH4KW"],"itemData":{"id":3929,"type":"book","event-place":"San Francisco, CA","publisher-place":"San Francisco, CA","title":"Planet application program interface: in space for life on earth","author":[{"family":"Planet Team","given":""}],"issued":{"date-parts":[["2017"]]}}}],"schema":"https://github.com/citation-style-language/schema/raw/master/csl-citation.json"} </w:instrText>
      </w:r>
      <w:r w:rsidRPr="00093C5E">
        <w:rPr>
          <w:rFonts w:cs="Times New Roman"/>
          <w:szCs w:val="24"/>
        </w:rPr>
        <w:fldChar w:fldCharType="separate"/>
      </w:r>
      <w:r w:rsidR="002B37C7" w:rsidRPr="00093C5E">
        <w:rPr>
          <w:rFonts w:cs="Times New Roman"/>
          <w:szCs w:val="24"/>
        </w:rPr>
        <w:t>(Planet Team, 2017)</w:t>
      </w:r>
      <w:r w:rsidRPr="00093C5E">
        <w:rPr>
          <w:rFonts w:cs="Times New Roman"/>
          <w:szCs w:val="24"/>
        </w:rPr>
        <w:fldChar w:fldCharType="end"/>
      </w:r>
      <w:r w:rsidRPr="00093C5E">
        <w:rPr>
          <w:rFonts w:cs="Times New Roman"/>
          <w:szCs w:val="24"/>
        </w:rPr>
        <w:t xml:space="preserve">. We acquired images from November 2016 and classified each tile into building and non-building areas with a Random Forest model using a bag fraction of 0.67 over 500 classification trees. </w:t>
      </w:r>
      <w:bookmarkStart w:id="46" w:name="_Hlk71310751"/>
      <w:r w:rsidRPr="00093C5E">
        <w:rPr>
          <w:rFonts w:cs="Times New Roman"/>
          <w:szCs w:val="24"/>
        </w:rPr>
        <w:t xml:space="preserve">Training data consisted of sampling 7,500 points collected from 2,000 manually digitized polygons </w:t>
      </w:r>
      <w:r w:rsidRPr="00093C5E">
        <w:rPr>
          <w:rFonts w:cs="Times New Roman"/>
          <w:szCs w:val="24"/>
        </w:rPr>
        <w:lastRenderedPageBreak/>
        <w:t>in each study area.</w:t>
      </w:r>
      <w:bookmarkEnd w:id="46"/>
      <w:r w:rsidRPr="00093C5E">
        <w:rPr>
          <w:rFonts w:cs="Times New Roman"/>
          <w:szCs w:val="24"/>
        </w:rPr>
        <w:t xml:space="preserve"> The overall accuracy of the building classification based on out-of-bag data was 0.98 for both areas. In Mecha and Bahir Dar Zuria we reached a sensitivity of 0.97 and a specificity of 0.98. In Aneded and Awabel sensitivity and specificity were both 0.98. To create variables for settlement density, we resampled the classification to 100 m pixels via a majority filter and then applied a Kernel density estimator using a gaussian kernel with a radius of 100 m and a sigma of 50 m. For each kebele we summarized the mean and maximum settlement density. Settlement classification and density estimation were performed in Google Earth Engine </w:t>
      </w:r>
      <w:r w:rsidRPr="00093C5E">
        <w:rPr>
          <w:rFonts w:cs="Times New Roman"/>
          <w:szCs w:val="24"/>
        </w:rPr>
        <w:fldChar w:fldCharType="begin"/>
      </w:r>
      <w:r w:rsidR="00D5378A" w:rsidRPr="00093C5E">
        <w:rPr>
          <w:rFonts w:cs="Times New Roman"/>
          <w:szCs w:val="24"/>
        </w:rPr>
        <w:instrText xml:space="preserve"> ADDIN ZOTERO_ITEM CSL_CITATION {"citationID":"XFf1bhU8","properties":{"formattedCitation":"(Gorelick et al., 2017)","plainCitation":"(Gorelick et al., 2017)","noteIndex":0},"citationItems":[{"id":3208,"uris":["http://zotero.org/users/5456909/items/RJNGD3Q5"],"uri":["http://zotero.org/users/5456909/items/RJNGD3Q5"],"itemData":{"id":3208,"type":"article-journal","abstract":"Google Earth Engine is a cloud-based platform for planetary-scale geospatial analysis that brings Google's massive computational capabilities to bear on a variety of high-impact societal issues including deforestation, drought, disaster, disease, food security, water management, climate monitoring and environmental protection. It is unique in the field as an integrated platform designed to empower not only traditional remote sensing scientists, but also a much wider audience that lacks the technical capacity needed to utilize traditional supercomputers or large-scale commodity cloud computing resources.","collection-title":"Big Remotely Sensed Data: tools, applications and experiences","container-title":"Remote Sensing of Environment","ISSN":"0034-4257","journalAbbreviation":"Remote Sensing of Environment","page":"18-27","source":"ScienceDirect","title":"Google Earth Engine: planetary-scale geospatial analysis for everyone","title-short":"Google Earth Engine","volume":"202","author":[{"family":"Gorelick","given":"Noel"},{"family":"Hancher","given":"Matt"},{"family":"Dixon","given":"Mike"},{"family":"Ilyushchenko","given":"Simon"},{"family":"Thau","given":"David"},{"family":"Moore","given":"Rebecca"}],"issued":{"date-parts":[["2017",12,1]]}}}],"schema":"https://github.com/citation-style-language/schema/raw/master/csl-citation.json"} </w:instrText>
      </w:r>
      <w:r w:rsidRPr="00093C5E">
        <w:rPr>
          <w:rFonts w:cs="Times New Roman"/>
          <w:szCs w:val="24"/>
        </w:rPr>
        <w:fldChar w:fldCharType="separate"/>
      </w:r>
      <w:r w:rsidR="002B37C7" w:rsidRPr="00093C5E">
        <w:rPr>
          <w:rFonts w:cs="Times New Roman"/>
          <w:szCs w:val="24"/>
        </w:rPr>
        <w:t>(Gorelick et al., 2017)</w:t>
      </w:r>
      <w:r w:rsidRPr="00093C5E">
        <w:rPr>
          <w:rFonts w:cs="Times New Roman"/>
          <w:szCs w:val="24"/>
        </w:rPr>
        <w:fldChar w:fldCharType="end"/>
      </w:r>
      <w:r w:rsidRPr="00093C5E">
        <w:rPr>
          <w:rFonts w:cs="Times New Roman"/>
          <w:szCs w:val="24"/>
        </w:rPr>
        <w:t>.</w:t>
      </w:r>
    </w:p>
    <w:p w14:paraId="0FEAE1ED" w14:textId="23437FAE" w:rsidR="00EE74B8" w:rsidRPr="00093C5E" w:rsidRDefault="00EE74B8" w:rsidP="00EE74B8">
      <w:pPr>
        <w:rPr>
          <w:rFonts w:cs="Times New Roman"/>
          <w:szCs w:val="24"/>
        </w:rPr>
      </w:pPr>
      <w:bookmarkStart w:id="47" w:name="_Hlk71312887"/>
      <w:r w:rsidRPr="00093C5E">
        <w:rPr>
          <w:rFonts w:cs="Times New Roman"/>
          <w:szCs w:val="24"/>
        </w:rPr>
        <w:t xml:space="preserve">To study the impact of different land cover types on sub-district malaria transmission, we acquired land cover maps from Midekisa et al. </w:t>
      </w:r>
      <w:r w:rsidRPr="00093C5E">
        <w:rPr>
          <w:rFonts w:cs="Times New Roman"/>
          <w:szCs w:val="24"/>
        </w:rPr>
        <w:fldChar w:fldCharType="begin"/>
      </w:r>
      <w:r w:rsidR="000D258D" w:rsidRPr="00093C5E">
        <w:rPr>
          <w:rFonts w:cs="Times New Roman"/>
          <w:szCs w:val="24"/>
        </w:rPr>
        <w:instrText xml:space="preserve"> ADDIN ZOTERO_ITEM CSL_CITATION {"citationID":"fRlhW69o","properties":{"formattedCitation":"(Midekisa et al., 2014)","plainCitation":"(Midekisa et al., 2014)","noteIndex":0},"citationItems":[{"id":2183,"uris":["http://zotero.org/users/5456909/items/HKEZJGAK"],"uri":["http://zotero.org/users/5456909/items/HKEZJGAK"],"itemData":{"id":2183,"type":"article-journal","container-title":"Water Resources Research","issue":"11","page":"8791-8806","title":"Multisensor earth observations to characterize wetlands and malaria epidemiology in Ethiopia","volume":"50","author":[{"family":"Midekisa","given":"Alemayehu"},{"family":"Senay","given":"Gabriel B."},{"family":"Wimberly","given":"Michael C."}],"issued":{"date-parts":[["2014",11]]}}}],"schema":"https://github.com/citation-style-language/schema/raw/master/csl-citation.json"} </w:instrText>
      </w:r>
      <w:r w:rsidRPr="00093C5E">
        <w:rPr>
          <w:rFonts w:cs="Times New Roman"/>
          <w:szCs w:val="24"/>
        </w:rPr>
        <w:fldChar w:fldCharType="separate"/>
      </w:r>
      <w:r w:rsidR="002B37C7" w:rsidRPr="00093C5E">
        <w:rPr>
          <w:rFonts w:cs="Times New Roman"/>
          <w:szCs w:val="24"/>
        </w:rPr>
        <w:t>(Midekisa et al., 2014)</w:t>
      </w:r>
      <w:r w:rsidRPr="00093C5E">
        <w:rPr>
          <w:rFonts w:cs="Times New Roman"/>
          <w:szCs w:val="24"/>
        </w:rPr>
        <w:fldChar w:fldCharType="end"/>
      </w:r>
      <w:r w:rsidRPr="00093C5E">
        <w:rPr>
          <w:rFonts w:cs="Times New Roman"/>
          <w:szCs w:val="24"/>
        </w:rPr>
        <w:t>. This dataset provides Landsat based classifications of major land cover types in the Amhara region at a 30 m resolution. It is locally calibrated, and its overall accuracy is reported at 93.5%.</w:t>
      </w:r>
      <w:bookmarkEnd w:id="47"/>
      <w:r w:rsidRPr="00093C5E">
        <w:rPr>
          <w:rFonts w:cs="Times New Roman"/>
          <w:szCs w:val="24"/>
        </w:rPr>
        <w:t xml:space="preserve"> We calculated the percentage of each kebele covered by the following land cover classes: open water, herbaceous wetlands, woody vegetation, cropland, and sparse vegetation.</w:t>
      </w:r>
    </w:p>
    <w:p w14:paraId="40EA01C3" w14:textId="48FA6A87" w:rsidR="00EE74B8" w:rsidRPr="00093C5E" w:rsidRDefault="00EE74B8" w:rsidP="00EE74B8">
      <w:pPr>
        <w:rPr>
          <w:rFonts w:cs="Times New Roman"/>
          <w:szCs w:val="24"/>
        </w:rPr>
      </w:pPr>
      <w:r w:rsidRPr="00093C5E">
        <w:rPr>
          <w:rFonts w:cs="Times New Roman"/>
          <w:szCs w:val="24"/>
        </w:rPr>
        <w:t xml:space="preserve">To map areas that are likely to be flooded during larger rain events, we calculated the height above nearest drainage (HAND). The height above nearest drainage measures the vertical distance between a given point and the nearest stream. Low values indicate floodplains and other low-lying areas that are likely to be inundated during and after the rainy season when flow rates are high. We used topographic and stream network data to calculate the HAND using Topography Tools for ArcGIS </w:t>
      </w:r>
      <w:r w:rsidRPr="00093C5E">
        <w:rPr>
          <w:rFonts w:cs="Times New Roman"/>
          <w:szCs w:val="24"/>
        </w:rPr>
        <w:fldChar w:fldCharType="begin"/>
      </w:r>
      <w:r w:rsidR="001B184A" w:rsidRPr="00093C5E">
        <w:rPr>
          <w:rFonts w:cs="Times New Roman"/>
          <w:szCs w:val="24"/>
        </w:rPr>
        <w:instrText xml:space="preserve"> ADDIN ZOTERO_ITEM CSL_CITATION {"citationID":"68O8rEbD","properties":{"formattedCitation":"(Dilts, 2015, p. 10)","plainCitation":"(Dilts, 2015, p. 10)","noteIndex":0},"citationItems":[{"id":3919,"uris":["http://zotero.org/users/5456909/items/H6IRLH8S"],"uri":["http://zotero.org/users/5456909/items/H6IRLH8S"],"itemData":{"id":3919,"type":"book","publisher":"University of Nevada Reno","title":"Topography Tools for ArcGIS 10.1.","author":[{"family":"Dilts","given":"T. E."}],"issued":{"date-parts":[["2015"]]}},"locator":"10"}],"schema":"https://github.com/citation-style-language/schema/raw/master/csl-citation.json"} </w:instrText>
      </w:r>
      <w:r w:rsidRPr="00093C5E">
        <w:rPr>
          <w:rFonts w:cs="Times New Roman"/>
          <w:szCs w:val="24"/>
        </w:rPr>
        <w:fldChar w:fldCharType="separate"/>
      </w:r>
      <w:r w:rsidR="002B37C7" w:rsidRPr="00093C5E">
        <w:rPr>
          <w:rFonts w:cs="Times New Roman"/>
          <w:szCs w:val="24"/>
        </w:rPr>
        <w:t>(Dilts, 2015, p. 10)</w:t>
      </w:r>
      <w:r w:rsidRPr="00093C5E">
        <w:rPr>
          <w:rFonts w:cs="Times New Roman"/>
          <w:szCs w:val="24"/>
        </w:rPr>
        <w:fldChar w:fldCharType="end"/>
      </w:r>
      <w:r w:rsidRPr="00093C5E">
        <w:rPr>
          <w:rFonts w:cs="Times New Roman"/>
          <w:szCs w:val="24"/>
        </w:rPr>
        <w:t xml:space="preserve">. We then identified areas less than 2 m above the nearest drainage and calculated the proportion of each kebele that falls into this category. </w:t>
      </w:r>
    </w:p>
    <w:p w14:paraId="23301B07" w14:textId="77777777" w:rsidR="00E448A9" w:rsidRPr="00AA3319" w:rsidRDefault="00EE74B8" w:rsidP="00E448A9">
      <w:pPr>
        <w:keepNext/>
        <w:rPr>
          <w:rFonts w:cs="Times New Roman"/>
        </w:rPr>
      </w:pPr>
      <w:r w:rsidRPr="00AA3319">
        <w:rPr>
          <w:rFonts w:cs="Times New Roman"/>
          <w:noProof/>
        </w:rPr>
        <w:lastRenderedPageBreak/>
        <w:drawing>
          <wp:inline distT="0" distB="0" distL="0" distR="0" wp14:anchorId="5C8EEF3D" wp14:editId="5F38BF2A">
            <wp:extent cx="5523522" cy="78028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32830" cy="7816030"/>
                    </a:xfrm>
                    <a:prstGeom prst="rect">
                      <a:avLst/>
                    </a:prstGeom>
                    <a:noFill/>
                    <a:ln>
                      <a:noFill/>
                    </a:ln>
                  </pic:spPr>
                </pic:pic>
              </a:graphicData>
            </a:graphic>
          </wp:inline>
        </w:drawing>
      </w:r>
    </w:p>
    <w:p w14:paraId="6C52664F" w14:textId="68AE611B" w:rsidR="00EE74B8" w:rsidRPr="00AA3319" w:rsidRDefault="00E448A9" w:rsidP="00E448A9">
      <w:pPr>
        <w:pStyle w:val="Caption"/>
        <w:ind w:firstLine="0"/>
        <w:rPr>
          <w:rFonts w:cs="Times New Roman"/>
        </w:rPr>
      </w:pPr>
      <w:bookmarkStart w:id="48" w:name="_Toc78881284"/>
      <w:r w:rsidRPr="00AA3319">
        <w:rPr>
          <w:rFonts w:cs="Times New Roman"/>
        </w:rPr>
        <w:lastRenderedPageBreak/>
        <w:t xml:space="preserve">Figure </w:t>
      </w:r>
      <w:r w:rsidR="004C1B0D">
        <w:rPr>
          <w:rFonts w:cs="Times New Roman"/>
        </w:rPr>
        <w:fldChar w:fldCharType="begin"/>
      </w:r>
      <w:r w:rsidR="004C1B0D">
        <w:rPr>
          <w:rFonts w:cs="Times New Roman"/>
        </w:rPr>
        <w:instrText xml:space="preserve"> STYLEREF 1 \s </w:instrText>
      </w:r>
      <w:r w:rsidR="004C1B0D">
        <w:rPr>
          <w:rFonts w:cs="Times New Roman"/>
        </w:rPr>
        <w:fldChar w:fldCharType="separate"/>
      </w:r>
      <w:r w:rsidR="00F243F7">
        <w:rPr>
          <w:rFonts w:cs="Times New Roman"/>
          <w:noProof/>
        </w:rPr>
        <w:t>2</w:t>
      </w:r>
      <w:r w:rsidR="004C1B0D">
        <w:rPr>
          <w:rFonts w:cs="Times New Roman"/>
        </w:rPr>
        <w:fldChar w:fldCharType="end"/>
      </w:r>
      <w:r w:rsidR="004C1B0D">
        <w:rPr>
          <w:rFonts w:cs="Times New Roman"/>
        </w:rPr>
        <w:noBreakHyphen/>
      </w:r>
      <w:r w:rsidR="004C1B0D">
        <w:rPr>
          <w:rFonts w:cs="Times New Roman"/>
        </w:rPr>
        <w:fldChar w:fldCharType="begin"/>
      </w:r>
      <w:r w:rsidR="004C1B0D">
        <w:rPr>
          <w:rFonts w:cs="Times New Roman"/>
        </w:rPr>
        <w:instrText xml:space="preserve"> SEQ Figure \* ARABIC \s 1 </w:instrText>
      </w:r>
      <w:r w:rsidR="004C1B0D">
        <w:rPr>
          <w:rFonts w:cs="Times New Roman"/>
        </w:rPr>
        <w:fldChar w:fldCharType="separate"/>
      </w:r>
      <w:r w:rsidR="00F243F7">
        <w:rPr>
          <w:rFonts w:cs="Times New Roman"/>
          <w:noProof/>
        </w:rPr>
        <w:t>2</w:t>
      </w:r>
      <w:r w:rsidR="004C1B0D">
        <w:rPr>
          <w:rFonts w:cs="Times New Roman"/>
        </w:rPr>
        <w:fldChar w:fldCharType="end"/>
      </w:r>
      <w:r w:rsidRPr="00AA3319">
        <w:rPr>
          <w:rFonts w:cs="Times New Roman"/>
        </w:rPr>
        <w:t xml:space="preserve">: Maps displaying the variation in environmental conditions within the two study areas. Variables include NDVI for rainy season (NDVI_rn), NDVI for transition season (NDVI_tr), percent woody vegetation (WOODY), NDMI for dry season (NDMI_dr), NDMI for transition season (NDMI_tr), land surface temperature during transition season (LST_tr), maximum settlement index (SETMX), mean settlement index (SETMN), as well as precipitation during rainy season (PREC_rn). Note that the positions of the two study areas do not represent their true proximity. See the map in Figure </w:t>
      </w:r>
      <w:r w:rsidR="00064D1B" w:rsidRPr="00AA3319">
        <w:rPr>
          <w:rFonts w:cs="Times New Roman"/>
        </w:rPr>
        <w:t>2-</w:t>
      </w:r>
      <w:r w:rsidRPr="00AA3319">
        <w:rPr>
          <w:rFonts w:cs="Times New Roman"/>
        </w:rPr>
        <w:t>1 for their actual locations.</w:t>
      </w:r>
      <w:bookmarkEnd w:id="48"/>
    </w:p>
    <w:p w14:paraId="1F71FE3C" w14:textId="77777777" w:rsidR="00EE74B8" w:rsidRPr="00AA3319" w:rsidRDefault="00EE74B8" w:rsidP="00E448A9">
      <w:pPr>
        <w:pStyle w:val="Heading3"/>
        <w:rPr>
          <w:rFonts w:cs="Times New Roman"/>
        </w:rPr>
      </w:pPr>
      <w:bookmarkStart w:id="49" w:name="_Toc78889191"/>
      <w:r w:rsidRPr="00AA3319">
        <w:rPr>
          <w:rFonts w:cs="Times New Roman"/>
        </w:rPr>
        <w:t>Statistical analysis</w:t>
      </w:r>
      <w:bookmarkEnd w:id="49"/>
    </w:p>
    <w:p w14:paraId="73331085" w14:textId="710A05D9" w:rsidR="00EE74B8" w:rsidRPr="00093C5E" w:rsidRDefault="00EE74B8" w:rsidP="00EE74B8">
      <w:pPr>
        <w:rPr>
          <w:rFonts w:cs="Times New Roman"/>
          <w:szCs w:val="24"/>
        </w:rPr>
      </w:pPr>
      <w:bookmarkStart w:id="50" w:name="_Hlk71310913"/>
      <w:r w:rsidRPr="00093C5E">
        <w:rPr>
          <w:rFonts w:cs="Times New Roman"/>
          <w:szCs w:val="24"/>
        </w:rPr>
        <w:t xml:space="preserve">We used Boosted Regression Trees (BRT) to model the relationships between malaria cases and environmental variables. BRT models are used in species distribution modeling </w:t>
      </w:r>
      <w:r w:rsidRPr="00093C5E">
        <w:rPr>
          <w:rFonts w:cs="Times New Roman"/>
          <w:szCs w:val="24"/>
        </w:rPr>
        <w:fldChar w:fldCharType="begin"/>
      </w:r>
      <w:r w:rsidR="002B37C7" w:rsidRPr="00093C5E">
        <w:rPr>
          <w:rFonts w:cs="Times New Roman"/>
          <w:szCs w:val="24"/>
        </w:rPr>
        <w:instrText xml:space="preserve"> ADDIN ZOTERO_ITEM CSL_CITATION {"citationID":"NreGErw0","properties":{"formattedCitation":"(Elith et al., 2008; Elith and Graham, 2009)","plainCitation":"(Elith et al., 2008; Elith and Graham, 2009)","noteIndex":0},"citationItems":[{"id":1001,"uris":["http://zotero.org/users/5456909/items/4SBE4L3F"],"uri":["http://zotero.org/users/5456909/items/4SBE4L3F"],"itemData":{"id":1001,"type":"article-journal","container-title":"Ecography","issue":"1","page":"66-77","title":"Do they? How do they? WHY do they differ? On finding reasons for differing performances of species distribution models","volume":"32","author":[{"family":"Elith","given":"Jane"},{"family":"Graham","given":"Catherine H."}],"issued":{"date-parts":[["2009",4]]}}},{"id":1693,"uris":["http://zotero.org/users/5456909/items/LLLGNTES"],"uri":["http://zotero.org/users/5456909/items/LLLGNTES"],"itemData":{"id":1693,"type":"article-journal","container-title":"Journal of Animal Ecology","issue":"4","page":"802-813","title":"A working guide to boosted regression trees","volume":"77","author":[{"family":"Elith","given":"Jane"},{"family":"Leathwick","given":"J. R."},{"family":"Hastie","given":"T."}],"issued":{"date-parts":[["2008",7]]}}}],"schema":"https://github.com/citation-style-language/schema/raw/master/csl-citation.json"} </w:instrText>
      </w:r>
      <w:r w:rsidRPr="00093C5E">
        <w:rPr>
          <w:rFonts w:cs="Times New Roman"/>
          <w:szCs w:val="24"/>
        </w:rPr>
        <w:fldChar w:fldCharType="separate"/>
      </w:r>
      <w:r w:rsidR="002B37C7" w:rsidRPr="00093C5E">
        <w:rPr>
          <w:rFonts w:cs="Times New Roman"/>
          <w:szCs w:val="24"/>
        </w:rPr>
        <w:t>(Elith et al., 2008; Elith and Graham, 2009)</w:t>
      </w:r>
      <w:r w:rsidRPr="00093C5E">
        <w:rPr>
          <w:rFonts w:cs="Times New Roman"/>
          <w:szCs w:val="24"/>
        </w:rPr>
        <w:fldChar w:fldCharType="end"/>
      </w:r>
      <w:r w:rsidRPr="00093C5E">
        <w:rPr>
          <w:rFonts w:cs="Times New Roman"/>
          <w:szCs w:val="24"/>
        </w:rPr>
        <w:t xml:space="preserve">, in epidemiology </w:t>
      </w:r>
      <w:r w:rsidRPr="00093C5E">
        <w:rPr>
          <w:rFonts w:cs="Times New Roman"/>
          <w:szCs w:val="24"/>
        </w:rPr>
        <w:fldChar w:fldCharType="begin"/>
      </w:r>
      <w:r w:rsidR="002B37C7" w:rsidRPr="00093C5E">
        <w:rPr>
          <w:rFonts w:cs="Times New Roman"/>
          <w:szCs w:val="24"/>
        </w:rPr>
        <w:instrText xml:space="preserve"> ADDIN ZOTERO_ITEM CSL_CITATION {"citationID":"LFXIcJLG","properties":{"formattedCitation":"(Friedman and Meulman, 2003)","plainCitation":"(Friedman and Meulman, 2003)","noteIndex":0},"citationItems":[{"id":4445,"uris":["http://zotero.org/users/5456909/items/RVQUKHE4"],"uri":["http://zotero.org/users/5456909/items/RVQUKHE4"],"itemData":{"id":4445,"type":"article-journal","abstract":"Predicting future outcomes based on knowledge obtained from past observational data is a common application in a wide variety of areas of scientific research. In the present paper, prediction will be focused on various grades of cervical preneoplasia and neoplasia. Statistical tools used for prediction should of course possess predictive accuracy, and preferably meet secondary requirements such as speed, ease of use, and interpretability of the resulting predictive model. A new automated procedure based on an extension (called 'boosting') of regression and classification tree (CART) models is described. The resulting tool is a fast 'off-the-shelf' procedure for classification and regression that is competitive in accuracy with more customized approaches, while being fairly automatic to use (little tuning), and highly robust especially when applied to less than clean data. Additional tools are presented for interpreting and visualizing the results of such multiple additive regression tree (MART) models.","container-title":"Statistics in Medicine","ISSN":"0277-6715","issue":"9","journalAbbreviation":"Stat Med","language":"eng","note":"PMID: 12704603","page":"1365-1381","source":"PubMed","title":"Multiple additive regression trees with application in epidemiology","volume":"22","author":[{"family":"Friedman","given":"Jerome H."},{"family":"Meulman","given":"Jacqueline J."}],"issued":{"date-parts":[["2003",5,15]]}}}],"schema":"https://github.com/citation-style-language/schema/raw/master/csl-citation.json"} </w:instrText>
      </w:r>
      <w:r w:rsidRPr="00093C5E">
        <w:rPr>
          <w:rFonts w:cs="Times New Roman"/>
          <w:szCs w:val="24"/>
        </w:rPr>
        <w:fldChar w:fldCharType="separate"/>
      </w:r>
      <w:r w:rsidR="002B37C7" w:rsidRPr="00093C5E">
        <w:rPr>
          <w:rFonts w:cs="Times New Roman"/>
          <w:szCs w:val="24"/>
        </w:rPr>
        <w:t>(Friedman and Meulman, 2003)</w:t>
      </w:r>
      <w:r w:rsidRPr="00093C5E">
        <w:rPr>
          <w:rFonts w:cs="Times New Roman"/>
          <w:szCs w:val="24"/>
        </w:rPr>
        <w:fldChar w:fldCharType="end"/>
      </w:r>
      <w:r w:rsidRPr="00093C5E">
        <w:rPr>
          <w:rFonts w:cs="Times New Roman"/>
          <w:szCs w:val="24"/>
        </w:rPr>
        <w:t xml:space="preserve">, and to study mosquito borne diseases </w:t>
      </w:r>
      <w:r w:rsidRPr="00093C5E">
        <w:rPr>
          <w:rFonts w:cs="Times New Roman"/>
          <w:szCs w:val="24"/>
        </w:rPr>
        <w:fldChar w:fldCharType="begin"/>
      </w:r>
      <w:r w:rsidR="00701ADA" w:rsidRPr="00093C5E">
        <w:rPr>
          <w:rFonts w:cs="Times New Roman"/>
          <w:szCs w:val="24"/>
        </w:rPr>
        <w:instrText xml:space="preserve"> ADDIN ZOTERO_ITEM CSL_CITATION {"citationID":"IvWkGqGc","properties":{"formattedCitation":"(Bhatt et al., 2013; Hess et al., 2018; Messina et al., 2019; Solano-Villarreal et al., 2019)","plainCitation":"(Bhatt et al., 2013; Hess et al., 2018; Messina et al., 2019; Solano-Villarreal et al., 2019)","noteIndex":0},"citationItems":[{"id":1681,"uris":["http://zotero.org/users/5456909/items/EA5RDJYA"],"uri":["http://zotero.org/users/5456909/items/EA5RDJYA"],"itemData":{"id":1681,"type":"article-journal","abstract":"Dengue is a systemic viral infection transmitted between humans by Aedes mosquitoes 1 . For some patients, dengue is a life-threaten-ing illness 2 . There are currently no licensed vaccines or specific therapeutics, and substantial vector control efforts have not stopped its rapid emergence and global spread 3 . The contemporary worldwide distribution of the risk of dengue virus infection 4 and its public health burden are poorly known 2,5 . Here we undertake an exhaustive assembly of known records of dengue occurrence world-wide, and use a formal modelling framework to map the global distribution of dengue risk. We then pair the resulting risk map with detailed longitudinal information from dengue cohort studies and population surfaces to infer the public health burden of den-gue in 2010. We predict dengue to be ubiquitous throughout the tropics, with local spatial variations in risk influenced strongly by rainfall, temperature and the degree of urbanization. Using car-tographic approaches, we estimate there to be 390 million (95% credible interval 284–528) dengue infections per year, of which 96 million (67–136) manifest apparently (any level of disease severity). This infection total is more than three times the dengue burden estimate of the World Health Organization 2 . Stratification of our estimates by country allows comparison with national dengue re-porting, after taking into account the probability of an apparent infection being formally reported. The most notable differences are discussed. These new risk maps and infection estimates provide novel insights into the global, regional and national public health burden imposed by dengue. We anticipate that they will provide a starting point for a wider discussion about the global impact of this disease and will help to guide improvements in disease control strat-egies using vaccine, drug and vector control methods, and in their economic evaluation. Dengue is an acute systemic viral disease that has established itself globally in both endemic and epidemic transmission cycles. Dengue virus infection in humans is often inapparent 1,6 but can lead to a wide range of clinical manifestations, from mild fever to potentially fatal dengue shock syndrome 2","container-title":"Nature","issue":"7446","page":"504-504","title":"The global distribution and burden of dengue","volume":"496","author":[{"family":"Bhatt","given":"Samir"},{"family":"Gething","given":"Peter W"},{"family":"Brady","given":"Oliver J"},{"family":"Messina","given":"Jane P"},{"family":"Farlow","given":"Andrew W"},{"family":"Moyes","given":"Catherine L"},{"family":"Drake","given":"John M"},{"family":"Brownstein","given":"John S"},{"family":"Hoen","given":"Anne G"},{"family":"Sankoh","given":"Osman"},{"family":"Myers","given":"Monica F"},{"family":"George","given":"Dylan B"},{"family":"Jaenisch","given":"Thomas"},{"family":"Wint","given":"G R William"}],"issued":{"date-parts":[["2013"]]}}},{"id":3034,"uris":["http://zotero.org/users/5456909/items/45HD2ESL"],"uri":["http://zotero.org/users/5456909/items/45HD2ESL"],"itemData":{"id":3034,"type":"article-journal","abstract":"Understanding the geographic distribution of mosquito-borne disease and mapping disease risk are important for prevention and control efforts. Mosquito-borne viruses (arboviruses), such as West Nile virus (WNV), are highly dependent on environmental conditions. Therefore, the use of environmental data can help in making spatial predictions of disease distribution. We used geocoded human case data for 2004–2017 and population-weighted control points in combination with multiple geospatial environmental data sets to assess the environmental drivers of WNV cases and to map relative infection risk in South Dakota, USA. We compared the effectiveness of (1) land cover and physiography data, (2) climate data, and (3) spectral data for mapping the risk of WNV in South Dakota. A final model combining all data sets was used to predict spatial patterns of disease transmission and characterize the associations between environmental factors and WNV risk. We used a boosted regression tree model to identify the most important variables driving WNV risk and generated risk maps by applying this model across the entire state. We found that combining multiple sources of environmental data resulted in the most accurate predictions. Elevation, late-season humidity, and early-season surface moisture were the most important predictors of disease distribution. Indices that quantified interannual variability of climatic conditions and land surface moisture were better predictors than interannual means. We suggest that combining measures of interannual environmental variability with static land cover and physiography variables can help to improve spatial predictions of arbovirus transmission risk.","container-title":"GeoHealth","ISSN":"2471-1403","issue":"12","language":"en","page":"395-409","source":"Wiley Online Library","title":"Identifying environmental risk factors and mapping the distribution of West Nile virus in an endemic region of North America","volume":"2","author":[{"family":"Hess","given":"A."},{"family":"Davis","given":"J. K."},{"family":"Wimberly","given":"M. C."}],"issued":{"date-parts":[["2018"]]}}},{"id":3563,"uris":["http://zotero.org/users/5456909/items/BERHYM4A"],"uri":["http://zotero.org/users/5456909/items/BERHYM4A"],"itemData":{"id":3563,"type":"article-journal","abstract":"Statistical mapping techniques provide insights into the current geographical spread of the mosquito-borne dengue virus infection and predict changes in the areas that will be environmentally suitable to the virus for the years 2020, 2050 and 2080.","container-title":"Nature Microbiology","ISSN":"2058-5276","language":"En","page":"1","source":"www.nature.com","title":"The current and future global distribution and population at risk of dengue","author":[{"family":"Messina","given":"Jane P."},{"family":"Brady","given":"Oliver J."},{"family":"Golding","given":"Nick"},{"family":"Kraemer","given":"Moritz U. G."},{"family":"Wint","given":"G. R. William"},{"family":"Ray","given":"Sarah E."},{"family":"Pigott","given":"David M."},{"family":"Shearer","given":"Freya M."},{"family":"Johnson","given":"Kimberly"},{"family":"Earl","given":"Lucas"},{"family":"Marczak","given":"Laurie B."},{"family":"Shirude","given":"Shreya"},{"family":"Weaver","given":"Nicole Davis"},{"family":"Gilbert","given":"Marius"},{"family":"Velayudhan","given":"Raman"},{"family":"Jones","given":"Peter"},{"family":"Jaenisch","given":"Thomas"},{"family":"Scott","given":"Thomas W."},{"family":"Reiner","given":"Robert C."},{"family":"Hay","given":"Simon I."}],"issued":{"date-parts":[["2019",6,10]]}}},{"id":3930,"uris":["http://zotero.org/users/5456909/items/LDT9VHJ3"],"uri":["http://zotero.org/users/5456909/items/LDT9VHJ3"],"itemData":{"id":3930,"type":"article-journal","abstract":"This is the first study to assess the risk of co-endemic Plasmodium vivax and Plasmodium falciparum transmission in the Peruvian Amazon using boosted regression tree (BRT) models based on social and environmental predictors derived from satellite imagery and data. Yearly cross-validated BRT models were created to discriminate high-risk (annual parasite index API &gt; 10 cases/1000 people) and very-high-risk for malaria (API &gt; 50 cases/1000 people) in 2766 georeferenced villages of Loreto department, between 2010–2017 as other parts in the article (graphs, tables, and texts). Predictors were cumulative annual rainfall, forest coverage, annual forest loss, annual mean land surface temperature, normalized difference vegetation index (NDVI), normalized difference water index (NDWI), shortest distance to rivers, time to populated villages, and population density. BRT models built with predictor data of a given year efficiently discriminated the malaria risk for that year in villages (area under the ROC curve (AUC) &gt; 0.80), and most models also effectively predicted malaria risk in the following year. Cumulative rainfall, population density and time to populated villages were consistently the top three predictors for both P. vivax and P. falciparum incidence. Maps created using the BRT models characterize the spatial distribution of the malaria incidence in Loreto and should contribute to malaria-related decision making in the area.","container-title":"Scientific Reports","ISSN":"2045-2322","issue":"1","language":"en","note":"number: 1\npublisher: Nature Publishing Group","page":"15173","source":"www.nature.com","title":"Malaria risk assessment and mapping using satellite imagery and boosted regression trees in the Peruvian Amazon","volume":"9","author":[{"family":"Solano-Villarreal","given":"Elisa"},{"family":"Valdivia","given":"Walter"},{"family":"Pearcy","given":"Morgan"},{"family":"Linard","given":"Catherine"},{"family":"Pasapera-Gonzales","given":"José"},{"family":"Moreno-Gutierrez","given":"Diamantina"},{"family":"Lejeune","given":"Philippe"},{"family":"Llanos-Cuentas","given":"Alejandro"},{"family":"Speybroeck","given":"Niko"},{"family":"Hayette","given":"Marie-Pierre"},{"family":"Rosas-Aguirre","given":"Angel"}],"issued":{"date-parts":[["2019",10,23]]}}}],"schema":"https://github.com/citation-style-language/schema/raw/master/csl-citation.json"} </w:instrText>
      </w:r>
      <w:r w:rsidRPr="00093C5E">
        <w:rPr>
          <w:rFonts w:cs="Times New Roman"/>
          <w:szCs w:val="24"/>
        </w:rPr>
        <w:fldChar w:fldCharType="separate"/>
      </w:r>
      <w:r w:rsidR="00701ADA" w:rsidRPr="00093C5E">
        <w:rPr>
          <w:rFonts w:cs="Times New Roman"/>
          <w:szCs w:val="24"/>
        </w:rPr>
        <w:t>(Bhatt et al., 2013; Hess et al., 2018; Messina et al., 2019; Solano-Villarreal et al., 2019)</w:t>
      </w:r>
      <w:r w:rsidRPr="00093C5E">
        <w:rPr>
          <w:rFonts w:cs="Times New Roman"/>
          <w:szCs w:val="24"/>
        </w:rPr>
        <w:fldChar w:fldCharType="end"/>
      </w:r>
      <w:r w:rsidRPr="00093C5E">
        <w:rPr>
          <w:rFonts w:cs="Times New Roman"/>
          <w:szCs w:val="24"/>
        </w:rPr>
        <w:t xml:space="preserve">. Advantages of the BRT method are that it yields high accuracy while requiring little tuning </w:t>
      </w:r>
      <w:r w:rsidRPr="00093C5E">
        <w:rPr>
          <w:rFonts w:cs="Times New Roman"/>
          <w:szCs w:val="24"/>
        </w:rPr>
        <w:fldChar w:fldCharType="begin"/>
      </w:r>
      <w:r w:rsidR="002B37C7" w:rsidRPr="00093C5E">
        <w:rPr>
          <w:rFonts w:cs="Times New Roman"/>
          <w:szCs w:val="24"/>
        </w:rPr>
        <w:instrText xml:space="preserve"> ADDIN ZOTERO_ITEM CSL_CITATION {"citationID":"2raJeozf","properties":{"formattedCitation":"(Friedman and Meulman, 2003)","plainCitation":"(Friedman and Meulman, 2003)","noteIndex":0},"citationItems":[{"id":4445,"uris":["http://zotero.org/users/5456909/items/RVQUKHE4"],"uri":["http://zotero.org/users/5456909/items/RVQUKHE4"],"itemData":{"id":4445,"type":"article-journal","abstract":"Predicting future outcomes based on knowledge obtained from past observational data is a common application in a wide variety of areas of scientific research. In the present paper, prediction will be focused on various grades of cervical preneoplasia and neoplasia. Statistical tools used for prediction should of course possess predictive accuracy, and preferably meet secondary requirements such as speed, ease of use, and interpretability of the resulting predictive model. A new automated procedure based on an extension (called 'boosting') of regression and classification tree (CART) models is described. The resulting tool is a fast 'off-the-shelf' procedure for classification and regression that is competitive in accuracy with more customized approaches, while being fairly automatic to use (little tuning), and highly robust especially when applied to less than clean data. Additional tools are presented for interpreting and visualizing the results of such multiple additive regression tree (MART) models.","container-title":"Statistics in Medicine","ISSN":"0277-6715","issue":"9","journalAbbreviation":"Stat Med","language":"eng","note":"PMID: 12704603","page":"1365-1381","source":"PubMed","title":"Multiple additive regression trees with application in epidemiology","volume":"22","author":[{"family":"Friedman","given":"Jerome H."},{"family":"Meulman","given":"Jacqueline J."}],"issued":{"date-parts":[["2003",5,15]]}}}],"schema":"https://github.com/citation-style-language/schema/raw/master/csl-citation.json"} </w:instrText>
      </w:r>
      <w:r w:rsidRPr="00093C5E">
        <w:rPr>
          <w:rFonts w:cs="Times New Roman"/>
          <w:szCs w:val="24"/>
        </w:rPr>
        <w:fldChar w:fldCharType="separate"/>
      </w:r>
      <w:r w:rsidR="002B37C7" w:rsidRPr="00093C5E">
        <w:rPr>
          <w:rFonts w:cs="Times New Roman"/>
          <w:szCs w:val="24"/>
        </w:rPr>
        <w:t>(Friedman and Meulman, 2003)</w:t>
      </w:r>
      <w:r w:rsidRPr="00093C5E">
        <w:rPr>
          <w:rFonts w:cs="Times New Roman"/>
          <w:szCs w:val="24"/>
        </w:rPr>
        <w:fldChar w:fldCharType="end"/>
      </w:r>
      <w:r w:rsidRPr="00093C5E">
        <w:rPr>
          <w:rFonts w:cs="Times New Roman"/>
          <w:szCs w:val="24"/>
        </w:rPr>
        <w:t xml:space="preserve">, performs well under moderate collinearity of predictor variables </w:t>
      </w:r>
      <w:r w:rsidRPr="00093C5E">
        <w:rPr>
          <w:rFonts w:cs="Times New Roman"/>
          <w:szCs w:val="24"/>
        </w:rPr>
        <w:fldChar w:fldCharType="begin"/>
      </w:r>
      <w:r w:rsidR="00164EEB" w:rsidRPr="00093C5E">
        <w:rPr>
          <w:rFonts w:cs="Times New Roman"/>
          <w:szCs w:val="24"/>
        </w:rPr>
        <w:instrText xml:space="preserve"> ADDIN ZOTERO_ITEM CSL_CITATION {"citationID":"MqH3Ebjn","properties":{"formattedCitation":"(Dormann et al., 2013)","plainCitation":"(Dormann et al., 2013)","noteIndex":0},"citationItems":[{"id":3892,"uris":["http://zotero.org/users/5456909/items/M5WYEF8G"],"uri":["http://zotero.org/users/5456909/items/M5WYEF8G"],"itemData":{"id":3892,"type":"article-journal","abstract":"Collinearity refers to the non independence of predictor variables, usually in a regression-type analysis. It is a common feature of any descriptive ecological data set and can be a problem for parameter estimation because it inflates the variance of regression parameters and hence potentially leads to the wrong identification of relevant predictors in a statistical model. Collinearity is a severe problem when a model is trained on data from one region or time, and predicted to another with a different or unknown structure of collinearity. To demonstrate the reach of the problem of collinearity in ecology, we show how relationships among predictors differ between biomes, change over spatial scales and through time. Across disciplines, different approaches to addressing collinearity problems have been developed, ranging from clustering of predictors, threshold-based pre-selection, through latent variable methods, to shrinkage and regularisation. Using simulated data with five predictor-response relationships of increasing complexity and eight levels of collinearity we compared ways to address collinearity with standard multiple regression and machine-learning approaches. We assessed the performance of each approach by testing its impact on prediction to new data. In the extreme, we tested whether the methods were able to identify the true underlying relationship in a training dataset with strong collinearity by evaluating its performance on a test dataset without any collinearity. We found that methods specifically designed for collinearity, such as latent variable methods and tree based models, did not outperform the traditional GLM and threshold-based pre-selection. Our results highlight the value of GLM in combination with penalised methods (particularly ridge) and threshold-based pre-selection when omitted variables are considered in the final interpretation. However, all approaches tested yielded degraded predictions under change in collinearity structure and the ‘folk lore’-thresholds of correlation coefficients between predictor variables of |r| &gt;0.7 was an appropriate indicator for when collinearity begins to severely distort model estimation and subsequent prediction. The use of ecological understanding of the system in pre-analysis variable selection and the choice of the least sensitive statistical approaches reduce the problems of collinearity, but cannot ultimately solve them.","container-title":"Ecography","ISSN":"1600-0587","issue":"1","language":"en","note":"_eprint: https://onlinelibrary.wiley.com/doi/pdf/10.1111/j.1600-0587.2012.07348.x","page":"27-46","source":"Wiley Online Library","title":"Collinearity: a review of methods to deal with it and a simulation study evaluating their performance","title-short":"Collinearity","volume":"36","author":[{"family":"Dormann","given":"Carsten F."},{"family":"Elith","given":"Jane"},{"family":"Bacher","given":"Sven"},{"family":"Buchmann","given":"Carsten"},{"family":"Carl","given":"Gudrun"},{"family":"Carré","given":"Gabriel"},{"family":"Marquéz","given":"Jaime R. García"},{"family":"Gruber","given":"Bernd"},{"family":"Lafourcade","given":"Bruno"},{"family":"Leitão","given":"Pedro J."},{"family":"Münkemüller","given":"Tamara"},{"family":"McClean","given":"Colin"},{"family":"Osborne","given":"Patrick E."},{"family":"Reineking","given":"Björn"},{"family":"Schröder","given":"Boris"},{"family":"Skidmore","given":"Andrew K."},{"family":"Zurell","given":"Damaris"},{"family":"Lautenbach","given":"Sven"}],"issued":{"date-parts":[["2013"]]}}}],"schema":"https://github.com/citation-style-language/schema/raw/master/csl-citation.json"} </w:instrText>
      </w:r>
      <w:r w:rsidRPr="00093C5E">
        <w:rPr>
          <w:rFonts w:cs="Times New Roman"/>
          <w:szCs w:val="24"/>
        </w:rPr>
        <w:fldChar w:fldCharType="separate"/>
      </w:r>
      <w:r w:rsidR="002B37C7" w:rsidRPr="00093C5E">
        <w:rPr>
          <w:rFonts w:cs="Times New Roman"/>
          <w:szCs w:val="24"/>
        </w:rPr>
        <w:t>(Dormann et al., 2013)</w:t>
      </w:r>
      <w:r w:rsidRPr="00093C5E">
        <w:rPr>
          <w:rFonts w:cs="Times New Roman"/>
          <w:szCs w:val="24"/>
        </w:rPr>
        <w:fldChar w:fldCharType="end"/>
      </w:r>
      <w:r w:rsidRPr="00093C5E">
        <w:rPr>
          <w:rFonts w:cs="Times New Roman"/>
          <w:szCs w:val="24"/>
        </w:rPr>
        <w:t xml:space="preserve">, and captures non-linear relationships between predictor and response variables, and allows for interactions between predictor variables. Poisson BRT models were created using the R library gbm </w:t>
      </w:r>
      <w:r w:rsidRPr="00093C5E">
        <w:rPr>
          <w:rFonts w:cs="Times New Roman"/>
          <w:szCs w:val="24"/>
        </w:rPr>
        <w:fldChar w:fldCharType="begin"/>
      </w:r>
      <w:r w:rsidR="001B184A" w:rsidRPr="00093C5E">
        <w:rPr>
          <w:rFonts w:cs="Times New Roman"/>
          <w:szCs w:val="24"/>
        </w:rPr>
        <w:instrText xml:space="preserve"> ADDIN ZOTERO_ITEM CSL_CITATION {"citationID":"lhWTlry1","properties":{"formattedCitation":"(Ridgeway et al., 2013)","plainCitation":"(Ridgeway et al., 2013)","noteIndex":0},"citationItems":[{"id":3938,"uris":["http://zotero.org/users/5456909/items/BV6XJFVG"],"uri":["http://zotero.org/users/5456909/items/BV6XJFVG"],"itemData":{"id":3938,"type":"book","publisher":"CRAN","title":"Package ‘gbm’","version":"3.6,1","author":[{"family":"Ridgeway","given":"G"},{"family":"Southworth","given":"MH"},{"family":"RUnit","given":""}],"issued":{"date-parts":[["2013"]]}}}],"schema":"https://github.com/citation-style-language/schema/raw/master/csl-citation.json"} </w:instrText>
      </w:r>
      <w:r w:rsidRPr="00093C5E">
        <w:rPr>
          <w:rFonts w:cs="Times New Roman"/>
          <w:szCs w:val="24"/>
        </w:rPr>
        <w:fldChar w:fldCharType="separate"/>
      </w:r>
      <w:r w:rsidR="002B37C7" w:rsidRPr="00093C5E">
        <w:rPr>
          <w:rFonts w:cs="Times New Roman"/>
          <w:szCs w:val="24"/>
        </w:rPr>
        <w:t>(Ridgeway et al., 2013)</w:t>
      </w:r>
      <w:r w:rsidRPr="00093C5E">
        <w:rPr>
          <w:rFonts w:cs="Times New Roman"/>
          <w:szCs w:val="24"/>
        </w:rPr>
        <w:fldChar w:fldCharType="end"/>
      </w:r>
      <w:r w:rsidRPr="00093C5E">
        <w:rPr>
          <w:rFonts w:cs="Times New Roman"/>
          <w:szCs w:val="24"/>
        </w:rPr>
        <w:t>.</w:t>
      </w:r>
    </w:p>
    <w:bookmarkEnd w:id="50"/>
    <w:p w14:paraId="090DBE86" w14:textId="77777777" w:rsidR="00EE74B8" w:rsidRPr="00093C5E" w:rsidRDefault="00EE74B8" w:rsidP="00EE74B8">
      <w:pPr>
        <w:rPr>
          <w:rFonts w:cs="Times New Roman"/>
          <w:szCs w:val="24"/>
        </w:rPr>
      </w:pPr>
      <w:r w:rsidRPr="00093C5E">
        <w:rPr>
          <w:rFonts w:cs="Times New Roman"/>
          <w:szCs w:val="24"/>
        </w:rPr>
        <w:t xml:space="preserve">For each study area, separate models were fitted for </w:t>
      </w:r>
      <w:r w:rsidRPr="00093C5E">
        <w:rPr>
          <w:rFonts w:cs="Times New Roman"/>
          <w:i/>
          <w:iCs/>
          <w:szCs w:val="24"/>
        </w:rPr>
        <w:t>P. falciparum</w:t>
      </w:r>
      <w:r w:rsidRPr="00093C5E">
        <w:rPr>
          <w:rFonts w:cs="Times New Roman"/>
          <w:szCs w:val="24"/>
        </w:rPr>
        <w:t xml:space="preserve"> + mixed cases, </w:t>
      </w:r>
      <w:r w:rsidRPr="00093C5E">
        <w:rPr>
          <w:rFonts w:cs="Times New Roman"/>
          <w:i/>
          <w:iCs/>
          <w:szCs w:val="24"/>
        </w:rPr>
        <w:t>P. vivax</w:t>
      </w:r>
      <w:r w:rsidRPr="00093C5E">
        <w:rPr>
          <w:rFonts w:cs="Times New Roman"/>
          <w:szCs w:val="24"/>
        </w:rPr>
        <w:t xml:space="preserve"> cases, and total cases. Outpatient numbers were included as offset term. The models were fitted with a learning rate of 0.01, a tree complexity of 3, and a bag fraction of 0.5. Several parameter combinations were tested and the combination that yielded the best R</w:t>
      </w:r>
      <w:r w:rsidRPr="00093C5E">
        <w:rPr>
          <w:rFonts w:cs="Times New Roman"/>
          <w:szCs w:val="24"/>
          <w:vertAlign w:val="superscript"/>
        </w:rPr>
        <w:t>2</w:t>
      </w:r>
      <w:r w:rsidRPr="00093C5E">
        <w:rPr>
          <w:rFonts w:cs="Times New Roman"/>
          <w:szCs w:val="24"/>
        </w:rPr>
        <w:t xml:space="preserve"> from a 5-fold cross validation was selected. </w:t>
      </w:r>
    </w:p>
    <w:p w14:paraId="5585342B" w14:textId="0D439CFB" w:rsidR="00EE74B8" w:rsidRPr="00093C5E" w:rsidRDefault="00EE74B8" w:rsidP="00EE74B8">
      <w:pPr>
        <w:rPr>
          <w:rFonts w:cs="Times New Roman"/>
          <w:szCs w:val="24"/>
        </w:rPr>
      </w:pPr>
      <w:bookmarkStart w:id="51" w:name="_Hlk71311513"/>
      <w:r w:rsidRPr="00093C5E">
        <w:rPr>
          <w:rFonts w:cs="Times New Roman"/>
          <w:szCs w:val="24"/>
        </w:rPr>
        <w:t xml:space="preserve">Relative importance of predictor variables was estimated to determine which variables had the strongest influences on malaria patterns. Variable importance is a measure of how often </w:t>
      </w:r>
      <w:r w:rsidRPr="00093C5E">
        <w:rPr>
          <w:rFonts w:cs="Times New Roman"/>
          <w:szCs w:val="24"/>
        </w:rPr>
        <w:lastRenderedPageBreak/>
        <w:t xml:space="preserve">a variable is used to create a split, normalized by the improvement in squared error resulting from the corresponding split. A high variable importance of a variable indicates that the BRT model relied heavily on a specific variable during the model fitting process. It is a common metric to compare the relative influence of predictor variables </w:t>
      </w:r>
      <w:r w:rsidRPr="00093C5E">
        <w:rPr>
          <w:rFonts w:cs="Times New Roman"/>
          <w:szCs w:val="24"/>
        </w:rPr>
        <w:fldChar w:fldCharType="begin"/>
      </w:r>
      <w:r w:rsidR="00164EEB" w:rsidRPr="00093C5E">
        <w:rPr>
          <w:rFonts w:cs="Times New Roman"/>
          <w:szCs w:val="24"/>
        </w:rPr>
        <w:instrText xml:space="preserve"> ADDIN ZOTERO_ITEM CSL_CITATION {"citationID":"Xdmq8zgA","properties":{"formattedCitation":"(Elith et al., 2008)","plainCitation":"(Elith et al., 2008)","noteIndex":0},"citationItems":[{"id":1693,"uris":["http://zotero.org/users/5456909/items/LLLGNTES"],"uri":["http://zotero.org/users/5456909/items/LLLGNTES"],"itemData":{"id":1693,"type":"article-journal","container-title":"Journal of Animal Ecology","issue":"4","page":"802-813","title":"A working guide to boosted regression trees","volume":"77","author":[{"family":"Elith","given":"Jane"},{"family":"Leathwick","given":"J. R."},{"family":"Hastie","given":"T."}],"issued":{"date-parts":[["2008",7]]}}}],"schema":"https://github.com/citation-style-language/schema/raw/master/csl-citation.json"} </w:instrText>
      </w:r>
      <w:r w:rsidRPr="00093C5E">
        <w:rPr>
          <w:rFonts w:cs="Times New Roman"/>
          <w:szCs w:val="24"/>
        </w:rPr>
        <w:fldChar w:fldCharType="separate"/>
      </w:r>
      <w:r w:rsidR="002B37C7" w:rsidRPr="00093C5E">
        <w:rPr>
          <w:rFonts w:cs="Times New Roman"/>
          <w:szCs w:val="24"/>
        </w:rPr>
        <w:t>(Elith et al., 2008)</w:t>
      </w:r>
      <w:r w:rsidRPr="00093C5E">
        <w:rPr>
          <w:rFonts w:cs="Times New Roman"/>
          <w:szCs w:val="24"/>
        </w:rPr>
        <w:fldChar w:fldCharType="end"/>
      </w:r>
      <w:r w:rsidRPr="00093C5E">
        <w:rPr>
          <w:rFonts w:cs="Times New Roman"/>
          <w:szCs w:val="24"/>
        </w:rPr>
        <w:t xml:space="preserve">, and has been used to study environmental effects on malaria transmission </w:t>
      </w:r>
      <w:r w:rsidRPr="00093C5E">
        <w:rPr>
          <w:rFonts w:cs="Times New Roman"/>
          <w:szCs w:val="24"/>
        </w:rPr>
        <w:fldChar w:fldCharType="begin"/>
      </w:r>
      <w:r w:rsidR="00701ADA" w:rsidRPr="00093C5E">
        <w:rPr>
          <w:rFonts w:cs="Times New Roman"/>
          <w:szCs w:val="24"/>
        </w:rPr>
        <w:instrText xml:space="preserve"> ADDIN ZOTERO_ITEM CSL_CITATION {"citationID":"SGDC3KT6","properties":{"formattedCitation":"(Solano-Villarreal et al., 2019)","plainCitation":"(Solano-Villarreal et al., 2019)","noteIndex":0},"citationItems":[{"id":3930,"uris":["http://zotero.org/users/5456909/items/LDT9VHJ3"],"uri":["http://zotero.org/users/5456909/items/LDT9VHJ3"],"itemData":{"id":3930,"type":"article-journal","abstract":"This is the first study to assess the risk of co-endemic Plasmodium vivax and Plasmodium falciparum transmission in the Peruvian Amazon using boosted regression tree (BRT) models based on social and environmental predictors derived from satellite imagery and data. Yearly cross-validated BRT models were created to discriminate high-risk (annual parasite index API &gt; 10 cases/1000 people) and very-high-risk for malaria (API &gt; 50 cases/1000 people) in 2766 georeferenced villages of Loreto department, between 2010–2017 as other parts in the article (graphs, tables, and texts). Predictors were cumulative annual rainfall, forest coverage, annual forest loss, annual mean land surface temperature, normalized difference vegetation index (NDVI), normalized difference water index (NDWI), shortest distance to rivers, time to populated villages, and population density. BRT models built with predictor data of a given year efficiently discriminated the malaria risk for that year in villages (area under the ROC curve (AUC) &gt; 0.80), and most models also effectively predicted malaria risk in the following year. Cumulative rainfall, population density and time to populated villages were consistently the top three predictors for both P. vivax and P. falciparum incidence. Maps created using the BRT models characterize the spatial distribution of the malaria incidence in Loreto and should contribute to malaria-related decision making in the area.","container-title":"Scientific Reports","ISSN":"2045-2322","issue":"1","language":"en","note":"number: 1\npublisher: Nature Publishing Group","page":"15173","source":"www.nature.com","title":"Malaria risk assessment and mapping using satellite imagery and boosted regression trees in the Peruvian Amazon","volume":"9","author":[{"family":"Solano-Villarreal","given":"Elisa"},{"family":"Valdivia","given":"Walter"},{"family":"Pearcy","given":"Morgan"},{"family":"Linard","given":"Catherine"},{"family":"Pasapera-Gonzales","given":"José"},{"family":"Moreno-Gutierrez","given":"Diamantina"},{"family":"Lejeune","given":"Philippe"},{"family":"Llanos-Cuentas","given":"Alejandro"},{"family":"Speybroeck","given":"Niko"},{"family":"Hayette","given":"Marie-Pierre"},{"family":"Rosas-Aguirre","given":"Angel"}],"issued":{"date-parts":[["2019",10,23]]}}}],"schema":"https://github.com/citation-style-language/schema/raw/master/csl-citation.json"} </w:instrText>
      </w:r>
      <w:r w:rsidRPr="00093C5E">
        <w:rPr>
          <w:rFonts w:cs="Times New Roman"/>
          <w:szCs w:val="24"/>
        </w:rPr>
        <w:fldChar w:fldCharType="separate"/>
      </w:r>
      <w:r w:rsidR="00701ADA" w:rsidRPr="00093C5E">
        <w:rPr>
          <w:rFonts w:cs="Times New Roman"/>
          <w:szCs w:val="24"/>
        </w:rPr>
        <w:t>(Solano-Villarreal et al., 2019)</w:t>
      </w:r>
      <w:r w:rsidRPr="00093C5E">
        <w:rPr>
          <w:rFonts w:cs="Times New Roman"/>
          <w:szCs w:val="24"/>
        </w:rPr>
        <w:fldChar w:fldCharType="end"/>
      </w:r>
      <w:r w:rsidRPr="00093C5E">
        <w:rPr>
          <w:rFonts w:cs="Times New Roman"/>
          <w:szCs w:val="24"/>
        </w:rPr>
        <w:t xml:space="preserve">. </w:t>
      </w:r>
      <w:bookmarkEnd w:id="51"/>
      <w:r w:rsidRPr="00093C5E">
        <w:rPr>
          <w:rFonts w:cs="Times New Roman"/>
          <w:szCs w:val="24"/>
        </w:rPr>
        <w:t>We then ranked the variables by their importance value and identified the five most important variables for total malaria cases. To visualize the relationships between these variables and malaria proportion, we fitted partial dependence plots that show how a response variable depends on the predictor variable after taking the average effects of all other variables into account.</w:t>
      </w:r>
    </w:p>
    <w:p w14:paraId="722F463C" w14:textId="6FC6827D" w:rsidR="00EE74B8" w:rsidRPr="00AA3319" w:rsidRDefault="00EE74B8" w:rsidP="00EE74B8">
      <w:pPr>
        <w:pStyle w:val="Heading2"/>
        <w:rPr>
          <w:rFonts w:cs="Times New Roman"/>
        </w:rPr>
      </w:pPr>
      <w:bookmarkStart w:id="52" w:name="_Toc78889192"/>
      <w:r w:rsidRPr="00AA3319">
        <w:rPr>
          <w:rFonts w:cs="Times New Roman"/>
        </w:rPr>
        <w:t>Results</w:t>
      </w:r>
      <w:bookmarkEnd w:id="52"/>
    </w:p>
    <w:p w14:paraId="1AA66C3A" w14:textId="2836B498" w:rsidR="00EE74B8" w:rsidRPr="00AA3319" w:rsidRDefault="00EE74B8" w:rsidP="00EE74B8">
      <w:pPr>
        <w:pStyle w:val="Heading3"/>
        <w:rPr>
          <w:rFonts w:cs="Times New Roman"/>
        </w:rPr>
      </w:pPr>
      <w:bookmarkStart w:id="53" w:name="_Toc78889193"/>
      <w:r w:rsidRPr="00AA3319">
        <w:rPr>
          <w:rFonts w:cs="Times New Roman"/>
        </w:rPr>
        <w:t>Spatio-temporal patterns in malaria cases</w:t>
      </w:r>
      <w:bookmarkEnd w:id="53"/>
    </w:p>
    <w:p w14:paraId="7D92AD6E" w14:textId="5CC87015" w:rsidR="00EE74B8" w:rsidRPr="00AA3319" w:rsidRDefault="00EE74B8" w:rsidP="00EE74B8">
      <w:pPr>
        <w:rPr>
          <w:rFonts w:cs="Times New Roman"/>
        </w:rPr>
      </w:pPr>
      <w:r w:rsidRPr="00AA3319">
        <w:rPr>
          <w:rFonts w:cs="Times New Roman"/>
        </w:rPr>
        <w:t xml:space="preserve">Between January 2014 and December 2017, a total of 22,584 malaria cases were reported (Table </w:t>
      </w:r>
      <w:r w:rsidR="0021152F">
        <w:rPr>
          <w:rFonts w:cs="Times New Roman"/>
        </w:rPr>
        <w:t>2-</w:t>
      </w:r>
      <w:r w:rsidRPr="00AA3319">
        <w:rPr>
          <w:rFonts w:cs="Times New Roman"/>
        </w:rPr>
        <w:t xml:space="preserve">2). Fifty-nine percent of all cases were attributed to </w:t>
      </w:r>
      <w:r w:rsidRPr="00AA3319">
        <w:rPr>
          <w:rFonts w:cs="Times New Roman"/>
          <w:i/>
          <w:iCs/>
        </w:rPr>
        <w:t>P. falciparum</w:t>
      </w:r>
      <w:r w:rsidRPr="00AA3319">
        <w:rPr>
          <w:rFonts w:cs="Times New Roman"/>
        </w:rPr>
        <w:t xml:space="preserve"> + mixed, and 41% of cases were due to </w:t>
      </w:r>
      <w:r w:rsidRPr="00AA3319">
        <w:rPr>
          <w:rFonts w:cs="Times New Roman"/>
          <w:i/>
          <w:iCs/>
        </w:rPr>
        <w:t>P. vivax</w:t>
      </w:r>
      <w:r w:rsidRPr="00AA3319">
        <w:rPr>
          <w:rFonts w:cs="Times New Roman"/>
        </w:rPr>
        <w:t>. In Bahir Dar Zuria and Mecha</w:t>
      </w:r>
      <w:r w:rsidRPr="00AA3319">
        <w:rPr>
          <w:rFonts w:cs="Times New Roman"/>
          <w:i/>
          <w:iCs/>
        </w:rPr>
        <w:t>, P. falciparum</w:t>
      </w:r>
      <w:r w:rsidRPr="00AA3319">
        <w:rPr>
          <w:rFonts w:cs="Times New Roman"/>
        </w:rPr>
        <w:t xml:space="preserve"> + mixed cases made up the largest share of infections, whereas </w:t>
      </w:r>
      <w:r w:rsidRPr="00AA3319">
        <w:rPr>
          <w:rFonts w:cs="Times New Roman"/>
          <w:i/>
          <w:iCs/>
        </w:rPr>
        <w:t>P. vivax</w:t>
      </w:r>
      <w:r w:rsidRPr="00AA3319">
        <w:rPr>
          <w:rFonts w:cs="Times New Roman"/>
        </w:rPr>
        <w:t xml:space="preserve"> was more dominant in Aneded and Awabel. Of the four woredas, the highest malaria proportion was in Awabel with 62 malaria cases per 1,000 outpatients. A total of 2,108 cases had a travel history, meaning they left the village for at least one night within the last 30 days. The highest proportion of traveled cases was in Awabel with 6 traveled cases per 1,000 outpatients.</w:t>
      </w:r>
    </w:p>
    <w:p w14:paraId="6BCBA101" w14:textId="24BA6C1D" w:rsidR="002A7B87" w:rsidRDefault="002A7B87" w:rsidP="00E448A9">
      <w:pPr>
        <w:pStyle w:val="Caption"/>
        <w:keepNext/>
        <w:ind w:firstLine="0"/>
        <w:rPr>
          <w:rFonts w:cs="Times New Roman"/>
        </w:rPr>
      </w:pPr>
    </w:p>
    <w:p w14:paraId="1ED263E3" w14:textId="77777777" w:rsidR="002A7B87" w:rsidRPr="002A7B87" w:rsidRDefault="002A7B87" w:rsidP="002A7B87"/>
    <w:p w14:paraId="20FADF07" w14:textId="447E466F" w:rsidR="00E448A9" w:rsidRPr="00AA3319" w:rsidRDefault="002A7B87" w:rsidP="00E448A9">
      <w:pPr>
        <w:pStyle w:val="Caption"/>
        <w:keepNext/>
        <w:ind w:firstLine="0"/>
        <w:rPr>
          <w:rFonts w:cs="Times New Roman"/>
        </w:rPr>
      </w:pPr>
      <w:bookmarkStart w:id="54" w:name="_Toc78879969"/>
      <w:r>
        <w:rPr>
          <w:rFonts w:cs="Times New Roman"/>
        </w:rPr>
        <w:lastRenderedPageBreak/>
        <w:t>T</w:t>
      </w:r>
      <w:r w:rsidR="00E448A9" w:rsidRPr="00AA3319">
        <w:rPr>
          <w:rFonts w:cs="Times New Roman"/>
        </w:rPr>
        <w:t xml:space="preserve">able </w:t>
      </w:r>
      <w:r w:rsidR="00BC1366">
        <w:rPr>
          <w:rFonts w:cs="Times New Roman"/>
        </w:rPr>
        <w:fldChar w:fldCharType="begin"/>
      </w:r>
      <w:r w:rsidR="00BC1366">
        <w:rPr>
          <w:rFonts w:cs="Times New Roman"/>
        </w:rPr>
        <w:instrText xml:space="preserve"> STYLEREF 1 \s </w:instrText>
      </w:r>
      <w:r w:rsidR="00BC1366">
        <w:rPr>
          <w:rFonts w:cs="Times New Roman"/>
        </w:rPr>
        <w:fldChar w:fldCharType="separate"/>
      </w:r>
      <w:r w:rsidR="00F243F7">
        <w:rPr>
          <w:rFonts w:cs="Times New Roman"/>
          <w:noProof/>
        </w:rPr>
        <w:t>2</w:t>
      </w:r>
      <w:r w:rsidR="00BC1366">
        <w:rPr>
          <w:rFonts w:cs="Times New Roman"/>
        </w:rPr>
        <w:fldChar w:fldCharType="end"/>
      </w:r>
      <w:r w:rsidR="00BC1366">
        <w:rPr>
          <w:rFonts w:cs="Times New Roman"/>
        </w:rPr>
        <w:noBreakHyphen/>
      </w:r>
      <w:r w:rsidR="00BC1366">
        <w:rPr>
          <w:rFonts w:cs="Times New Roman"/>
        </w:rPr>
        <w:fldChar w:fldCharType="begin"/>
      </w:r>
      <w:r w:rsidR="00BC1366">
        <w:rPr>
          <w:rFonts w:cs="Times New Roman"/>
        </w:rPr>
        <w:instrText xml:space="preserve"> SEQ Table \* ARABIC \s 1 </w:instrText>
      </w:r>
      <w:r w:rsidR="00BC1366">
        <w:rPr>
          <w:rFonts w:cs="Times New Roman"/>
        </w:rPr>
        <w:fldChar w:fldCharType="separate"/>
      </w:r>
      <w:r w:rsidR="00F243F7">
        <w:rPr>
          <w:rFonts w:cs="Times New Roman"/>
          <w:noProof/>
        </w:rPr>
        <w:t>2</w:t>
      </w:r>
      <w:r w:rsidR="00BC1366">
        <w:rPr>
          <w:rFonts w:cs="Times New Roman"/>
        </w:rPr>
        <w:fldChar w:fldCharType="end"/>
      </w:r>
      <w:r w:rsidR="00E448A9" w:rsidRPr="00AA3319">
        <w:rPr>
          <w:rFonts w:cs="Times New Roman"/>
        </w:rPr>
        <w:t>: Total malaria case numbers, as well as case number by species, from 2014-2017. The number of traveled cases represents all diagnosed malaria cases that indicated a travel history. Outpatient numbers were the total numbers of patients seeking care at health facilities. Outpatient numbers were used to calculate the proportion of outpatients diagnosed with malaria (the malaria proportion).</w:t>
      </w:r>
      <w:bookmarkEnd w:id="54"/>
      <w:r w:rsidR="009A666C">
        <w:rPr>
          <w:rFonts w:cs="Times New Roman"/>
        </w:rPr>
        <w:t xml:space="preserve"> </w:t>
      </w:r>
    </w:p>
    <w:p w14:paraId="7A994340" w14:textId="3206F1EF" w:rsidR="00E448A9" w:rsidRPr="00AA3319" w:rsidRDefault="00E448A9" w:rsidP="00EE74B8">
      <w:pPr>
        <w:rPr>
          <w:rFonts w:cs="Times New Roman"/>
        </w:rPr>
      </w:pPr>
      <w:r w:rsidRPr="00AA3319">
        <w:rPr>
          <w:rFonts w:cs="Times New Roman"/>
          <w:noProof/>
        </w:rPr>
        <w:drawing>
          <wp:inline distT="0" distB="0" distL="0" distR="0" wp14:anchorId="4F7C2814" wp14:editId="3EA477B8">
            <wp:extent cx="5486400" cy="1172845"/>
            <wp:effectExtent l="0" t="0" r="0" b="8255"/>
            <wp:docPr id="13" name="Picture 2">
              <a:extLst xmlns:a="http://schemas.openxmlformats.org/drawingml/2006/main">
                <a:ext uri="{FF2B5EF4-FFF2-40B4-BE49-F238E27FC236}">
                  <a16:creationId xmlns:a16="http://schemas.microsoft.com/office/drawing/2014/main" id="{B16950D0-6139-4F14-BF80-F6482B323C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16950D0-6139-4F14-BF80-F6482B323C13}"/>
                        </a:ext>
                      </a:extLst>
                    </pic:cNvPr>
                    <pic:cNvPicPr>
                      <a:picLocks noChangeAspect="1"/>
                    </pic:cNvPicPr>
                  </pic:nvPicPr>
                  <pic:blipFill rotWithShape="1">
                    <a:blip r:embed="rId13"/>
                    <a:srcRect l="26110" t="36786" r="27216" b="45476"/>
                    <a:stretch/>
                  </pic:blipFill>
                  <pic:spPr>
                    <a:xfrm>
                      <a:off x="0" y="0"/>
                      <a:ext cx="5486400" cy="1172845"/>
                    </a:xfrm>
                    <a:prstGeom prst="rect">
                      <a:avLst/>
                    </a:prstGeom>
                  </pic:spPr>
                </pic:pic>
              </a:graphicData>
            </a:graphic>
          </wp:inline>
        </w:drawing>
      </w:r>
    </w:p>
    <w:p w14:paraId="144C851A" w14:textId="0E13EC59" w:rsidR="00EE74B8" w:rsidRPr="00AA3319" w:rsidRDefault="00EE74B8" w:rsidP="00EE74B8">
      <w:pPr>
        <w:rPr>
          <w:rFonts w:cs="Times New Roman"/>
        </w:rPr>
      </w:pPr>
      <w:r w:rsidRPr="00AA3319">
        <w:rPr>
          <w:rFonts w:cs="Times New Roman"/>
        </w:rPr>
        <w:t xml:space="preserve">From 2014 to 2017, we identified a downward trend in total malaria cases for Mecha and Bahir Dar Zuria (Figure </w:t>
      </w:r>
      <w:r w:rsidR="00064D1B" w:rsidRPr="00AA3319">
        <w:rPr>
          <w:rFonts w:cs="Times New Roman"/>
        </w:rPr>
        <w:t>2-</w:t>
      </w:r>
      <w:r w:rsidRPr="00AA3319">
        <w:rPr>
          <w:rFonts w:cs="Times New Roman"/>
        </w:rPr>
        <w:t xml:space="preserve">3). Case numbers in Aneded and Awabel remained more stable over the study period. This led to case numbers in Mecha and Bahir Dar Zuria being higher than those in Aneded and Awabel during 2014 and 2015, but lower in 2016 and 2017. Both study areas showed strong seasonality with low case occurrence between January – April, a small case peak during May – August and most cases occurring during September – December. </w:t>
      </w:r>
    </w:p>
    <w:p w14:paraId="2613E4B0" w14:textId="77777777" w:rsidR="001A2E91" w:rsidRPr="00AA3319" w:rsidRDefault="00EE74B8" w:rsidP="001A2E91">
      <w:pPr>
        <w:keepNext/>
        <w:jc w:val="left"/>
        <w:rPr>
          <w:rFonts w:cs="Times New Roman"/>
        </w:rPr>
      </w:pPr>
      <w:r w:rsidRPr="00AA3319">
        <w:rPr>
          <w:rFonts w:cs="Times New Roman"/>
          <w:noProof/>
        </w:rPr>
        <w:lastRenderedPageBreak/>
        <w:drawing>
          <wp:inline distT="0" distB="0" distL="0" distR="0" wp14:anchorId="727CD8CA" wp14:editId="6E6CD51F">
            <wp:extent cx="5486400" cy="2580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508756" cy="2591065"/>
                    </a:xfrm>
                    <a:prstGeom prst="rect">
                      <a:avLst/>
                    </a:prstGeom>
                    <a:noFill/>
                    <a:ln>
                      <a:noFill/>
                    </a:ln>
                  </pic:spPr>
                </pic:pic>
              </a:graphicData>
            </a:graphic>
          </wp:inline>
        </w:drawing>
      </w:r>
    </w:p>
    <w:p w14:paraId="569AFAC7" w14:textId="7FDC0EB6" w:rsidR="00EE74B8" w:rsidRPr="00AA3319" w:rsidRDefault="001A2E91" w:rsidP="001A2E91">
      <w:pPr>
        <w:pStyle w:val="Caption"/>
        <w:ind w:firstLine="0"/>
        <w:jc w:val="left"/>
        <w:rPr>
          <w:rFonts w:cs="Times New Roman"/>
        </w:rPr>
      </w:pPr>
      <w:bookmarkStart w:id="55" w:name="_Toc78881285"/>
      <w:r w:rsidRPr="00AA3319">
        <w:rPr>
          <w:rFonts w:cs="Times New Roman"/>
        </w:rPr>
        <w:t xml:space="preserve">Figure </w:t>
      </w:r>
      <w:r w:rsidR="004C1B0D">
        <w:rPr>
          <w:rFonts w:cs="Times New Roman"/>
        </w:rPr>
        <w:fldChar w:fldCharType="begin"/>
      </w:r>
      <w:r w:rsidR="004C1B0D">
        <w:rPr>
          <w:rFonts w:cs="Times New Roman"/>
        </w:rPr>
        <w:instrText xml:space="preserve"> STYLEREF 1 \s </w:instrText>
      </w:r>
      <w:r w:rsidR="004C1B0D">
        <w:rPr>
          <w:rFonts w:cs="Times New Roman"/>
        </w:rPr>
        <w:fldChar w:fldCharType="separate"/>
      </w:r>
      <w:r w:rsidR="00F243F7">
        <w:rPr>
          <w:rFonts w:cs="Times New Roman"/>
          <w:noProof/>
        </w:rPr>
        <w:t>2</w:t>
      </w:r>
      <w:r w:rsidR="004C1B0D">
        <w:rPr>
          <w:rFonts w:cs="Times New Roman"/>
        </w:rPr>
        <w:fldChar w:fldCharType="end"/>
      </w:r>
      <w:r w:rsidR="004C1B0D">
        <w:rPr>
          <w:rFonts w:cs="Times New Roman"/>
        </w:rPr>
        <w:noBreakHyphen/>
      </w:r>
      <w:r w:rsidR="004C1B0D">
        <w:rPr>
          <w:rFonts w:cs="Times New Roman"/>
        </w:rPr>
        <w:fldChar w:fldCharType="begin"/>
      </w:r>
      <w:r w:rsidR="004C1B0D">
        <w:rPr>
          <w:rFonts w:cs="Times New Roman"/>
        </w:rPr>
        <w:instrText xml:space="preserve"> SEQ Figure \* ARABIC \s 1 </w:instrText>
      </w:r>
      <w:r w:rsidR="004C1B0D">
        <w:rPr>
          <w:rFonts w:cs="Times New Roman"/>
        </w:rPr>
        <w:fldChar w:fldCharType="separate"/>
      </w:r>
      <w:r w:rsidR="00F243F7">
        <w:rPr>
          <w:rFonts w:cs="Times New Roman"/>
          <w:noProof/>
        </w:rPr>
        <w:t>3</w:t>
      </w:r>
      <w:r w:rsidR="004C1B0D">
        <w:rPr>
          <w:rFonts w:cs="Times New Roman"/>
        </w:rPr>
        <w:fldChar w:fldCharType="end"/>
      </w:r>
      <w:r w:rsidRPr="00AA3319">
        <w:rPr>
          <w:rFonts w:cs="Times New Roman"/>
        </w:rPr>
        <w:t>: Total malaria case numbers from Jan 2014 – Dec 2017 by study area. a) Monthly case numbers shown over entire study period. Lines indicate LOESS smoothed trend. b) Seasonality of total malaria cases. Lines represent mean case numbers over all kebeles and years. Error bars indicate the standard error of the observed mean.</w:t>
      </w:r>
      <w:bookmarkEnd w:id="55"/>
    </w:p>
    <w:p w14:paraId="43208492" w14:textId="02CA9AD9" w:rsidR="00EE74B8" w:rsidRPr="00AA3319" w:rsidRDefault="00EE74B8" w:rsidP="00EE74B8">
      <w:pPr>
        <w:rPr>
          <w:rFonts w:cs="Times New Roman"/>
        </w:rPr>
      </w:pPr>
      <w:r w:rsidRPr="00AA3319">
        <w:rPr>
          <w:rFonts w:cs="Times New Roman"/>
        </w:rPr>
        <w:t xml:space="preserve">There was considerable variation in total malaria proportion within woredas, as well as for cases broken up into the two pathogen groups </w:t>
      </w:r>
      <w:r w:rsidRPr="00AA3319">
        <w:rPr>
          <w:rFonts w:cs="Times New Roman"/>
          <w:i/>
          <w:iCs/>
        </w:rPr>
        <w:t>P. falciparum</w:t>
      </w:r>
      <w:r w:rsidRPr="00AA3319">
        <w:rPr>
          <w:rFonts w:cs="Times New Roman"/>
        </w:rPr>
        <w:t xml:space="preserve"> + mixed and </w:t>
      </w:r>
      <w:r w:rsidRPr="00AA3319">
        <w:rPr>
          <w:rFonts w:cs="Times New Roman"/>
          <w:i/>
          <w:iCs/>
        </w:rPr>
        <w:t>P. vivax</w:t>
      </w:r>
      <w:r w:rsidRPr="00AA3319">
        <w:rPr>
          <w:rFonts w:cs="Times New Roman"/>
        </w:rPr>
        <w:t xml:space="preserve"> (Figure </w:t>
      </w:r>
      <w:r w:rsidR="00064D1B" w:rsidRPr="00AA3319">
        <w:rPr>
          <w:rFonts w:cs="Times New Roman"/>
        </w:rPr>
        <w:t>2-</w:t>
      </w:r>
      <w:r w:rsidRPr="00AA3319">
        <w:rPr>
          <w:rFonts w:cs="Times New Roman"/>
        </w:rPr>
        <w:t xml:space="preserve">4). In </w:t>
      </w:r>
      <w:r w:rsidRPr="00AA3319">
        <w:rPr>
          <w:rFonts w:cs="Times New Roman"/>
          <w:color w:val="000000" w:themeColor="text1"/>
        </w:rPr>
        <w:t>Mecha and Bahir Dar Zuria</w:t>
      </w:r>
      <w:r w:rsidRPr="00AA3319">
        <w:rPr>
          <w:rFonts w:cs="Times New Roman"/>
        </w:rPr>
        <w:t xml:space="preserve"> there was a high malaria proportion in the hilly southern part of the study area, as well as in the flatter central area. In Aneded and Awabel there was a much stronger spatial gradient in malaria proportion with southern kebeles on the Blue Nile escarpment showing a higher malaria proportion. In </w:t>
      </w:r>
      <w:r w:rsidRPr="00AA3319">
        <w:rPr>
          <w:rFonts w:cs="Times New Roman"/>
          <w:color w:val="000000" w:themeColor="text1"/>
        </w:rPr>
        <w:t>Mecha and Bahir Dar Zuria,</w:t>
      </w:r>
      <w:r w:rsidRPr="00AA3319">
        <w:rPr>
          <w:rFonts w:cs="Times New Roman"/>
          <w:i/>
          <w:iCs/>
        </w:rPr>
        <w:t xml:space="preserve"> P. vivax</w:t>
      </w:r>
      <w:r w:rsidRPr="00AA3319">
        <w:rPr>
          <w:rFonts w:cs="Times New Roman"/>
        </w:rPr>
        <w:t xml:space="preserve"> was more confined to the kebeles in the southern hills, whereas </w:t>
      </w:r>
      <w:r w:rsidRPr="00AA3319">
        <w:rPr>
          <w:rFonts w:cs="Times New Roman"/>
          <w:i/>
          <w:iCs/>
        </w:rPr>
        <w:t>P. falciparum</w:t>
      </w:r>
      <w:r w:rsidRPr="00AA3319">
        <w:rPr>
          <w:rFonts w:cs="Times New Roman"/>
        </w:rPr>
        <w:t xml:space="preserve"> cases were largely responsible for the central cluster. In Aneded and Awabel, </w:t>
      </w:r>
      <w:r w:rsidRPr="00AA3319">
        <w:rPr>
          <w:rFonts w:cs="Times New Roman"/>
          <w:i/>
          <w:iCs/>
        </w:rPr>
        <w:t>P. falciparum</w:t>
      </w:r>
      <w:r w:rsidRPr="00AA3319">
        <w:rPr>
          <w:rFonts w:cs="Times New Roman"/>
        </w:rPr>
        <w:t xml:space="preserve"> malaria proportion was highest in the kebeles along the Blue Nile escarpment in the south, whereas infections from </w:t>
      </w:r>
      <w:r w:rsidRPr="00AA3319">
        <w:rPr>
          <w:rFonts w:cs="Times New Roman"/>
          <w:i/>
          <w:iCs/>
        </w:rPr>
        <w:t>P. vivax</w:t>
      </w:r>
      <w:r w:rsidRPr="00AA3319">
        <w:rPr>
          <w:rFonts w:cs="Times New Roman"/>
        </w:rPr>
        <w:t xml:space="preserve"> cases had additional clusters in the northern and western kebeles. Most cases with a travel history were recorded in the southern hills of Mecha and on the Blue Nile escarpment in Aneded and Awabel. High malaria proportion was correlated with a high proportion of cases with a travel history. The Spearman rank </w:t>
      </w:r>
      <w:r w:rsidRPr="00AA3319">
        <w:rPr>
          <w:rFonts w:cs="Times New Roman"/>
        </w:rPr>
        <w:lastRenderedPageBreak/>
        <w:t xml:space="preserve">correlation coefficient between travel proportion and </w:t>
      </w:r>
      <w:r w:rsidRPr="00AA3319">
        <w:rPr>
          <w:rFonts w:cs="Times New Roman"/>
          <w:i/>
        </w:rPr>
        <w:t xml:space="preserve">P. falciparum </w:t>
      </w:r>
      <w:r w:rsidRPr="00AA3319">
        <w:rPr>
          <w:rFonts w:cs="Times New Roman"/>
        </w:rPr>
        <w:t xml:space="preserve">proportion was 0.6 for Mecha and Bahir Dar Zuria, and 0.62 for Aneded and Awabel. The correlation between travel proportion and </w:t>
      </w:r>
      <w:r w:rsidRPr="00AA3319">
        <w:rPr>
          <w:rFonts w:cs="Times New Roman"/>
          <w:i/>
        </w:rPr>
        <w:t xml:space="preserve">P. vivax </w:t>
      </w:r>
      <w:r w:rsidRPr="00AA3319">
        <w:rPr>
          <w:rFonts w:cs="Times New Roman"/>
        </w:rPr>
        <w:t xml:space="preserve">proportion was 0.58 for Mecha and Bahir Dar and 0.54 for Aneded and Awabel. </w:t>
      </w:r>
    </w:p>
    <w:p w14:paraId="31518221" w14:textId="77777777" w:rsidR="00D17370" w:rsidRPr="00AA3319" w:rsidRDefault="00EE74B8" w:rsidP="00D17370">
      <w:pPr>
        <w:pStyle w:val="Title"/>
        <w:keepNext/>
        <w:jc w:val="left"/>
        <w:rPr>
          <w:rFonts w:cs="Times New Roman"/>
        </w:rPr>
      </w:pPr>
      <w:r w:rsidRPr="00AA3319">
        <w:rPr>
          <w:rFonts w:cs="Times New Roman"/>
          <w:noProof/>
        </w:rPr>
        <w:drawing>
          <wp:inline distT="0" distB="0" distL="0" distR="0" wp14:anchorId="3A95B139" wp14:editId="0B642717">
            <wp:extent cx="5477047" cy="400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462"/>
                    <a:stretch/>
                  </pic:blipFill>
                  <pic:spPr bwMode="auto">
                    <a:xfrm>
                      <a:off x="0" y="0"/>
                      <a:ext cx="5488075" cy="4008555"/>
                    </a:xfrm>
                    <a:prstGeom prst="rect">
                      <a:avLst/>
                    </a:prstGeom>
                    <a:noFill/>
                    <a:ln>
                      <a:noFill/>
                    </a:ln>
                    <a:extLst>
                      <a:ext uri="{53640926-AAD7-44D8-BBD7-CCE9431645EC}">
                        <a14:shadowObscured xmlns:a14="http://schemas.microsoft.com/office/drawing/2010/main"/>
                      </a:ext>
                    </a:extLst>
                  </pic:spPr>
                </pic:pic>
              </a:graphicData>
            </a:graphic>
          </wp:inline>
        </w:drawing>
      </w:r>
    </w:p>
    <w:p w14:paraId="518AAAD5" w14:textId="51D2DDD3" w:rsidR="00EE74B8" w:rsidRPr="00AA3319" w:rsidRDefault="00D17370" w:rsidP="00D17370">
      <w:pPr>
        <w:pStyle w:val="Caption"/>
        <w:ind w:firstLine="0"/>
        <w:jc w:val="left"/>
        <w:rPr>
          <w:rFonts w:cs="Times New Roman"/>
        </w:rPr>
      </w:pPr>
      <w:bookmarkStart w:id="56" w:name="_Toc78881286"/>
      <w:r w:rsidRPr="00AA3319">
        <w:rPr>
          <w:rFonts w:cs="Times New Roman"/>
        </w:rPr>
        <w:t xml:space="preserve">Figure </w:t>
      </w:r>
      <w:r w:rsidR="004C1B0D">
        <w:rPr>
          <w:rFonts w:cs="Times New Roman"/>
        </w:rPr>
        <w:fldChar w:fldCharType="begin"/>
      </w:r>
      <w:r w:rsidR="004C1B0D">
        <w:rPr>
          <w:rFonts w:cs="Times New Roman"/>
        </w:rPr>
        <w:instrText xml:space="preserve"> STYLEREF 1 \s </w:instrText>
      </w:r>
      <w:r w:rsidR="004C1B0D">
        <w:rPr>
          <w:rFonts w:cs="Times New Roman"/>
        </w:rPr>
        <w:fldChar w:fldCharType="separate"/>
      </w:r>
      <w:r w:rsidR="00F243F7">
        <w:rPr>
          <w:rFonts w:cs="Times New Roman"/>
          <w:noProof/>
        </w:rPr>
        <w:t>2</w:t>
      </w:r>
      <w:r w:rsidR="004C1B0D">
        <w:rPr>
          <w:rFonts w:cs="Times New Roman"/>
        </w:rPr>
        <w:fldChar w:fldCharType="end"/>
      </w:r>
      <w:r w:rsidR="004C1B0D">
        <w:rPr>
          <w:rFonts w:cs="Times New Roman"/>
        </w:rPr>
        <w:noBreakHyphen/>
      </w:r>
      <w:r w:rsidR="004C1B0D">
        <w:rPr>
          <w:rFonts w:cs="Times New Roman"/>
        </w:rPr>
        <w:fldChar w:fldCharType="begin"/>
      </w:r>
      <w:r w:rsidR="004C1B0D">
        <w:rPr>
          <w:rFonts w:cs="Times New Roman"/>
        </w:rPr>
        <w:instrText xml:space="preserve"> SEQ Figure \* ARABIC \s 1 </w:instrText>
      </w:r>
      <w:r w:rsidR="004C1B0D">
        <w:rPr>
          <w:rFonts w:cs="Times New Roman"/>
        </w:rPr>
        <w:fldChar w:fldCharType="separate"/>
      </w:r>
      <w:r w:rsidR="00F243F7">
        <w:rPr>
          <w:rFonts w:cs="Times New Roman"/>
          <w:noProof/>
        </w:rPr>
        <w:t>4</w:t>
      </w:r>
      <w:r w:rsidR="004C1B0D">
        <w:rPr>
          <w:rFonts w:cs="Times New Roman"/>
        </w:rPr>
        <w:fldChar w:fldCharType="end"/>
      </w:r>
      <w:r w:rsidRPr="00AA3319">
        <w:rPr>
          <w:rFonts w:cs="Times New Roman"/>
        </w:rPr>
        <w:t>: Spatial distribution of malaria proportion. Malaria proportion is the number out of 1,000 outpatients that were diagnosed with malaria for total malaria cases, P. falciparum + mixed cases, and P. vivax cases. The upper maps are the woredas Mecha &amp; Bahir Dar Zuria, and the lower maps are the woredas Aneded &amp; Awabel. Blue dots indicate the travel proportion, which is the total malaria patients with travel history per 1,000 outpatients.</w:t>
      </w:r>
      <w:bookmarkEnd w:id="56"/>
    </w:p>
    <w:p w14:paraId="5AD8A270" w14:textId="0B012740" w:rsidR="00EE74B8" w:rsidRPr="00AA3319" w:rsidRDefault="00EE74B8" w:rsidP="00EE74B8">
      <w:pPr>
        <w:rPr>
          <w:rFonts w:cs="Times New Roman"/>
        </w:rPr>
      </w:pPr>
      <w:r w:rsidRPr="00AA3319">
        <w:rPr>
          <w:rFonts w:cs="Times New Roman"/>
        </w:rPr>
        <w:t xml:space="preserve">These general patterns were consistent with the results from the SaTScan analysis (Figure </w:t>
      </w:r>
      <w:r w:rsidR="00064D1B" w:rsidRPr="00AA3319">
        <w:rPr>
          <w:rFonts w:cs="Times New Roman"/>
        </w:rPr>
        <w:t>2-</w:t>
      </w:r>
      <w:r w:rsidRPr="00AA3319">
        <w:rPr>
          <w:rFonts w:cs="Times New Roman"/>
        </w:rPr>
        <w:t>5). The kebeles in southern and central Mecha and Bahir</w:t>
      </w:r>
      <w:r w:rsidRPr="00AA3319">
        <w:rPr>
          <w:rFonts w:cs="Times New Roman"/>
          <w:color w:val="000000" w:themeColor="text1"/>
        </w:rPr>
        <w:t xml:space="preserve"> Dar Zuria</w:t>
      </w:r>
      <w:r w:rsidRPr="00AA3319">
        <w:rPr>
          <w:rFonts w:cs="Times New Roman"/>
        </w:rPr>
        <w:t xml:space="preserve"> that showed a high malaria proportion over the entire time period were identified as stable malaria hotspots with malaria clusters in at least 3 years. Similarly, in Aneded and Awabel, areas with </w:t>
      </w:r>
      <w:r w:rsidRPr="00AA3319">
        <w:rPr>
          <w:rFonts w:cs="Times New Roman"/>
        </w:rPr>
        <w:lastRenderedPageBreak/>
        <w:t xml:space="preserve">overall high malaria proportion were found to be stable malaria hotspots with clusters identified for every year. The SaTScan results showed that the high malaria proportion in the southern kebeles of both zones were due to consistent annually recurring outbreaks and not due to individual large outbreaks. Notably, in Aneded and Awabel most kebeles were either identified as stable hotspots for </w:t>
      </w:r>
      <w:r w:rsidRPr="00AA3319">
        <w:rPr>
          <w:rFonts w:cs="Times New Roman"/>
          <w:i/>
          <w:iCs/>
        </w:rPr>
        <w:t>P. falciparum</w:t>
      </w:r>
      <w:r w:rsidRPr="00AA3319">
        <w:rPr>
          <w:rFonts w:cs="Times New Roman"/>
        </w:rPr>
        <w:t xml:space="preserve"> with clusters in three or four years, or as areas that were never identified as hotspots. Only very few kebeles were identified as unstable </w:t>
      </w:r>
      <w:r w:rsidRPr="00AA3319">
        <w:rPr>
          <w:rFonts w:cs="Times New Roman"/>
          <w:i/>
          <w:iCs/>
        </w:rPr>
        <w:t>P. falciparum</w:t>
      </w:r>
      <w:r w:rsidRPr="00AA3319">
        <w:rPr>
          <w:rFonts w:cs="Times New Roman"/>
        </w:rPr>
        <w:t xml:space="preserve"> hotspots with clusters in one or two years. </w:t>
      </w:r>
      <w:r w:rsidRPr="00AA3319">
        <w:rPr>
          <w:rFonts w:cs="Times New Roman"/>
          <w:i/>
          <w:iCs/>
        </w:rPr>
        <w:t>P. vivax</w:t>
      </w:r>
      <w:r w:rsidRPr="00AA3319">
        <w:rPr>
          <w:rFonts w:cs="Times New Roman"/>
        </w:rPr>
        <w:t xml:space="preserve"> case clusters in Aneded and Awabel were less stable with a considerable number of kebeles being identified as clusters in one or two years. </w:t>
      </w:r>
    </w:p>
    <w:p w14:paraId="044F3ECF" w14:textId="77777777" w:rsidR="00C45F1E" w:rsidRPr="00AA3319" w:rsidRDefault="00EE74B8" w:rsidP="00C45F1E">
      <w:pPr>
        <w:keepNext/>
        <w:rPr>
          <w:rFonts w:cs="Times New Roman"/>
        </w:rPr>
      </w:pPr>
      <w:r w:rsidRPr="00AA3319">
        <w:rPr>
          <w:rFonts w:cs="Times New Roman"/>
          <w:noProof/>
        </w:rPr>
        <w:drawing>
          <wp:inline distT="0" distB="0" distL="0" distR="0" wp14:anchorId="1BBCAAA8" wp14:editId="348BD389">
            <wp:extent cx="5486400" cy="3856892"/>
            <wp:effectExtent l="0" t="0" r="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p&#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94415" cy="3862527"/>
                    </a:xfrm>
                    <a:prstGeom prst="rect">
                      <a:avLst/>
                    </a:prstGeom>
                    <a:noFill/>
                    <a:ln>
                      <a:noFill/>
                    </a:ln>
                  </pic:spPr>
                </pic:pic>
              </a:graphicData>
            </a:graphic>
          </wp:inline>
        </w:drawing>
      </w:r>
    </w:p>
    <w:p w14:paraId="43DC830C" w14:textId="0EC44E54" w:rsidR="00EE74B8" w:rsidRPr="00AA3319" w:rsidRDefault="00C45F1E" w:rsidP="00C45F1E">
      <w:pPr>
        <w:pStyle w:val="Caption"/>
        <w:ind w:firstLine="0"/>
        <w:rPr>
          <w:rFonts w:cs="Times New Roman"/>
        </w:rPr>
      </w:pPr>
      <w:bookmarkStart w:id="57" w:name="_Toc78881287"/>
      <w:r w:rsidRPr="00AA3319">
        <w:rPr>
          <w:rFonts w:cs="Times New Roman"/>
        </w:rPr>
        <w:t xml:space="preserve">Figure </w:t>
      </w:r>
      <w:r w:rsidR="004C1B0D">
        <w:rPr>
          <w:rFonts w:cs="Times New Roman"/>
        </w:rPr>
        <w:fldChar w:fldCharType="begin"/>
      </w:r>
      <w:r w:rsidR="004C1B0D">
        <w:rPr>
          <w:rFonts w:cs="Times New Roman"/>
        </w:rPr>
        <w:instrText xml:space="preserve"> STYLEREF 1 \s </w:instrText>
      </w:r>
      <w:r w:rsidR="004C1B0D">
        <w:rPr>
          <w:rFonts w:cs="Times New Roman"/>
        </w:rPr>
        <w:fldChar w:fldCharType="separate"/>
      </w:r>
      <w:r w:rsidR="00F243F7">
        <w:rPr>
          <w:rFonts w:cs="Times New Roman"/>
          <w:noProof/>
        </w:rPr>
        <w:t>2</w:t>
      </w:r>
      <w:r w:rsidR="004C1B0D">
        <w:rPr>
          <w:rFonts w:cs="Times New Roman"/>
        </w:rPr>
        <w:fldChar w:fldCharType="end"/>
      </w:r>
      <w:r w:rsidR="004C1B0D">
        <w:rPr>
          <w:rFonts w:cs="Times New Roman"/>
        </w:rPr>
        <w:noBreakHyphen/>
      </w:r>
      <w:r w:rsidR="004C1B0D">
        <w:rPr>
          <w:rFonts w:cs="Times New Roman"/>
        </w:rPr>
        <w:fldChar w:fldCharType="begin"/>
      </w:r>
      <w:r w:rsidR="004C1B0D">
        <w:rPr>
          <w:rFonts w:cs="Times New Roman"/>
        </w:rPr>
        <w:instrText xml:space="preserve"> SEQ Figure \* ARABIC \s 1 </w:instrText>
      </w:r>
      <w:r w:rsidR="004C1B0D">
        <w:rPr>
          <w:rFonts w:cs="Times New Roman"/>
        </w:rPr>
        <w:fldChar w:fldCharType="separate"/>
      </w:r>
      <w:r w:rsidR="00F243F7">
        <w:rPr>
          <w:rFonts w:cs="Times New Roman"/>
          <w:noProof/>
        </w:rPr>
        <w:t>5</w:t>
      </w:r>
      <w:r w:rsidR="004C1B0D">
        <w:rPr>
          <w:rFonts w:cs="Times New Roman"/>
        </w:rPr>
        <w:fldChar w:fldCharType="end"/>
      </w:r>
      <w:r w:rsidRPr="00AA3319">
        <w:rPr>
          <w:rFonts w:cs="Times New Roman"/>
        </w:rPr>
        <w:t>: Number of years each kebele was identified as part of a case cluster by the SaTScan analyses.</w:t>
      </w:r>
      <w:bookmarkEnd w:id="57"/>
    </w:p>
    <w:p w14:paraId="6B88FA5B" w14:textId="50D66B87" w:rsidR="00EE74B8" w:rsidRPr="00AA3319" w:rsidRDefault="00EE74B8" w:rsidP="00A53F9F">
      <w:pPr>
        <w:pStyle w:val="Heading3"/>
        <w:rPr>
          <w:rFonts w:cs="Times New Roman"/>
        </w:rPr>
      </w:pPr>
      <w:bookmarkStart w:id="58" w:name="_Toc78889194"/>
      <w:r w:rsidRPr="00AA3319">
        <w:rPr>
          <w:rFonts w:cs="Times New Roman"/>
        </w:rPr>
        <w:lastRenderedPageBreak/>
        <w:t>Association between malaria and environmental variables</w:t>
      </w:r>
      <w:bookmarkEnd w:id="58"/>
    </w:p>
    <w:p w14:paraId="00F963E2" w14:textId="77777777" w:rsidR="00EE74B8" w:rsidRPr="00AA3319" w:rsidRDefault="00EE74B8" w:rsidP="00EE74B8">
      <w:pPr>
        <w:rPr>
          <w:rFonts w:cs="Times New Roman"/>
          <w:color w:val="000000" w:themeColor="text1"/>
        </w:rPr>
      </w:pPr>
      <w:r w:rsidRPr="00AA3319">
        <w:rPr>
          <w:rFonts w:cs="Times New Roman"/>
          <w:color w:val="000000" w:themeColor="text1"/>
        </w:rPr>
        <w:t>We compared model performance metrics for BRT models for each study area and malaria species, as well as total cases. The cross-validated R</w:t>
      </w:r>
      <w:r w:rsidRPr="00AA3319">
        <w:rPr>
          <w:rFonts w:cs="Times New Roman"/>
          <w:color w:val="000000" w:themeColor="text1"/>
          <w:vertAlign w:val="superscript"/>
        </w:rPr>
        <w:t xml:space="preserve">2 </w:t>
      </w:r>
      <w:r w:rsidRPr="00AA3319">
        <w:rPr>
          <w:rFonts w:cs="Times New Roman"/>
          <w:color w:val="000000" w:themeColor="text1"/>
        </w:rPr>
        <w:t xml:space="preserve">values were higher in Aneded and Awabel with 0.90 for total cases, 0.91 for </w:t>
      </w:r>
      <w:r w:rsidRPr="00AA3319">
        <w:rPr>
          <w:rFonts w:cs="Times New Roman"/>
          <w:i/>
          <w:iCs/>
          <w:color w:val="000000" w:themeColor="text1"/>
        </w:rPr>
        <w:t>P. falciparum</w:t>
      </w:r>
      <w:r w:rsidRPr="00AA3319">
        <w:rPr>
          <w:rFonts w:cs="Times New Roman"/>
          <w:color w:val="000000" w:themeColor="text1"/>
        </w:rPr>
        <w:t xml:space="preserve"> and mixed cases, and 0.78 for </w:t>
      </w:r>
      <w:r w:rsidRPr="00AA3319">
        <w:rPr>
          <w:rFonts w:cs="Times New Roman"/>
          <w:i/>
          <w:iCs/>
          <w:color w:val="000000" w:themeColor="text1"/>
        </w:rPr>
        <w:t>P. vivax</w:t>
      </w:r>
      <w:r w:rsidRPr="00AA3319">
        <w:rPr>
          <w:rFonts w:cs="Times New Roman"/>
          <w:color w:val="000000" w:themeColor="text1"/>
        </w:rPr>
        <w:t xml:space="preserve"> cases. In Mecha and Bahir Dar Zuria, the cross-validated R</w:t>
      </w:r>
      <w:r w:rsidRPr="00AA3319">
        <w:rPr>
          <w:rFonts w:cs="Times New Roman"/>
          <w:color w:val="000000" w:themeColor="text1"/>
          <w:vertAlign w:val="superscript"/>
        </w:rPr>
        <w:t xml:space="preserve">2 </w:t>
      </w:r>
      <w:r w:rsidRPr="00AA3319">
        <w:rPr>
          <w:rFonts w:cs="Times New Roman"/>
          <w:color w:val="000000" w:themeColor="text1"/>
        </w:rPr>
        <w:t xml:space="preserve">values were 0.6 for total cases, 0.54 for </w:t>
      </w:r>
      <w:r w:rsidRPr="00AA3319">
        <w:rPr>
          <w:rFonts w:cs="Times New Roman"/>
          <w:i/>
          <w:iCs/>
          <w:color w:val="000000" w:themeColor="text1"/>
        </w:rPr>
        <w:t>P. falciparum</w:t>
      </w:r>
      <w:r w:rsidRPr="00AA3319">
        <w:rPr>
          <w:rFonts w:cs="Times New Roman"/>
          <w:color w:val="000000" w:themeColor="text1"/>
        </w:rPr>
        <w:t xml:space="preserve"> and mixed cases and 0.68 for </w:t>
      </w:r>
      <w:r w:rsidRPr="00AA3319">
        <w:rPr>
          <w:rFonts w:cs="Times New Roman"/>
          <w:i/>
          <w:iCs/>
          <w:color w:val="000000" w:themeColor="text1"/>
        </w:rPr>
        <w:t>P. vivax</w:t>
      </w:r>
      <w:r w:rsidRPr="00AA3319">
        <w:rPr>
          <w:rFonts w:cs="Times New Roman"/>
          <w:color w:val="000000" w:themeColor="text1"/>
        </w:rPr>
        <w:t xml:space="preserve"> cases. In Mecha and Bahir Dar Zuria, the cross-validated R</w:t>
      </w:r>
      <w:r w:rsidRPr="00AA3319">
        <w:rPr>
          <w:rFonts w:cs="Times New Roman"/>
          <w:color w:val="000000" w:themeColor="text1"/>
          <w:vertAlign w:val="superscript"/>
        </w:rPr>
        <w:t>2</w:t>
      </w:r>
      <w:r w:rsidRPr="00AA3319">
        <w:rPr>
          <w:rFonts w:cs="Times New Roman"/>
          <w:color w:val="000000" w:themeColor="text1"/>
        </w:rPr>
        <w:t xml:space="preserve"> for </w:t>
      </w:r>
      <w:r w:rsidRPr="00AA3319">
        <w:rPr>
          <w:rFonts w:cs="Times New Roman"/>
          <w:i/>
          <w:iCs/>
          <w:color w:val="000000" w:themeColor="text1"/>
        </w:rPr>
        <w:t>P. vivax</w:t>
      </w:r>
      <w:r w:rsidRPr="00AA3319">
        <w:rPr>
          <w:rFonts w:cs="Times New Roman"/>
          <w:color w:val="000000" w:themeColor="text1"/>
        </w:rPr>
        <w:t xml:space="preserve"> was higher than for </w:t>
      </w:r>
      <w:r w:rsidRPr="00AA3319">
        <w:rPr>
          <w:rFonts w:cs="Times New Roman"/>
          <w:i/>
          <w:iCs/>
          <w:color w:val="000000" w:themeColor="text1"/>
        </w:rPr>
        <w:t>P. falciparum</w:t>
      </w:r>
      <w:r w:rsidRPr="00AA3319">
        <w:rPr>
          <w:rFonts w:cs="Times New Roman"/>
          <w:color w:val="000000" w:themeColor="text1"/>
        </w:rPr>
        <w:t>, whereas in Aneded and Awabel the cross-validated R</w:t>
      </w:r>
      <w:r w:rsidRPr="00AA3319">
        <w:rPr>
          <w:rFonts w:cs="Times New Roman"/>
          <w:color w:val="000000" w:themeColor="text1"/>
          <w:vertAlign w:val="superscript"/>
        </w:rPr>
        <w:t xml:space="preserve">2 </w:t>
      </w:r>
      <w:r w:rsidRPr="00AA3319">
        <w:rPr>
          <w:rFonts w:cs="Times New Roman"/>
          <w:color w:val="000000" w:themeColor="text1"/>
        </w:rPr>
        <w:t xml:space="preserve">for </w:t>
      </w:r>
      <w:r w:rsidRPr="00AA3319">
        <w:rPr>
          <w:rFonts w:cs="Times New Roman"/>
          <w:i/>
          <w:iCs/>
          <w:color w:val="000000" w:themeColor="text1"/>
        </w:rPr>
        <w:t>P. falciparum</w:t>
      </w:r>
      <w:r w:rsidRPr="00AA3319">
        <w:rPr>
          <w:rFonts w:cs="Times New Roman"/>
          <w:color w:val="000000" w:themeColor="text1"/>
        </w:rPr>
        <w:t xml:space="preserve"> was higher than for </w:t>
      </w:r>
      <w:r w:rsidRPr="00AA3319">
        <w:rPr>
          <w:rFonts w:cs="Times New Roman"/>
          <w:i/>
          <w:iCs/>
          <w:color w:val="000000" w:themeColor="text1"/>
        </w:rPr>
        <w:t>P. vivax</w:t>
      </w:r>
      <w:r w:rsidRPr="00AA3319">
        <w:rPr>
          <w:rFonts w:cs="Times New Roman"/>
          <w:color w:val="000000" w:themeColor="text1"/>
        </w:rPr>
        <w:t>.</w:t>
      </w:r>
    </w:p>
    <w:p w14:paraId="7A797B16" w14:textId="2591A324" w:rsidR="00EE74B8" w:rsidRPr="00AA3319" w:rsidRDefault="00EE74B8" w:rsidP="00EE74B8">
      <w:pPr>
        <w:rPr>
          <w:rFonts w:cs="Times New Roman"/>
          <w:color w:val="000000" w:themeColor="text1"/>
        </w:rPr>
      </w:pPr>
      <w:r w:rsidRPr="00AA3319">
        <w:rPr>
          <w:rFonts w:cs="Times New Roman"/>
          <w:color w:val="000000" w:themeColor="text1"/>
        </w:rPr>
        <w:t xml:space="preserve">We quantified the relative importance of all variables in the different BRT models and visualized a subset of variables that represent the five most important variables for total malaria cases, as well as the respective partial dependence plots to interpret the influence of environmental variables on malaria proportion (Figure </w:t>
      </w:r>
      <w:r w:rsidR="00064D1B" w:rsidRPr="00AA3319">
        <w:rPr>
          <w:rFonts w:cs="Times New Roman"/>
          <w:color w:val="000000" w:themeColor="text1"/>
        </w:rPr>
        <w:t>2-</w:t>
      </w:r>
      <w:r w:rsidRPr="00AA3319">
        <w:rPr>
          <w:rFonts w:cs="Times New Roman"/>
          <w:color w:val="000000" w:themeColor="text1"/>
        </w:rPr>
        <w:t xml:space="preserve">6). </w:t>
      </w:r>
      <w:bookmarkStart w:id="59" w:name="_Hlk71311624"/>
      <w:r w:rsidRPr="00AA3319">
        <w:rPr>
          <w:rFonts w:cs="Times New Roman"/>
          <w:color w:val="000000" w:themeColor="text1"/>
        </w:rPr>
        <w:t>Tables with all variables and their relative importance scores can be found in the supplement</w:t>
      </w:r>
      <w:r w:rsidR="00BC1366">
        <w:rPr>
          <w:rFonts w:cs="Times New Roman"/>
          <w:color w:val="000000" w:themeColor="text1"/>
        </w:rPr>
        <w:t>al chapter 2.6</w:t>
      </w:r>
      <w:r w:rsidRPr="00AA3319">
        <w:rPr>
          <w:rFonts w:cs="Times New Roman"/>
          <w:color w:val="000000" w:themeColor="text1"/>
        </w:rPr>
        <w:t xml:space="preserve">. </w:t>
      </w:r>
      <w:bookmarkEnd w:id="59"/>
      <w:r w:rsidRPr="00AA3319">
        <w:rPr>
          <w:rFonts w:cs="Times New Roman"/>
          <w:color w:val="000000" w:themeColor="text1"/>
        </w:rPr>
        <w:t xml:space="preserve">The most important variables differed between the two study areas with only NDVI during the transition season appearing in the top five of both study areas and both malaria species. </w:t>
      </w:r>
      <w:bookmarkStart w:id="60" w:name="_Hlk69302255"/>
      <w:bookmarkStart w:id="61" w:name="_Hlk69302265"/>
      <w:bookmarkStart w:id="62" w:name="_Hlk71311426"/>
      <w:r w:rsidRPr="00AA3319">
        <w:rPr>
          <w:rFonts w:cs="Times New Roman"/>
          <w:color w:val="000000" w:themeColor="text1"/>
        </w:rPr>
        <w:t>In both study areas at least one of the two seasonal vegetation, or moisture indices was important, as well as was at least one settlement density index</w:t>
      </w:r>
      <w:bookmarkEnd w:id="60"/>
      <w:r w:rsidRPr="00AA3319">
        <w:rPr>
          <w:rFonts w:cs="Times New Roman"/>
          <w:color w:val="000000" w:themeColor="text1"/>
        </w:rPr>
        <w:t>.</w:t>
      </w:r>
      <w:bookmarkEnd w:id="61"/>
      <w:r w:rsidRPr="00AA3319">
        <w:rPr>
          <w:rFonts w:cs="Times New Roman"/>
          <w:color w:val="000000" w:themeColor="text1"/>
        </w:rPr>
        <w:t xml:space="preserve"> </w:t>
      </w:r>
      <w:bookmarkEnd w:id="62"/>
      <w:r w:rsidRPr="00AA3319">
        <w:rPr>
          <w:rFonts w:cs="Times New Roman"/>
          <w:color w:val="000000" w:themeColor="text1"/>
        </w:rPr>
        <w:t xml:space="preserve">Except for </w:t>
      </w:r>
      <w:r w:rsidR="00141C47">
        <w:rPr>
          <w:rFonts w:cs="Times New Roman"/>
          <w:color w:val="000000" w:themeColor="text1"/>
        </w:rPr>
        <w:t>percent</w:t>
      </w:r>
      <w:r w:rsidRPr="00AA3319">
        <w:rPr>
          <w:rFonts w:cs="Times New Roman"/>
          <w:color w:val="000000" w:themeColor="text1"/>
        </w:rPr>
        <w:t xml:space="preserve"> Woody vegetation, none of the land cover variables contributed substantially to any of the models. None of the hydrological variables, including the distance to seasonal water, height above nearest drainage, or percent of land within the Koga irrigation scheme, were among the most important variables. </w:t>
      </w:r>
    </w:p>
    <w:p w14:paraId="2173FEB8" w14:textId="77777777" w:rsidR="00EE74B8" w:rsidRPr="00AA3319" w:rsidRDefault="00EE74B8" w:rsidP="00EE74B8">
      <w:pPr>
        <w:rPr>
          <w:rFonts w:cs="Times New Roman"/>
          <w:color w:val="000000" w:themeColor="text1"/>
        </w:rPr>
      </w:pPr>
      <w:bookmarkStart w:id="63" w:name="_Hlk71311571"/>
      <w:r w:rsidRPr="00AA3319">
        <w:rPr>
          <w:rFonts w:cs="Times New Roman"/>
          <w:color w:val="000000" w:themeColor="text1"/>
        </w:rPr>
        <w:lastRenderedPageBreak/>
        <w:t xml:space="preserve">In Mecha and Bahir Dar Zuria, all variable importance values were below 20%, indicating that the BRT model relied relatively evenly on a larger number of variables and that no variable stood out in explaining most of the variation on its own. </w:t>
      </w:r>
      <w:bookmarkEnd w:id="63"/>
      <w:r w:rsidRPr="00AA3319">
        <w:rPr>
          <w:rFonts w:cs="Times New Roman"/>
          <w:i/>
          <w:iCs/>
          <w:color w:val="000000" w:themeColor="text1"/>
        </w:rPr>
        <w:t>P. falciparum</w:t>
      </w:r>
      <w:r w:rsidRPr="00AA3319">
        <w:rPr>
          <w:rFonts w:cs="Times New Roman"/>
          <w:color w:val="000000" w:themeColor="text1"/>
        </w:rPr>
        <w:t xml:space="preserve"> was most strongly influenced by NDVI during the transition season (10 %), with higher malaria proportion coinciding with NDVI values below 0.5. Similarly, NDMI values below -0.01 during the transition season were also associated with a higher malaria proportion. </w:t>
      </w:r>
      <w:bookmarkStart w:id="64" w:name="_Hlk71313197"/>
      <w:r w:rsidRPr="00AA3319">
        <w:rPr>
          <w:rFonts w:cs="Times New Roman"/>
          <w:color w:val="000000" w:themeColor="text1"/>
        </w:rPr>
        <w:t>Precipitation above 1,200 mm during the rainy season was associated with a higher malaria proportion.</w:t>
      </w:r>
      <w:bookmarkEnd w:id="64"/>
      <w:r w:rsidRPr="00AA3319">
        <w:rPr>
          <w:rFonts w:cs="Times New Roman"/>
          <w:color w:val="000000" w:themeColor="text1"/>
        </w:rPr>
        <w:t xml:space="preserve"> </w:t>
      </w:r>
      <w:r w:rsidRPr="00AA3319">
        <w:rPr>
          <w:rFonts w:cs="Times New Roman"/>
          <w:i/>
          <w:iCs/>
          <w:color w:val="000000" w:themeColor="text1"/>
        </w:rPr>
        <w:t>P. vivax</w:t>
      </w:r>
      <w:r w:rsidRPr="00AA3319">
        <w:rPr>
          <w:rFonts w:cs="Times New Roman"/>
          <w:color w:val="000000" w:themeColor="text1"/>
        </w:rPr>
        <w:t xml:space="preserve"> in Mecha and Bahir Dar Zuria was mostly influenced by NDVI during transition season (17 %) with a higher malaria proportion related to lower NDVI values, and maximum settlement index (13 %) with a higher malaria proportion in kebeles with the highest aggregations of buildings. Year was an important variable for both malaria pathogens in Mecha and Bahir Dar Zuria, indicating that the downward trend over the entire study period was driven by processes not related to environmental factors included in this model. </w:t>
      </w:r>
    </w:p>
    <w:p w14:paraId="79FFA44B" w14:textId="77777777" w:rsidR="00EE74B8" w:rsidRPr="00AA3319" w:rsidRDefault="00EE74B8" w:rsidP="00EE74B8">
      <w:pPr>
        <w:rPr>
          <w:rFonts w:cs="Times New Roman"/>
          <w:color w:val="000000" w:themeColor="text1"/>
        </w:rPr>
      </w:pPr>
      <w:r w:rsidRPr="00AA3319">
        <w:rPr>
          <w:rFonts w:cs="Times New Roman"/>
          <w:color w:val="000000" w:themeColor="text1"/>
        </w:rPr>
        <w:t xml:space="preserve">In Aneded and Awabel, NDMI during the dry season was by far the most important variable for both malaria species (41 % for </w:t>
      </w:r>
      <w:r w:rsidRPr="00AA3319">
        <w:rPr>
          <w:rFonts w:cs="Times New Roman"/>
          <w:i/>
          <w:iCs/>
          <w:color w:val="000000" w:themeColor="text1"/>
        </w:rPr>
        <w:t>P. falciparum</w:t>
      </w:r>
      <w:r w:rsidRPr="00AA3319">
        <w:rPr>
          <w:rFonts w:cs="Times New Roman"/>
          <w:color w:val="000000" w:themeColor="text1"/>
        </w:rPr>
        <w:t xml:space="preserve"> and 36 % for </w:t>
      </w:r>
      <w:r w:rsidRPr="00AA3319">
        <w:rPr>
          <w:rFonts w:cs="Times New Roman"/>
          <w:i/>
          <w:iCs/>
          <w:color w:val="000000" w:themeColor="text1"/>
        </w:rPr>
        <w:t>P. vivax</w:t>
      </w:r>
      <w:r w:rsidRPr="00AA3319">
        <w:rPr>
          <w:rFonts w:cs="Times New Roman"/>
          <w:color w:val="000000" w:themeColor="text1"/>
        </w:rPr>
        <w:t xml:space="preserve">). Additionally, NDVI values below 0.55 during transition season were also associated with more malaria for both species (both &lt; 10%). Both spectral indices showed associations of drier or less green conditions with malaria occurrence. Higher malaria proportion was also positively associated with percent cover of woody vegetation for </w:t>
      </w:r>
      <w:r w:rsidRPr="00AA3319">
        <w:rPr>
          <w:rFonts w:cs="Times New Roman"/>
          <w:i/>
          <w:iCs/>
          <w:color w:val="000000" w:themeColor="text1"/>
        </w:rPr>
        <w:t>P. falciparum</w:t>
      </w:r>
      <w:r w:rsidRPr="00AA3319">
        <w:rPr>
          <w:rFonts w:cs="Times New Roman"/>
          <w:color w:val="000000" w:themeColor="text1"/>
        </w:rPr>
        <w:t xml:space="preserve"> (11%), and </w:t>
      </w:r>
      <w:r w:rsidRPr="00AA3319">
        <w:rPr>
          <w:rFonts w:cs="Times New Roman"/>
          <w:i/>
          <w:iCs/>
          <w:color w:val="000000" w:themeColor="text1"/>
        </w:rPr>
        <w:t>P. vivax</w:t>
      </w:r>
      <w:r w:rsidRPr="00AA3319">
        <w:rPr>
          <w:rFonts w:cs="Times New Roman"/>
          <w:color w:val="000000" w:themeColor="text1"/>
        </w:rPr>
        <w:t xml:space="preserve"> (6%). </w:t>
      </w:r>
      <w:bookmarkStart w:id="65" w:name="_Hlk71313254"/>
      <w:r w:rsidRPr="00AA3319">
        <w:rPr>
          <w:rFonts w:cs="Times New Roman"/>
          <w:color w:val="000000" w:themeColor="text1"/>
        </w:rPr>
        <w:t>Mean LST above 25</w:t>
      </w:r>
      <w:r w:rsidRPr="00AA3319">
        <w:rPr>
          <w:rFonts w:cs="Times New Roman"/>
        </w:rPr>
        <w:t>°</w:t>
      </w:r>
      <w:r w:rsidRPr="00AA3319">
        <w:rPr>
          <w:rFonts w:cs="Times New Roman"/>
          <w:color w:val="000000" w:themeColor="text1"/>
        </w:rPr>
        <w:t xml:space="preserve">C during transition season had a positive effect on malaria proportion for both species. </w:t>
      </w:r>
      <w:bookmarkEnd w:id="65"/>
      <w:r w:rsidRPr="00AA3319">
        <w:rPr>
          <w:rFonts w:cs="Times New Roman"/>
          <w:color w:val="000000" w:themeColor="text1"/>
        </w:rPr>
        <w:t xml:space="preserve">However, the relative importance of LST for </w:t>
      </w:r>
      <w:r w:rsidRPr="00AA3319">
        <w:rPr>
          <w:rFonts w:cs="Times New Roman"/>
          <w:i/>
          <w:color w:val="000000" w:themeColor="text1"/>
        </w:rPr>
        <w:t>P. falciparum</w:t>
      </w:r>
      <w:r w:rsidRPr="00AA3319">
        <w:rPr>
          <w:rFonts w:cs="Times New Roman"/>
          <w:color w:val="000000" w:themeColor="text1"/>
        </w:rPr>
        <w:t xml:space="preserve"> and mixed cases (14%) was larger than for </w:t>
      </w:r>
      <w:r w:rsidRPr="00AA3319">
        <w:rPr>
          <w:rFonts w:cs="Times New Roman"/>
          <w:i/>
          <w:color w:val="000000" w:themeColor="text1"/>
        </w:rPr>
        <w:t>P. vivax</w:t>
      </w:r>
      <w:r w:rsidRPr="00AA3319">
        <w:rPr>
          <w:rFonts w:cs="Times New Roman"/>
          <w:color w:val="000000" w:themeColor="text1"/>
        </w:rPr>
        <w:t xml:space="preserve"> (6%). For both species, a mean </w:t>
      </w:r>
      <w:r w:rsidRPr="00AA3319">
        <w:rPr>
          <w:rFonts w:cs="Times New Roman"/>
          <w:color w:val="000000" w:themeColor="text1"/>
        </w:rPr>
        <w:lastRenderedPageBreak/>
        <w:t>settlement index of close to zero was associated with a higher malaria proportion (both &lt;10%).</w:t>
      </w:r>
    </w:p>
    <w:p w14:paraId="27CD6B36" w14:textId="77777777" w:rsidR="00C45F1E" w:rsidRPr="00AA3319" w:rsidRDefault="00EE74B8" w:rsidP="00C45F1E">
      <w:pPr>
        <w:keepNext/>
        <w:rPr>
          <w:rFonts w:cs="Times New Roman"/>
        </w:rPr>
      </w:pPr>
      <w:r w:rsidRPr="00AA3319">
        <w:rPr>
          <w:rFonts w:cs="Times New Roman"/>
          <w:noProof/>
        </w:rPr>
        <w:drawing>
          <wp:inline distT="0" distB="0" distL="0" distR="0" wp14:anchorId="2FEBA56E" wp14:editId="3BB34F13">
            <wp:extent cx="5486400" cy="27314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91659" cy="2734095"/>
                    </a:xfrm>
                    <a:prstGeom prst="rect">
                      <a:avLst/>
                    </a:prstGeom>
                    <a:noFill/>
                    <a:ln>
                      <a:noFill/>
                    </a:ln>
                  </pic:spPr>
                </pic:pic>
              </a:graphicData>
            </a:graphic>
          </wp:inline>
        </w:drawing>
      </w:r>
    </w:p>
    <w:p w14:paraId="5F4ECE13" w14:textId="3A5D5A83" w:rsidR="00EE74B8" w:rsidRPr="00AA3319" w:rsidRDefault="00C45F1E" w:rsidP="00C45F1E">
      <w:pPr>
        <w:pStyle w:val="Caption"/>
        <w:ind w:firstLine="0"/>
        <w:rPr>
          <w:rFonts w:cs="Times New Roman"/>
        </w:rPr>
      </w:pPr>
      <w:bookmarkStart w:id="66" w:name="_Toc78881288"/>
      <w:r w:rsidRPr="00AA3319">
        <w:rPr>
          <w:rFonts w:cs="Times New Roman"/>
        </w:rPr>
        <w:t xml:space="preserve">Figure </w:t>
      </w:r>
      <w:r w:rsidR="004C1B0D">
        <w:rPr>
          <w:rFonts w:cs="Times New Roman"/>
        </w:rPr>
        <w:fldChar w:fldCharType="begin"/>
      </w:r>
      <w:r w:rsidR="004C1B0D">
        <w:rPr>
          <w:rFonts w:cs="Times New Roman"/>
        </w:rPr>
        <w:instrText xml:space="preserve"> STYLEREF 1 \s </w:instrText>
      </w:r>
      <w:r w:rsidR="004C1B0D">
        <w:rPr>
          <w:rFonts w:cs="Times New Roman"/>
        </w:rPr>
        <w:fldChar w:fldCharType="separate"/>
      </w:r>
      <w:r w:rsidR="00F243F7">
        <w:rPr>
          <w:rFonts w:cs="Times New Roman"/>
          <w:noProof/>
        </w:rPr>
        <w:t>2</w:t>
      </w:r>
      <w:r w:rsidR="004C1B0D">
        <w:rPr>
          <w:rFonts w:cs="Times New Roman"/>
        </w:rPr>
        <w:fldChar w:fldCharType="end"/>
      </w:r>
      <w:r w:rsidR="004C1B0D">
        <w:rPr>
          <w:rFonts w:cs="Times New Roman"/>
        </w:rPr>
        <w:noBreakHyphen/>
      </w:r>
      <w:r w:rsidR="004C1B0D">
        <w:rPr>
          <w:rFonts w:cs="Times New Roman"/>
        </w:rPr>
        <w:fldChar w:fldCharType="begin"/>
      </w:r>
      <w:r w:rsidR="004C1B0D">
        <w:rPr>
          <w:rFonts w:cs="Times New Roman"/>
        </w:rPr>
        <w:instrText xml:space="preserve"> SEQ Figure \* ARABIC \s 1 </w:instrText>
      </w:r>
      <w:r w:rsidR="004C1B0D">
        <w:rPr>
          <w:rFonts w:cs="Times New Roman"/>
        </w:rPr>
        <w:fldChar w:fldCharType="separate"/>
      </w:r>
      <w:r w:rsidR="00F243F7">
        <w:rPr>
          <w:rFonts w:cs="Times New Roman"/>
          <w:noProof/>
        </w:rPr>
        <w:t>6</w:t>
      </w:r>
      <w:r w:rsidR="004C1B0D">
        <w:rPr>
          <w:rFonts w:cs="Times New Roman"/>
        </w:rPr>
        <w:fldChar w:fldCharType="end"/>
      </w:r>
      <w:r w:rsidRPr="00AA3319">
        <w:rPr>
          <w:rFonts w:cs="Times New Roman"/>
        </w:rPr>
        <w:t>: Variable importance of the five most important environmental variables as identified by boosted regression tree models. Different colored bars represent different malaria species (green = total species, dark blue = P. falciparum and mixed infections, light blue = P. vivax). Curves represent the fitted partial dependence curve for each variable.</w:t>
      </w:r>
      <w:bookmarkEnd w:id="66"/>
    </w:p>
    <w:p w14:paraId="7CCB09D3" w14:textId="7C67DA1B" w:rsidR="00EE74B8" w:rsidRPr="00AA3319" w:rsidRDefault="00EE74B8" w:rsidP="00EE74B8">
      <w:pPr>
        <w:pStyle w:val="Heading2"/>
        <w:rPr>
          <w:rFonts w:cs="Times New Roman"/>
        </w:rPr>
      </w:pPr>
      <w:bookmarkStart w:id="67" w:name="_Toc78889195"/>
      <w:r w:rsidRPr="00AA3319">
        <w:rPr>
          <w:rFonts w:cs="Times New Roman"/>
        </w:rPr>
        <w:t>Discussion</w:t>
      </w:r>
      <w:bookmarkEnd w:id="67"/>
    </w:p>
    <w:p w14:paraId="1444E5A8" w14:textId="1DE727AC" w:rsidR="00EE74B8" w:rsidRPr="00093C5E" w:rsidRDefault="00EE74B8" w:rsidP="00EE74B8">
      <w:pPr>
        <w:rPr>
          <w:rFonts w:cs="Times New Roman"/>
          <w:szCs w:val="24"/>
        </w:rPr>
      </w:pPr>
      <w:r w:rsidRPr="00093C5E">
        <w:rPr>
          <w:rFonts w:cs="Times New Roman"/>
          <w:szCs w:val="24"/>
        </w:rPr>
        <w:t xml:space="preserve">This study presents a kebele-level analysis of malaria occurrence in the Amhara region in Ethiopia between 2014 and 2017. Remotely sensed environmental variables were used to explore the influences of environmental risk factors. We found considerable small-scale variation in the proportion of outpatients with malaria and malaria case clusters among the kebeles of each study area. Climatic variables, settlement structure, and spectral indices were associated with malaria risk, whereas variables related to seasonal waterbodies, flood plains, and irrigation had weaker relationships. However, the relative importance of the variables, as well as the association between those variables and malaria, varied between the two study areas, as well as between the different </w:t>
      </w:r>
      <w:r w:rsidRPr="00093C5E">
        <w:rPr>
          <w:rFonts w:cs="Times New Roman"/>
          <w:i/>
          <w:iCs/>
          <w:szCs w:val="24"/>
        </w:rPr>
        <w:t>Plasmodium</w:t>
      </w:r>
      <w:r w:rsidRPr="00093C5E">
        <w:rPr>
          <w:rFonts w:cs="Times New Roman"/>
          <w:szCs w:val="24"/>
        </w:rPr>
        <w:t xml:space="preserve"> species. These results </w:t>
      </w:r>
      <w:r w:rsidRPr="00093C5E">
        <w:rPr>
          <w:rFonts w:cs="Times New Roman"/>
          <w:szCs w:val="24"/>
        </w:rPr>
        <w:lastRenderedPageBreak/>
        <w:t>support the findings of previous studies that there is geographic variation in the relationships between environmental conditions and malaria .</w:t>
      </w:r>
      <w:r w:rsidRPr="00093C5E">
        <w:rPr>
          <w:rFonts w:cs="Times New Roman"/>
          <w:szCs w:val="24"/>
        </w:rPr>
        <w:fldChar w:fldCharType="begin"/>
      </w:r>
      <w:r w:rsidR="000D258D" w:rsidRPr="00093C5E">
        <w:rPr>
          <w:rFonts w:cs="Times New Roman"/>
          <w:szCs w:val="24"/>
        </w:rPr>
        <w:instrText xml:space="preserve"> ADDIN ZOTERO_ITEM CSL_CITATION {"citationID":"rCMjqqQZ","properties":{"formattedCitation":"(Davis et al., 2019; Hardy et al., 2013; Midekisa et al., 2015; Olson et al., 2009)","plainCitation":"(Davis et al., 2019; Hardy et al., 2013; Midekisa et al., 2015; Olson et al., 2009)","noteIndex":0},"citationItems":[{"id":30,"uris":["http://zotero.org/users/5456909/items/7VEBNVMT"],"uri":["http://zotero.org/users/5456909/items/7VEBNVMT"],"itemData":{"id":30,"type":"article-journal","abstract":"BackgroundLarval source management is a promising component of integrated malaria control and elimination. This requires development of a framework to target productive locations through process-based understanding of habitat hydrology and geomorphology. MethodsWe conducted the first catchment scale study of fine resolution spatial and temporal variation in Anopheles habitat and productivity in relation to rainfall, hydrology and geomorphology for a high malaria transmission area of Tanzania. ResultsMonthly aggregates of rainfall, river stage and water table were not significantly related to the abundance of vector larvae. However, these metrics showed strong explanatory power to predict mosquito larval abundances after stratification by water body type, with a clear seasonal trend for each, defined on the basis of its geomorphological setting and origin. ConclusionHydrological and geomorphological processes governing the availability and productivity of Anopheles breeding habitat need to be understood at the local scale for which larval source management is implemented in order to effectively target larval source interventions. Mapping and monitoring these processes is a well-established practice providing a tractable way forward for developing important malaria management tools.","container-title":"PLOS ONE","ISSN":"1932-6203","issue":"12","journalAbbreviation":"PLOS ONE","language":"en","page":"e81931","source":"PLoS Journals","title":"Habitat hydrology and geomorphology control the distribution of malaria vector larvae in rural Africa","volume":"8","author":[{"family":"Hardy","given":"Andrew J."},{"family":"Gamarra","given":"Javier G. P."},{"family":"Cross","given":"Dónall E."},{"family":"Macklin","given":"Mark G."},{"family":"Smith","given":"Mark W."},{"family":"Kihonda","given":"Japhet"},{"family":"Killeen","given":"Gerry F."},{"family":"Ling’ala","given":"George N."},{"family":"Thomas","given":"Chris J."}],"issued":{"date-parts":[["2013",3,12]]}}},{"id":3660,"uris":["http://zotero.org/users/5456909/items/TECXJ9KS"],"uri":["http://zotero.org/users/5456909/items/TECXJ9KS"],"itemData":{"id":3660,"type":"article-journal","abstract":"&lt;p&gt;Time series models of malaria cases can be applied to forecast epidemics and support proactive interventions. Mosquito life history and parasite development are sensitive to environmental factors such as temperature and precipitation, and these variables are often used as predictors in malaria models. However, malaria-environment relationships can vary with ecological and social context. We used a genetic algorithm to optimize a spatiotemporal malaria model by aggregating locations into clusters with similar environmental sensitivities. We tested the algorithm in the Amhara Region of Ethiopia using seven years of weekly &lt;em&gt;Plasmodium falciparum&lt;/em&gt; data from 47 districts and remotely-sensed land surface temperature, precipitation, and spectral indices as predictors. The best model identified six clusters, and the districts in each cluster had distinctive responses to the environmental predictors. We conclude that spatial stratification can improve the fit of environmentally-driven disease models, and genetic algorithms provide a practical and effective approach for identifying these clusters.&lt;/p&gt;","container-title":"Environmental Modelling and Software","page":"275-284","title":"A genetic algorithm for identifying spatially-varying environmental drivers in a malaria time series model","volume":"119","author":[{"family":"Davis","given":"Justin K."},{"family":"Gebrehiwot","given":"Teklehaymanot"},{"family":"Worku","given":"Mastewal"},{"family":"Awoke","given":"Worku"},{"family":"Mihretie","given":"Abere"},{"family":"Nekorchuk","given":"Dawn"},{"family":"Wimberly","given":"Michael C."}],"issued":{"date-parts":[["2019"]]}}},{"id":1507,"uris":["http://zotero.org/users/5456909/items/2VK6DSF2"],"uri":["http://zotero.org/users/5456909/items/2VK6DSF2"],"itemData":{"id":1507,"type":"article-journal","abstract":"Climate changes are altering patterns of temperature and precipitation, potentially affecting regions of malaria transmission. We show that areas of the Amazon Basin with few wetlands show a variable relationship between precipitation and malaria, while areas with extensive wetlands show a negative relationship with malaria incidence.","container-title":"Emerging Infectious Diseases","issue":"4","page":"659-662","title":"Links between climate, malaria, and wetlands in the amazon basin","volume":"15","author":[{"family":"Olson","given":"Sarah H."},{"family":"Gangnon","given":"Ronald"},{"family":"Elguero","given":"Eric"},{"family":"Durieux","given":"Laurent"},{"family":"Guégan","given":"Jean François"},{"family":"Foley","given":"Jonathan A."},{"family":"Patz","given":"Jonathan A."}],"issued":{"date-parts":[["2009"]]}}},{"id":2227,"uris":["http://zotero.org/users/5456909/items/MCGXSBF2"],"uri":["http://zotero.org/users/5456909/items/MCGXSBF2"],"itemData":{"id":2227,"type":"article-journal","abstract":"The impacts of interannual climate fluctuations on vector-borne diseases, especially malaria, have received considerable attention in the scientific literature. These effects can be significant in semi-arid and high-elevation areas such as the highlands of East Africa because cooler temperature and seasonally dry conditions limit malaria transmission. Many previous studies have examined short-term lagged effects of climate on malaria (weeks to months), but fewer have explored the possibility of longer-term seasonal effects.","container-title":"Parasites &amp; Vectors","issue":"1","journalAbbreviation":"Parasites &amp; Vectors","page":"339","source":"BioMed Central","title":"Seasonal associations of climatic drivers and malaria in the highlands of Ethiopia","volume":"8","author":[{"family":"Midekisa","given":"Alemayehu"},{"family":"Beyene","given":"Belay"},{"family":"Mihretie","given":"Abere"},{"family":"Bayabil","given":"Estifanos"},{"family":"Wimberly","given":"Michael C."}],"issued":{"date-parts":[["2015"]]}}}],"schema":"https://github.com/citation-style-language/schema/raw/master/csl-citation.json"} </w:instrText>
      </w:r>
      <w:r w:rsidRPr="00093C5E">
        <w:rPr>
          <w:rFonts w:cs="Times New Roman"/>
          <w:szCs w:val="24"/>
        </w:rPr>
        <w:fldChar w:fldCharType="separate"/>
      </w:r>
      <w:r w:rsidR="002B37C7" w:rsidRPr="00093C5E">
        <w:rPr>
          <w:rFonts w:cs="Times New Roman"/>
          <w:szCs w:val="24"/>
        </w:rPr>
        <w:t>(Davis et al., 2019; Hardy et al., 2013; Midekisa et al., 2015; Olson et al., 2009)</w:t>
      </w:r>
      <w:r w:rsidRPr="00093C5E">
        <w:rPr>
          <w:rFonts w:cs="Times New Roman"/>
          <w:szCs w:val="24"/>
        </w:rPr>
        <w:fldChar w:fldCharType="end"/>
      </w:r>
      <w:r w:rsidRPr="00093C5E">
        <w:rPr>
          <w:rFonts w:cs="Times New Roman"/>
          <w:szCs w:val="24"/>
        </w:rPr>
        <w:t xml:space="preserve"> and highlights the importance of stratifying disease risk models into zones with similar geographic context when studying large, heterogeneous areas </w:t>
      </w:r>
      <w:r w:rsidRPr="00093C5E">
        <w:rPr>
          <w:rFonts w:cs="Times New Roman"/>
          <w:szCs w:val="24"/>
        </w:rPr>
        <w:fldChar w:fldCharType="begin"/>
      </w:r>
      <w:r w:rsidR="001B184A" w:rsidRPr="00093C5E">
        <w:rPr>
          <w:rFonts w:cs="Times New Roman"/>
          <w:szCs w:val="24"/>
        </w:rPr>
        <w:instrText xml:space="preserve"> ADDIN ZOTERO_ITEM CSL_CITATION {"citationID":"byD2nJs7","properties":{"formattedCitation":"(Davis et al., 2019)","plainCitation":"(Davis et al., 2019)","noteIndex":0},"citationItems":[{"id":3660,"uris":["http://zotero.org/users/5456909/items/TECXJ9KS"],"uri":["http://zotero.org/users/5456909/items/TECXJ9KS"],"itemData":{"id":3660,"type":"article-journal","abstract":"&lt;p&gt;Time series models of malaria cases can be applied to forecast epidemics and support proactive interventions. Mosquito life history and parasite development are sensitive to environmental factors such as temperature and precipitation, and these variables are often used as predictors in malaria models. However, malaria-environment relationships can vary with ecological and social context. We used a genetic algorithm to optimize a spatiotemporal malaria model by aggregating locations into clusters with similar environmental sensitivities. We tested the algorithm in the Amhara Region of Ethiopia using seven years of weekly &lt;em&gt;Plasmodium falciparum&lt;/em&gt; data from 47 districts and remotely-sensed land surface temperature, precipitation, and spectral indices as predictors. The best model identified six clusters, and the districts in each cluster had distinctive responses to the environmental predictors. We conclude that spatial stratification can improve the fit of environmentally-driven disease models, and genetic algorithms provide a practical and effective approach for identifying these clusters.&lt;/p&gt;","container-title":"Environmental Modelling and Software","page":"275-284","title":"A genetic algorithm for identifying spatially-varying environmental drivers in a malaria time series model","volume":"119","author":[{"family":"Davis","given":"Justin K."},{"family":"Gebrehiwot","given":"Teklehaymanot"},{"family":"Worku","given":"Mastewal"},{"family":"Awoke","given":"Worku"},{"family":"Mihretie","given":"Abere"},{"family":"Nekorchuk","given":"Dawn"},{"family":"Wimberly","given":"Michael C."}],"issued":{"date-parts":[["2019"]]}}}],"schema":"https://github.com/citation-style-language/schema/raw/master/csl-citation.json"} </w:instrText>
      </w:r>
      <w:r w:rsidRPr="00093C5E">
        <w:rPr>
          <w:rFonts w:cs="Times New Roman"/>
          <w:szCs w:val="24"/>
        </w:rPr>
        <w:fldChar w:fldCharType="separate"/>
      </w:r>
      <w:r w:rsidR="002B37C7" w:rsidRPr="00093C5E">
        <w:rPr>
          <w:rFonts w:cs="Times New Roman"/>
          <w:szCs w:val="24"/>
        </w:rPr>
        <w:t>(Davis et al., 2019)</w:t>
      </w:r>
      <w:r w:rsidRPr="00093C5E">
        <w:rPr>
          <w:rFonts w:cs="Times New Roman"/>
          <w:szCs w:val="24"/>
        </w:rPr>
        <w:fldChar w:fldCharType="end"/>
      </w:r>
      <w:r w:rsidRPr="00093C5E">
        <w:rPr>
          <w:rFonts w:cs="Times New Roman"/>
          <w:szCs w:val="24"/>
        </w:rPr>
        <w:t xml:space="preserve">. </w:t>
      </w:r>
    </w:p>
    <w:p w14:paraId="322B1734" w14:textId="5A8EC986" w:rsidR="00EE74B8" w:rsidRPr="00093C5E" w:rsidRDefault="00EE74B8" w:rsidP="00EE74B8">
      <w:pPr>
        <w:rPr>
          <w:rFonts w:cs="Times New Roman"/>
          <w:szCs w:val="24"/>
        </w:rPr>
      </w:pPr>
      <w:r w:rsidRPr="00093C5E">
        <w:rPr>
          <w:rFonts w:cs="Times New Roman"/>
          <w:szCs w:val="24"/>
        </w:rPr>
        <w:t xml:space="preserve">In Mecha and Bahir Dar Zuria, the malaria cases varied along a precipitation gradient, with the highest malaria risk in areas with the most rainfall. This effect is not surprising, as the association of malaria with climatic factors, including rainfall, has been well established in the area </w:t>
      </w:r>
      <w:r w:rsidRPr="00093C5E">
        <w:rPr>
          <w:rFonts w:cs="Times New Roman"/>
          <w:szCs w:val="24"/>
        </w:rPr>
        <w:fldChar w:fldCharType="begin"/>
      </w:r>
      <w:r w:rsidR="002B37C7" w:rsidRPr="00093C5E">
        <w:rPr>
          <w:rFonts w:cs="Times New Roman"/>
          <w:szCs w:val="24"/>
        </w:rPr>
        <w:instrText xml:space="preserve"> ADDIN ZOTERO_ITEM CSL_CITATION {"citationID":"LcBAY6PC","properties":{"formattedCitation":"(Belay et al., 2017; Midekisa et al., 2012; Minale and Alemu, 2018)","plainCitation":"(Belay et al., 2017; Midekisa et al., 2012; Minale and Alemu, 2018)","noteIndex":0},"citationItems":[{"id":2187,"uris":["http://zotero.org/users/5456909/items/XZR3T2GK"],"uri":["http://zotero.org/users/5456909/items/XZR3T2GK"],"itemData":{"id":2187,"type":"article-journal","abstract":"BACKGROUND: Malaria is one of the leading public health problems in most of sub-Saharan Africa, particularly in Ethiopia. Almost all demographic groups are at risk of malaria because of seasonal and unstable transmission of the disease. Therefore, there is a need to develop malaria early-warning systems to enhance public health decision making for control and prevention of malaria epidemics. Data from orbiting earth-observing sensors can monitor environmental risk factors that trigger malaria epidemics. Remotely sensed environmental indicators were used to examine the influences of climatic and environmental variability on temporal patterns of malaria cases in the Amhara region of Ethiopia.\\n\\nMETHODS: In this study seasonal autoregressive integrated moving average (SARIMA) models were used to quantify the relationship between malaria cases and remotely sensed environmental variables, including rainfall, land-surface temperature (LST), vegetation indices (NDVI and EVI), and actual evapotranspiration (ETa) with lags ranging from one to three months. Predictions from the best model with environmental variables were compared to the actual observations from the last 12 months of the time series.\\n\\nRESULTS: Malaria cases exhibited positive associations with LST at a lag of one month and positive associations with indicators of moisture (rainfall, EVI and ETa) at lags from one to three months. SARIMA models that included these environmental covariates had better fits and more accurate predictions, as evidenced by lower AIC and RMSE values, than models without environmental covariates.\\n\\nCONCLUSIONS: Malaria risk indicators such as satellite-based rainfall estimates, LST, EVI, and ETa exhibited significant lagged associations with malaria cases in the Amhara region and improved model fit and prediction accuracy. These variables can be monitored frequently and extensively across large geographic areas using data from earth-observing sensors to support public health decisions.","container-title":"Malaria journal","issue":"1","page":"165-165","title":"Remote sensing-based time series models for malaria early warning in the highlands of Ethiopia.","volume":"11","author":[{"family":"Midekisa","given":"Alemayehu"},{"family":"Senay","given":"Gabriel"},{"family":"Henebry","given":"Geoffrey M"},{"family":"Semuniguse","given":"Paulos"},{"family":"Wimberly","given":"Michael C"}],"issued":{"date-parts":[["2012"]]}}},{"id":2241,"uris":["http://zotero.org/users/5456909/items/VGGDIXPY"],"uri":["http://zotero.org/users/5456909/items/VGGDIXPY"],"itemData":{"id":2241,"type":"article-journal","container-title":"Geospatial Health","issue":"660","language":"en","page":"157-163","title":"Malaria-risk assessment using geographical information system and remote sensing in Mecha District, West Gojjam, Ethiopia","volume":"13","author":[{"family":"Minale","given":"Amare Sewnet"},{"family":"Alemu","given":"Kalkidan"}],"issued":{"date-parts":[["2018"]]}}},{"id":1361,"uris":["http://zotero.org/users/5456909/items/J5GIVSFK"],"uri":["http://zotero.org/users/5456909/items/J5GIVSFK"],"itemData":{"id":1361,"type":"article-journal","abstract":"This paper studies the effect of mosquito abundance and malaria incidence in the last 3 weeks, and their interaction, on the hazard of time to malaria in a previously studied cohort of children in Ethiopia. We model the mosquito abundance and time to malaria data jointly in a Bayesian framework. We found that the interaction of mosquito abundance and incidence plays a prominent role on malaria risk. We quantify and compare relative risks of various factors, and determine the predominant role of the interaction between incidence and mosquito abundance in describing malaria risk. Seasonal rain patterns, distance to a water source of the households, temperature and relative humidity are all significant in explaining mosquito abundance, and through this affect malaria risk. Analyzing jointly the time to malaria data and the mosquito abundance allows a precise comparison of factors affecting the spread of malaria. The effect of the interaction between mosquito abundances and local presence of malaria parasites has an important effect on the hazard of time to malaria, beyond abundance alone. Each additional one km away from the dam gives an average reduction of malaria relative risk of 5.7%. The importance of the interaction between abundance and incidence leads to the hypothesis that preventive intervention could advantageously target the infectious population, in addition to mosquito control, which is the typical intervention today.","container-title":"BMC Infectious Diseases","issue":"1","page":"415-415","title":"Joint Bayesian modeling of time to malaria and mosquito abundance in Ethiopia","volume":"17","author":[{"family":"Belay","given":"Denekew Bitew"},{"family":"Kifle","given":"Yehenew Getachew"},{"family":"Goshu","given":"Ayele Taye"},{"family":"Gran","given":"Jon Michael"},{"family":"Yewhalaw","given":"Delenasaw"},{"family":"Duchateau","given":"Luc"},{"family":"Frigessi","given":"Arnoldo"}],"issued":{"date-parts":[["2017"]]}}}],"schema":"https://github.com/citation-style-language/schema/raw/master/csl-citation.json"} </w:instrText>
      </w:r>
      <w:r w:rsidRPr="00093C5E">
        <w:rPr>
          <w:rFonts w:cs="Times New Roman"/>
          <w:szCs w:val="24"/>
        </w:rPr>
        <w:fldChar w:fldCharType="separate"/>
      </w:r>
      <w:r w:rsidR="002B37C7" w:rsidRPr="00093C5E">
        <w:rPr>
          <w:rFonts w:cs="Times New Roman"/>
          <w:szCs w:val="24"/>
        </w:rPr>
        <w:t>(Belay et al., 2017; Midekisa et al., 2012; Minale and Alemu, 2018)</w:t>
      </w:r>
      <w:r w:rsidRPr="00093C5E">
        <w:rPr>
          <w:rFonts w:cs="Times New Roman"/>
          <w:szCs w:val="24"/>
        </w:rPr>
        <w:fldChar w:fldCharType="end"/>
      </w:r>
      <w:r w:rsidRPr="00093C5E">
        <w:rPr>
          <w:rFonts w:cs="Times New Roman"/>
          <w:szCs w:val="24"/>
        </w:rPr>
        <w:t xml:space="preserve">. </w:t>
      </w:r>
      <w:bookmarkStart w:id="68" w:name="_Hlk70873503"/>
      <w:bookmarkStart w:id="69" w:name="_Hlk71313029"/>
      <w:bookmarkStart w:id="70" w:name="_Hlk71310858"/>
      <w:r w:rsidRPr="00093C5E">
        <w:rPr>
          <w:rFonts w:cs="Times New Roman"/>
          <w:szCs w:val="24"/>
        </w:rPr>
        <w:t xml:space="preserve">The negative associations with NDVI and NDMI values during transition season could be an indicator of available breeding sites for </w:t>
      </w:r>
      <w:r w:rsidRPr="00093C5E">
        <w:rPr>
          <w:rFonts w:cs="Times New Roman"/>
          <w:i/>
          <w:iCs/>
          <w:szCs w:val="24"/>
        </w:rPr>
        <w:t>An. arabiensis</w:t>
      </w:r>
      <w:r w:rsidRPr="00093C5E">
        <w:rPr>
          <w:rFonts w:cs="Times New Roman"/>
          <w:szCs w:val="24"/>
        </w:rPr>
        <w:t xml:space="preserve">. Areas that received heavy rainfall during the rainy season, but had drier conditions during the transition season, could have more isolated pools as surface water recedes. Such areas have been found to be favorable breeding sites for </w:t>
      </w:r>
      <w:r w:rsidRPr="00093C5E">
        <w:rPr>
          <w:rFonts w:cs="Times New Roman"/>
          <w:i/>
          <w:iCs/>
          <w:szCs w:val="24"/>
        </w:rPr>
        <w:t>An. arabiensis</w:t>
      </w:r>
      <w:r w:rsidRPr="00093C5E">
        <w:rPr>
          <w:rFonts w:cs="Times New Roman"/>
          <w:szCs w:val="24"/>
        </w:rPr>
        <w:t xml:space="preserve"> </w:t>
      </w:r>
      <w:r w:rsidRPr="00093C5E">
        <w:rPr>
          <w:rFonts w:cs="Times New Roman"/>
          <w:szCs w:val="24"/>
        </w:rPr>
        <w:fldChar w:fldCharType="begin"/>
      </w:r>
      <w:r w:rsidR="002B37C7" w:rsidRPr="00093C5E">
        <w:rPr>
          <w:rFonts w:cs="Times New Roman"/>
          <w:szCs w:val="24"/>
        </w:rPr>
        <w:instrText xml:space="preserve"> ADDIN ZOTERO_ITEM CSL_CITATION {"citationID":"pnr2833i","properties":{"formattedCitation":"(Hamza and Rayah, 2016)","plainCitation":"(Hamza and Rayah, 2016)","noteIndex":0},"citationItems":[{"id":4447,"uris":["http://zotero.org/users/5456909/items/HGCS5ARZ"],"uri":["http://zotero.org/users/5456909/items/HGCS5ARZ"],"itemData":{"id":4447,"type":"article-journal","abstract":"Anopheles arabiensis Patton (Diptera: Culicidae) is considered the most efficient malaria vector in eastern Sudan. This study aims to characterize the breeding sites of An. arabiensis throughout the year in and around Kassala town, eastern Sudan. Diverse larval habitat types were visited and characterized based on the habitat type and chemical composition. Mosquito larvae were found in many diverse habitats. During the rainy season, rain pools and water bodies created by the seasonal Gash River serve as the main breeding sites. In the dry season, irrigation canals, seepage from water pipes, neglected wells, artificial containers, and man-made ditches serve as the main breeding sites. Breeding water showed a pH of 7.9 and a low concentration of the total dissolved salts. The results of this study may be considered in planning and implementing larval control programs in the area.","container-title":"International Journal of Insect Science","ISSN":"1179-5433","journalAbbreviation":"Int J Insect Sci","language":"en","note":"publisher: SAGE Publications Ltd STM","page":"IJIS.S40071","source":"SAGE Journals","title":"A Qualitative Evidence of the Breeding Sites of Anopheles arabiensis Patton (Diptera: Culicidae) in and Around Kassala Town, Eastern Sudan","title-short":"A Qualitative Evidence of the Breeding Sites of Anopheles arabiensis Patton (Diptera","volume":"8","author":[{"family":"Hamza","given":"Asma Mahmoud"},{"family":"Rayah","given":"El Amin El"}],"issued":{"date-parts":[["2016",1,1]]}}}],"schema":"https://github.com/citation-style-language/schema/raw/master/csl-citation.json"} </w:instrText>
      </w:r>
      <w:r w:rsidRPr="00093C5E">
        <w:rPr>
          <w:rFonts w:cs="Times New Roman"/>
          <w:szCs w:val="24"/>
        </w:rPr>
        <w:fldChar w:fldCharType="separate"/>
      </w:r>
      <w:r w:rsidR="002B37C7" w:rsidRPr="00093C5E">
        <w:rPr>
          <w:rFonts w:cs="Times New Roman"/>
          <w:szCs w:val="24"/>
        </w:rPr>
        <w:t>(Hamza and Rayah, 2016)</w:t>
      </w:r>
      <w:r w:rsidRPr="00093C5E">
        <w:rPr>
          <w:rFonts w:cs="Times New Roman"/>
          <w:szCs w:val="24"/>
        </w:rPr>
        <w:fldChar w:fldCharType="end"/>
      </w:r>
      <w:r w:rsidRPr="00093C5E">
        <w:rPr>
          <w:rFonts w:cs="Times New Roman"/>
          <w:szCs w:val="24"/>
        </w:rPr>
        <w:t xml:space="preserve">. Additionally, a high vegetation cover can create unfavorable conditions for </w:t>
      </w:r>
      <w:r w:rsidRPr="00093C5E">
        <w:rPr>
          <w:rFonts w:cs="Times New Roman"/>
          <w:i/>
          <w:iCs/>
          <w:szCs w:val="24"/>
        </w:rPr>
        <w:t>An. arabiensis</w:t>
      </w:r>
      <w:r w:rsidRPr="00093C5E">
        <w:rPr>
          <w:rFonts w:cs="Times New Roman"/>
          <w:szCs w:val="24"/>
        </w:rPr>
        <w:t xml:space="preserve">, which prefers sun-lit pools with low vegetation cover </w:t>
      </w:r>
      <w:r w:rsidRPr="00093C5E">
        <w:rPr>
          <w:rFonts w:cs="Times New Roman"/>
          <w:szCs w:val="24"/>
        </w:rPr>
        <w:fldChar w:fldCharType="begin"/>
      </w:r>
      <w:r w:rsidR="00D5378A" w:rsidRPr="00093C5E">
        <w:rPr>
          <w:rFonts w:cs="Times New Roman"/>
          <w:szCs w:val="24"/>
        </w:rPr>
        <w:instrText xml:space="preserve"> ADDIN ZOTERO_ITEM CSL_CITATION {"citationID":"j7YvvyEw","properties":{"formattedCitation":"(Gone et al., 2014)","plainCitation":"(Gone et al., 2014)","noteIndex":0},"citationItems":[{"id":4450,"uris":["http://zotero.org/users/5456909/items/DJ22G65V"],"uri":["http://zotero.org/users/5456909/items/DJ22G65V"],"itemData":{"id":4450,"type":"article-journal","abstract":"Change in climatic and socio-economic situations is paving the way for the spread of malaria in highland areas which were generally known to be malaria free. Despite this, information regarding highland malaria transmission is scarce. Thus, the present study investigated entomological parameters linked to malaria transmission in the highlands of Southern Ethiopia.","container-title":"Parasites &amp; Vectors","ISSN":"1756-3305","issue":"1","journalAbbreviation":"Parasites Vectors","language":"en","page":"483","source":"Springer Link","title":"Comparative entomological study on ecology and behaviour of Anopheles mosquitoes in highland and lowland localities of Derashe District, southern Ethiopia","volume":"7","author":[{"family":"Gone","given":"Terefe"},{"family":"Balkew","given":"Meshesha"},{"family":"Gebre-Michael","given":"Teshome"}],"issued":{"date-parts":[["2014",10,20]]}}}],"schema":"https://github.com/citation-style-language/schema/raw/master/csl-citation.json"} </w:instrText>
      </w:r>
      <w:r w:rsidRPr="00093C5E">
        <w:rPr>
          <w:rFonts w:cs="Times New Roman"/>
          <w:szCs w:val="24"/>
        </w:rPr>
        <w:fldChar w:fldCharType="separate"/>
      </w:r>
      <w:r w:rsidR="002B37C7" w:rsidRPr="00093C5E">
        <w:rPr>
          <w:rFonts w:cs="Times New Roman"/>
          <w:szCs w:val="24"/>
        </w:rPr>
        <w:t>(Gone et al., 2014)</w:t>
      </w:r>
      <w:r w:rsidRPr="00093C5E">
        <w:rPr>
          <w:rFonts w:cs="Times New Roman"/>
          <w:szCs w:val="24"/>
        </w:rPr>
        <w:fldChar w:fldCharType="end"/>
      </w:r>
      <w:r w:rsidRPr="00093C5E">
        <w:rPr>
          <w:rFonts w:cs="Times New Roman"/>
          <w:szCs w:val="24"/>
        </w:rPr>
        <w:t>.</w:t>
      </w:r>
      <w:bookmarkEnd w:id="68"/>
      <w:r w:rsidRPr="00093C5E">
        <w:rPr>
          <w:rFonts w:cs="Times New Roman"/>
          <w:szCs w:val="24"/>
        </w:rPr>
        <w:t xml:space="preserve"> </w:t>
      </w:r>
      <w:bookmarkEnd w:id="69"/>
      <w:r w:rsidRPr="00093C5E">
        <w:rPr>
          <w:rFonts w:cs="Times New Roman"/>
          <w:szCs w:val="24"/>
        </w:rPr>
        <w:t>The positive influence of maximum settlement index indicates that kebeles where buildings are aggregated into one or more settlements are at higher risk than kebeles where dwellings are dispersed throughout the countryside</w:t>
      </w:r>
      <w:bookmarkEnd w:id="70"/>
      <w:r w:rsidRPr="00093C5E">
        <w:rPr>
          <w:rFonts w:cs="Times New Roman"/>
          <w:szCs w:val="24"/>
        </w:rPr>
        <w:t xml:space="preserve">. </w:t>
      </w:r>
    </w:p>
    <w:p w14:paraId="3A25F012" w14:textId="482A9A56" w:rsidR="00EE74B8" w:rsidRPr="00093C5E" w:rsidRDefault="00EE74B8" w:rsidP="00EE74B8">
      <w:pPr>
        <w:rPr>
          <w:rFonts w:cs="Times New Roman"/>
          <w:szCs w:val="24"/>
        </w:rPr>
      </w:pPr>
      <w:bookmarkStart w:id="71" w:name="_Hlk71311832"/>
      <w:r w:rsidRPr="00093C5E">
        <w:rPr>
          <w:rFonts w:cs="Times New Roman"/>
          <w:szCs w:val="24"/>
        </w:rPr>
        <w:t>In Aneded and Awabel, the malaria proportion was primarily associated with low NDMI values during the dry season. These dry areas are also located on the Blue Nile escarpment, which is the most isolated and sparsely settled part of this study area. In addition to the mosquito habitat associations discussed for Mecha and Bahir Dar Zuria, the negative influences of NDMI on malaria in Aneded and Awabel could also reflect underlying socio-</w:t>
      </w:r>
      <w:r w:rsidRPr="00093C5E">
        <w:rPr>
          <w:rFonts w:cs="Times New Roman"/>
          <w:szCs w:val="24"/>
        </w:rPr>
        <w:lastRenderedPageBreak/>
        <w:t xml:space="preserve">economic factors. For example, there is a relationship between the risk of getting infected with malaria and the main source of water of a household, with households that need less time to access water being at lower risk than households that require more time to access water </w:t>
      </w:r>
      <w:r w:rsidRPr="00093C5E">
        <w:rPr>
          <w:rFonts w:cs="Times New Roman"/>
          <w:szCs w:val="24"/>
        </w:rPr>
        <w:fldChar w:fldCharType="begin"/>
      </w:r>
      <w:r w:rsidR="00531D94" w:rsidRPr="00093C5E">
        <w:rPr>
          <w:rFonts w:cs="Times New Roman"/>
          <w:szCs w:val="24"/>
        </w:rPr>
        <w:instrText xml:space="preserve"> ADDIN ZOTERO_ITEM CSL_CITATION {"citationID":"aB974bIj","properties":{"formattedCitation":"(Ayele et al., 2012)","plainCitation":"(Ayele et al., 2012)","noteIndex":0},"citationItems":[{"id":1416,"uris":["http://zotero.org/users/5456909/items/6UQRERW6"],"uri":["http://zotero.org/users/5456909/items/6UQRERW6"],"itemData":{"id":1416,"type":"article-journal","abstract":"More than 75% of the total area of Ethiopia is malarious, making malaria the leading public health problem in Ethiopia. The aim of this study was to investigate the prevalence rate and the associated socio-economic, geographic and demographic factors of malaria based on the rapid diagnosis test (RDT) survey results. From December 2006 to January 2007, a baseline malaria indicator survey in Amhara, Oromiya and Southern Nation Nationalities and People (SNNP) regions of Ethiopia was conducted by The Carter Center. This study uses this data. The method of generalized linear model was used to analyse the data and the response variable was the presence or absence of malaria using the rapid diagnosis test (RDT). The analyses show that the RDT result was significantly associated with age and gender. Other significant covariates confounding variables are source of water, trip to obtain water, toilet facility, total number of rooms, material used for walls, and material used for roofing. The prevalence of malaria for households with clean water found to be less. Malaria rapid diagnosis found to be higher for thatch and stick/mud roof and earth/local dung plaster floor. Moreover, spraying anti-malaria to the house was found to be one means of reducing the risk of malaria. Furthermore, the housing condition, source of water and its distance, gender, and ages in the households were identified in order to have two-way interaction effects. Individuals with poor socio-economic conditions are positively associated with malaria infection. Improving the housing condition of the household is one of the means of reducing the risk of malaria. Children and female household members are the most vulnerable to the risk of malaria. Such information is essential to design improved strategic intervention for the reduction of malaria epidemic in Ethiopia.","container-title":"Malaria Journal","issue":"1","page":"195-195","title":"Prevalence and risk factors of malaria in Ethiopia","volume":"11","author":[{"family":"Ayele","given":"Dawit G"},{"family":"Zewotir","given":"Temesgen T"},{"family":"Mwambi","given":"Henry G"}],"issued":{"date-parts":[["2012",6]]}}}],"schema":"https://github.com/citation-style-language/schema/raw/master/csl-citation.json"} </w:instrText>
      </w:r>
      <w:r w:rsidRPr="00093C5E">
        <w:rPr>
          <w:rFonts w:cs="Times New Roman"/>
          <w:szCs w:val="24"/>
        </w:rPr>
        <w:fldChar w:fldCharType="separate"/>
      </w:r>
      <w:r w:rsidR="002B37C7" w:rsidRPr="00093C5E">
        <w:rPr>
          <w:rFonts w:cs="Times New Roman"/>
          <w:szCs w:val="24"/>
        </w:rPr>
        <w:t>(Ayele et al., 2012)</w:t>
      </w:r>
      <w:r w:rsidRPr="00093C5E">
        <w:rPr>
          <w:rFonts w:cs="Times New Roman"/>
          <w:szCs w:val="24"/>
        </w:rPr>
        <w:fldChar w:fldCharType="end"/>
      </w:r>
      <w:r w:rsidRPr="00093C5E">
        <w:rPr>
          <w:rFonts w:cs="Times New Roman"/>
          <w:szCs w:val="24"/>
        </w:rPr>
        <w:t xml:space="preserve">. This effect may be amplified in drier environments with less water availability. </w:t>
      </w:r>
      <w:bookmarkStart w:id="72" w:name="_Hlk71311874"/>
      <w:r w:rsidRPr="00093C5E">
        <w:rPr>
          <w:rFonts w:cs="Times New Roman"/>
          <w:szCs w:val="24"/>
        </w:rPr>
        <w:t xml:space="preserve">Additionally, the driest kebeles in this region are sparsely settled, as reflected in the negative association between mean settlement index and malaria. </w:t>
      </w:r>
      <w:bookmarkEnd w:id="71"/>
      <w:r w:rsidRPr="00093C5E">
        <w:rPr>
          <w:rFonts w:cs="Times New Roman"/>
          <w:szCs w:val="24"/>
        </w:rPr>
        <w:t xml:space="preserve">Further, the terrain of the escarpment is steep and rugged and is isolated from major highways and cities. </w:t>
      </w:r>
      <w:bookmarkStart w:id="73" w:name="_Hlk71312164"/>
      <w:r w:rsidRPr="00093C5E">
        <w:rPr>
          <w:rFonts w:cs="Times New Roman"/>
          <w:szCs w:val="24"/>
        </w:rPr>
        <w:t xml:space="preserve">Households on the escarpment may have difficulties in accessing resources known to reduce infection risk, such as information about malaria treatment </w:t>
      </w:r>
      <w:r w:rsidRPr="00093C5E">
        <w:rPr>
          <w:rFonts w:cs="Times New Roman"/>
          <w:szCs w:val="24"/>
        </w:rPr>
        <w:fldChar w:fldCharType="begin"/>
      </w:r>
      <w:r w:rsidR="000D258D" w:rsidRPr="00093C5E">
        <w:rPr>
          <w:rFonts w:cs="Times New Roman"/>
          <w:szCs w:val="24"/>
        </w:rPr>
        <w:instrText xml:space="preserve"> ADDIN ZOTERO_ITEM CSL_CITATION {"citationID":"WOwKYixj","properties":{"formattedCitation":"(Hwang et al., 2010)","plainCitation":"(Hwang et al., 2010)","noteIndex":0},"citationItems":[{"id":4049,"uris":["http://zotero.org/users/5456909/items/HJ67KEPN"],"uri":["http://zotero.org/users/5456909/items/HJ67KEPN"],"itemData":{"id":4049,"type":"article-journal","abstract":"Background In 2005, the Ministry of Health in Ethiopia launched a major effort to distribute over 20 million long-lasting insecticidal nets, provide universal access to artemisinin-based combination therapy (ACTs), and train 30,000 village-based health extension workers. Methods and Findings A cross-sectional, nationally representative Malaria Indicator Survey was conducted during the malaria transmission season in 2007. Multivariate logistic regression analyses were performed to assess the effect of women's malaria knowledge on household ITN ownership and women's ITN use. In addition, we investigated the effect of mothers' malaria knowledge on their children under 5 years of age's (U5) ITN use and their access to fever treatment on behalf of their child U5. Malaria knowledge was based on a composite index about the causes, symptoms, danger signs and prevention of malaria. Approximately 67% of women (n = 5,949) and mothers of children U5 (n = 3,447) reported some knowledge of malaria. Women's knowledge of malaria was significantly associated with household ITN ownership (adjusted Odds Ratio [aOR] = 2.1; 95% confidence interval [CI] 1.6–2.7) and with increased ITN use for themselves (aOR = 1.8; 95% CI 1.3–2.5). Knowledge of malaria amongst mothers of children U5 was associated with ITN use for their children U5 (aOR = 1.6; 95% CI 1.1–2.4), but not significantly associated with their children U5 seeking care for a fever. School attendance was a significant factor in women's ITN use (aOR = 2.0; 95% CI 1.1–3.9), their children U5′s ITN use (aOR = 4.4; 95% CI 1.6–12.1), and their children U5 having sought treatment for a fever (aOR = 6.5; 95% CI 1.9–22.9). Conclusions Along with mass free distribution of ITNs and universal access to ACTs, delivery of targeted malaria educational information to women could improve ITN ownership and use. Efforts to control malaria could be influenced by progress towards broader goals of improving access to education, especially for women.","container-title":"PLOS ONE","issue":"7","journalAbbreviation":"PLOS ONE","language":"en","note":"publisher: Public Library of Science","page":"e11692","source":"PLoS Journals","title":"Knowledge of malaria and its association with malaria-related behaviors—results from the malaria indicator survey, Ethiopia, 2007","volume":"5","author":[{"family":"Hwang","given":"Jimee"},{"family":"Graves","given":"Patricia M."},{"family":"Jima","given":"Daddi"},{"family":"Reithinger","given":"Richard"},{"family":"Kachur","given":"S. Patrick"},{"family":"Group","given":"and the Ethiopia MIS Working"}],"issued":{"date-parts":[["2010",7,21]]}}}],"schema":"https://github.com/citation-style-language/schema/raw/master/csl-citation.json"} </w:instrText>
      </w:r>
      <w:r w:rsidRPr="00093C5E">
        <w:rPr>
          <w:rFonts w:cs="Times New Roman"/>
          <w:szCs w:val="24"/>
        </w:rPr>
        <w:fldChar w:fldCharType="separate"/>
      </w:r>
      <w:r w:rsidR="002B37C7" w:rsidRPr="00093C5E">
        <w:rPr>
          <w:rFonts w:cs="Times New Roman"/>
          <w:szCs w:val="24"/>
        </w:rPr>
        <w:t>(Hwang et al., 2010)</w:t>
      </w:r>
      <w:r w:rsidRPr="00093C5E">
        <w:rPr>
          <w:rFonts w:cs="Times New Roman"/>
          <w:szCs w:val="24"/>
        </w:rPr>
        <w:fldChar w:fldCharType="end"/>
      </w:r>
      <w:r w:rsidRPr="00093C5E">
        <w:rPr>
          <w:rFonts w:cs="Times New Roman"/>
          <w:szCs w:val="24"/>
        </w:rPr>
        <w:t xml:space="preserve">, bed nets </w:t>
      </w:r>
      <w:r w:rsidRPr="00093C5E">
        <w:rPr>
          <w:rFonts w:cs="Times New Roman"/>
          <w:szCs w:val="24"/>
        </w:rPr>
        <w:fldChar w:fldCharType="begin"/>
      </w:r>
      <w:r w:rsidR="00033042" w:rsidRPr="00093C5E">
        <w:rPr>
          <w:rFonts w:cs="Times New Roman"/>
          <w:szCs w:val="24"/>
        </w:rPr>
        <w:instrText xml:space="preserve"> ADDIN ZOTERO_ITEM CSL_CITATION {"citationID":"6QrwVUW3","properties":{"formattedCitation":"(Zerdo et al., 2020)","plainCitation":"(Zerdo et al., 2020)","noteIndex":0},"citationItems":[{"id":4366,"uris":["http://zotero.org/users/5456909/items/PSD5ESX2"],"uri":["http://zotero.org/users/5456909/items/PSD5ESX2"],"itemData":{"id":4366,"type":"article-journal","abstract":"Malaria is one of the major causes of morbidity and mortality among school-age children (SAC) in sub-Saharan Africa. SAC account for more than 60% of the reservoir of malaria transmission, but they are given less emphasis in prioritizing malaria prevention interventions. This study was aimed at assessing the ownership of long-lasting insecticide treated bed nets (LLINs), its utilization and factors associated with ownership of LLINs by households and LLINs utilization among SAC in malaria-prone areas of Dara Mallo and Uba Debretsehay districts in Southern Ethiopia, October to December 2019.","container-title":"Malaria Journal","issue":"1","journalAbbreviation":"Malaria Journal","page":"369","source":"BioMed Central","title":"Long-lasting insecticide-treated bed net ownership, utilization and associated factors among school-age children in Dara Mallo and Uba Debretsehay districts, Southern Ethiopia","volume":"19","author":[{"family":"Zerdo","given":"Zerihun"},{"family":"Bastiaens","given":"Hilde"},{"family":"Anthierens","given":"Sibyl"},{"family":"Massebo","given":"Fekadu"},{"family":"Masne","given":"Matewos"},{"family":"Biresaw","given":"Gelila"},{"family":"Shewangizaw","given":"Misgun"},{"family":"Tunje","given":"Abayneh"},{"family":"Chisha","given":"Yilma"},{"family":"Yohannes","given":"Tsegaye"},{"family":"Van Geertruyden","given":"Jean-Pierre"}],"issued":{"date-parts":[["2020",10,15]]}}}],"schema":"https://github.com/citation-style-language/schema/raw/master/csl-citation.json"} </w:instrText>
      </w:r>
      <w:r w:rsidRPr="00093C5E">
        <w:rPr>
          <w:rFonts w:cs="Times New Roman"/>
          <w:szCs w:val="24"/>
        </w:rPr>
        <w:fldChar w:fldCharType="separate"/>
      </w:r>
      <w:r w:rsidR="002B37C7" w:rsidRPr="00093C5E">
        <w:rPr>
          <w:rFonts w:cs="Times New Roman"/>
          <w:szCs w:val="24"/>
        </w:rPr>
        <w:t>(Zerdo et al., 2020)</w:t>
      </w:r>
      <w:r w:rsidRPr="00093C5E">
        <w:rPr>
          <w:rFonts w:cs="Times New Roman"/>
          <w:szCs w:val="24"/>
        </w:rPr>
        <w:fldChar w:fldCharType="end"/>
      </w:r>
      <w:r w:rsidRPr="00093C5E">
        <w:rPr>
          <w:rFonts w:cs="Times New Roman"/>
          <w:szCs w:val="24"/>
        </w:rPr>
        <w:t xml:space="preserve">, and other malaria prevention tools </w:t>
      </w:r>
      <w:r w:rsidRPr="00093C5E">
        <w:rPr>
          <w:rFonts w:cs="Times New Roman"/>
          <w:szCs w:val="24"/>
        </w:rPr>
        <w:fldChar w:fldCharType="begin"/>
      </w:r>
      <w:r w:rsidR="000D258D" w:rsidRPr="00093C5E">
        <w:rPr>
          <w:rFonts w:cs="Times New Roman"/>
          <w:szCs w:val="24"/>
        </w:rPr>
        <w:instrText xml:space="preserve"> ADDIN ZOTERO_ITEM CSL_CITATION {"citationID":"FNCH8RW4","properties":{"formattedCitation":"(Paulander et al., 2009)","plainCitation":"(Paulander et al., 2009)","noteIndex":0},"citationItems":[{"id":4056,"uris":["http://zotero.org/users/5456909/items/HEMTSWUA"],"uri":["http://zotero.org/users/5456909/items/HEMTSWUA"],"itemData":{"id":4056,"type":"article-journal","abstract":"Objective: To assess the knowledge, attitude and practice (KAP) regarding malaria and their determinants in a rural population of northern Ethiopia.Methods: The study was conducted in the district of Samre Saharti, Tigray, northern Ethiopia. A structured questionnaire collecting socio-demographic and malaria-related KAP information was administered to the mothers from a representative sample of households.Results: A total of 1652 questionnaires were available for analysis. Most of the respondents (92.7%) were able to mention at least one symptom of malaria. Mosquito as a cause of malaria was recognized by nearly half of the respondents (48.8%). Most of the households had a bednet (85.9%). To have a literate person at home, to belong to the lowland stratum, to have received some type of health education and to own a radio were associated with the knowledge of malaria. A strong association remained between living in the lowland stratum, to own a radio and to live close to the health post and the use of ITN. Being a housewife, lack of health education and to live further than 60 minutes walking distance to the health post were related to a delay on treatment finding.Conclusion: This study has identified some aspects which the MCP might need to improve. The knowledge about malaria transmission should be strengthened. Promotion of literacy and participation in health education are vital components in terms of malaria knowledge and practice. Issues related to geographical location and accessibility to health post should be also carefully examined.","container-title":"Global Health Action","ISSN":"1654-9716","issue":"1","page":"1839","source":"Taylor and Francis+NEJM","title":"Knowledge, attitudes and practice about malaria in rural Tigray, Ethiopia","volume":"2","author":[{"family":"Paulander","given":"Johan"},{"family":"Olsson","given":"Henrik"},{"family":"Lemma","given":"Hailemariam"},{"family":"Getachew","given":"Asefaw"},{"family":"Sebastian","given":"Miguel San"}],"issued":{"date-parts":[["2009",11,11]]}}}],"schema":"https://github.com/citation-style-language/schema/raw/master/csl-citation.json"} </w:instrText>
      </w:r>
      <w:r w:rsidRPr="00093C5E">
        <w:rPr>
          <w:rFonts w:cs="Times New Roman"/>
          <w:szCs w:val="24"/>
        </w:rPr>
        <w:fldChar w:fldCharType="separate"/>
      </w:r>
      <w:r w:rsidR="002B37C7" w:rsidRPr="00093C5E">
        <w:rPr>
          <w:rFonts w:cs="Times New Roman"/>
          <w:szCs w:val="24"/>
        </w:rPr>
        <w:t>(Paulander et al., 2009)</w:t>
      </w:r>
      <w:r w:rsidRPr="00093C5E">
        <w:rPr>
          <w:rFonts w:cs="Times New Roman"/>
          <w:szCs w:val="24"/>
        </w:rPr>
        <w:fldChar w:fldCharType="end"/>
      </w:r>
      <w:r w:rsidRPr="00093C5E">
        <w:rPr>
          <w:rFonts w:cs="Times New Roman"/>
          <w:szCs w:val="24"/>
        </w:rPr>
        <w:t xml:space="preserve">, resulting in higher susceptibility to malaria infections. </w:t>
      </w:r>
    </w:p>
    <w:p w14:paraId="5C77B5A2" w14:textId="52021B3B" w:rsidR="00EE74B8" w:rsidRPr="00093C5E" w:rsidRDefault="00EE74B8" w:rsidP="00EE74B8">
      <w:pPr>
        <w:rPr>
          <w:rFonts w:cs="Times New Roman"/>
          <w:szCs w:val="24"/>
        </w:rPr>
      </w:pPr>
      <w:bookmarkStart w:id="74" w:name="_Hlk70869518"/>
      <w:bookmarkStart w:id="75" w:name="_Hlk71311714"/>
      <w:bookmarkEnd w:id="72"/>
      <w:bookmarkEnd w:id="73"/>
      <w:r w:rsidRPr="00093C5E">
        <w:rPr>
          <w:rFonts w:cs="Times New Roman"/>
          <w:szCs w:val="24"/>
        </w:rPr>
        <w:t xml:space="preserve">Land surface temperature was found to be the second strongest predictor of </w:t>
      </w:r>
      <w:r w:rsidRPr="00093C5E">
        <w:rPr>
          <w:rFonts w:cs="Times New Roman"/>
          <w:i/>
          <w:iCs/>
          <w:szCs w:val="24"/>
        </w:rPr>
        <w:t>P. falciparum</w:t>
      </w:r>
      <w:r w:rsidRPr="00093C5E">
        <w:rPr>
          <w:rFonts w:cs="Times New Roman"/>
          <w:szCs w:val="24"/>
        </w:rPr>
        <w:t xml:space="preserve"> in Aneded and Awabel</w:t>
      </w:r>
      <w:bookmarkEnd w:id="74"/>
      <w:r w:rsidRPr="00093C5E">
        <w:rPr>
          <w:rFonts w:cs="Times New Roman"/>
          <w:szCs w:val="24"/>
        </w:rPr>
        <w:t xml:space="preserve">. However, it was less important in predicting </w:t>
      </w:r>
      <w:r w:rsidRPr="00093C5E">
        <w:rPr>
          <w:rFonts w:cs="Times New Roman"/>
          <w:i/>
          <w:szCs w:val="24"/>
        </w:rPr>
        <w:t>P. vivax</w:t>
      </w:r>
      <w:r w:rsidRPr="00093C5E">
        <w:rPr>
          <w:rFonts w:cs="Times New Roman"/>
          <w:szCs w:val="24"/>
        </w:rPr>
        <w:t xml:space="preserve"> distribution</w:t>
      </w:r>
      <w:bookmarkEnd w:id="75"/>
      <w:r w:rsidRPr="00093C5E">
        <w:rPr>
          <w:rFonts w:cs="Times New Roman"/>
          <w:szCs w:val="24"/>
        </w:rPr>
        <w:t xml:space="preserve">. Previous research has found that due to the different biology of the two parasites, </w:t>
      </w:r>
      <w:r w:rsidRPr="00093C5E">
        <w:rPr>
          <w:rFonts w:cs="Times New Roman"/>
          <w:i/>
          <w:iCs/>
          <w:szCs w:val="24"/>
        </w:rPr>
        <w:t>P. falciparum</w:t>
      </w:r>
      <w:r w:rsidRPr="00093C5E">
        <w:rPr>
          <w:rFonts w:cs="Times New Roman"/>
          <w:szCs w:val="24"/>
        </w:rPr>
        <w:t xml:space="preserve"> is limited to lower elevations with warmer temperatures, whereas </w:t>
      </w:r>
      <w:r w:rsidRPr="00093C5E">
        <w:rPr>
          <w:rFonts w:cs="Times New Roman"/>
          <w:i/>
          <w:iCs/>
          <w:szCs w:val="24"/>
        </w:rPr>
        <w:t>P. vivax</w:t>
      </w:r>
      <w:r w:rsidRPr="00093C5E">
        <w:rPr>
          <w:rFonts w:cs="Times New Roman"/>
          <w:szCs w:val="24"/>
        </w:rPr>
        <w:t xml:space="preserve"> is more tolerant of lower temperatures and therefore occurs in higher elevations in the Amhara region </w:t>
      </w:r>
      <w:r w:rsidRPr="00093C5E">
        <w:rPr>
          <w:rFonts w:cs="Times New Roman"/>
          <w:szCs w:val="24"/>
        </w:rPr>
        <w:fldChar w:fldCharType="begin"/>
      </w:r>
      <w:r w:rsidR="00FF3DA9" w:rsidRPr="00093C5E">
        <w:rPr>
          <w:rFonts w:cs="Times New Roman"/>
          <w:szCs w:val="24"/>
        </w:rPr>
        <w:instrText xml:space="preserve"> ADDIN ZOTERO_ITEM CSL_CITATION {"citationID":"RJnIR24G","properties":{"formattedCitation":"(Lyon et al., 2017; Yalew et al., 2017)","plainCitation":"(Lyon et al., 2017; Yalew et al., 2017)","noteIndex":0},"citationItems":[{"id":3869,"uris":["http://zotero.org/users/5456909/items/4A5GHQ9K"],"uri":["http://zotero.org/users/5456909/items/4A5GHQ9K"],"itemData":{"id":3869,"type":"article-journal","abstract":"Since 2005, Ethiopia has aggressively scaled up malaria prevention and case management. As a result, the number of malaria cases and deaths has significantly declined. In order to track progress towards the elimination of malaria in Amhara Region, coverage of malaria control tools and current malaria transmission need to be documented.","container-title":"Malaria Journal","ISSN":"1475-2875","issue":"1","journalAbbreviation":"Malaria Journal","page":"242","source":"BioMed Central","title":"Current and cumulative malaria infections in a setting embarking on elimination: Amhara, Ethiopia","title-short":"Current and cumulative malaria infections in a setting embarking on elimination","volume":"16","author":[{"family":"Yalew","given":"Woyneshet G."},{"family":"Pal","given":"Sampa"},{"family":"Bansil","given":"Pooja"},{"family":"Dabbs","given":"Rebecca"},{"family":"Tetteh","given":"Kevin"},{"family":"Guinovart","given":"Caterina"},{"family":"Kalnoky","given":"Michael"},{"family":"Serda","given":"Belendia A."},{"family":"Tesfay","given":"Berhane H."},{"family":"Beyene","given":"Belay B."},{"family":"Seneviratne","given":"Catherine"},{"family":"Littrell","given":"Megan"},{"family":"Yokobe","given":"Lindsay"},{"family":"Noland","given":"Gregory S."},{"family":"Domingo","given":"Gonzalo J."},{"family":"Getachew","given":"Asefaw"},{"family":"Drakeley","given":"Chris"},{"family":"Steketee","given":"Richard W."}],"issued":{"date-parts":[["2017"]]}}},{"id":1365,"uris":["http://zotero.org/users/5456909/items/B79KP6HE"],"uri":["http://zotero.org/users/5456909/items/B79KP6HE"],"itemData":{"id":1365,"type":"article-journal","container-title":"Environmental Research Letters","issue":"6","page":"064015-064015","title":"Temperature suitability for malaria climbing the Ethiopian Highlands","volume":"12","author":[{"family":"Lyon","given":"Bradfield"},{"family":"Dinku","given":"Tufa"},{"family":"Raman","given":"Anita"},{"family":"Thomson","given":"Madeleine C"}],"issued":{"date-parts":[["2017"]]}}}],"schema":"https://github.com/citation-style-language/schema/raw/master/csl-citation.json"} </w:instrText>
      </w:r>
      <w:r w:rsidRPr="00093C5E">
        <w:rPr>
          <w:rFonts w:cs="Times New Roman"/>
          <w:szCs w:val="24"/>
        </w:rPr>
        <w:fldChar w:fldCharType="separate"/>
      </w:r>
      <w:r w:rsidR="002B37C7" w:rsidRPr="00093C5E">
        <w:rPr>
          <w:rFonts w:cs="Times New Roman"/>
          <w:szCs w:val="24"/>
        </w:rPr>
        <w:t>(Lyon et al., 2017; Yalew et al., 2017)</w:t>
      </w:r>
      <w:r w:rsidRPr="00093C5E">
        <w:rPr>
          <w:rFonts w:cs="Times New Roman"/>
          <w:szCs w:val="24"/>
        </w:rPr>
        <w:fldChar w:fldCharType="end"/>
      </w:r>
      <w:r w:rsidRPr="00093C5E">
        <w:rPr>
          <w:rFonts w:cs="Times New Roman"/>
          <w:szCs w:val="24"/>
        </w:rPr>
        <w:t xml:space="preserve">. The effects of temperature on </w:t>
      </w:r>
      <w:r w:rsidRPr="00093C5E">
        <w:rPr>
          <w:rFonts w:cs="Times New Roman"/>
          <w:i/>
          <w:iCs/>
          <w:szCs w:val="24"/>
        </w:rPr>
        <w:t>P. falciparum</w:t>
      </w:r>
      <w:r w:rsidRPr="00093C5E">
        <w:rPr>
          <w:rFonts w:cs="Times New Roman"/>
          <w:szCs w:val="24"/>
        </w:rPr>
        <w:t xml:space="preserve"> in Aneded and Awabel may therefore be due to a temperature threshold that is reached in the higher elevations of this study area</w:t>
      </w:r>
      <w:bookmarkStart w:id="76" w:name="_Hlk70868607"/>
      <w:r w:rsidRPr="00093C5E">
        <w:rPr>
          <w:rFonts w:cs="Times New Roman"/>
          <w:szCs w:val="24"/>
        </w:rPr>
        <w:t xml:space="preserve">. </w:t>
      </w:r>
      <w:bookmarkStart w:id="77" w:name="_Hlk70872956"/>
      <w:bookmarkEnd w:id="76"/>
      <w:r w:rsidRPr="00093C5E">
        <w:rPr>
          <w:rFonts w:cs="Times New Roman"/>
          <w:szCs w:val="24"/>
        </w:rPr>
        <w:t xml:space="preserve">Additionally, in other parts of Ethiopia it has been reported that </w:t>
      </w:r>
      <w:r w:rsidRPr="00093C5E">
        <w:rPr>
          <w:rFonts w:cs="Times New Roman"/>
          <w:i/>
          <w:szCs w:val="24"/>
        </w:rPr>
        <w:t>An. arabiensis</w:t>
      </w:r>
      <w:r w:rsidRPr="00093C5E">
        <w:rPr>
          <w:rFonts w:cs="Times New Roman"/>
          <w:szCs w:val="24"/>
        </w:rPr>
        <w:t xml:space="preserve"> is mostly prevalent in lower elevations whereas </w:t>
      </w:r>
      <w:r w:rsidRPr="00093C5E">
        <w:rPr>
          <w:rFonts w:cs="Times New Roman"/>
          <w:i/>
          <w:szCs w:val="24"/>
        </w:rPr>
        <w:t>An. cinereus</w:t>
      </w:r>
      <w:r w:rsidRPr="00093C5E">
        <w:rPr>
          <w:rFonts w:cs="Times New Roman"/>
          <w:szCs w:val="24"/>
        </w:rPr>
        <w:t xml:space="preserve"> dominates at higher elevations </w:t>
      </w:r>
      <w:r w:rsidRPr="00093C5E">
        <w:rPr>
          <w:rFonts w:cs="Times New Roman"/>
          <w:szCs w:val="24"/>
        </w:rPr>
        <w:fldChar w:fldCharType="begin"/>
      </w:r>
      <w:r w:rsidR="00D5378A" w:rsidRPr="00093C5E">
        <w:rPr>
          <w:rFonts w:cs="Times New Roman"/>
          <w:szCs w:val="24"/>
        </w:rPr>
        <w:instrText xml:space="preserve"> ADDIN ZOTERO_ITEM CSL_CITATION {"citationID":"ei7SIumQ","properties":{"formattedCitation":"(W. Lemma et al., 2019)","plainCitation":"(W. Lemma et al., 2019)","noteIndex":0},"citationItems":[{"id":3611,"uris":["http://zotero.org/users/5456909/items/42BX54RY"],"uri":["http://zotero.org/users/5456909/items/42BX54RY"],"itemData":{"id":3611,"type":"article-journal","abstract":"Transmission of malaria in the highlands of Ethiopia is poorly understood and usually attributed to importation by mobile populations or local transmission by Anopheles arabiensis. To characterize and identify Anopheles species present in a highland area of northern Ethiopia, adult and larval collections were performed in Gondar town and the neighboring Senbet Debir village (Dembia district, &gt; 2000 meters above sea level, masl), in addition to Bahir Dar town (capital of Amhara region) and Kumer Aftit village (Metema district, &lt; 2000 masl).","container-title":"Parasites &amp; Vectors","ISSN":"1756-3305","issue":"1","journalAbbreviation":"Parasites &amp; Vectors","page":"557","source":"BioMed Central","title":"Anopheles cinereus implicated as a vector of malaria transmission in the highlands of north-west Ethiopia","volume":"12","author":[{"family":"Lemma","given":"Wossenseged"},{"family":"Alemu","given":"Kassahune"},{"family":"Birhanie","given":"Meserete"},{"family":"Worku","given":"Ligabaw"},{"family":"Niedbalski","given":"Julie"},{"family":"McDowell","given":"Mary Ann"},{"family":"Lobo","given":"Neil F."}],"issued":{"date-parts":[["2019",11,25]]}}}],"schema":"https://github.com/citation-style-language/schema/raw/master/csl-citation.json"} </w:instrText>
      </w:r>
      <w:r w:rsidRPr="00093C5E">
        <w:rPr>
          <w:rFonts w:cs="Times New Roman"/>
          <w:szCs w:val="24"/>
        </w:rPr>
        <w:fldChar w:fldCharType="separate"/>
      </w:r>
      <w:r w:rsidR="002B37C7" w:rsidRPr="00093C5E">
        <w:rPr>
          <w:rFonts w:cs="Times New Roman"/>
          <w:szCs w:val="24"/>
        </w:rPr>
        <w:t>(W. Lemma et al., 2019)</w:t>
      </w:r>
      <w:r w:rsidRPr="00093C5E">
        <w:rPr>
          <w:rFonts w:cs="Times New Roman"/>
          <w:szCs w:val="24"/>
        </w:rPr>
        <w:fldChar w:fldCharType="end"/>
      </w:r>
      <w:r w:rsidRPr="00093C5E">
        <w:rPr>
          <w:rFonts w:cs="Times New Roman"/>
          <w:szCs w:val="24"/>
        </w:rPr>
        <w:t xml:space="preserve">. Because the temperature gradient in Aneded and Awabel follows an elevation gradient, change in the dominant </w:t>
      </w:r>
      <w:r w:rsidRPr="00093C5E">
        <w:rPr>
          <w:rFonts w:cs="Times New Roman"/>
          <w:szCs w:val="24"/>
        </w:rPr>
        <w:lastRenderedPageBreak/>
        <w:t xml:space="preserve">vector species may be an additional explanation of why we see a temperature effect in this region. </w:t>
      </w:r>
    </w:p>
    <w:bookmarkEnd w:id="77"/>
    <w:p w14:paraId="777FF28C" w14:textId="034CCA6E" w:rsidR="00EE74B8" w:rsidRPr="00093C5E" w:rsidRDefault="00EE74B8" w:rsidP="00EE74B8">
      <w:pPr>
        <w:rPr>
          <w:rFonts w:cs="Times New Roman"/>
          <w:szCs w:val="24"/>
        </w:rPr>
      </w:pPr>
      <w:r w:rsidRPr="00093C5E">
        <w:rPr>
          <w:rFonts w:cs="Times New Roman"/>
          <w:szCs w:val="24"/>
        </w:rPr>
        <w:t xml:space="preserve">In both study areas we found that malaria cases with recorded travel histories were concentrated in certain kebeles, and these kebeles tended to have high </w:t>
      </w:r>
      <w:r w:rsidRPr="00093C5E">
        <w:rPr>
          <w:rFonts w:cs="Times New Roman"/>
          <w:i/>
          <w:iCs/>
          <w:szCs w:val="24"/>
        </w:rPr>
        <w:t>P. falciparum</w:t>
      </w:r>
      <w:r w:rsidRPr="00093C5E">
        <w:rPr>
          <w:rFonts w:cs="Times New Roman"/>
          <w:szCs w:val="24"/>
        </w:rPr>
        <w:t xml:space="preserve"> cases. Travel has been shown to be a significant risk factor for malaria transmission, particularly for </w:t>
      </w:r>
      <w:r w:rsidRPr="00093C5E">
        <w:rPr>
          <w:rFonts w:cs="Times New Roman"/>
          <w:i/>
          <w:iCs/>
          <w:szCs w:val="24"/>
        </w:rPr>
        <w:t>P. falciparum</w:t>
      </w:r>
      <w:r w:rsidRPr="00093C5E">
        <w:rPr>
          <w:rFonts w:cs="Times New Roman"/>
          <w:szCs w:val="24"/>
        </w:rPr>
        <w:t xml:space="preserve"> related infections </w:t>
      </w:r>
      <w:r w:rsidRPr="00093C5E">
        <w:rPr>
          <w:rFonts w:cs="Times New Roman"/>
          <w:szCs w:val="24"/>
        </w:rPr>
        <w:fldChar w:fldCharType="begin"/>
      </w:r>
      <w:r w:rsidR="00033042" w:rsidRPr="00093C5E">
        <w:rPr>
          <w:rFonts w:cs="Times New Roman"/>
          <w:szCs w:val="24"/>
        </w:rPr>
        <w:instrText xml:space="preserve"> ADDIN ZOTERO_ITEM CSL_CITATION {"citationID":"C30f4wDM","properties":{"formattedCitation":"(Yukich et al., 2013)","plainCitation":"(Yukich et al., 2013)","noteIndex":0},"citationItems":[{"id":3973,"uris":["http://zotero.org/users/5456909/items/K42XQ3QK"],"uri":["http://zotero.org/users/5456909/items/K42XQ3QK"],"itemData":{"id":3973,"type":"article-journal","abstract":"Background: Malaria remains the leading communicable disease in Ethiopia, with around one million clinical cases of malaria reported annually. The country currently has plans for elimination for specific geographic areas of the country. Human movement may lead to the maintenance of reservoirs of infection, complicating attempts to eliminate malaria.\nMethods: An unmatched case–control study was conducted with 560 adult patients at a Health Centre in central Ethiopia. Patients who received a malaria test were interviewed regarding their recent travel histories. Bivariate and multivariate analyses were conducted to determine if reported travel outside of the home village within the last month was related to malaria infection status.\nResults: After adjusting for several known confounding factors, travel away from the home village in the last 30 days was a statistically significant risk factor for infection with Plasmodium falciparum (AOR 1.76; p=0.03) but not for infection with Plasmodium vivax (AOR 1.17; p=0.62). Male sex was strongly associated with any malaria infection (AOR 2.00; p=0.001).\nConclusions: Given the importance of identifying reservoir infections, consideration of human movement patterns should factor into decisions regarding elimination and disease prevention, especially when targeted areas are limited to regions within a country.","container-title":"Malaria Journal","issue":"1","journalAbbreviation":"Malar J","language":"en","page":"33","source":"DOI.org (Crossref)","title":"Travel history and malaria infection risk in a low-transmission setting in Ethiopia: a case control study","title-short":"Travel history and malaria infection risk in a low-transmission setting in Ethiopia","volume":"12","author":[{"family":"Yukich","given":"Joshua O"},{"family":"Taylor","given":"Cameron"},{"family":"Eisele","given":"Thomas P"},{"family":"Reithinger","given":"Richard"},{"family":"Nauhassenay","given":"Honelgn"},{"family":"Berhane","given":"Yemane"},{"family":"Keating","given":"Joseph"}],"issued":{"date-parts":[["2013",12]]}}}],"schema":"https://github.com/citation-style-language/schema/raw/master/csl-citation.json"} </w:instrText>
      </w:r>
      <w:r w:rsidRPr="00093C5E">
        <w:rPr>
          <w:rFonts w:cs="Times New Roman"/>
          <w:szCs w:val="24"/>
        </w:rPr>
        <w:fldChar w:fldCharType="separate"/>
      </w:r>
      <w:r w:rsidR="002B37C7" w:rsidRPr="00093C5E">
        <w:rPr>
          <w:rFonts w:cs="Times New Roman"/>
          <w:szCs w:val="24"/>
        </w:rPr>
        <w:t>(Yukich et al., 2013)</w:t>
      </w:r>
      <w:r w:rsidRPr="00093C5E">
        <w:rPr>
          <w:rFonts w:cs="Times New Roman"/>
          <w:szCs w:val="24"/>
        </w:rPr>
        <w:fldChar w:fldCharType="end"/>
      </w:r>
      <w:r w:rsidRPr="00093C5E">
        <w:rPr>
          <w:rFonts w:cs="Times New Roman"/>
          <w:szCs w:val="24"/>
        </w:rPr>
        <w:t xml:space="preserve">. In rural areas in Amhara seasonal migrants often leave their village to seek an additional income elsewhere </w:t>
      </w:r>
      <w:r w:rsidRPr="00093C5E">
        <w:rPr>
          <w:rFonts w:cs="Times New Roman"/>
          <w:szCs w:val="24"/>
        </w:rPr>
        <w:fldChar w:fldCharType="begin"/>
      </w:r>
      <w:r w:rsidR="001B184A" w:rsidRPr="00093C5E">
        <w:rPr>
          <w:rFonts w:cs="Times New Roman"/>
          <w:szCs w:val="24"/>
        </w:rPr>
        <w:instrText xml:space="preserve"> ADDIN ZOTERO_ITEM CSL_CITATION {"citationID":"nFAf6l4Q","properties":{"formattedCitation":"(Asfaw et al., 2010)","plainCitation":"(Asfaw et al., 2010)","noteIndex":0},"citationItems":[{"id":3968,"uris":["http://zotero.org/users/5456909/items/VIAMTBX2"],"uri":["http://zotero.org/users/5456909/items/VIAMTBX2"],"itemData":{"id":3968,"type":"article-journal","abstract":"Woldie Asfaw, Degefa Tolossa &amp; Gete Zeleke. 2010. Causes and impacts of seasonal migration on rural livelihoods: Case studies from Amhara Region in Ethiopia. Norsk Geografisk TidsskriftÁNorwegian Journal of Geography Vol. 64, 58Á70. Oslo. ISSN 0029-1951. The article examines the characteristics, motivation factors and impacts of seasonal migration in Ethiopia. The study was underpinned by the Sustainable Livelihood Framework. Both urban and rural areas as places of destination and rural villages as origins of migrants have been considered. Data were collected using a questionnaire survey, key informant interviews, focus group discussions, and household case studies. Shortage of farmland, debt, lack of viable non-farm activities locally, and the desire to earn additional income are the major reasons for seasonal migration of labour. Social networks and information flows are also important factors in migration. The research found that single men are predominantly involved in migration while the participation of women is negligible. The earnings obtained have allowed rural households to supplement their income from agriculture and indirectly contributed to overcoming the problem of farmland scarcity. The timing of movement which coincides with the agricultural slack season at home makes the impacts of seasonal out-migration on agriculture minimal. Rather than viewing it as a livelihood option of the rural poor which contributes to reducing poverty and improving the livelihoods of the poor, migration is still perceived negatively, and there has been little awareness of its significance.","container-title":"NORSK GEOGRAFISK TIDSSKRIFT","language":"en","page":"14","source":"Zotero","title":"Causes and impacts of seasonal migration on rural livelihoods: Case studies from Amhara Region in Ethiopia","author":[{"family":"Asfaw","given":"Woldie"},{"family":"Tolossa","given":"Degefa"},{"family":"Zeleke","given":"Gete"}],"issued":{"date-parts":[["2010"]]}}}],"schema":"https://github.com/citation-style-language/schema/raw/master/csl-citation.json"} </w:instrText>
      </w:r>
      <w:r w:rsidRPr="00093C5E">
        <w:rPr>
          <w:rFonts w:cs="Times New Roman"/>
          <w:szCs w:val="24"/>
        </w:rPr>
        <w:fldChar w:fldCharType="separate"/>
      </w:r>
      <w:r w:rsidR="002B37C7" w:rsidRPr="00093C5E">
        <w:rPr>
          <w:rFonts w:cs="Times New Roman"/>
          <w:szCs w:val="24"/>
        </w:rPr>
        <w:t>(Asfaw et al., 2010)</w:t>
      </w:r>
      <w:r w:rsidRPr="00093C5E">
        <w:rPr>
          <w:rFonts w:cs="Times New Roman"/>
          <w:szCs w:val="24"/>
        </w:rPr>
        <w:fldChar w:fldCharType="end"/>
      </w:r>
      <w:r w:rsidRPr="00093C5E">
        <w:rPr>
          <w:rFonts w:cs="Times New Roman"/>
          <w:szCs w:val="24"/>
        </w:rPr>
        <w:t xml:space="preserve">. </w:t>
      </w:r>
      <w:bookmarkStart w:id="78" w:name="_Hlk71311104"/>
      <w:r w:rsidRPr="00093C5E">
        <w:rPr>
          <w:rFonts w:cs="Times New Roman"/>
          <w:szCs w:val="24"/>
        </w:rPr>
        <w:t xml:space="preserve">Migrant workers are often found to have increased exposure to malaria risk due to low bed net utilization, as well as sleeping outside </w:t>
      </w:r>
      <w:r w:rsidRPr="00093C5E">
        <w:rPr>
          <w:rFonts w:cs="Times New Roman"/>
          <w:szCs w:val="24"/>
        </w:rPr>
        <w:fldChar w:fldCharType="begin"/>
      </w:r>
      <w:r w:rsidR="00531D94" w:rsidRPr="00093C5E">
        <w:rPr>
          <w:rFonts w:cs="Times New Roman"/>
          <w:szCs w:val="24"/>
        </w:rPr>
        <w:instrText xml:space="preserve"> ADDIN ZOTERO_ITEM CSL_CITATION {"citationID":"PY5vXpPv","properties":{"formattedCitation":"(Aschale et al., 2018)","plainCitation":"(Aschale et al., 2018)","noteIndex":0},"citationItems":[{"id":4370,"uris":["http://zotero.org/users/5456909/items/X95QBTK3"],"uri":["http://zotero.org/users/5456909/items/X95QBTK3"],"itemData":{"id":4370,"type":"article-journal","abstract":"Background\nMalaria is a febrile illness caused by protozoan parasites of the genus Plasmodium. It is prevalent in tropical and subtropical countries and becomes a challenge to a highly endemic area of Africa including Ethiopia. The West Armachiho district is a malaria-endemic lowland area where communities are experiencing hyperendemic malaria transmission.\n\nObjective\nThe aim of this study was to determine the prevalence of malaria and the associated risk factors among asymptomatic migrant laborers in the West Armachiho district, Northwest Ethiopia.\n\nMaterials and methods\nCommunity-based cross-sectional study was conducted from September to December 2016 on 385 migrant laborers selected by proportionate two-stage sampling method in Agricultural camps of the West Armachiho district. A standardized questionnaire was used to collect sociodemographic data and risk factors. Capillary blood was collected for Giemsa-stained blood film examination to detect and identify Plasmodium parasites. Data were coded, entered, checked for completeness, and analyzed using SPSS version-20 statistical software. Multivariate logistic regression was used to asses significantly associated risk factors. A P-value &lt;0.05 was considered as statistically significant.\n\nResults\nThe prevalence of malaria was found to be 18.4% (n=71). Education level, home area or origin of migrant laborers, number of visits, outdoor sleeping, and bed net utilization were associated with the risk of malaria (P&lt;0.05).\n\nConclusion\nMalaria was high in this study area and associated with outdoor sleeping, number of visits, home area, and bed net utilization.","container-title":"Research and Reports in Tropical Medicine","ISSN":"1179-7282","journalAbbreviation":"Res Rep Trop Med","note":"PMID: 30050360\nPMCID: PMC6047623","page":"95-101","source":"PubMed Central","title":"Prevalence of malaria and associated risk factors among asymptomatic migrant laborers in West Armachiho District, Northwest Ethiopia","volume":"9","author":[{"family":"Aschale","given":"Yibeltal"},{"family":"Mengist","given":"Abeba"},{"family":"Bitew","given":"Abebaw"},{"family":"Kassie","given":"Bekalu"},{"family":"Talie","given":"Asmare"}],"issued":{"date-parts":[["2018",6,20]]}}}],"schema":"https://github.com/citation-style-language/schema/raw/master/csl-citation.json"} </w:instrText>
      </w:r>
      <w:r w:rsidRPr="00093C5E">
        <w:rPr>
          <w:rFonts w:cs="Times New Roman"/>
          <w:szCs w:val="24"/>
        </w:rPr>
        <w:fldChar w:fldCharType="separate"/>
      </w:r>
      <w:r w:rsidR="002B37C7" w:rsidRPr="00093C5E">
        <w:rPr>
          <w:rFonts w:cs="Times New Roman"/>
          <w:szCs w:val="24"/>
        </w:rPr>
        <w:t>(Aschale et al., 2018)</w:t>
      </w:r>
      <w:r w:rsidRPr="00093C5E">
        <w:rPr>
          <w:rFonts w:cs="Times New Roman"/>
          <w:szCs w:val="24"/>
        </w:rPr>
        <w:fldChar w:fldCharType="end"/>
      </w:r>
      <w:r w:rsidRPr="00093C5E">
        <w:rPr>
          <w:rFonts w:cs="Times New Roman"/>
          <w:szCs w:val="24"/>
        </w:rPr>
        <w:t xml:space="preserve">. Migrant workers from rural areas could therefore be a source of repeated pathogen introduction into their home communities. From the available data we could not tell where and for how long they traveled, nor could we derive which </w:t>
      </w:r>
      <w:r w:rsidRPr="00093C5E">
        <w:rPr>
          <w:rFonts w:cs="Times New Roman"/>
          <w:i/>
          <w:szCs w:val="24"/>
        </w:rPr>
        <w:t>Plasmodium</w:t>
      </w:r>
      <w:r w:rsidRPr="00093C5E">
        <w:rPr>
          <w:rFonts w:cs="Times New Roman"/>
          <w:szCs w:val="24"/>
        </w:rPr>
        <w:t xml:space="preserve"> species the patients with travel history were infected with. Travel history was therefore not included in our formal analysis. However, these data suggest that vulnerability to imported cases is an important factor that must be considered in addition to local receptivity for malaria transmission.</w:t>
      </w:r>
      <w:bookmarkEnd w:id="78"/>
      <w:r w:rsidRPr="00093C5E">
        <w:rPr>
          <w:rFonts w:cs="Times New Roman"/>
          <w:szCs w:val="24"/>
        </w:rPr>
        <w:t xml:space="preserve"> Some of the observed relationships with remotely sensed environmental variables may reflect environmental settings with marginal agriculture where residents are more likely to travel for seasonal employment.</w:t>
      </w:r>
    </w:p>
    <w:p w14:paraId="0288D7E1" w14:textId="16E8D732" w:rsidR="00EE74B8" w:rsidRPr="00093C5E" w:rsidRDefault="00EE74B8" w:rsidP="00EE74B8">
      <w:pPr>
        <w:rPr>
          <w:rFonts w:cs="Times New Roman"/>
          <w:szCs w:val="24"/>
        </w:rPr>
      </w:pPr>
      <w:bookmarkStart w:id="79" w:name="_Hlk70617371"/>
      <w:r w:rsidRPr="00093C5E">
        <w:rPr>
          <w:rFonts w:cs="Times New Roman"/>
          <w:szCs w:val="24"/>
        </w:rPr>
        <w:t xml:space="preserve">Surface water-related variables did not strongly influence malaria proportion in our model in either of the two study areas. These included the coverage of open water, herbaceous wetlands, percent of land within the Koga irrigation scheme, the average distance to the nearest seasonal waterbody, as well as areas likely to flood due to their height above the nearest drainage. These findings contrast with the general expectation of relationships </w:t>
      </w:r>
      <w:r w:rsidRPr="00093C5E">
        <w:rPr>
          <w:rFonts w:cs="Times New Roman"/>
          <w:szCs w:val="24"/>
        </w:rPr>
        <w:lastRenderedPageBreak/>
        <w:t xml:space="preserve">between malaria cases and temporary water bodies. Other studies from different parts of Ethiopia have found that woredas with high wetland cover had high malaria incidence </w:t>
      </w:r>
      <w:r w:rsidRPr="00093C5E">
        <w:rPr>
          <w:rFonts w:cs="Times New Roman"/>
          <w:szCs w:val="24"/>
        </w:rPr>
        <w:fldChar w:fldCharType="begin"/>
      </w:r>
      <w:r w:rsidR="000D258D" w:rsidRPr="00093C5E">
        <w:rPr>
          <w:rFonts w:cs="Times New Roman"/>
          <w:szCs w:val="24"/>
        </w:rPr>
        <w:instrText xml:space="preserve"> ADDIN ZOTERO_ITEM CSL_CITATION {"citationID":"4LAR3XIa","properties":{"formattedCitation":"(Midekisa et al., 2014)","plainCitation":"(Midekisa et al., 2014)","noteIndex":0},"citationItems":[{"id":2183,"uris":["http://zotero.org/users/5456909/items/HKEZJGAK"],"uri":["http://zotero.org/users/5456909/items/HKEZJGAK"],"itemData":{"id":2183,"type":"article-journal","container-title":"Water Resources Research","issue":"11","page":"8791-8806","title":"Multisensor earth observations to characterize wetlands and malaria epidemiology in Ethiopia","volume":"50","author":[{"family":"Midekisa","given":"Alemayehu"},{"family":"Senay","given":"Gabriel B."},{"family":"Wimberly","given":"Michael C."}],"issued":{"date-parts":[["2014",11]]}}}],"schema":"https://github.com/citation-style-language/schema/raw/master/csl-citation.json"} </w:instrText>
      </w:r>
      <w:r w:rsidRPr="00093C5E">
        <w:rPr>
          <w:rFonts w:cs="Times New Roman"/>
          <w:szCs w:val="24"/>
        </w:rPr>
        <w:fldChar w:fldCharType="separate"/>
      </w:r>
      <w:r w:rsidR="002B37C7" w:rsidRPr="00093C5E">
        <w:rPr>
          <w:rFonts w:cs="Times New Roman"/>
          <w:szCs w:val="24"/>
        </w:rPr>
        <w:t>(Midekisa et al., 2014)</w:t>
      </w:r>
      <w:r w:rsidRPr="00093C5E">
        <w:rPr>
          <w:rFonts w:cs="Times New Roman"/>
          <w:szCs w:val="24"/>
        </w:rPr>
        <w:fldChar w:fldCharType="end"/>
      </w:r>
      <w:r w:rsidRPr="00093C5E">
        <w:rPr>
          <w:rFonts w:cs="Times New Roman"/>
          <w:szCs w:val="24"/>
        </w:rPr>
        <w:t xml:space="preserve"> and household surveys showed that the distance to breeding sites for samples of individual households influences malaria risk </w:t>
      </w:r>
      <w:r w:rsidRPr="00093C5E">
        <w:rPr>
          <w:rFonts w:cs="Times New Roman"/>
          <w:szCs w:val="24"/>
        </w:rPr>
        <w:fldChar w:fldCharType="begin"/>
      </w:r>
      <w:r w:rsidR="000D258D" w:rsidRPr="00093C5E">
        <w:rPr>
          <w:rFonts w:cs="Times New Roman"/>
          <w:szCs w:val="24"/>
        </w:rPr>
        <w:instrText xml:space="preserve"> ADDIN ZOTERO_ITEM CSL_CITATION {"citationID":"j5Q9hAzm","properties":{"formattedCitation":"(Alemu et al., 2011; Belay et al., 2017; Nissen et al., 2017)","plainCitation":"(Alemu et al., 2011; Belay et al., 2017; Nissen et al., 2017)","noteIndex":0},"citationItems":[{"id":1361,"uris":["http://zotero.org/users/5456909/items/J5GIVSFK"],"uri":["http://zotero.org/users/5456909/items/J5GIVSFK"],"itemData":{"id":1361,"type":"article-journal","abstract":"This paper studies the effect of mosquito abundance and malaria incidence in the last 3 weeks, and their interaction, on the hazard of time to malaria in a previously studied cohort of children in Ethiopia. We model the mosquito abundance and time to malaria data jointly in a Bayesian framework. We found that the interaction of mosquito abundance and incidence plays a prominent role on malaria risk. We quantify and compare relative risks of various factors, and determine the predominant role of the interaction between incidence and mosquito abundance in describing malaria risk. Seasonal rain patterns, distance to a water source of the households, temperature and relative humidity are all significant in explaining mosquito abundance, and through this affect malaria risk. Analyzing jointly the time to malaria data and the mosquito abundance allows a precise comparison of factors affecting the spread of malaria. The effect of the interaction between mosquito abundances and local presence of malaria parasites has an important effect on the hazard of time to malaria, beyond abundance alone. Each additional one km away from the dam gives an average reduction of malaria relative risk of 5.7%. The importance of the interaction between abundance and incidence leads to the hypothesis that preventive intervention could advantageously target the infectious population, in addition to mosquito control, which is the typical intervention today.","container-title":"BMC Infectious Diseases","issue":"1","page":"415-415","title":"Joint Bayesian modeling of time to malaria and mosquito abundance in Ethiopia","volume":"17","author":[{"family":"Belay","given":"Denekew Bitew"},{"family":"Kifle","given":"Yehenew Getachew"},{"family":"Goshu","given":"Ayele Taye"},{"family":"Gran","given":"Jon Michael"},{"family":"Yewhalaw","given":"Delenasaw"},{"family":"Duchateau","given":"Luc"},{"family":"Frigessi","given":"Arnoldo"}],"issued":{"date-parts":[["2017"]]}}},{"id":2295,"uris":["http://zotero.org/users/5456909/items/CGKZ3X8F"],"uri":["http://zotero.org/users/5456909/items/CGKZ3X8F"],"itemData":{"id":2295,"type":"article-journal","abstract":"Background: Malaria kills millions around the world. Until recently it was believed to be a disease of rural areas, since the Anopheles mosquito, which transmits Plasmodium species breeds in rural areas. Urban malaria is emerging as a potential, but “avertable” crisis, in Africa. In view of the rapidly growing number of small and medium-sized towns in Ethiopia there is a pressing need to improve the understanding of the epidemiology of malaria. Therefore, the aim of this study was to determine malaria prevalence and associated risk factors in Jimma town.\nMethods: A cross-sectional study was carried out in Jimma town from April 1 to May 28, 2010. 804 study participants were included from 291 households for microscopic examination of malaria parasites. Sociodemography data and risk factors were collected using structured questionnaires. Logistic regression analysis was done using SPSS 15.0 statistical software.\nResults: From a total of 804 study participants in current survey only 42 (5.2%) were positive for malaria parasites. Plasmodium vivax, Plasmodium falciparum and mixed infection accounted 71.4%, 26.2% and 2.4%, respectively. Higher malaria prevalence rate was observed among under-five children (11%). Those who do not use insecticide-treated bed nets (ITN) were more likely to be infected with malaria (OR = 13.6; 95% CI 4.9-37.2, p &lt; 0.001) compared with those who use the ITN. Living in areas where stagnant water existed (OR = 2.1; 95% CI 1.00-4.2, p = 0.047) and its distance of existence &lt;1 km from the house(OR = 2.1; 95% CI 2.0-15.8, p = 0.001) were more likely to be infected with malaria parasite compared with those who live away from stagnant at a distance greater than 1 km.\nConclusion: Malaria is a major health problem with P. vivax becoming a predominant species in the town. The prevalence was strongly associated with proximity of residence to potential mosquito breeding sites. Malaria is affecting significant proportions of the urban settlers and human activities nevertheless play an important role in bringing the mosquito breeding sites closer to residences.","container-title":"Malaria Journal","ISSN":"1475-2875","issue":"1","language":"en","page":"173","source":"Crossref","title":"Urban malaria and associated risk factors in Jimma town, south-west Ethiopia","volume":"10","author":[{"family":"Alemu","given":"Abebe"},{"family":"Tsegaye","given":"Wondewosen"},{"family":"Golassa","given":"Lemu"},{"family":"Abebe","given":"Gemeda"}],"issued":{"date-parts":[["2011",12]]}}},{"id":2232,"uris":["http://zotero.org/users/5456909/items/N6GRXADI"],"uri":["http://zotero.org/users/5456909/items/N6GRXADI"],"itemData":{"id":2232,"type":"article-journal","abstract":"Despite falling incidence and mortality since the turn of the century, malaria remains an important global health challenge. In the future fight against malaria, greater emphasis will have to be placed on understanding and addressing malaria caused by the Plasmodium vivax parasite. Unfortunately, due to years of neglect and underfunding, there are currently many gaps in knowledge of P. vivax malaria. The aims of the present study were to explore the association between distance to vector breeding site and P. vivax infection in rural Ethiopia, and, secondarily, to test whether this association varies with age.","container-title":"Malaria Journal","issue":"1","journalAbbreviation":"Malaria Journal","page":"380","source":"BioMed Central","title":"Proximity to vector breeding site and risk of Plasmodium vivax infection: a prospective cohort study in rural Ethiopia","title-short":"Proximity to vector breeding site and risk of Plasmodium vivax infection","volume":"16","author":[{"family":"Nissen","given":"Alexander"},{"family":"Cook","given":"Jackie"},{"family":"Loha","given":"Eskindir"},{"family":"Lindtjørn","given":"Bernt"}],"issued":{"date-parts":[["2017"]]}}}],"schema":"https://github.com/citation-style-language/schema/raw/master/csl-citation.json"} </w:instrText>
      </w:r>
      <w:r w:rsidRPr="00093C5E">
        <w:rPr>
          <w:rFonts w:cs="Times New Roman"/>
          <w:szCs w:val="24"/>
        </w:rPr>
        <w:fldChar w:fldCharType="separate"/>
      </w:r>
      <w:r w:rsidR="002B37C7" w:rsidRPr="00093C5E">
        <w:rPr>
          <w:rFonts w:cs="Times New Roman"/>
          <w:szCs w:val="24"/>
        </w:rPr>
        <w:t>(Alemu et al., 2011; Belay et al., 2017; Nissen et al., 2017)</w:t>
      </w:r>
      <w:r w:rsidRPr="00093C5E">
        <w:rPr>
          <w:rFonts w:cs="Times New Roman"/>
          <w:szCs w:val="24"/>
        </w:rPr>
        <w:fldChar w:fldCharType="end"/>
      </w:r>
      <w:r w:rsidRPr="00093C5E">
        <w:rPr>
          <w:rFonts w:cs="Times New Roman"/>
          <w:szCs w:val="24"/>
        </w:rPr>
        <w:t>. However, those previous studies have been performed at different spatial scales, and water-related variables were much less important at the kebele level within the woredas that we studied. Additionally, the water variables were derived from 30 m Landsat imagery and a 30 m digital terrain model, and this spatial resolution is unable to capture smaller water bodies that can act as larval habitat.</w:t>
      </w:r>
    </w:p>
    <w:bookmarkEnd w:id="79"/>
    <w:p w14:paraId="56CE7F52" w14:textId="28297DC0" w:rsidR="00EE74B8" w:rsidRPr="00093C5E" w:rsidRDefault="00EE74B8" w:rsidP="00EE74B8">
      <w:pPr>
        <w:rPr>
          <w:rFonts w:cs="Times New Roman"/>
          <w:szCs w:val="24"/>
        </w:rPr>
      </w:pPr>
      <w:r w:rsidRPr="00093C5E">
        <w:rPr>
          <w:rFonts w:cs="Times New Roman"/>
          <w:szCs w:val="24"/>
        </w:rPr>
        <w:t xml:space="preserve">The presence of the Koga irrigation scheme did not influence malaria cases. The consistent source of water in irrigated areas creates breeding habitat for anopheline mosquitoes, as observed for a comparable large dam project in Ethiopia </w:t>
      </w:r>
      <w:r w:rsidRPr="00093C5E">
        <w:rPr>
          <w:rFonts w:cs="Times New Roman"/>
          <w:szCs w:val="24"/>
        </w:rPr>
        <w:fldChar w:fldCharType="begin"/>
      </w:r>
      <w:r w:rsidR="000D258D" w:rsidRPr="00093C5E">
        <w:rPr>
          <w:rFonts w:cs="Times New Roman"/>
          <w:szCs w:val="24"/>
        </w:rPr>
        <w:instrText xml:space="preserve"> ADDIN ZOTERO_ITEM CSL_CITATION {"citationID":"bsyqRn9H","properties":{"formattedCitation":"(Kibret et al., 2017)","plainCitation":"(Kibret et al., 2017)","noteIndex":0},"citationItems":[{"id":1367,"uris":["http://zotero.org/users/5456909/items/985CNFRE"],"uri":["http://zotero.org/users/5456909/items/985CNFRE"],"itemData":{"id":1367,"type":"article-journal","abstract":"Dams are important to ensure food security and promote economic development in sub-Saharan Africa. However, a poor understanding of the negative public health consequences from issues such as malaria could affect their intended advantages. This study aims to compare the malaria situation across elevation and proximity to dams. Such information may contribute to better understand how dams affect malaria in different eco-epidemiological settings. Larval and adult mosquitoes were collected from dam and non-dam villages around the Kesem (lowland), Koka (midland), and Koga (highland) dams in Ethiopia between October 2013 and July 2014. Determination of blood meal sources and detection of Plasmodium falciparum sporozoites was done using enzyme-linked immunosorbent assay (ELISA). Five years of monthly malaria case data (2010–2014) were also collected from health centers in the study villages. Mean monthly malaria incidence was two- and ten-fold higher in the lowland dam village than in midland and highland dam villages, respectively. The total surface area of anopheline breeding habitats and the mean larval density was significantly higher in the lowland dam village compared with the midland and highland dam villages. Similarly, the mean monthly malaria incidence and anopheline larval density was generally higher in the dam villages than in the non-dam villages in all the three dam settings. Anopheles arabiensis, Anopheles pharoensis, and Anopheles funestus s.l. were the most common species, largely collected from lowland and midland dam villages. Larvae of these species were mainly found in reservoir shoreline puddles and irrigation canals. The mean adult anopheline density was significantly higher in the lowland dam village than in the midland and highland dam villages. The annual entomological inoculation rate (EIR) of An. arabiensis, An. funestus s.l., and An. pharoensis in the lowland dam village was 129.8, 47.8, and 33.3 infective bites per person per annum, respectively. The annual EIR of An. arabiensis and An. pharoensis was 6.3 and 3.2 times higher in the lowland dam village than in the midland dam village. This study found that the presence of dams intensifies malaria transmission in lowland and midland ecological settings. Dam and irrigation management practices that could reduce vector abundance and malaria transmission need to be developed for these regions.","container-title":"Tropical Medicine and Health","issue":"1","page":"4-4","title":"Malaria impact of large dams at different eco-epidemiological settings in Ethiopia","volume":"45","author":[{"family":"Kibret","given":"Solomon"},{"family":"Wilson","given":"G. Glenn"},{"family":"Ryder","given":"Darren"},{"family":"Tekie","given":"Habte"},{"family":"Petros","given":"Beyene"}],"issued":{"date-parts":[["2017"]]}}}],"schema":"https://github.com/citation-style-language/schema/raw/master/csl-citation.json"} </w:instrText>
      </w:r>
      <w:r w:rsidRPr="00093C5E">
        <w:rPr>
          <w:rFonts w:cs="Times New Roman"/>
          <w:szCs w:val="24"/>
        </w:rPr>
        <w:fldChar w:fldCharType="separate"/>
      </w:r>
      <w:r w:rsidR="002B37C7" w:rsidRPr="00093C5E">
        <w:rPr>
          <w:rFonts w:cs="Times New Roman"/>
          <w:szCs w:val="24"/>
        </w:rPr>
        <w:t>(Kibret et al., 2017)</w:t>
      </w:r>
      <w:r w:rsidRPr="00093C5E">
        <w:rPr>
          <w:rFonts w:cs="Times New Roman"/>
          <w:szCs w:val="24"/>
        </w:rPr>
        <w:fldChar w:fldCharType="end"/>
      </w:r>
      <w:r w:rsidRPr="00093C5E">
        <w:rPr>
          <w:rFonts w:cs="Times New Roman"/>
          <w:szCs w:val="24"/>
        </w:rPr>
        <w:t xml:space="preserve">. The lack of an irrigation effect on malaria in our study may be an example of what Ijumba and Lindsay describe as the “paddies paradox” </w:t>
      </w:r>
      <w:r w:rsidRPr="00093C5E">
        <w:rPr>
          <w:rFonts w:cs="Times New Roman"/>
          <w:szCs w:val="24"/>
        </w:rPr>
        <w:fldChar w:fldCharType="begin"/>
      </w:r>
      <w:r w:rsidR="002B37C7" w:rsidRPr="00093C5E">
        <w:rPr>
          <w:rFonts w:cs="Times New Roman"/>
          <w:szCs w:val="24"/>
        </w:rPr>
        <w:instrText xml:space="preserve"> ADDIN ZOTERO_ITEM CSL_CITATION {"citationID":"I3HfShYz","properties":{"formattedCitation":"(Ijumba and Lindsay, 2001)","plainCitation":"(Ijumba and Lindsay, 2001)","noteIndex":0},"citationItems":[{"id":42,"uris":["http://zotero.org/users/5456909/items/5ZC3E8A2"],"uri":["http://zotero.org/users/5456909/items/5ZC3E8A2"],"itemData":{"id":42,"type":"article-journal","abstract":"The high population growth rate of the African continent has led to an increased demand for food and is in danger of outstripping agricultural production. In order to meet this need, many governments have sought ways of improving food production by initiating large-scale irrigation projects, involving reclamation of arid and semi-arid areas for the cultivation of crops. Although crop irrigation promises one solution to alleviating hunger and encourages economic growth, irrigation has often been blamed for aggravating disease in local communities. Malaria is one of the major tropical diseases associated with irrigation schemes, and changes in the transmission pattern of this disease following irrigation development have been a perennial subject of debate. It has often been assumed that high numbers of malaria vector Anopheles mosquitoes (Diptera: Culicidae) resulting from irrigation schemes lead inevitably to increased malaria in local communities. However, recent studies in Africa have revealed a more complex picture. Increased numbers of vectors following irrigation can lead to increased malaria in areas of unstable transmission, where people have little or no immunity to malaria parasites, such as the African highlands and desert fringes. But for most of sub-Saharan Africa, where malaria is stable, the introduction of crop irrigation has little impact on malaria transmission. Indeed, there is growing evidence that for many sites there is less malaria in irrigated communities than surrounding areas. The explanation for this finding is still unresolved but, in some cases at least, can be attributed to displacement of the most endophilic and anthropophilic malaria vector Anopheles funestus Giles by An. arabiensis Patton with lower vectorial capacity, as the latter thrives more than the former in ricefields. Similarly, among members of the An. gambiae complex, some cytotypes of An. gambiae sensu stricto are more vectorial than others. For example, the Mopti form has high vectorial capacity and breeds perennially in irrigated sites, whereas the savanna form is often sympatric but more seasonal. Also we suggest that many communities near irrigation schemes benefit from the greater wealth created by these schemes. Consequently irrigation communities often have greater use of bednets, better access to improved healthcare and receive fewer infective bites compared with those outside such development schemes. Thus, in most cases, irrigation schemes in Africa do not appear to increase malaria risk, except in areas of unstable transmission. However, developers should take the opportunity to improve health-care facilities for local communities when planning irrigation schemes wherever they occur.","container-title":"Medical and Veterinary Entomology","ISSN":"1365-2915","issue":"1","language":"en","page":"1-11","source":"Wiley Online Library","title":"Impact of irrigation on malaria in Africa: paddies paradox","title-short":"Impact of irrigation on malaria in Africa","volume":"15","author":[{"family":"Ijumba","given":"J. N."},{"family":"Lindsay","given":"S. W."}],"issued":{"date-parts":[["2001"]]}}}],"schema":"https://github.com/citation-style-language/schema/raw/master/csl-citation.json"} </w:instrText>
      </w:r>
      <w:r w:rsidRPr="00093C5E">
        <w:rPr>
          <w:rFonts w:cs="Times New Roman"/>
          <w:szCs w:val="24"/>
        </w:rPr>
        <w:fldChar w:fldCharType="separate"/>
      </w:r>
      <w:r w:rsidR="002B37C7" w:rsidRPr="00093C5E">
        <w:rPr>
          <w:rFonts w:cs="Times New Roman"/>
          <w:szCs w:val="24"/>
        </w:rPr>
        <w:t>(Ijumba and Lindsay, 2001)</w:t>
      </w:r>
      <w:r w:rsidRPr="00093C5E">
        <w:rPr>
          <w:rFonts w:cs="Times New Roman"/>
          <w:szCs w:val="24"/>
        </w:rPr>
        <w:fldChar w:fldCharType="end"/>
      </w:r>
      <w:r w:rsidRPr="00093C5E">
        <w:rPr>
          <w:rFonts w:cs="Times New Roman"/>
          <w:szCs w:val="24"/>
        </w:rPr>
        <w:t xml:space="preserve">. There are two possible explanations for this phenomenon in this area. The first factor may be the separation between agricultural land and settlements. The kebeles that are dominated by the Koga irrigation scheme do not have large settlements, as those are located further away in neighboring kebeles that do not have irrigated land cover. Secondly, the Koga irrigation scheme reportedly increased wealth in irrigator households </w:t>
      </w:r>
      <w:r w:rsidRPr="00093C5E">
        <w:rPr>
          <w:rFonts w:cs="Times New Roman"/>
          <w:szCs w:val="24"/>
        </w:rPr>
        <w:fldChar w:fldCharType="begin"/>
      </w:r>
      <w:r w:rsidR="001B184A" w:rsidRPr="00093C5E">
        <w:rPr>
          <w:rFonts w:cs="Times New Roman"/>
          <w:szCs w:val="24"/>
        </w:rPr>
        <w:instrText xml:space="preserve"> ADDIN ZOTERO_ITEM CSL_CITATION {"citationID":"hybA9JsK","properties":{"formattedCitation":"(Kassie et al., 2018)","plainCitation":"(Kassie et al., 2018)","noteIndex":0},"citationItems":[{"id":3647,"uris":["http://zotero.org/users/5456909/items/RZWY2I5R"],"uri":["http://zotero.org/users/5456909/items/RZWY2I5R"],"itemData":{"id":3647,"type":"article-journal","container-title":"Asian Development Perspectives","language":"en","page":"29","source":"Zotero","title":"Impact of irrigation on household multidimensional poverty reduction in the Koga irrigation development project, northern Ethiopia","author":[{"family":"Kassie","given":"Koyachew Enkuahone"},{"family":"Alemu","given":"Bamlak Alamirew"},{"family":"Wedajoo","given":"Aseffa Seyoum"}],"issued":{"date-parts":[["2018"]]}}}],"schema":"https://github.com/citation-style-language/schema/raw/master/csl-citation.json"} </w:instrText>
      </w:r>
      <w:r w:rsidRPr="00093C5E">
        <w:rPr>
          <w:rFonts w:cs="Times New Roman"/>
          <w:szCs w:val="24"/>
        </w:rPr>
        <w:fldChar w:fldCharType="separate"/>
      </w:r>
      <w:r w:rsidR="002B37C7" w:rsidRPr="00093C5E">
        <w:rPr>
          <w:rFonts w:cs="Times New Roman"/>
          <w:szCs w:val="24"/>
        </w:rPr>
        <w:t>(Kassie et al., 2018)</w:t>
      </w:r>
      <w:r w:rsidRPr="00093C5E">
        <w:rPr>
          <w:rFonts w:cs="Times New Roman"/>
          <w:szCs w:val="24"/>
        </w:rPr>
        <w:fldChar w:fldCharType="end"/>
      </w:r>
      <w:r w:rsidRPr="00093C5E">
        <w:rPr>
          <w:rFonts w:cs="Times New Roman"/>
          <w:szCs w:val="24"/>
        </w:rPr>
        <w:t xml:space="preserve">. Increased wealth, better access to health care and education may contribute to a low burden of malaria in this region. Despite high receptivity to malaria because of readily available breeding sites, the spatial separation between irrigation and settlements, in addition to improvements of the socio-economic conditions in the area may have reduced susceptibility and </w:t>
      </w:r>
      <w:r w:rsidRPr="00093C5E">
        <w:rPr>
          <w:rFonts w:cs="Times New Roman"/>
          <w:szCs w:val="24"/>
        </w:rPr>
        <w:lastRenderedPageBreak/>
        <w:t xml:space="preserve">vulnerability of the human population, leading to low malaria cases despite available mosquito habitats. </w:t>
      </w:r>
    </w:p>
    <w:p w14:paraId="4AF7498D" w14:textId="77777777" w:rsidR="00EE74B8" w:rsidRPr="00093C5E" w:rsidRDefault="00EE74B8" w:rsidP="00EE74B8">
      <w:pPr>
        <w:rPr>
          <w:rFonts w:cs="Times New Roman"/>
          <w:color w:val="000000" w:themeColor="text1"/>
          <w:szCs w:val="24"/>
        </w:rPr>
      </w:pPr>
      <w:r w:rsidRPr="00093C5E">
        <w:rPr>
          <w:rFonts w:cs="Times New Roman"/>
          <w:szCs w:val="24"/>
        </w:rPr>
        <w:t xml:space="preserve">The utilization of remotely sensed satellite data to study malaria infection patterns comes with limitations. The nature of satellite earth observation data allows us to study the physical properties of the earth surface and measure a variety of factors that influence malaria receptivity. We could not directly measure socio-economic factors like housing, access to health care, and effectiveness of malaria interventions that affect the susceptibility of human populations. In addition, we could not quantify the vulnerability of communities to imported cases. </w:t>
      </w:r>
      <w:bookmarkStart w:id="80" w:name="_Hlk71313375"/>
      <w:bookmarkStart w:id="81" w:name="_Hlk70880400"/>
      <w:r w:rsidRPr="00093C5E">
        <w:rPr>
          <w:rFonts w:cs="Times New Roman"/>
          <w:szCs w:val="24"/>
        </w:rPr>
        <w:t>We also could not relate the observed patterns to different species of vector mosquitoes, as entomological data was not available at such a large extent.</w:t>
      </w:r>
      <w:bookmarkEnd w:id="80"/>
      <w:r w:rsidRPr="00093C5E">
        <w:rPr>
          <w:rFonts w:cs="Times New Roman"/>
          <w:szCs w:val="24"/>
        </w:rPr>
        <w:t xml:space="preserve"> </w:t>
      </w:r>
      <w:bookmarkEnd w:id="81"/>
      <w:r w:rsidRPr="00093C5E">
        <w:rPr>
          <w:rFonts w:cs="Times New Roman"/>
          <w:szCs w:val="24"/>
        </w:rPr>
        <w:t>Particularly in Mecha and Bahir Dar Zuria, the cross-validated R</w:t>
      </w:r>
      <w:r w:rsidRPr="00093C5E">
        <w:rPr>
          <w:rFonts w:cs="Times New Roman"/>
          <w:szCs w:val="24"/>
          <w:vertAlign w:val="superscript"/>
        </w:rPr>
        <w:t xml:space="preserve">2 </w:t>
      </w:r>
      <w:r w:rsidRPr="00093C5E">
        <w:rPr>
          <w:rFonts w:cs="Times New Roman"/>
          <w:szCs w:val="24"/>
        </w:rPr>
        <w:t>values from 0.54-</w:t>
      </w:r>
      <w:r w:rsidRPr="00093C5E">
        <w:rPr>
          <w:rFonts w:cs="Times New Roman"/>
          <w:color w:val="000000" w:themeColor="text1"/>
          <w:szCs w:val="24"/>
        </w:rPr>
        <w:t xml:space="preserve">0.68 indicate that environmental variables alone cannot explain all of the spatial and interannual variation in malaria cases. The importance of non-environmental factors in this study area is also reflected in the strong downward trend of malaria cases due to the impact of recent intervention programs. Because this study focused on assessing different sources of remotely-sensed environmental data, incorporating these socio-economic factors was outside our scope. </w:t>
      </w:r>
    </w:p>
    <w:p w14:paraId="0BCD921F" w14:textId="44081C38" w:rsidR="00EE74B8" w:rsidRPr="00093C5E" w:rsidRDefault="00EE74B8" w:rsidP="00EE74B8">
      <w:pPr>
        <w:rPr>
          <w:rFonts w:cs="Times New Roman"/>
          <w:color w:val="000000" w:themeColor="text1"/>
          <w:szCs w:val="24"/>
        </w:rPr>
      </w:pPr>
      <w:r w:rsidRPr="00093C5E">
        <w:rPr>
          <w:rFonts w:cs="Times New Roman"/>
          <w:color w:val="000000" w:themeColor="text1"/>
          <w:szCs w:val="24"/>
        </w:rPr>
        <w:t xml:space="preserve">We faced additional limitations in classifying settlements via PlanetScope imagery. The spatial resolution of 3 m was sufficient to capture agglomerations of buildings, as well as most of the isolated buildings. However, it was not sufficient to capture some smaller huts with thatched roofs. To capture these buildings, imagery with an even higher spatial resolution would be necessary. Additional research on high resolution settlement mapping could also help to improve downscaled population estimates such as those produced by </w:t>
      </w:r>
      <w:r w:rsidRPr="00093C5E">
        <w:rPr>
          <w:rFonts w:cs="Times New Roman"/>
          <w:color w:val="000000" w:themeColor="text1"/>
          <w:szCs w:val="24"/>
        </w:rPr>
        <w:lastRenderedPageBreak/>
        <w:t xml:space="preserve">WorldPop </w:t>
      </w:r>
      <w:r w:rsidRPr="00093C5E">
        <w:rPr>
          <w:rFonts w:cs="Times New Roman"/>
          <w:color w:val="000000" w:themeColor="text1"/>
          <w:szCs w:val="24"/>
        </w:rPr>
        <w:fldChar w:fldCharType="begin"/>
      </w:r>
      <w:r w:rsidR="00701ADA" w:rsidRPr="00093C5E">
        <w:rPr>
          <w:rFonts w:cs="Times New Roman"/>
          <w:color w:val="000000" w:themeColor="text1"/>
          <w:szCs w:val="24"/>
        </w:rPr>
        <w:instrText xml:space="preserve"> ADDIN ZOTERO_ITEM CSL_CITATION {"citationID":"2HpZcepQ","properties":{"formattedCitation":"(Tatem, 2017)","plainCitation":"(Tatem, 2017)","noteIndex":0},"citationItems":[{"id":4518,"uris":["http://zotero.org/users/5456909/items/VCVQ3F4G"],"uri":["http://zotero.org/users/5456909/items/VCVQ3F4G"],"itemData":{"id":4518,"type":"article-journal","abstract":"High resolution, contemporary data on human population distributions, their characteristics and changes over time are a prerequisite for the accurate measurement of the impacts of population growth, for monitoring changes and for planning interventions. WorldPop aims to meet these needs through the provision of detailed and open access spatial demographic datasets built using transparent approaches. The Scientific Data WorldPop collection brings together descriptor papers on these datasets and is introduced here.","container-title":"Scientific Data","ISSN":"2052-4463","issue":"1","journalAbbreviation":"Sci Data","language":"en","note":"number: 1\npublisher: Nature Publishing Group","page":"170004","source":"www.nature.com","title":"WorldPop, open data for spatial demography","volume":"4","author":[{"family":"Tatem","given":"Andrew J."}],"issued":{"date-parts":[["2017",1,31]]}}}],"schema":"https://github.com/citation-style-language/schema/raw/master/csl-citation.json"} </w:instrText>
      </w:r>
      <w:r w:rsidRPr="00093C5E">
        <w:rPr>
          <w:rFonts w:cs="Times New Roman"/>
          <w:color w:val="000000" w:themeColor="text1"/>
          <w:szCs w:val="24"/>
        </w:rPr>
        <w:fldChar w:fldCharType="separate"/>
      </w:r>
      <w:r w:rsidR="002B37C7" w:rsidRPr="00093C5E">
        <w:rPr>
          <w:rFonts w:cs="Times New Roman"/>
          <w:szCs w:val="24"/>
        </w:rPr>
        <w:t>(Tatem, 2017)</w:t>
      </w:r>
      <w:r w:rsidRPr="00093C5E">
        <w:rPr>
          <w:rFonts w:cs="Times New Roman"/>
          <w:color w:val="000000" w:themeColor="text1"/>
          <w:szCs w:val="24"/>
        </w:rPr>
        <w:fldChar w:fldCharType="end"/>
      </w:r>
      <w:r w:rsidRPr="00093C5E">
        <w:rPr>
          <w:rFonts w:cs="Times New Roman"/>
          <w:color w:val="000000" w:themeColor="text1"/>
          <w:szCs w:val="24"/>
        </w:rPr>
        <w:t xml:space="preserve"> and LandScan </w:t>
      </w:r>
      <w:r w:rsidRPr="00093C5E">
        <w:rPr>
          <w:rFonts w:cs="Times New Roman"/>
          <w:color w:val="000000" w:themeColor="text1"/>
          <w:szCs w:val="24"/>
        </w:rPr>
        <w:fldChar w:fldCharType="begin"/>
      </w:r>
      <w:r w:rsidR="00531D94" w:rsidRPr="00093C5E">
        <w:rPr>
          <w:rFonts w:cs="Times New Roman"/>
          <w:color w:val="000000" w:themeColor="text1"/>
          <w:szCs w:val="24"/>
        </w:rPr>
        <w:instrText xml:space="preserve"> ADDIN ZOTERO_ITEM CSL_CITATION {"citationID":"QbQ6usde","properties":{"formattedCitation":"(Dobson et al., 2000)","plainCitation":"(Dobson et al., 2000)","noteIndex":0},"citationItems":[{"id":4523,"uris":["http://zotero.org/users/5456909/items/RT54AME4"],"uri":["http://zotero.org/users/5456909/items/RT54AME4"],"itemData":{"id":4523,"type":"article-journal","container-title":"Photogrammetric Engineering &amp; Remote Sensing","language":"en","page":"849-857","title":"LandScan: a global population database for estimating populations at risk","title-short":"LandScan","volume":"66","author":[{"family":"Dobson","given":"Jerome E."},{"family":"Bright","given":"Edward A."},{"family":"Coleman","given":"Phillip R."},{"family":"Durfee","given":"Richard C."},{"family":"Worley","given":"Brian A."}],"issued":{"date-parts":[["2000"]]}}}],"schema":"https://github.com/citation-style-language/schema/raw/master/csl-citation.json"} </w:instrText>
      </w:r>
      <w:r w:rsidRPr="00093C5E">
        <w:rPr>
          <w:rFonts w:cs="Times New Roman"/>
          <w:color w:val="000000" w:themeColor="text1"/>
          <w:szCs w:val="24"/>
        </w:rPr>
        <w:fldChar w:fldCharType="separate"/>
      </w:r>
      <w:r w:rsidR="002B37C7" w:rsidRPr="00093C5E">
        <w:rPr>
          <w:rFonts w:cs="Times New Roman"/>
          <w:szCs w:val="24"/>
        </w:rPr>
        <w:t>(Dobson et al., 2000)</w:t>
      </w:r>
      <w:r w:rsidRPr="00093C5E">
        <w:rPr>
          <w:rFonts w:cs="Times New Roman"/>
          <w:color w:val="000000" w:themeColor="text1"/>
          <w:szCs w:val="24"/>
        </w:rPr>
        <w:fldChar w:fldCharType="end"/>
      </w:r>
      <w:r w:rsidRPr="00093C5E">
        <w:rPr>
          <w:rFonts w:cs="Times New Roman"/>
          <w:color w:val="000000" w:themeColor="text1"/>
          <w:szCs w:val="24"/>
        </w:rPr>
        <w:t>, which would allow local estimates of malaria incidence in addition to the proportion of outpatients diagnosed with malaria.</w:t>
      </w:r>
    </w:p>
    <w:p w14:paraId="686B7851" w14:textId="006F4311" w:rsidR="00EE74B8" w:rsidRPr="00AA3319" w:rsidRDefault="00EE74B8" w:rsidP="00EE74B8">
      <w:pPr>
        <w:pStyle w:val="Heading2"/>
        <w:rPr>
          <w:rFonts w:cs="Times New Roman"/>
        </w:rPr>
      </w:pPr>
      <w:bookmarkStart w:id="82" w:name="_Toc78889196"/>
      <w:r w:rsidRPr="00AA3319">
        <w:rPr>
          <w:rFonts w:cs="Times New Roman"/>
        </w:rPr>
        <w:t>Conclusion</w:t>
      </w:r>
      <w:bookmarkEnd w:id="82"/>
    </w:p>
    <w:p w14:paraId="7528A135" w14:textId="47EAD413" w:rsidR="000A27BA" w:rsidRPr="00AA3319" w:rsidRDefault="00EE74B8" w:rsidP="00141C47">
      <w:pPr>
        <w:rPr>
          <w:rFonts w:cs="Times New Roman"/>
        </w:rPr>
      </w:pPr>
      <w:bookmarkStart w:id="83" w:name="_Hlk71312579"/>
      <w:bookmarkStart w:id="84" w:name="_Hlk69302907"/>
      <w:r w:rsidRPr="00AA3319">
        <w:rPr>
          <w:rFonts w:cs="Times New Roman"/>
        </w:rPr>
        <w:t>Relationships between spatio-temporal patterns of malaria proportion and environmental variables derived from satellite imagery varied in two landscapes in Ethiopia and were different from results of previous malaria-environment studies conducted at coarser resolution (data summarized at woreda level) and finer (sample households at village level) resolutions</w:t>
      </w:r>
      <w:bookmarkEnd w:id="83"/>
      <w:r w:rsidRPr="00AA3319">
        <w:rPr>
          <w:rFonts w:cs="Times New Roman"/>
        </w:rPr>
        <w:t xml:space="preserve">. </w:t>
      </w:r>
      <w:bookmarkEnd w:id="84"/>
      <w:r w:rsidRPr="00AA3319">
        <w:rPr>
          <w:rFonts w:cs="Times New Roman"/>
        </w:rPr>
        <w:t xml:space="preserve">Associations between climate variables and malaria followed the expected pattern with higher temperatures and more rainfall leading to more malaria cases. In both study areas, we found that kebeles with lower vegetation greenness and moisture during the malaria transmission season had the most malaria cases. Malaria was associated with concentrated settlement patterns in one study area, and with low settlement density in the other study area. To some degree, the relationships of these environmental variables with malaria likely reflected indirect relationships with aspects of the social environment such as seasonal migration, water management, and access to health care that affect malaria risk. Recent interventions have lowered malaria incidence and may also have modified some of these malaria-environment associations. These results emphasize that malaria-environment relationships based on remotely sensed environmental indices are contingent on the scale of analysis as well as the geographic setting. Knowledge of the local malaria epidemiology and its connections with physical and human geography is therefore essential for understanding these relationships and applying them to support risk assessment for public health applications. </w:t>
      </w:r>
      <w:r w:rsidR="000A27BA" w:rsidRPr="00AA3319">
        <w:rPr>
          <w:rFonts w:cs="Times New Roman"/>
        </w:rPr>
        <w:br w:type="page"/>
      </w:r>
    </w:p>
    <w:p w14:paraId="4ABE179E" w14:textId="7D7B648F" w:rsidR="00FF4BA3" w:rsidRDefault="00FF4BA3" w:rsidP="00FF4BA3">
      <w:pPr>
        <w:pStyle w:val="Heading2"/>
      </w:pPr>
      <w:bookmarkStart w:id="85" w:name="_Toc78889197"/>
      <w:r>
        <w:lastRenderedPageBreak/>
        <w:t>Supplemental material</w:t>
      </w:r>
      <w:bookmarkEnd w:id="85"/>
    </w:p>
    <w:p w14:paraId="0C79C894" w14:textId="4B0ECE3F" w:rsidR="000A27BA" w:rsidRPr="00AA3319" w:rsidRDefault="000A27BA" w:rsidP="000A27BA">
      <w:pPr>
        <w:rPr>
          <w:rFonts w:cs="Times New Roman"/>
          <w:szCs w:val="24"/>
        </w:rPr>
      </w:pPr>
      <w:r w:rsidRPr="00AA3319">
        <w:rPr>
          <w:rFonts w:cs="Times New Roman"/>
          <w:szCs w:val="24"/>
        </w:rPr>
        <w:t xml:space="preserve">To study whether spatial clustering of malaria cases occurs in our study area, we ran spatial scan statistics using SaTScan software. SatScan is designed to detect statistically significant spatial, temporal, or space-time clusters </w:t>
      </w:r>
      <w:r w:rsidRPr="00AA3319">
        <w:rPr>
          <w:rFonts w:cs="Times New Roman"/>
          <w:szCs w:val="24"/>
        </w:rPr>
        <w:fldChar w:fldCharType="begin"/>
      </w:r>
      <w:r w:rsidRPr="00AA3319">
        <w:rPr>
          <w:rFonts w:cs="Times New Roman"/>
          <w:szCs w:val="24"/>
        </w:rPr>
        <w:instrText xml:space="preserve"> ADDIN ZOTERO_ITEM CSL_CITATION {"citationID":"Jg8r0ALV","properties":{"formattedCitation":"(Kulldorff, 2018)","plainCitation":"(Kulldorff, 2018)","noteIndex":0},"citationItems":[{"id":508,"uris":["http://zotero.org/users/5456909/items/Y27MLSEV"],"uri":["http://zotero.org/users/5456909/items/Y27MLSEV"],"itemData":{"id":508,"type":"book","title":"SaTScan TM User Guide","author":[{"family":"Kulldorff","given":"Martin"}],"issued":{"date-parts":[["2018"]]}}}],"schema":"https://github.com/citation-style-language/schema/raw/master/csl-citation.json"} </w:instrText>
      </w:r>
      <w:r w:rsidRPr="00AA3319">
        <w:rPr>
          <w:rFonts w:cs="Times New Roman"/>
          <w:szCs w:val="24"/>
        </w:rPr>
        <w:fldChar w:fldCharType="separate"/>
      </w:r>
      <w:r w:rsidR="002B37C7" w:rsidRPr="00AA3319">
        <w:rPr>
          <w:rFonts w:cs="Times New Roman"/>
        </w:rPr>
        <w:t>(Kulldorff, 2018)</w:t>
      </w:r>
      <w:r w:rsidRPr="00AA3319">
        <w:rPr>
          <w:rFonts w:cs="Times New Roman"/>
          <w:szCs w:val="24"/>
        </w:rPr>
        <w:fldChar w:fldCharType="end"/>
      </w:r>
      <w:r w:rsidRPr="00AA3319">
        <w:rPr>
          <w:rFonts w:cs="Times New Roman"/>
          <w:szCs w:val="24"/>
        </w:rPr>
        <w:t xml:space="preserve">. For our study we used a retrospective, purely spatial Poisson-based scan statistic with an elliptical scan window, which we then ran for each year individually. The SatScan method searches for clusters by exploring multiple elliptical windows of varying location, size, and shapes across the study area. </w:t>
      </w:r>
    </w:p>
    <w:p w14:paraId="371086D8" w14:textId="77777777" w:rsidR="000A27BA" w:rsidRPr="00AA3319" w:rsidRDefault="000A27BA" w:rsidP="000A27BA">
      <w:pPr>
        <w:rPr>
          <w:rFonts w:cs="Times New Roman"/>
          <w:szCs w:val="24"/>
        </w:rPr>
      </w:pPr>
      <w:r w:rsidRPr="00AA3319">
        <w:rPr>
          <w:rFonts w:cs="Times New Roman"/>
          <w:szCs w:val="24"/>
        </w:rPr>
        <w:t xml:space="preserve">For each sample ellipse, SaTScan determines the number of observed versus the expected observations, where the number of expected cases is proportional to the population under risk in each area. As no recent population data is available at kebele level, we used annualized outpatient numbers from health facilities within each kebele as indicators for population at risk. </w:t>
      </w:r>
    </w:p>
    <w:p w14:paraId="1011E556" w14:textId="77777777" w:rsidR="000A27BA" w:rsidRPr="00AA3319" w:rsidRDefault="000A27BA" w:rsidP="000A27BA">
      <w:pPr>
        <w:rPr>
          <w:rFonts w:cs="Times New Roman"/>
          <w:szCs w:val="24"/>
        </w:rPr>
      </w:pPr>
      <w:r w:rsidRPr="00AA3319">
        <w:rPr>
          <w:rFonts w:cs="Times New Roman"/>
          <w:szCs w:val="24"/>
        </w:rPr>
        <w:t>The observed and expected values within each ellipse are then compared to those outside of the ellipse via a likelihood ratio. Scan clusters with significantly higher than expected prevalence, are labeled as high clusters. We refer to these statistically significant clusters of higher than expected malaria cases, as “hotspots”.</w:t>
      </w:r>
    </w:p>
    <w:p w14:paraId="1997D80E" w14:textId="3255D776" w:rsidR="000A27BA" w:rsidRPr="00AA3319" w:rsidRDefault="000A27BA" w:rsidP="000A27BA">
      <w:pPr>
        <w:rPr>
          <w:rFonts w:cs="Times New Roman"/>
          <w:szCs w:val="24"/>
        </w:rPr>
      </w:pPr>
      <w:r w:rsidRPr="00AA3319">
        <w:rPr>
          <w:rFonts w:cs="Times New Roman"/>
          <w:szCs w:val="24"/>
        </w:rPr>
        <w:t xml:space="preserve">The maximum spatial cluster size identifiable was defined as a percentage of the population used in the analysis. We used an upper limit of 50% of the population at risk, as it was recommended by the user guide, and as it is the highest percentage the software will allow </w:t>
      </w:r>
      <w:r w:rsidRPr="00AA3319">
        <w:rPr>
          <w:rFonts w:cs="Times New Roman"/>
          <w:szCs w:val="24"/>
        </w:rPr>
        <w:fldChar w:fldCharType="begin"/>
      </w:r>
      <w:r w:rsidRPr="00AA3319">
        <w:rPr>
          <w:rFonts w:cs="Times New Roman"/>
          <w:szCs w:val="24"/>
        </w:rPr>
        <w:instrText xml:space="preserve"> ADDIN ZOTERO_ITEM CSL_CITATION {"citationID":"RKvxCyNL","properties":{"formattedCitation":"(Kulldorff, 2018)","plainCitation":"(Kulldorff, 2018)","noteIndex":0},"citationItems":[{"id":508,"uris":["http://zotero.org/users/5456909/items/Y27MLSEV"],"uri":["http://zotero.org/users/5456909/items/Y27MLSEV"],"itemData":{"id":508,"type":"book","title":"SaTScan TM User Guide","author":[{"family":"Kulldorff","given":"Martin"}],"issued":{"date-parts":[["2018"]]}}}],"schema":"https://github.com/citation-style-language/schema/raw/master/csl-citation.json"} </w:instrText>
      </w:r>
      <w:r w:rsidRPr="00AA3319">
        <w:rPr>
          <w:rFonts w:cs="Times New Roman"/>
          <w:szCs w:val="24"/>
        </w:rPr>
        <w:fldChar w:fldCharType="separate"/>
      </w:r>
      <w:r w:rsidR="002B37C7" w:rsidRPr="00AA3319">
        <w:rPr>
          <w:rFonts w:cs="Times New Roman"/>
        </w:rPr>
        <w:t>(Kulldorff, 2018)</w:t>
      </w:r>
      <w:r w:rsidRPr="00AA3319">
        <w:rPr>
          <w:rFonts w:cs="Times New Roman"/>
          <w:szCs w:val="24"/>
        </w:rPr>
        <w:fldChar w:fldCharType="end"/>
      </w:r>
      <w:r w:rsidRPr="00AA3319">
        <w:rPr>
          <w:rFonts w:cs="Times New Roman"/>
          <w:szCs w:val="24"/>
        </w:rPr>
        <w:t xml:space="preserve">. The advantage of choosing a high percentage is that it allows the </w:t>
      </w:r>
      <w:r w:rsidRPr="00AA3319">
        <w:rPr>
          <w:rFonts w:cs="Times New Roman"/>
          <w:szCs w:val="24"/>
        </w:rPr>
        <w:lastRenderedPageBreak/>
        <w:t xml:space="preserve">software to look for clusters of varying size more freely and without cluster size pre-selection bias. </w:t>
      </w:r>
    </w:p>
    <w:p w14:paraId="2C4C009D" w14:textId="77777777" w:rsidR="00F833F2" w:rsidRDefault="0086102B" w:rsidP="00F833F2">
      <w:pPr>
        <w:keepNext/>
      </w:pPr>
      <w:r w:rsidRPr="00AA3319">
        <w:rPr>
          <w:rFonts w:cs="Times New Roman"/>
          <w:noProof/>
        </w:rPr>
        <w:drawing>
          <wp:inline distT="0" distB="0" distL="0" distR="0" wp14:anchorId="509C1859" wp14:editId="6F9FF5FF">
            <wp:extent cx="4719790" cy="5901267"/>
            <wp:effectExtent l="0" t="0" r="508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903" b="9708"/>
                    <a:stretch/>
                  </pic:blipFill>
                  <pic:spPr bwMode="auto">
                    <a:xfrm>
                      <a:off x="0" y="0"/>
                      <a:ext cx="4734949" cy="5920220"/>
                    </a:xfrm>
                    <a:prstGeom prst="rect">
                      <a:avLst/>
                    </a:prstGeom>
                    <a:noFill/>
                    <a:ln>
                      <a:noFill/>
                    </a:ln>
                    <a:extLst>
                      <a:ext uri="{53640926-AAD7-44D8-BBD7-CCE9431645EC}">
                        <a14:shadowObscured xmlns:a14="http://schemas.microsoft.com/office/drawing/2010/main"/>
                      </a:ext>
                    </a:extLst>
                  </pic:spPr>
                </pic:pic>
              </a:graphicData>
            </a:graphic>
          </wp:inline>
        </w:drawing>
      </w:r>
    </w:p>
    <w:p w14:paraId="7C228599" w14:textId="3D945F2E" w:rsidR="0086102B" w:rsidRPr="00AA3319" w:rsidRDefault="00F833F2" w:rsidP="00F833F2">
      <w:pPr>
        <w:pStyle w:val="Caption"/>
        <w:ind w:firstLine="0"/>
        <w:rPr>
          <w:rFonts w:cs="Times New Roman"/>
        </w:rPr>
      </w:pPr>
      <w:bookmarkStart w:id="86" w:name="_Toc78881289"/>
      <w:r>
        <w:t xml:space="preserve">Figure </w:t>
      </w:r>
      <w:r w:rsidR="00E61F20">
        <w:fldChar w:fldCharType="begin"/>
      </w:r>
      <w:r w:rsidR="00E61F20">
        <w:instrText xml:space="preserve"> STYLEREF 1 </w:instrText>
      </w:r>
      <w:r w:rsidR="00E61F20">
        <w:instrText xml:space="preserve">\s </w:instrText>
      </w:r>
      <w:r w:rsidR="00E61F20">
        <w:fldChar w:fldCharType="separate"/>
      </w:r>
      <w:r w:rsidR="00F243F7">
        <w:rPr>
          <w:noProof/>
        </w:rPr>
        <w:t>2</w:t>
      </w:r>
      <w:r w:rsidR="00E61F20">
        <w:rPr>
          <w:noProof/>
        </w:rPr>
        <w:fldChar w:fldCharType="end"/>
      </w:r>
      <w:r w:rsidR="004C1B0D">
        <w:noBreakHyphen/>
      </w:r>
      <w:r w:rsidR="00E61F20">
        <w:fldChar w:fldCharType="begin"/>
      </w:r>
      <w:r w:rsidR="00E61F20">
        <w:instrText xml:space="preserve"> SEQ Figure \* ARABIC \s 1 </w:instrText>
      </w:r>
      <w:r w:rsidR="00E61F20">
        <w:fldChar w:fldCharType="separate"/>
      </w:r>
      <w:r w:rsidR="00F243F7">
        <w:rPr>
          <w:noProof/>
        </w:rPr>
        <w:t>7</w:t>
      </w:r>
      <w:r w:rsidR="00E61F20">
        <w:rPr>
          <w:noProof/>
        </w:rPr>
        <w:fldChar w:fldCharType="end"/>
      </w:r>
      <w:r>
        <w:t xml:space="preserve">: </w:t>
      </w:r>
      <w:r w:rsidRPr="00AA3319">
        <w:rPr>
          <w:rFonts w:cs="Times New Roman"/>
        </w:rPr>
        <w:t xml:space="preserve">Major land cover classes and hillshade in Mecha and Bahir Dar Zuria. Settlement density is derived based on a classification of buildings via high-resolution PlanetScope imagery. A settlement density value above 0.1 can be considered an agglomeration of buildings. All other land cover classes are taken from Midekisa et al. </w:t>
      </w:r>
      <w:r w:rsidRPr="00AA3319">
        <w:rPr>
          <w:rFonts w:cs="Times New Roman"/>
        </w:rPr>
        <w:fldChar w:fldCharType="begin"/>
      </w:r>
      <w:r w:rsidRPr="00AA3319">
        <w:rPr>
          <w:rFonts w:cs="Times New Roman"/>
        </w:rPr>
        <w:instrText xml:space="preserve"> ADDIN ZOTERO_ITEM CSL_CITATION {"citationID":"ck1LJYPj","properties":{"formattedCitation":"(Midekisa et al., 2014)","plainCitation":"(Midekisa et al., 2014)","noteIndex":0},"citationItems":[{"id":2183,"uris":["http://zotero.org/users/5456909/items/HKEZJGAK"],"uri":["http://zotero.org/users/5456909/items/HKEZJGAK"],"itemData":{"id":2183,"type":"article-journal","container-title":"Water Resources Research","issue":"11","page":"8791-8806","title":"Multisensor earth observations to characterize wetlands and malaria epidemiology in Ethiopia","volume":"50","author":[{"family":"Midekisa","given":"Alemayehu"},{"family":"Senay","given":"Gabriel B."},{"family":"Wimberly","given":"Michael C."}],"issued":{"date-parts":[["2014",11]]}}}],"schema":"https://github.com/citation-style-language/schema/raw/master/csl-citation.json"} </w:instrText>
      </w:r>
      <w:r w:rsidRPr="00AA3319">
        <w:rPr>
          <w:rFonts w:cs="Times New Roman"/>
        </w:rPr>
        <w:fldChar w:fldCharType="separate"/>
      </w:r>
      <w:r w:rsidRPr="00AA3319">
        <w:rPr>
          <w:rFonts w:cs="Times New Roman"/>
        </w:rPr>
        <w:t>(Midekisa et al., 2014)</w:t>
      </w:r>
      <w:bookmarkEnd w:id="86"/>
      <w:r w:rsidRPr="00AA3319">
        <w:rPr>
          <w:rFonts w:cs="Times New Roman"/>
        </w:rPr>
        <w:fldChar w:fldCharType="end"/>
      </w:r>
    </w:p>
    <w:p w14:paraId="0670AAB4" w14:textId="77777777" w:rsidR="00F833F2" w:rsidRDefault="0086102B" w:rsidP="00F833F2">
      <w:pPr>
        <w:keepNext/>
      </w:pPr>
      <w:r w:rsidRPr="00AA3319">
        <w:rPr>
          <w:rFonts w:cs="Times New Roman"/>
          <w:noProof/>
        </w:rPr>
        <w:lastRenderedPageBreak/>
        <w:drawing>
          <wp:inline distT="0" distB="0" distL="0" distR="0" wp14:anchorId="47C9C879" wp14:editId="2934C308">
            <wp:extent cx="4929746" cy="6900333"/>
            <wp:effectExtent l="0" t="0" r="444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014"/>
                    <a:stretch/>
                  </pic:blipFill>
                  <pic:spPr bwMode="auto">
                    <a:xfrm>
                      <a:off x="0" y="0"/>
                      <a:ext cx="4938202" cy="6912169"/>
                    </a:xfrm>
                    <a:prstGeom prst="rect">
                      <a:avLst/>
                    </a:prstGeom>
                    <a:noFill/>
                    <a:ln>
                      <a:noFill/>
                    </a:ln>
                    <a:extLst>
                      <a:ext uri="{53640926-AAD7-44D8-BBD7-CCE9431645EC}">
                        <a14:shadowObscured xmlns:a14="http://schemas.microsoft.com/office/drawing/2010/main"/>
                      </a:ext>
                    </a:extLst>
                  </pic:spPr>
                </pic:pic>
              </a:graphicData>
            </a:graphic>
          </wp:inline>
        </w:drawing>
      </w:r>
    </w:p>
    <w:p w14:paraId="77BD78B3" w14:textId="7D87ACD0" w:rsidR="0086102B" w:rsidRPr="00AA3319" w:rsidRDefault="00F833F2" w:rsidP="00E02231">
      <w:pPr>
        <w:pStyle w:val="Caption"/>
        <w:ind w:firstLine="0"/>
        <w:rPr>
          <w:rFonts w:cs="Times New Roman"/>
        </w:rPr>
      </w:pPr>
      <w:bookmarkStart w:id="87" w:name="_Toc78881290"/>
      <w:r>
        <w:t xml:space="preserve">Figure </w:t>
      </w:r>
      <w:r w:rsidR="00E61F20">
        <w:fldChar w:fldCharType="begin"/>
      </w:r>
      <w:r w:rsidR="00E61F20">
        <w:instrText xml:space="preserve"> STYLEREF 1 \s </w:instrText>
      </w:r>
      <w:r w:rsidR="00E61F20">
        <w:fldChar w:fldCharType="separate"/>
      </w:r>
      <w:r w:rsidR="00F243F7">
        <w:rPr>
          <w:noProof/>
        </w:rPr>
        <w:t>2</w:t>
      </w:r>
      <w:r w:rsidR="00E61F20">
        <w:rPr>
          <w:noProof/>
        </w:rPr>
        <w:fldChar w:fldCharType="end"/>
      </w:r>
      <w:r w:rsidR="004C1B0D">
        <w:noBreakHyphen/>
      </w:r>
      <w:r w:rsidR="00E61F20">
        <w:fldChar w:fldCharType="begin"/>
      </w:r>
      <w:r w:rsidR="00E61F20">
        <w:instrText xml:space="preserve"> SEQ Figure \* ARABIC \s 1 </w:instrText>
      </w:r>
      <w:r w:rsidR="00E61F20">
        <w:fldChar w:fldCharType="separate"/>
      </w:r>
      <w:r w:rsidR="00F243F7">
        <w:rPr>
          <w:noProof/>
        </w:rPr>
        <w:t>8</w:t>
      </w:r>
      <w:r w:rsidR="00E61F20">
        <w:rPr>
          <w:noProof/>
        </w:rPr>
        <w:fldChar w:fldCharType="end"/>
      </w:r>
      <w:r>
        <w:t xml:space="preserve">: </w:t>
      </w:r>
      <w:r w:rsidRPr="00AA3319">
        <w:rPr>
          <w:rFonts w:cs="Times New Roman"/>
        </w:rPr>
        <w:t xml:space="preserve">Major land cover classes and hillshade in Aneded and Awabel. Settlement density is derived based on a classification of buildings via high-resolution PlanetScope imagery. A settlement density value above 0.1 can be considered an agglomeration of buildings. All other land cover classes are taken from Midekisa et al. </w:t>
      </w:r>
      <w:r w:rsidRPr="00AA3319">
        <w:rPr>
          <w:rFonts w:cs="Times New Roman"/>
        </w:rPr>
        <w:fldChar w:fldCharType="begin"/>
      </w:r>
      <w:r w:rsidRPr="00AA3319">
        <w:rPr>
          <w:rFonts w:cs="Times New Roman"/>
        </w:rPr>
        <w:instrText xml:space="preserve"> ADDIN ZOTERO_ITEM CSL_CITATION {"citationID":"dVoZX0FN","properties":{"formattedCitation":"(Midekisa et al., 2014)","plainCitation":"(Midekisa et al., 2014)","noteIndex":0},"citationItems":[{"id":2183,"uris":["http://zotero.org/users/5456909/items/HKEZJGAK"],"uri":["http://zotero.org/users/5456909/items/HKEZJGAK"],"itemData":{"id":2183,"type":"article-journal","container-title":"Water Resources Research","issue":"11","page":"8791-8806","title":"Multisensor earth observations to characterize wetlands and malaria epidemiology in Ethiopia","volume":"50","author":[{"family":"Midekisa","given":"Alemayehu"},{"family":"Senay","given":"Gabriel B."},{"family":"Wimberly","given":"Michael C."}],"issued":{"date-parts":[["2014",11]]}}}],"schema":"https://github.com/citation-style-language/schema/raw/master/csl-citation.json"} </w:instrText>
      </w:r>
      <w:r w:rsidRPr="00AA3319">
        <w:rPr>
          <w:rFonts w:cs="Times New Roman"/>
        </w:rPr>
        <w:fldChar w:fldCharType="separate"/>
      </w:r>
      <w:r w:rsidRPr="00AA3319">
        <w:rPr>
          <w:rFonts w:cs="Times New Roman"/>
        </w:rPr>
        <w:t>(Midekisa et al., 2014)</w:t>
      </w:r>
      <w:bookmarkEnd w:id="87"/>
      <w:r w:rsidRPr="00AA3319">
        <w:rPr>
          <w:rFonts w:cs="Times New Roman"/>
        </w:rPr>
        <w:fldChar w:fldCharType="end"/>
      </w:r>
    </w:p>
    <w:p w14:paraId="57301B60" w14:textId="198AB332" w:rsidR="00E02231" w:rsidRDefault="00E02231" w:rsidP="00E02231">
      <w:pPr>
        <w:pStyle w:val="Caption"/>
        <w:keepNext/>
        <w:ind w:firstLine="0"/>
      </w:pPr>
      <w:bookmarkStart w:id="88" w:name="_Toc78879970"/>
      <w:r>
        <w:lastRenderedPageBreak/>
        <w:t xml:space="preserve">Table </w:t>
      </w:r>
      <w:r w:rsidR="00E61F20">
        <w:fldChar w:fldCharType="begin"/>
      </w:r>
      <w:r w:rsidR="00E61F20">
        <w:instrText xml:space="preserve"> STYLEREF 1 \s </w:instrText>
      </w:r>
      <w:r w:rsidR="00E61F20">
        <w:fldChar w:fldCharType="separate"/>
      </w:r>
      <w:r w:rsidR="00F243F7">
        <w:rPr>
          <w:noProof/>
        </w:rPr>
        <w:t>2</w:t>
      </w:r>
      <w:r w:rsidR="00E61F20">
        <w:rPr>
          <w:noProof/>
        </w:rPr>
        <w:fldChar w:fldCharType="end"/>
      </w:r>
      <w:r w:rsidR="00BC1366">
        <w:noBreakHyphen/>
      </w:r>
      <w:r w:rsidR="00E61F20">
        <w:fldChar w:fldCharType="begin"/>
      </w:r>
      <w:r w:rsidR="00E61F20">
        <w:instrText xml:space="preserve"> SEQ Table \* ARABIC \s 1 </w:instrText>
      </w:r>
      <w:r w:rsidR="00E61F20">
        <w:fldChar w:fldCharType="separate"/>
      </w:r>
      <w:r w:rsidR="00F243F7">
        <w:rPr>
          <w:noProof/>
        </w:rPr>
        <w:t>3</w:t>
      </w:r>
      <w:r w:rsidR="00E61F20">
        <w:rPr>
          <w:noProof/>
        </w:rPr>
        <w:fldChar w:fldCharType="end"/>
      </w:r>
      <w:r>
        <w:t>:</w:t>
      </w:r>
      <w:r w:rsidRPr="00E02231">
        <w:t xml:space="preserve"> Mecha and Bahir Dar Zuryia variable importance measures. Shown are all variables used to train a Boosted Regression Tree Model, and their variable importance measure (%). Variables are ranked in descending order, according to their contribution in fitting the model.</w:t>
      </w:r>
      <w:bookmarkEnd w:id="88"/>
    </w:p>
    <w:tbl>
      <w:tblPr>
        <w:tblStyle w:val="TableGrid2"/>
        <w:tblW w:w="0" w:type="auto"/>
        <w:tblLook w:val="04A0" w:firstRow="1" w:lastRow="0" w:firstColumn="1" w:lastColumn="0" w:noHBand="0" w:noVBand="1"/>
      </w:tblPr>
      <w:tblGrid>
        <w:gridCol w:w="1435"/>
        <w:gridCol w:w="1535"/>
        <w:gridCol w:w="1350"/>
        <w:gridCol w:w="1530"/>
        <w:gridCol w:w="1260"/>
        <w:gridCol w:w="1530"/>
      </w:tblGrid>
      <w:tr w:rsidR="00F10834" w:rsidRPr="00AA3319" w14:paraId="541AB5C0" w14:textId="77777777" w:rsidTr="006E2151">
        <w:trPr>
          <w:trHeight w:val="288"/>
        </w:trPr>
        <w:tc>
          <w:tcPr>
            <w:tcW w:w="2970" w:type="dxa"/>
            <w:gridSpan w:val="2"/>
            <w:tcBorders>
              <w:top w:val="nil"/>
              <w:left w:val="nil"/>
              <w:bottom w:val="single" w:sz="4" w:space="0" w:color="auto"/>
              <w:right w:val="single" w:sz="4" w:space="0" w:color="auto"/>
            </w:tcBorders>
            <w:noWrap/>
            <w:hideMark/>
          </w:tcPr>
          <w:p w14:paraId="7B074551" w14:textId="77777777" w:rsidR="00F10834" w:rsidRPr="00AA3319" w:rsidRDefault="00F10834" w:rsidP="00F10834">
            <w:pPr>
              <w:spacing w:line="240" w:lineRule="auto"/>
              <w:jc w:val="center"/>
              <w:rPr>
                <w:rFonts w:eastAsia="Calibri" w:cs="Times New Roman"/>
                <w:sz w:val="22"/>
              </w:rPr>
            </w:pPr>
            <w:r w:rsidRPr="00AA3319">
              <w:rPr>
                <w:rFonts w:eastAsia="Calibri" w:cs="Times New Roman"/>
                <w:sz w:val="22"/>
              </w:rPr>
              <w:t>Total Malaria</w:t>
            </w:r>
          </w:p>
        </w:tc>
        <w:tc>
          <w:tcPr>
            <w:tcW w:w="2880" w:type="dxa"/>
            <w:gridSpan w:val="2"/>
            <w:tcBorders>
              <w:top w:val="nil"/>
              <w:left w:val="single" w:sz="4" w:space="0" w:color="auto"/>
              <w:bottom w:val="single" w:sz="4" w:space="0" w:color="auto"/>
              <w:right w:val="single" w:sz="4" w:space="0" w:color="auto"/>
            </w:tcBorders>
            <w:noWrap/>
            <w:hideMark/>
          </w:tcPr>
          <w:p w14:paraId="60FB3646" w14:textId="77777777" w:rsidR="00F10834" w:rsidRPr="00AA3319" w:rsidRDefault="00F10834" w:rsidP="00F10834">
            <w:pPr>
              <w:spacing w:line="240" w:lineRule="auto"/>
              <w:jc w:val="center"/>
              <w:rPr>
                <w:rFonts w:eastAsia="Calibri" w:cs="Times New Roman"/>
                <w:sz w:val="22"/>
              </w:rPr>
            </w:pPr>
            <w:r w:rsidRPr="00AA3319">
              <w:rPr>
                <w:rFonts w:eastAsia="Calibri" w:cs="Times New Roman"/>
                <w:sz w:val="22"/>
              </w:rPr>
              <w:t>P. falciparum</w:t>
            </w:r>
          </w:p>
        </w:tc>
        <w:tc>
          <w:tcPr>
            <w:tcW w:w="2790" w:type="dxa"/>
            <w:gridSpan w:val="2"/>
            <w:tcBorders>
              <w:top w:val="nil"/>
              <w:left w:val="single" w:sz="4" w:space="0" w:color="auto"/>
              <w:bottom w:val="single" w:sz="4" w:space="0" w:color="auto"/>
              <w:right w:val="nil"/>
            </w:tcBorders>
            <w:noWrap/>
            <w:hideMark/>
          </w:tcPr>
          <w:p w14:paraId="205E1364" w14:textId="77777777" w:rsidR="00F10834" w:rsidRPr="00AA3319" w:rsidRDefault="00F10834" w:rsidP="00F10834">
            <w:pPr>
              <w:spacing w:line="240" w:lineRule="auto"/>
              <w:jc w:val="center"/>
              <w:rPr>
                <w:rFonts w:eastAsia="Calibri" w:cs="Times New Roman"/>
                <w:sz w:val="22"/>
              </w:rPr>
            </w:pPr>
            <w:r w:rsidRPr="00AA3319">
              <w:rPr>
                <w:rFonts w:eastAsia="Calibri" w:cs="Times New Roman"/>
                <w:sz w:val="22"/>
              </w:rPr>
              <w:t>P. vivax</w:t>
            </w:r>
          </w:p>
        </w:tc>
      </w:tr>
      <w:tr w:rsidR="00F10834" w:rsidRPr="00AA3319" w14:paraId="753E67BF" w14:textId="77777777" w:rsidTr="006E2151">
        <w:trPr>
          <w:trHeight w:val="593"/>
        </w:trPr>
        <w:tc>
          <w:tcPr>
            <w:tcW w:w="1435" w:type="dxa"/>
            <w:tcBorders>
              <w:top w:val="single" w:sz="4" w:space="0" w:color="auto"/>
              <w:left w:val="nil"/>
              <w:bottom w:val="single" w:sz="4" w:space="0" w:color="auto"/>
              <w:right w:val="nil"/>
            </w:tcBorders>
            <w:hideMark/>
          </w:tcPr>
          <w:p w14:paraId="1FBB5919"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Variable</w:t>
            </w:r>
          </w:p>
        </w:tc>
        <w:tc>
          <w:tcPr>
            <w:tcW w:w="1535" w:type="dxa"/>
            <w:tcBorders>
              <w:top w:val="single" w:sz="4" w:space="0" w:color="auto"/>
              <w:left w:val="nil"/>
              <w:bottom w:val="single" w:sz="4" w:space="0" w:color="auto"/>
              <w:right w:val="single" w:sz="4" w:space="0" w:color="auto"/>
            </w:tcBorders>
            <w:hideMark/>
          </w:tcPr>
          <w:p w14:paraId="7155DF75"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Variable importance %</w:t>
            </w:r>
          </w:p>
        </w:tc>
        <w:tc>
          <w:tcPr>
            <w:tcW w:w="1350" w:type="dxa"/>
            <w:tcBorders>
              <w:top w:val="single" w:sz="4" w:space="0" w:color="auto"/>
              <w:left w:val="single" w:sz="4" w:space="0" w:color="auto"/>
              <w:bottom w:val="single" w:sz="4" w:space="0" w:color="auto"/>
              <w:right w:val="nil"/>
            </w:tcBorders>
            <w:hideMark/>
          </w:tcPr>
          <w:p w14:paraId="066A815F"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Variable</w:t>
            </w:r>
          </w:p>
        </w:tc>
        <w:tc>
          <w:tcPr>
            <w:tcW w:w="1530" w:type="dxa"/>
            <w:tcBorders>
              <w:top w:val="single" w:sz="4" w:space="0" w:color="auto"/>
              <w:left w:val="nil"/>
              <w:bottom w:val="single" w:sz="4" w:space="0" w:color="auto"/>
              <w:right w:val="single" w:sz="4" w:space="0" w:color="auto"/>
            </w:tcBorders>
            <w:hideMark/>
          </w:tcPr>
          <w:p w14:paraId="3EF1C259"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Variable importance %</w:t>
            </w:r>
          </w:p>
        </w:tc>
        <w:tc>
          <w:tcPr>
            <w:tcW w:w="1260" w:type="dxa"/>
            <w:tcBorders>
              <w:top w:val="single" w:sz="4" w:space="0" w:color="auto"/>
              <w:left w:val="single" w:sz="4" w:space="0" w:color="auto"/>
              <w:bottom w:val="single" w:sz="4" w:space="0" w:color="auto"/>
              <w:right w:val="nil"/>
            </w:tcBorders>
            <w:hideMark/>
          </w:tcPr>
          <w:p w14:paraId="5BB9A9F2"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Variable</w:t>
            </w:r>
          </w:p>
        </w:tc>
        <w:tc>
          <w:tcPr>
            <w:tcW w:w="1530" w:type="dxa"/>
            <w:tcBorders>
              <w:top w:val="single" w:sz="4" w:space="0" w:color="auto"/>
              <w:left w:val="nil"/>
              <w:bottom w:val="single" w:sz="4" w:space="0" w:color="auto"/>
              <w:right w:val="nil"/>
            </w:tcBorders>
            <w:hideMark/>
          </w:tcPr>
          <w:p w14:paraId="7CB98C0A"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Variable importance %</w:t>
            </w:r>
          </w:p>
        </w:tc>
      </w:tr>
      <w:tr w:rsidR="00F10834" w:rsidRPr="00AA3319" w14:paraId="27E1750C" w14:textId="77777777" w:rsidTr="006E2151">
        <w:trPr>
          <w:trHeight w:val="288"/>
        </w:trPr>
        <w:tc>
          <w:tcPr>
            <w:tcW w:w="1435" w:type="dxa"/>
            <w:tcBorders>
              <w:top w:val="single" w:sz="4" w:space="0" w:color="auto"/>
              <w:left w:val="nil"/>
              <w:bottom w:val="nil"/>
              <w:right w:val="nil"/>
            </w:tcBorders>
            <w:noWrap/>
            <w:hideMark/>
          </w:tcPr>
          <w:p w14:paraId="761EFE00"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NDVI trans</w:t>
            </w:r>
          </w:p>
        </w:tc>
        <w:tc>
          <w:tcPr>
            <w:tcW w:w="1535" w:type="dxa"/>
            <w:tcBorders>
              <w:top w:val="single" w:sz="4" w:space="0" w:color="auto"/>
              <w:left w:val="nil"/>
              <w:bottom w:val="nil"/>
              <w:right w:val="single" w:sz="4" w:space="0" w:color="auto"/>
            </w:tcBorders>
            <w:noWrap/>
            <w:hideMark/>
          </w:tcPr>
          <w:p w14:paraId="1E032A55"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11.07</w:t>
            </w:r>
          </w:p>
        </w:tc>
        <w:tc>
          <w:tcPr>
            <w:tcW w:w="1350" w:type="dxa"/>
            <w:tcBorders>
              <w:top w:val="single" w:sz="4" w:space="0" w:color="auto"/>
              <w:left w:val="single" w:sz="4" w:space="0" w:color="auto"/>
              <w:bottom w:val="nil"/>
              <w:right w:val="nil"/>
            </w:tcBorders>
            <w:noWrap/>
            <w:hideMark/>
          </w:tcPr>
          <w:p w14:paraId="7A7BBABE"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NDVI trans</w:t>
            </w:r>
          </w:p>
        </w:tc>
        <w:tc>
          <w:tcPr>
            <w:tcW w:w="1530" w:type="dxa"/>
            <w:tcBorders>
              <w:top w:val="single" w:sz="4" w:space="0" w:color="auto"/>
              <w:left w:val="nil"/>
              <w:bottom w:val="nil"/>
              <w:right w:val="single" w:sz="4" w:space="0" w:color="auto"/>
            </w:tcBorders>
            <w:noWrap/>
            <w:hideMark/>
          </w:tcPr>
          <w:p w14:paraId="77B8103E"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10.73</w:t>
            </w:r>
          </w:p>
        </w:tc>
        <w:tc>
          <w:tcPr>
            <w:tcW w:w="1260" w:type="dxa"/>
            <w:tcBorders>
              <w:top w:val="single" w:sz="4" w:space="0" w:color="auto"/>
              <w:left w:val="single" w:sz="4" w:space="0" w:color="auto"/>
              <w:bottom w:val="nil"/>
              <w:right w:val="nil"/>
            </w:tcBorders>
            <w:noWrap/>
            <w:hideMark/>
          </w:tcPr>
          <w:p w14:paraId="6B54193A"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NDVI trans</w:t>
            </w:r>
          </w:p>
        </w:tc>
        <w:tc>
          <w:tcPr>
            <w:tcW w:w="1530" w:type="dxa"/>
            <w:tcBorders>
              <w:top w:val="single" w:sz="4" w:space="0" w:color="auto"/>
              <w:left w:val="nil"/>
              <w:bottom w:val="nil"/>
              <w:right w:val="nil"/>
            </w:tcBorders>
            <w:noWrap/>
            <w:hideMark/>
          </w:tcPr>
          <w:p w14:paraId="1458A5E8"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17.91</w:t>
            </w:r>
          </w:p>
        </w:tc>
      </w:tr>
      <w:tr w:rsidR="00F10834" w:rsidRPr="00AA3319" w14:paraId="37CC6AB6" w14:textId="77777777" w:rsidTr="006E2151">
        <w:trPr>
          <w:trHeight w:val="288"/>
        </w:trPr>
        <w:tc>
          <w:tcPr>
            <w:tcW w:w="1435" w:type="dxa"/>
            <w:tcBorders>
              <w:top w:val="nil"/>
              <w:left w:val="nil"/>
              <w:bottom w:val="nil"/>
              <w:right w:val="nil"/>
            </w:tcBorders>
            <w:noWrap/>
            <w:hideMark/>
          </w:tcPr>
          <w:p w14:paraId="0F5416F1"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SETMX</w:t>
            </w:r>
          </w:p>
        </w:tc>
        <w:tc>
          <w:tcPr>
            <w:tcW w:w="1535" w:type="dxa"/>
            <w:tcBorders>
              <w:top w:val="nil"/>
              <w:left w:val="nil"/>
              <w:bottom w:val="nil"/>
              <w:right w:val="single" w:sz="4" w:space="0" w:color="auto"/>
            </w:tcBorders>
            <w:noWrap/>
            <w:hideMark/>
          </w:tcPr>
          <w:p w14:paraId="2800DD44"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10.64</w:t>
            </w:r>
          </w:p>
        </w:tc>
        <w:tc>
          <w:tcPr>
            <w:tcW w:w="1350" w:type="dxa"/>
            <w:tcBorders>
              <w:top w:val="nil"/>
              <w:left w:val="single" w:sz="4" w:space="0" w:color="auto"/>
              <w:bottom w:val="nil"/>
              <w:right w:val="nil"/>
            </w:tcBorders>
            <w:noWrap/>
            <w:hideMark/>
          </w:tcPr>
          <w:p w14:paraId="443538A5"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PREC rainy</w:t>
            </w:r>
          </w:p>
        </w:tc>
        <w:tc>
          <w:tcPr>
            <w:tcW w:w="1530" w:type="dxa"/>
            <w:tcBorders>
              <w:top w:val="nil"/>
              <w:left w:val="nil"/>
              <w:bottom w:val="nil"/>
              <w:right w:val="single" w:sz="4" w:space="0" w:color="auto"/>
            </w:tcBorders>
            <w:noWrap/>
            <w:hideMark/>
          </w:tcPr>
          <w:p w14:paraId="48CADB99"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9.63</w:t>
            </w:r>
          </w:p>
        </w:tc>
        <w:tc>
          <w:tcPr>
            <w:tcW w:w="1260" w:type="dxa"/>
            <w:tcBorders>
              <w:top w:val="nil"/>
              <w:left w:val="single" w:sz="4" w:space="0" w:color="auto"/>
              <w:bottom w:val="nil"/>
              <w:right w:val="nil"/>
            </w:tcBorders>
            <w:noWrap/>
            <w:hideMark/>
          </w:tcPr>
          <w:p w14:paraId="29574544"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SETMX</w:t>
            </w:r>
          </w:p>
        </w:tc>
        <w:tc>
          <w:tcPr>
            <w:tcW w:w="1530" w:type="dxa"/>
            <w:tcBorders>
              <w:top w:val="nil"/>
              <w:left w:val="nil"/>
              <w:bottom w:val="nil"/>
              <w:right w:val="nil"/>
            </w:tcBorders>
            <w:noWrap/>
            <w:hideMark/>
          </w:tcPr>
          <w:p w14:paraId="1408FC86"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13.25</w:t>
            </w:r>
          </w:p>
        </w:tc>
      </w:tr>
      <w:tr w:rsidR="00F10834" w:rsidRPr="00AA3319" w14:paraId="3919BE8B" w14:textId="77777777" w:rsidTr="006E2151">
        <w:trPr>
          <w:trHeight w:val="288"/>
        </w:trPr>
        <w:tc>
          <w:tcPr>
            <w:tcW w:w="1435" w:type="dxa"/>
            <w:tcBorders>
              <w:top w:val="nil"/>
              <w:left w:val="nil"/>
              <w:bottom w:val="nil"/>
              <w:right w:val="nil"/>
            </w:tcBorders>
            <w:noWrap/>
            <w:hideMark/>
          </w:tcPr>
          <w:p w14:paraId="38268D47"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PREC rainy</w:t>
            </w:r>
          </w:p>
        </w:tc>
        <w:tc>
          <w:tcPr>
            <w:tcW w:w="1535" w:type="dxa"/>
            <w:tcBorders>
              <w:top w:val="nil"/>
              <w:left w:val="nil"/>
              <w:bottom w:val="nil"/>
              <w:right w:val="single" w:sz="4" w:space="0" w:color="auto"/>
            </w:tcBorders>
            <w:noWrap/>
            <w:hideMark/>
          </w:tcPr>
          <w:p w14:paraId="3A06A95F"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9.30</w:t>
            </w:r>
          </w:p>
        </w:tc>
        <w:tc>
          <w:tcPr>
            <w:tcW w:w="1350" w:type="dxa"/>
            <w:tcBorders>
              <w:top w:val="nil"/>
              <w:left w:val="single" w:sz="4" w:space="0" w:color="auto"/>
              <w:bottom w:val="nil"/>
              <w:right w:val="nil"/>
            </w:tcBorders>
            <w:noWrap/>
            <w:hideMark/>
          </w:tcPr>
          <w:p w14:paraId="2C9C6D6A"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NDMI trans</w:t>
            </w:r>
          </w:p>
        </w:tc>
        <w:tc>
          <w:tcPr>
            <w:tcW w:w="1530" w:type="dxa"/>
            <w:tcBorders>
              <w:top w:val="nil"/>
              <w:left w:val="nil"/>
              <w:bottom w:val="nil"/>
              <w:right w:val="single" w:sz="4" w:space="0" w:color="auto"/>
            </w:tcBorders>
            <w:noWrap/>
            <w:hideMark/>
          </w:tcPr>
          <w:p w14:paraId="081E556D"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8.66</w:t>
            </w:r>
          </w:p>
        </w:tc>
        <w:tc>
          <w:tcPr>
            <w:tcW w:w="1260" w:type="dxa"/>
            <w:tcBorders>
              <w:top w:val="nil"/>
              <w:left w:val="single" w:sz="4" w:space="0" w:color="auto"/>
              <w:bottom w:val="nil"/>
              <w:right w:val="nil"/>
            </w:tcBorders>
            <w:noWrap/>
            <w:hideMark/>
          </w:tcPr>
          <w:p w14:paraId="0EBFE8E1"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Year</w:t>
            </w:r>
          </w:p>
        </w:tc>
        <w:tc>
          <w:tcPr>
            <w:tcW w:w="1530" w:type="dxa"/>
            <w:tcBorders>
              <w:top w:val="nil"/>
              <w:left w:val="nil"/>
              <w:bottom w:val="nil"/>
              <w:right w:val="nil"/>
            </w:tcBorders>
            <w:noWrap/>
            <w:hideMark/>
          </w:tcPr>
          <w:p w14:paraId="7355AEA4"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8.62</w:t>
            </w:r>
          </w:p>
        </w:tc>
      </w:tr>
      <w:tr w:rsidR="00F10834" w:rsidRPr="00AA3319" w14:paraId="6A37E080" w14:textId="77777777" w:rsidTr="006E2151">
        <w:trPr>
          <w:trHeight w:val="288"/>
        </w:trPr>
        <w:tc>
          <w:tcPr>
            <w:tcW w:w="1435" w:type="dxa"/>
            <w:tcBorders>
              <w:top w:val="nil"/>
              <w:left w:val="nil"/>
              <w:bottom w:val="nil"/>
              <w:right w:val="nil"/>
            </w:tcBorders>
            <w:noWrap/>
            <w:hideMark/>
          </w:tcPr>
          <w:p w14:paraId="2BAFA2CE"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Year</w:t>
            </w:r>
          </w:p>
        </w:tc>
        <w:tc>
          <w:tcPr>
            <w:tcW w:w="1535" w:type="dxa"/>
            <w:tcBorders>
              <w:top w:val="nil"/>
              <w:left w:val="nil"/>
              <w:bottom w:val="nil"/>
              <w:right w:val="single" w:sz="4" w:space="0" w:color="auto"/>
            </w:tcBorders>
            <w:noWrap/>
            <w:hideMark/>
          </w:tcPr>
          <w:p w14:paraId="0C05772E"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8.97</w:t>
            </w:r>
          </w:p>
        </w:tc>
        <w:tc>
          <w:tcPr>
            <w:tcW w:w="1350" w:type="dxa"/>
            <w:tcBorders>
              <w:top w:val="nil"/>
              <w:left w:val="single" w:sz="4" w:space="0" w:color="auto"/>
              <w:bottom w:val="nil"/>
              <w:right w:val="nil"/>
            </w:tcBorders>
            <w:noWrap/>
            <w:hideMark/>
          </w:tcPr>
          <w:p w14:paraId="48B9D7FB"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Year</w:t>
            </w:r>
          </w:p>
        </w:tc>
        <w:tc>
          <w:tcPr>
            <w:tcW w:w="1530" w:type="dxa"/>
            <w:tcBorders>
              <w:top w:val="nil"/>
              <w:left w:val="nil"/>
              <w:bottom w:val="nil"/>
              <w:right w:val="single" w:sz="4" w:space="0" w:color="auto"/>
            </w:tcBorders>
            <w:noWrap/>
            <w:hideMark/>
          </w:tcPr>
          <w:p w14:paraId="1C9FA1D6"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7.35</w:t>
            </w:r>
          </w:p>
        </w:tc>
        <w:tc>
          <w:tcPr>
            <w:tcW w:w="1260" w:type="dxa"/>
            <w:tcBorders>
              <w:top w:val="nil"/>
              <w:left w:val="single" w:sz="4" w:space="0" w:color="auto"/>
              <w:bottom w:val="nil"/>
              <w:right w:val="nil"/>
            </w:tcBorders>
            <w:noWrap/>
            <w:hideMark/>
          </w:tcPr>
          <w:p w14:paraId="33104691"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NDMI trans</w:t>
            </w:r>
          </w:p>
        </w:tc>
        <w:tc>
          <w:tcPr>
            <w:tcW w:w="1530" w:type="dxa"/>
            <w:tcBorders>
              <w:top w:val="nil"/>
              <w:left w:val="nil"/>
              <w:bottom w:val="nil"/>
              <w:right w:val="nil"/>
            </w:tcBorders>
            <w:noWrap/>
            <w:hideMark/>
          </w:tcPr>
          <w:p w14:paraId="126FE885"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6.92</w:t>
            </w:r>
          </w:p>
        </w:tc>
      </w:tr>
      <w:tr w:rsidR="00F10834" w:rsidRPr="00AA3319" w14:paraId="6881652A" w14:textId="77777777" w:rsidTr="006E2151">
        <w:trPr>
          <w:trHeight w:val="288"/>
        </w:trPr>
        <w:tc>
          <w:tcPr>
            <w:tcW w:w="1435" w:type="dxa"/>
            <w:tcBorders>
              <w:top w:val="nil"/>
              <w:left w:val="nil"/>
              <w:bottom w:val="nil"/>
              <w:right w:val="nil"/>
            </w:tcBorders>
            <w:noWrap/>
            <w:hideMark/>
          </w:tcPr>
          <w:p w14:paraId="7CAC7273"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NDMI trans</w:t>
            </w:r>
          </w:p>
        </w:tc>
        <w:tc>
          <w:tcPr>
            <w:tcW w:w="1535" w:type="dxa"/>
            <w:tcBorders>
              <w:top w:val="nil"/>
              <w:left w:val="nil"/>
              <w:bottom w:val="nil"/>
              <w:right w:val="single" w:sz="4" w:space="0" w:color="auto"/>
            </w:tcBorders>
            <w:noWrap/>
            <w:hideMark/>
          </w:tcPr>
          <w:p w14:paraId="7EAFB1D1"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8.55</w:t>
            </w:r>
          </w:p>
        </w:tc>
        <w:tc>
          <w:tcPr>
            <w:tcW w:w="1350" w:type="dxa"/>
            <w:tcBorders>
              <w:top w:val="nil"/>
              <w:left w:val="single" w:sz="4" w:space="0" w:color="auto"/>
              <w:bottom w:val="nil"/>
              <w:right w:val="nil"/>
            </w:tcBorders>
            <w:noWrap/>
            <w:hideMark/>
          </w:tcPr>
          <w:p w14:paraId="35458B7F"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PREC trans</w:t>
            </w:r>
          </w:p>
        </w:tc>
        <w:tc>
          <w:tcPr>
            <w:tcW w:w="1530" w:type="dxa"/>
            <w:tcBorders>
              <w:top w:val="nil"/>
              <w:left w:val="nil"/>
              <w:bottom w:val="nil"/>
              <w:right w:val="single" w:sz="4" w:space="0" w:color="auto"/>
            </w:tcBorders>
            <w:noWrap/>
            <w:hideMark/>
          </w:tcPr>
          <w:p w14:paraId="4805689E"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7.26</w:t>
            </w:r>
          </w:p>
        </w:tc>
        <w:tc>
          <w:tcPr>
            <w:tcW w:w="1260" w:type="dxa"/>
            <w:tcBorders>
              <w:top w:val="nil"/>
              <w:left w:val="single" w:sz="4" w:space="0" w:color="auto"/>
              <w:bottom w:val="nil"/>
              <w:right w:val="nil"/>
            </w:tcBorders>
            <w:noWrap/>
            <w:hideMark/>
          </w:tcPr>
          <w:p w14:paraId="128B5B4E"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PREC trans</w:t>
            </w:r>
          </w:p>
        </w:tc>
        <w:tc>
          <w:tcPr>
            <w:tcW w:w="1530" w:type="dxa"/>
            <w:tcBorders>
              <w:top w:val="nil"/>
              <w:left w:val="nil"/>
              <w:bottom w:val="nil"/>
              <w:right w:val="nil"/>
            </w:tcBorders>
            <w:noWrap/>
            <w:hideMark/>
          </w:tcPr>
          <w:p w14:paraId="073A7404"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5.07</w:t>
            </w:r>
          </w:p>
        </w:tc>
      </w:tr>
      <w:tr w:rsidR="00F10834" w:rsidRPr="00AA3319" w14:paraId="6ACAD600" w14:textId="77777777" w:rsidTr="006E2151">
        <w:trPr>
          <w:trHeight w:val="288"/>
        </w:trPr>
        <w:tc>
          <w:tcPr>
            <w:tcW w:w="1435" w:type="dxa"/>
            <w:tcBorders>
              <w:top w:val="nil"/>
              <w:left w:val="nil"/>
              <w:bottom w:val="nil"/>
              <w:right w:val="nil"/>
            </w:tcBorders>
            <w:noWrap/>
            <w:hideMark/>
          </w:tcPr>
          <w:p w14:paraId="4712E070"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PREC trans</w:t>
            </w:r>
          </w:p>
        </w:tc>
        <w:tc>
          <w:tcPr>
            <w:tcW w:w="1535" w:type="dxa"/>
            <w:tcBorders>
              <w:top w:val="nil"/>
              <w:left w:val="nil"/>
              <w:bottom w:val="nil"/>
              <w:right w:val="single" w:sz="4" w:space="0" w:color="auto"/>
            </w:tcBorders>
            <w:noWrap/>
            <w:hideMark/>
          </w:tcPr>
          <w:p w14:paraId="3A38FCE8"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8.34</w:t>
            </w:r>
          </w:p>
        </w:tc>
        <w:tc>
          <w:tcPr>
            <w:tcW w:w="1350" w:type="dxa"/>
            <w:tcBorders>
              <w:top w:val="nil"/>
              <w:left w:val="single" w:sz="4" w:space="0" w:color="auto"/>
              <w:bottom w:val="nil"/>
              <w:right w:val="nil"/>
            </w:tcBorders>
            <w:noWrap/>
            <w:hideMark/>
          </w:tcPr>
          <w:p w14:paraId="374B306A"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SETMX</w:t>
            </w:r>
          </w:p>
        </w:tc>
        <w:tc>
          <w:tcPr>
            <w:tcW w:w="1530" w:type="dxa"/>
            <w:tcBorders>
              <w:top w:val="nil"/>
              <w:left w:val="nil"/>
              <w:bottom w:val="nil"/>
              <w:right w:val="single" w:sz="4" w:space="0" w:color="auto"/>
            </w:tcBorders>
            <w:noWrap/>
            <w:hideMark/>
          </w:tcPr>
          <w:p w14:paraId="5A8D2E12"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7.06</w:t>
            </w:r>
          </w:p>
        </w:tc>
        <w:tc>
          <w:tcPr>
            <w:tcW w:w="1260" w:type="dxa"/>
            <w:tcBorders>
              <w:top w:val="nil"/>
              <w:left w:val="single" w:sz="4" w:space="0" w:color="auto"/>
              <w:bottom w:val="nil"/>
              <w:right w:val="nil"/>
            </w:tcBorders>
            <w:noWrap/>
            <w:hideMark/>
          </w:tcPr>
          <w:p w14:paraId="752D4107"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NDVI dry</w:t>
            </w:r>
          </w:p>
        </w:tc>
        <w:tc>
          <w:tcPr>
            <w:tcW w:w="1530" w:type="dxa"/>
            <w:tcBorders>
              <w:top w:val="nil"/>
              <w:left w:val="nil"/>
              <w:bottom w:val="nil"/>
              <w:right w:val="nil"/>
            </w:tcBorders>
            <w:noWrap/>
            <w:hideMark/>
          </w:tcPr>
          <w:p w14:paraId="6424973C"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4.90</w:t>
            </w:r>
          </w:p>
        </w:tc>
      </w:tr>
      <w:tr w:rsidR="00F10834" w:rsidRPr="00AA3319" w14:paraId="0068A98C" w14:textId="77777777" w:rsidTr="006E2151">
        <w:trPr>
          <w:trHeight w:val="288"/>
        </w:trPr>
        <w:tc>
          <w:tcPr>
            <w:tcW w:w="1435" w:type="dxa"/>
            <w:tcBorders>
              <w:top w:val="nil"/>
              <w:left w:val="nil"/>
              <w:bottom w:val="nil"/>
              <w:right w:val="nil"/>
            </w:tcBorders>
            <w:noWrap/>
            <w:hideMark/>
          </w:tcPr>
          <w:p w14:paraId="0280ABD9"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SPVEG</w:t>
            </w:r>
          </w:p>
        </w:tc>
        <w:tc>
          <w:tcPr>
            <w:tcW w:w="1535" w:type="dxa"/>
            <w:tcBorders>
              <w:top w:val="nil"/>
              <w:left w:val="nil"/>
              <w:bottom w:val="nil"/>
              <w:right w:val="single" w:sz="4" w:space="0" w:color="auto"/>
            </w:tcBorders>
            <w:noWrap/>
            <w:hideMark/>
          </w:tcPr>
          <w:p w14:paraId="1D4D6266"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5.09</w:t>
            </w:r>
          </w:p>
        </w:tc>
        <w:tc>
          <w:tcPr>
            <w:tcW w:w="1350" w:type="dxa"/>
            <w:tcBorders>
              <w:top w:val="nil"/>
              <w:left w:val="single" w:sz="4" w:space="0" w:color="auto"/>
              <w:bottom w:val="nil"/>
              <w:right w:val="nil"/>
            </w:tcBorders>
            <w:noWrap/>
            <w:hideMark/>
          </w:tcPr>
          <w:p w14:paraId="3CC4B03C"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LST trans</w:t>
            </w:r>
          </w:p>
        </w:tc>
        <w:tc>
          <w:tcPr>
            <w:tcW w:w="1530" w:type="dxa"/>
            <w:tcBorders>
              <w:top w:val="nil"/>
              <w:left w:val="nil"/>
              <w:bottom w:val="nil"/>
              <w:right w:val="single" w:sz="4" w:space="0" w:color="auto"/>
            </w:tcBorders>
            <w:noWrap/>
            <w:hideMark/>
          </w:tcPr>
          <w:p w14:paraId="60A9BBB8"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5.80</w:t>
            </w:r>
          </w:p>
        </w:tc>
        <w:tc>
          <w:tcPr>
            <w:tcW w:w="1260" w:type="dxa"/>
            <w:tcBorders>
              <w:top w:val="nil"/>
              <w:left w:val="single" w:sz="4" w:space="0" w:color="auto"/>
              <w:bottom w:val="nil"/>
              <w:right w:val="nil"/>
            </w:tcBorders>
            <w:noWrap/>
            <w:hideMark/>
          </w:tcPr>
          <w:p w14:paraId="6A937E72"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SETME</w:t>
            </w:r>
          </w:p>
        </w:tc>
        <w:tc>
          <w:tcPr>
            <w:tcW w:w="1530" w:type="dxa"/>
            <w:tcBorders>
              <w:top w:val="nil"/>
              <w:left w:val="nil"/>
              <w:bottom w:val="nil"/>
              <w:right w:val="nil"/>
            </w:tcBorders>
            <w:noWrap/>
            <w:hideMark/>
          </w:tcPr>
          <w:p w14:paraId="3766DE3D"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4.87</w:t>
            </w:r>
          </w:p>
        </w:tc>
      </w:tr>
      <w:tr w:rsidR="00F10834" w:rsidRPr="00AA3319" w14:paraId="584B2490" w14:textId="77777777" w:rsidTr="006E2151">
        <w:trPr>
          <w:trHeight w:val="288"/>
        </w:trPr>
        <w:tc>
          <w:tcPr>
            <w:tcW w:w="1435" w:type="dxa"/>
            <w:tcBorders>
              <w:top w:val="nil"/>
              <w:left w:val="nil"/>
              <w:bottom w:val="nil"/>
              <w:right w:val="nil"/>
            </w:tcBorders>
            <w:noWrap/>
            <w:hideMark/>
          </w:tcPr>
          <w:p w14:paraId="4A3D1C1A"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WETL</w:t>
            </w:r>
          </w:p>
        </w:tc>
        <w:tc>
          <w:tcPr>
            <w:tcW w:w="1535" w:type="dxa"/>
            <w:tcBorders>
              <w:top w:val="nil"/>
              <w:left w:val="nil"/>
              <w:bottom w:val="nil"/>
              <w:right w:val="single" w:sz="4" w:space="0" w:color="auto"/>
            </w:tcBorders>
            <w:noWrap/>
            <w:hideMark/>
          </w:tcPr>
          <w:p w14:paraId="256BECC9"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4.91</w:t>
            </w:r>
          </w:p>
        </w:tc>
        <w:tc>
          <w:tcPr>
            <w:tcW w:w="1350" w:type="dxa"/>
            <w:tcBorders>
              <w:top w:val="nil"/>
              <w:left w:val="single" w:sz="4" w:space="0" w:color="auto"/>
              <w:bottom w:val="nil"/>
              <w:right w:val="nil"/>
            </w:tcBorders>
            <w:noWrap/>
            <w:hideMark/>
          </w:tcPr>
          <w:p w14:paraId="3867ACFE"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WETL</w:t>
            </w:r>
          </w:p>
        </w:tc>
        <w:tc>
          <w:tcPr>
            <w:tcW w:w="1530" w:type="dxa"/>
            <w:tcBorders>
              <w:top w:val="nil"/>
              <w:left w:val="nil"/>
              <w:bottom w:val="nil"/>
              <w:right w:val="single" w:sz="4" w:space="0" w:color="auto"/>
            </w:tcBorders>
            <w:noWrap/>
            <w:hideMark/>
          </w:tcPr>
          <w:p w14:paraId="7C645B2B"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4.74</w:t>
            </w:r>
          </w:p>
        </w:tc>
        <w:tc>
          <w:tcPr>
            <w:tcW w:w="1260" w:type="dxa"/>
            <w:tcBorders>
              <w:top w:val="nil"/>
              <w:left w:val="single" w:sz="4" w:space="0" w:color="auto"/>
              <w:bottom w:val="nil"/>
              <w:right w:val="nil"/>
            </w:tcBorders>
            <w:noWrap/>
            <w:hideMark/>
          </w:tcPr>
          <w:p w14:paraId="310A8B17"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NDMI rainy</w:t>
            </w:r>
          </w:p>
        </w:tc>
        <w:tc>
          <w:tcPr>
            <w:tcW w:w="1530" w:type="dxa"/>
            <w:tcBorders>
              <w:top w:val="nil"/>
              <w:left w:val="nil"/>
              <w:bottom w:val="nil"/>
              <w:right w:val="nil"/>
            </w:tcBorders>
            <w:noWrap/>
            <w:hideMark/>
          </w:tcPr>
          <w:p w14:paraId="7C86BE9A"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4.75</w:t>
            </w:r>
          </w:p>
        </w:tc>
      </w:tr>
      <w:tr w:rsidR="00F10834" w:rsidRPr="00AA3319" w14:paraId="25DA5104" w14:textId="77777777" w:rsidTr="006E2151">
        <w:trPr>
          <w:trHeight w:val="288"/>
        </w:trPr>
        <w:tc>
          <w:tcPr>
            <w:tcW w:w="1435" w:type="dxa"/>
            <w:tcBorders>
              <w:top w:val="nil"/>
              <w:left w:val="nil"/>
              <w:bottom w:val="nil"/>
              <w:right w:val="nil"/>
            </w:tcBorders>
            <w:noWrap/>
            <w:hideMark/>
          </w:tcPr>
          <w:p w14:paraId="55C683A6"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LST trans</w:t>
            </w:r>
          </w:p>
        </w:tc>
        <w:tc>
          <w:tcPr>
            <w:tcW w:w="1535" w:type="dxa"/>
            <w:tcBorders>
              <w:top w:val="nil"/>
              <w:left w:val="nil"/>
              <w:bottom w:val="nil"/>
              <w:right w:val="single" w:sz="4" w:space="0" w:color="auto"/>
            </w:tcBorders>
            <w:noWrap/>
            <w:hideMark/>
          </w:tcPr>
          <w:p w14:paraId="3BB56141"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4.39</w:t>
            </w:r>
          </w:p>
        </w:tc>
        <w:tc>
          <w:tcPr>
            <w:tcW w:w="1350" w:type="dxa"/>
            <w:tcBorders>
              <w:top w:val="nil"/>
              <w:left w:val="single" w:sz="4" w:space="0" w:color="auto"/>
              <w:bottom w:val="nil"/>
              <w:right w:val="nil"/>
            </w:tcBorders>
            <w:noWrap/>
            <w:hideMark/>
          </w:tcPr>
          <w:p w14:paraId="3860CE4F"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SPVEG</w:t>
            </w:r>
          </w:p>
        </w:tc>
        <w:tc>
          <w:tcPr>
            <w:tcW w:w="1530" w:type="dxa"/>
            <w:tcBorders>
              <w:top w:val="nil"/>
              <w:left w:val="nil"/>
              <w:bottom w:val="nil"/>
              <w:right w:val="single" w:sz="4" w:space="0" w:color="auto"/>
            </w:tcBorders>
            <w:noWrap/>
            <w:hideMark/>
          </w:tcPr>
          <w:p w14:paraId="74D7826A"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4.62</w:t>
            </w:r>
          </w:p>
        </w:tc>
        <w:tc>
          <w:tcPr>
            <w:tcW w:w="1260" w:type="dxa"/>
            <w:tcBorders>
              <w:top w:val="nil"/>
              <w:left w:val="single" w:sz="4" w:space="0" w:color="auto"/>
              <w:bottom w:val="nil"/>
              <w:right w:val="nil"/>
            </w:tcBorders>
            <w:noWrap/>
            <w:hideMark/>
          </w:tcPr>
          <w:p w14:paraId="0AB314EC"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NDMI dry</w:t>
            </w:r>
          </w:p>
        </w:tc>
        <w:tc>
          <w:tcPr>
            <w:tcW w:w="1530" w:type="dxa"/>
            <w:tcBorders>
              <w:top w:val="nil"/>
              <w:left w:val="nil"/>
              <w:bottom w:val="nil"/>
              <w:right w:val="nil"/>
            </w:tcBorders>
            <w:noWrap/>
            <w:hideMark/>
          </w:tcPr>
          <w:p w14:paraId="13365151"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4.65</w:t>
            </w:r>
          </w:p>
        </w:tc>
      </w:tr>
      <w:tr w:rsidR="00F10834" w:rsidRPr="00AA3319" w14:paraId="12061DD9" w14:textId="77777777" w:rsidTr="006E2151">
        <w:trPr>
          <w:trHeight w:val="288"/>
        </w:trPr>
        <w:tc>
          <w:tcPr>
            <w:tcW w:w="1435" w:type="dxa"/>
            <w:tcBorders>
              <w:top w:val="nil"/>
              <w:left w:val="nil"/>
              <w:bottom w:val="nil"/>
              <w:right w:val="nil"/>
            </w:tcBorders>
            <w:noWrap/>
            <w:hideMark/>
          </w:tcPr>
          <w:p w14:paraId="4362CFF5"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NDMI rainy</w:t>
            </w:r>
          </w:p>
        </w:tc>
        <w:tc>
          <w:tcPr>
            <w:tcW w:w="1535" w:type="dxa"/>
            <w:tcBorders>
              <w:top w:val="nil"/>
              <w:left w:val="nil"/>
              <w:bottom w:val="nil"/>
              <w:right w:val="single" w:sz="4" w:space="0" w:color="auto"/>
            </w:tcBorders>
            <w:noWrap/>
            <w:hideMark/>
          </w:tcPr>
          <w:p w14:paraId="40D0CB1C"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3.53</w:t>
            </w:r>
          </w:p>
        </w:tc>
        <w:tc>
          <w:tcPr>
            <w:tcW w:w="1350" w:type="dxa"/>
            <w:tcBorders>
              <w:top w:val="nil"/>
              <w:left w:val="single" w:sz="4" w:space="0" w:color="auto"/>
              <w:bottom w:val="nil"/>
              <w:right w:val="nil"/>
            </w:tcBorders>
            <w:noWrap/>
            <w:hideMark/>
          </w:tcPr>
          <w:p w14:paraId="250CDA99"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NDMI rainy</w:t>
            </w:r>
          </w:p>
        </w:tc>
        <w:tc>
          <w:tcPr>
            <w:tcW w:w="1530" w:type="dxa"/>
            <w:tcBorders>
              <w:top w:val="nil"/>
              <w:left w:val="nil"/>
              <w:bottom w:val="nil"/>
              <w:right w:val="single" w:sz="4" w:space="0" w:color="auto"/>
            </w:tcBorders>
            <w:noWrap/>
            <w:hideMark/>
          </w:tcPr>
          <w:p w14:paraId="792AE8DC"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4.12</w:t>
            </w:r>
          </w:p>
        </w:tc>
        <w:tc>
          <w:tcPr>
            <w:tcW w:w="1260" w:type="dxa"/>
            <w:tcBorders>
              <w:top w:val="nil"/>
              <w:left w:val="single" w:sz="4" w:space="0" w:color="auto"/>
              <w:bottom w:val="nil"/>
              <w:right w:val="nil"/>
            </w:tcBorders>
            <w:noWrap/>
            <w:hideMark/>
          </w:tcPr>
          <w:p w14:paraId="7E34327C"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NDVI rainy</w:t>
            </w:r>
          </w:p>
        </w:tc>
        <w:tc>
          <w:tcPr>
            <w:tcW w:w="1530" w:type="dxa"/>
            <w:tcBorders>
              <w:top w:val="nil"/>
              <w:left w:val="nil"/>
              <w:bottom w:val="nil"/>
              <w:right w:val="nil"/>
            </w:tcBorders>
            <w:noWrap/>
            <w:hideMark/>
          </w:tcPr>
          <w:p w14:paraId="3381B4E9"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4.08</w:t>
            </w:r>
          </w:p>
        </w:tc>
      </w:tr>
      <w:tr w:rsidR="00F10834" w:rsidRPr="00AA3319" w14:paraId="38D678E7" w14:textId="77777777" w:rsidTr="006E2151">
        <w:trPr>
          <w:trHeight w:val="288"/>
        </w:trPr>
        <w:tc>
          <w:tcPr>
            <w:tcW w:w="1435" w:type="dxa"/>
            <w:tcBorders>
              <w:top w:val="nil"/>
              <w:left w:val="nil"/>
              <w:bottom w:val="nil"/>
              <w:right w:val="nil"/>
            </w:tcBorders>
            <w:noWrap/>
            <w:hideMark/>
          </w:tcPr>
          <w:p w14:paraId="0FB3C116"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HAND</w:t>
            </w:r>
          </w:p>
        </w:tc>
        <w:tc>
          <w:tcPr>
            <w:tcW w:w="1535" w:type="dxa"/>
            <w:tcBorders>
              <w:top w:val="nil"/>
              <w:left w:val="nil"/>
              <w:bottom w:val="nil"/>
              <w:right w:val="single" w:sz="4" w:space="0" w:color="auto"/>
            </w:tcBorders>
            <w:noWrap/>
            <w:hideMark/>
          </w:tcPr>
          <w:p w14:paraId="7E0325C1"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3.17</w:t>
            </w:r>
          </w:p>
        </w:tc>
        <w:tc>
          <w:tcPr>
            <w:tcW w:w="1350" w:type="dxa"/>
            <w:tcBorders>
              <w:top w:val="nil"/>
              <w:left w:val="single" w:sz="4" w:space="0" w:color="auto"/>
              <w:bottom w:val="nil"/>
              <w:right w:val="nil"/>
            </w:tcBorders>
            <w:noWrap/>
            <w:hideMark/>
          </w:tcPr>
          <w:p w14:paraId="59CC693A"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NDVI rainy</w:t>
            </w:r>
          </w:p>
        </w:tc>
        <w:tc>
          <w:tcPr>
            <w:tcW w:w="1530" w:type="dxa"/>
            <w:tcBorders>
              <w:top w:val="nil"/>
              <w:left w:val="nil"/>
              <w:bottom w:val="nil"/>
              <w:right w:val="single" w:sz="4" w:space="0" w:color="auto"/>
            </w:tcBorders>
            <w:noWrap/>
            <w:hideMark/>
          </w:tcPr>
          <w:p w14:paraId="11EDC9B0"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3.57</w:t>
            </w:r>
          </w:p>
        </w:tc>
        <w:tc>
          <w:tcPr>
            <w:tcW w:w="1260" w:type="dxa"/>
            <w:tcBorders>
              <w:top w:val="nil"/>
              <w:left w:val="single" w:sz="4" w:space="0" w:color="auto"/>
              <w:bottom w:val="nil"/>
              <w:right w:val="nil"/>
            </w:tcBorders>
            <w:noWrap/>
            <w:hideMark/>
          </w:tcPr>
          <w:p w14:paraId="6A5F22D3"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PREC rainy</w:t>
            </w:r>
          </w:p>
        </w:tc>
        <w:tc>
          <w:tcPr>
            <w:tcW w:w="1530" w:type="dxa"/>
            <w:tcBorders>
              <w:top w:val="nil"/>
              <w:left w:val="nil"/>
              <w:bottom w:val="nil"/>
              <w:right w:val="nil"/>
            </w:tcBorders>
            <w:noWrap/>
            <w:hideMark/>
          </w:tcPr>
          <w:p w14:paraId="5EC7FA34"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3.86</w:t>
            </w:r>
          </w:p>
        </w:tc>
      </w:tr>
      <w:tr w:rsidR="00F10834" w:rsidRPr="00AA3319" w14:paraId="03723685" w14:textId="77777777" w:rsidTr="006E2151">
        <w:trPr>
          <w:trHeight w:val="288"/>
        </w:trPr>
        <w:tc>
          <w:tcPr>
            <w:tcW w:w="1435" w:type="dxa"/>
            <w:tcBorders>
              <w:top w:val="nil"/>
              <w:left w:val="nil"/>
              <w:bottom w:val="nil"/>
              <w:right w:val="nil"/>
            </w:tcBorders>
            <w:noWrap/>
            <w:hideMark/>
          </w:tcPr>
          <w:p w14:paraId="16E911DC"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NDVI dry</w:t>
            </w:r>
          </w:p>
        </w:tc>
        <w:tc>
          <w:tcPr>
            <w:tcW w:w="1535" w:type="dxa"/>
            <w:tcBorders>
              <w:top w:val="nil"/>
              <w:left w:val="nil"/>
              <w:bottom w:val="nil"/>
              <w:right w:val="single" w:sz="4" w:space="0" w:color="auto"/>
            </w:tcBorders>
            <w:noWrap/>
            <w:hideMark/>
          </w:tcPr>
          <w:p w14:paraId="065ED388"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3.09</w:t>
            </w:r>
          </w:p>
        </w:tc>
        <w:tc>
          <w:tcPr>
            <w:tcW w:w="1350" w:type="dxa"/>
            <w:tcBorders>
              <w:top w:val="nil"/>
              <w:left w:val="single" w:sz="4" w:space="0" w:color="auto"/>
              <w:bottom w:val="nil"/>
              <w:right w:val="nil"/>
            </w:tcBorders>
            <w:noWrap/>
            <w:hideMark/>
          </w:tcPr>
          <w:p w14:paraId="7EE5BB21"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PREC dry</w:t>
            </w:r>
          </w:p>
        </w:tc>
        <w:tc>
          <w:tcPr>
            <w:tcW w:w="1530" w:type="dxa"/>
            <w:tcBorders>
              <w:top w:val="nil"/>
              <w:left w:val="nil"/>
              <w:bottom w:val="nil"/>
              <w:right w:val="single" w:sz="4" w:space="0" w:color="auto"/>
            </w:tcBorders>
            <w:noWrap/>
            <w:hideMark/>
          </w:tcPr>
          <w:p w14:paraId="4E48E011"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3.52</w:t>
            </w:r>
          </w:p>
        </w:tc>
        <w:tc>
          <w:tcPr>
            <w:tcW w:w="1260" w:type="dxa"/>
            <w:tcBorders>
              <w:top w:val="nil"/>
              <w:left w:val="single" w:sz="4" w:space="0" w:color="auto"/>
              <w:bottom w:val="nil"/>
              <w:right w:val="nil"/>
            </w:tcBorders>
            <w:noWrap/>
            <w:hideMark/>
          </w:tcPr>
          <w:p w14:paraId="5CC8C869"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CROP</w:t>
            </w:r>
          </w:p>
        </w:tc>
        <w:tc>
          <w:tcPr>
            <w:tcW w:w="1530" w:type="dxa"/>
            <w:tcBorders>
              <w:top w:val="nil"/>
              <w:left w:val="nil"/>
              <w:bottom w:val="nil"/>
              <w:right w:val="nil"/>
            </w:tcBorders>
            <w:noWrap/>
            <w:hideMark/>
          </w:tcPr>
          <w:p w14:paraId="1DBD54FD"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3.26</w:t>
            </w:r>
          </w:p>
        </w:tc>
      </w:tr>
      <w:tr w:rsidR="00F10834" w:rsidRPr="00AA3319" w14:paraId="165EF3EB" w14:textId="77777777" w:rsidTr="006E2151">
        <w:trPr>
          <w:trHeight w:val="288"/>
        </w:trPr>
        <w:tc>
          <w:tcPr>
            <w:tcW w:w="1435" w:type="dxa"/>
            <w:tcBorders>
              <w:top w:val="nil"/>
              <w:left w:val="nil"/>
              <w:bottom w:val="nil"/>
              <w:right w:val="nil"/>
            </w:tcBorders>
            <w:noWrap/>
            <w:hideMark/>
          </w:tcPr>
          <w:p w14:paraId="4FA2402B"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NDVI rainy</w:t>
            </w:r>
          </w:p>
        </w:tc>
        <w:tc>
          <w:tcPr>
            <w:tcW w:w="1535" w:type="dxa"/>
            <w:tcBorders>
              <w:top w:val="nil"/>
              <w:left w:val="nil"/>
              <w:bottom w:val="nil"/>
              <w:right w:val="single" w:sz="4" w:space="0" w:color="auto"/>
            </w:tcBorders>
            <w:noWrap/>
            <w:hideMark/>
          </w:tcPr>
          <w:p w14:paraId="1E847FC6"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2.48</w:t>
            </w:r>
          </w:p>
        </w:tc>
        <w:tc>
          <w:tcPr>
            <w:tcW w:w="1350" w:type="dxa"/>
            <w:tcBorders>
              <w:top w:val="nil"/>
              <w:left w:val="single" w:sz="4" w:space="0" w:color="auto"/>
              <w:bottom w:val="nil"/>
              <w:right w:val="nil"/>
            </w:tcBorders>
            <w:noWrap/>
            <w:hideMark/>
          </w:tcPr>
          <w:p w14:paraId="5C2693B6"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WOODY</w:t>
            </w:r>
          </w:p>
        </w:tc>
        <w:tc>
          <w:tcPr>
            <w:tcW w:w="1530" w:type="dxa"/>
            <w:tcBorders>
              <w:top w:val="nil"/>
              <w:left w:val="nil"/>
              <w:bottom w:val="nil"/>
              <w:right w:val="single" w:sz="4" w:space="0" w:color="auto"/>
            </w:tcBorders>
            <w:noWrap/>
            <w:hideMark/>
          </w:tcPr>
          <w:p w14:paraId="4EFDA394"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3.40</w:t>
            </w:r>
          </w:p>
        </w:tc>
        <w:tc>
          <w:tcPr>
            <w:tcW w:w="1260" w:type="dxa"/>
            <w:tcBorders>
              <w:top w:val="nil"/>
              <w:left w:val="single" w:sz="4" w:space="0" w:color="auto"/>
              <w:bottom w:val="nil"/>
              <w:right w:val="nil"/>
            </w:tcBorders>
            <w:noWrap/>
            <w:hideMark/>
          </w:tcPr>
          <w:p w14:paraId="73794545"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SPVEG</w:t>
            </w:r>
          </w:p>
        </w:tc>
        <w:tc>
          <w:tcPr>
            <w:tcW w:w="1530" w:type="dxa"/>
            <w:tcBorders>
              <w:top w:val="nil"/>
              <w:left w:val="nil"/>
              <w:bottom w:val="nil"/>
              <w:right w:val="nil"/>
            </w:tcBorders>
            <w:noWrap/>
            <w:hideMark/>
          </w:tcPr>
          <w:p w14:paraId="0E636679"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3.16</w:t>
            </w:r>
          </w:p>
        </w:tc>
      </w:tr>
      <w:tr w:rsidR="00F10834" w:rsidRPr="00AA3319" w14:paraId="77E0B197" w14:textId="77777777" w:rsidTr="006E2151">
        <w:trPr>
          <w:trHeight w:val="288"/>
        </w:trPr>
        <w:tc>
          <w:tcPr>
            <w:tcW w:w="1435" w:type="dxa"/>
            <w:tcBorders>
              <w:top w:val="nil"/>
              <w:left w:val="nil"/>
              <w:bottom w:val="nil"/>
              <w:right w:val="nil"/>
            </w:tcBorders>
            <w:noWrap/>
            <w:hideMark/>
          </w:tcPr>
          <w:p w14:paraId="53C04E8B"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SETME</w:t>
            </w:r>
          </w:p>
        </w:tc>
        <w:tc>
          <w:tcPr>
            <w:tcW w:w="1535" w:type="dxa"/>
            <w:tcBorders>
              <w:top w:val="nil"/>
              <w:left w:val="nil"/>
              <w:bottom w:val="nil"/>
              <w:right w:val="single" w:sz="4" w:space="0" w:color="auto"/>
            </w:tcBorders>
            <w:noWrap/>
            <w:hideMark/>
          </w:tcPr>
          <w:p w14:paraId="139211FA"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2.48</w:t>
            </w:r>
          </w:p>
        </w:tc>
        <w:tc>
          <w:tcPr>
            <w:tcW w:w="1350" w:type="dxa"/>
            <w:tcBorders>
              <w:top w:val="nil"/>
              <w:left w:val="single" w:sz="4" w:space="0" w:color="auto"/>
              <w:bottom w:val="nil"/>
              <w:right w:val="nil"/>
            </w:tcBorders>
            <w:noWrap/>
            <w:hideMark/>
          </w:tcPr>
          <w:p w14:paraId="65C85160"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NDVI dry</w:t>
            </w:r>
          </w:p>
        </w:tc>
        <w:tc>
          <w:tcPr>
            <w:tcW w:w="1530" w:type="dxa"/>
            <w:tcBorders>
              <w:top w:val="nil"/>
              <w:left w:val="nil"/>
              <w:bottom w:val="nil"/>
              <w:right w:val="single" w:sz="4" w:space="0" w:color="auto"/>
            </w:tcBorders>
            <w:noWrap/>
            <w:hideMark/>
          </w:tcPr>
          <w:p w14:paraId="50E6BA7F"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3.14</w:t>
            </w:r>
          </w:p>
        </w:tc>
        <w:tc>
          <w:tcPr>
            <w:tcW w:w="1260" w:type="dxa"/>
            <w:tcBorders>
              <w:top w:val="nil"/>
              <w:left w:val="single" w:sz="4" w:space="0" w:color="auto"/>
              <w:bottom w:val="nil"/>
              <w:right w:val="nil"/>
            </w:tcBorders>
            <w:noWrap/>
            <w:hideMark/>
          </w:tcPr>
          <w:p w14:paraId="3E8D862F"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LST trans</w:t>
            </w:r>
          </w:p>
        </w:tc>
        <w:tc>
          <w:tcPr>
            <w:tcW w:w="1530" w:type="dxa"/>
            <w:tcBorders>
              <w:top w:val="nil"/>
              <w:left w:val="nil"/>
              <w:bottom w:val="nil"/>
              <w:right w:val="nil"/>
            </w:tcBorders>
            <w:noWrap/>
            <w:hideMark/>
          </w:tcPr>
          <w:p w14:paraId="56619011"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3.01</w:t>
            </w:r>
          </w:p>
        </w:tc>
      </w:tr>
      <w:tr w:rsidR="00F10834" w:rsidRPr="00AA3319" w14:paraId="1DDACE60" w14:textId="77777777" w:rsidTr="006E2151">
        <w:trPr>
          <w:trHeight w:val="288"/>
        </w:trPr>
        <w:tc>
          <w:tcPr>
            <w:tcW w:w="1435" w:type="dxa"/>
            <w:tcBorders>
              <w:top w:val="nil"/>
              <w:left w:val="nil"/>
              <w:bottom w:val="nil"/>
              <w:right w:val="nil"/>
            </w:tcBorders>
            <w:noWrap/>
            <w:hideMark/>
          </w:tcPr>
          <w:p w14:paraId="0209F0C2"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PREC dry</w:t>
            </w:r>
          </w:p>
        </w:tc>
        <w:tc>
          <w:tcPr>
            <w:tcW w:w="1535" w:type="dxa"/>
            <w:tcBorders>
              <w:top w:val="nil"/>
              <w:left w:val="nil"/>
              <w:bottom w:val="nil"/>
              <w:right w:val="single" w:sz="4" w:space="0" w:color="auto"/>
            </w:tcBorders>
            <w:noWrap/>
            <w:hideMark/>
          </w:tcPr>
          <w:p w14:paraId="5266028A"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2.45</w:t>
            </w:r>
          </w:p>
        </w:tc>
        <w:tc>
          <w:tcPr>
            <w:tcW w:w="1350" w:type="dxa"/>
            <w:tcBorders>
              <w:top w:val="nil"/>
              <w:left w:val="single" w:sz="4" w:space="0" w:color="auto"/>
              <w:bottom w:val="nil"/>
              <w:right w:val="nil"/>
            </w:tcBorders>
            <w:noWrap/>
            <w:hideMark/>
          </w:tcPr>
          <w:p w14:paraId="2E7C4D97"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DISTSW</w:t>
            </w:r>
          </w:p>
        </w:tc>
        <w:tc>
          <w:tcPr>
            <w:tcW w:w="1530" w:type="dxa"/>
            <w:tcBorders>
              <w:top w:val="nil"/>
              <w:left w:val="nil"/>
              <w:bottom w:val="nil"/>
              <w:right w:val="single" w:sz="4" w:space="0" w:color="auto"/>
            </w:tcBorders>
            <w:noWrap/>
            <w:hideMark/>
          </w:tcPr>
          <w:p w14:paraId="71B96215"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3.09</w:t>
            </w:r>
          </w:p>
        </w:tc>
        <w:tc>
          <w:tcPr>
            <w:tcW w:w="1260" w:type="dxa"/>
            <w:tcBorders>
              <w:top w:val="nil"/>
              <w:left w:val="single" w:sz="4" w:space="0" w:color="auto"/>
              <w:bottom w:val="nil"/>
              <w:right w:val="nil"/>
            </w:tcBorders>
            <w:noWrap/>
            <w:hideMark/>
          </w:tcPr>
          <w:p w14:paraId="6FF4C3BA"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HAND</w:t>
            </w:r>
          </w:p>
        </w:tc>
        <w:tc>
          <w:tcPr>
            <w:tcW w:w="1530" w:type="dxa"/>
            <w:tcBorders>
              <w:top w:val="nil"/>
              <w:left w:val="nil"/>
              <w:bottom w:val="nil"/>
              <w:right w:val="nil"/>
            </w:tcBorders>
            <w:noWrap/>
            <w:hideMark/>
          </w:tcPr>
          <w:p w14:paraId="1C059967"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2.60</w:t>
            </w:r>
          </w:p>
        </w:tc>
      </w:tr>
      <w:tr w:rsidR="00F10834" w:rsidRPr="00AA3319" w14:paraId="68206A7D" w14:textId="77777777" w:rsidTr="006E2151">
        <w:trPr>
          <w:trHeight w:val="288"/>
        </w:trPr>
        <w:tc>
          <w:tcPr>
            <w:tcW w:w="1435" w:type="dxa"/>
            <w:tcBorders>
              <w:top w:val="nil"/>
              <w:left w:val="nil"/>
              <w:bottom w:val="nil"/>
              <w:right w:val="nil"/>
            </w:tcBorders>
            <w:noWrap/>
            <w:hideMark/>
          </w:tcPr>
          <w:p w14:paraId="6E2BF710"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WOODY</w:t>
            </w:r>
          </w:p>
        </w:tc>
        <w:tc>
          <w:tcPr>
            <w:tcW w:w="1535" w:type="dxa"/>
            <w:tcBorders>
              <w:top w:val="nil"/>
              <w:left w:val="nil"/>
              <w:bottom w:val="nil"/>
              <w:right w:val="single" w:sz="4" w:space="0" w:color="auto"/>
            </w:tcBorders>
            <w:noWrap/>
            <w:hideMark/>
          </w:tcPr>
          <w:p w14:paraId="27B217E0"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2.41</w:t>
            </w:r>
          </w:p>
        </w:tc>
        <w:tc>
          <w:tcPr>
            <w:tcW w:w="1350" w:type="dxa"/>
            <w:tcBorders>
              <w:top w:val="nil"/>
              <w:left w:val="single" w:sz="4" w:space="0" w:color="auto"/>
              <w:bottom w:val="nil"/>
              <w:right w:val="nil"/>
            </w:tcBorders>
            <w:noWrap/>
            <w:hideMark/>
          </w:tcPr>
          <w:p w14:paraId="764AB7FA"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NDMI dry</w:t>
            </w:r>
          </w:p>
        </w:tc>
        <w:tc>
          <w:tcPr>
            <w:tcW w:w="1530" w:type="dxa"/>
            <w:tcBorders>
              <w:top w:val="nil"/>
              <w:left w:val="nil"/>
              <w:bottom w:val="nil"/>
              <w:right w:val="single" w:sz="4" w:space="0" w:color="auto"/>
            </w:tcBorders>
            <w:noWrap/>
            <w:hideMark/>
          </w:tcPr>
          <w:p w14:paraId="2B80D63A"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2.41</w:t>
            </w:r>
          </w:p>
        </w:tc>
        <w:tc>
          <w:tcPr>
            <w:tcW w:w="1260" w:type="dxa"/>
            <w:tcBorders>
              <w:top w:val="nil"/>
              <w:left w:val="single" w:sz="4" w:space="0" w:color="auto"/>
              <w:bottom w:val="nil"/>
              <w:right w:val="nil"/>
            </w:tcBorders>
            <w:noWrap/>
            <w:hideMark/>
          </w:tcPr>
          <w:p w14:paraId="08A731D6"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PREC dry</w:t>
            </w:r>
          </w:p>
        </w:tc>
        <w:tc>
          <w:tcPr>
            <w:tcW w:w="1530" w:type="dxa"/>
            <w:tcBorders>
              <w:top w:val="nil"/>
              <w:left w:val="nil"/>
              <w:bottom w:val="nil"/>
              <w:right w:val="nil"/>
            </w:tcBorders>
            <w:noWrap/>
            <w:hideMark/>
          </w:tcPr>
          <w:p w14:paraId="112F8C27"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1.92</w:t>
            </w:r>
          </w:p>
        </w:tc>
      </w:tr>
      <w:tr w:rsidR="00F10834" w:rsidRPr="00AA3319" w14:paraId="4F00E46D" w14:textId="77777777" w:rsidTr="006E2151">
        <w:trPr>
          <w:trHeight w:val="288"/>
        </w:trPr>
        <w:tc>
          <w:tcPr>
            <w:tcW w:w="1435" w:type="dxa"/>
            <w:tcBorders>
              <w:top w:val="nil"/>
              <w:left w:val="nil"/>
              <w:bottom w:val="nil"/>
              <w:right w:val="nil"/>
            </w:tcBorders>
            <w:noWrap/>
            <w:hideMark/>
          </w:tcPr>
          <w:p w14:paraId="3EA231B3"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NDMI dry</w:t>
            </w:r>
          </w:p>
        </w:tc>
        <w:tc>
          <w:tcPr>
            <w:tcW w:w="1535" w:type="dxa"/>
            <w:tcBorders>
              <w:top w:val="nil"/>
              <w:left w:val="nil"/>
              <w:bottom w:val="nil"/>
              <w:right w:val="single" w:sz="4" w:space="0" w:color="auto"/>
            </w:tcBorders>
            <w:noWrap/>
            <w:hideMark/>
          </w:tcPr>
          <w:p w14:paraId="6F597644"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2.33</w:t>
            </w:r>
          </w:p>
        </w:tc>
        <w:tc>
          <w:tcPr>
            <w:tcW w:w="1350" w:type="dxa"/>
            <w:tcBorders>
              <w:top w:val="nil"/>
              <w:left w:val="single" w:sz="4" w:space="0" w:color="auto"/>
              <w:bottom w:val="nil"/>
              <w:right w:val="nil"/>
            </w:tcBorders>
            <w:noWrap/>
            <w:hideMark/>
          </w:tcPr>
          <w:p w14:paraId="561B1187"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LST dry</w:t>
            </w:r>
          </w:p>
        </w:tc>
        <w:tc>
          <w:tcPr>
            <w:tcW w:w="1530" w:type="dxa"/>
            <w:tcBorders>
              <w:top w:val="nil"/>
              <w:left w:val="nil"/>
              <w:bottom w:val="nil"/>
              <w:right w:val="single" w:sz="4" w:space="0" w:color="auto"/>
            </w:tcBorders>
            <w:noWrap/>
            <w:hideMark/>
          </w:tcPr>
          <w:p w14:paraId="677C4793"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2.26</w:t>
            </w:r>
          </w:p>
        </w:tc>
        <w:tc>
          <w:tcPr>
            <w:tcW w:w="1260" w:type="dxa"/>
            <w:tcBorders>
              <w:top w:val="nil"/>
              <w:left w:val="single" w:sz="4" w:space="0" w:color="auto"/>
              <w:bottom w:val="nil"/>
              <w:right w:val="nil"/>
            </w:tcBorders>
            <w:noWrap/>
            <w:hideMark/>
          </w:tcPr>
          <w:p w14:paraId="25D2C2F2"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WETL</w:t>
            </w:r>
          </w:p>
        </w:tc>
        <w:tc>
          <w:tcPr>
            <w:tcW w:w="1530" w:type="dxa"/>
            <w:tcBorders>
              <w:top w:val="nil"/>
              <w:left w:val="nil"/>
              <w:bottom w:val="nil"/>
              <w:right w:val="nil"/>
            </w:tcBorders>
            <w:noWrap/>
            <w:hideMark/>
          </w:tcPr>
          <w:p w14:paraId="218D9103"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1.51</w:t>
            </w:r>
          </w:p>
        </w:tc>
      </w:tr>
      <w:tr w:rsidR="00F10834" w:rsidRPr="00AA3319" w14:paraId="1DD3F1BD" w14:textId="77777777" w:rsidTr="006E2151">
        <w:trPr>
          <w:trHeight w:val="288"/>
        </w:trPr>
        <w:tc>
          <w:tcPr>
            <w:tcW w:w="1435" w:type="dxa"/>
            <w:tcBorders>
              <w:top w:val="nil"/>
              <w:left w:val="nil"/>
              <w:bottom w:val="nil"/>
              <w:right w:val="nil"/>
            </w:tcBorders>
            <w:noWrap/>
            <w:hideMark/>
          </w:tcPr>
          <w:p w14:paraId="7047F63F"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LST dry</w:t>
            </w:r>
          </w:p>
        </w:tc>
        <w:tc>
          <w:tcPr>
            <w:tcW w:w="1535" w:type="dxa"/>
            <w:tcBorders>
              <w:top w:val="nil"/>
              <w:left w:val="nil"/>
              <w:bottom w:val="nil"/>
              <w:right w:val="single" w:sz="4" w:space="0" w:color="auto"/>
            </w:tcBorders>
            <w:noWrap/>
            <w:hideMark/>
          </w:tcPr>
          <w:p w14:paraId="13BEC820"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1.55</w:t>
            </w:r>
          </w:p>
        </w:tc>
        <w:tc>
          <w:tcPr>
            <w:tcW w:w="1350" w:type="dxa"/>
            <w:tcBorders>
              <w:top w:val="nil"/>
              <w:left w:val="single" w:sz="4" w:space="0" w:color="auto"/>
              <w:bottom w:val="nil"/>
              <w:right w:val="nil"/>
            </w:tcBorders>
            <w:noWrap/>
            <w:hideMark/>
          </w:tcPr>
          <w:p w14:paraId="19102335"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HAND</w:t>
            </w:r>
          </w:p>
        </w:tc>
        <w:tc>
          <w:tcPr>
            <w:tcW w:w="1530" w:type="dxa"/>
            <w:tcBorders>
              <w:top w:val="nil"/>
              <w:left w:val="nil"/>
              <w:bottom w:val="nil"/>
              <w:right w:val="single" w:sz="4" w:space="0" w:color="auto"/>
            </w:tcBorders>
            <w:noWrap/>
            <w:hideMark/>
          </w:tcPr>
          <w:p w14:paraId="1B2368D8"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2.24</w:t>
            </w:r>
          </w:p>
        </w:tc>
        <w:tc>
          <w:tcPr>
            <w:tcW w:w="1260" w:type="dxa"/>
            <w:tcBorders>
              <w:top w:val="nil"/>
              <w:left w:val="single" w:sz="4" w:space="0" w:color="auto"/>
              <w:bottom w:val="nil"/>
              <w:right w:val="nil"/>
            </w:tcBorders>
            <w:noWrap/>
            <w:hideMark/>
          </w:tcPr>
          <w:p w14:paraId="3879EFF9"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LST dry</w:t>
            </w:r>
          </w:p>
        </w:tc>
        <w:tc>
          <w:tcPr>
            <w:tcW w:w="1530" w:type="dxa"/>
            <w:tcBorders>
              <w:top w:val="nil"/>
              <w:left w:val="nil"/>
              <w:bottom w:val="nil"/>
              <w:right w:val="nil"/>
            </w:tcBorders>
            <w:noWrap/>
            <w:hideMark/>
          </w:tcPr>
          <w:p w14:paraId="38F80491"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1.41</w:t>
            </w:r>
          </w:p>
        </w:tc>
      </w:tr>
      <w:tr w:rsidR="00F10834" w:rsidRPr="00AA3319" w14:paraId="7E58439B" w14:textId="77777777" w:rsidTr="006E2151">
        <w:trPr>
          <w:trHeight w:val="288"/>
        </w:trPr>
        <w:tc>
          <w:tcPr>
            <w:tcW w:w="1435" w:type="dxa"/>
            <w:tcBorders>
              <w:top w:val="nil"/>
              <w:left w:val="nil"/>
              <w:bottom w:val="nil"/>
              <w:right w:val="nil"/>
            </w:tcBorders>
            <w:noWrap/>
            <w:hideMark/>
          </w:tcPr>
          <w:p w14:paraId="66EDA8F0"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WATER</w:t>
            </w:r>
          </w:p>
        </w:tc>
        <w:tc>
          <w:tcPr>
            <w:tcW w:w="1535" w:type="dxa"/>
            <w:tcBorders>
              <w:top w:val="nil"/>
              <w:left w:val="nil"/>
              <w:bottom w:val="nil"/>
              <w:right w:val="single" w:sz="4" w:space="0" w:color="auto"/>
            </w:tcBorders>
            <w:noWrap/>
            <w:hideMark/>
          </w:tcPr>
          <w:p w14:paraId="4676F1C1"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1.52</w:t>
            </w:r>
          </w:p>
        </w:tc>
        <w:tc>
          <w:tcPr>
            <w:tcW w:w="1350" w:type="dxa"/>
            <w:tcBorders>
              <w:top w:val="nil"/>
              <w:left w:val="single" w:sz="4" w:space="0" w:color="auto"/>
              <w:bottom w:val="nil"/>
              <w:right w:val="nil"/>
            </w:tcBorders>
            <w:noWrap/>
            <w:hideMark/>
          </w:tcPr>
          <w:p w14:paraId="5C254889"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LST rainy</w:t>
            </w:r>
          </w:p>
        </w:tc>
        <w:tc>
          <w:tcPr>
            <w:tcW w:w="1530" w:type="dxa"/>
            <w:tcBorders>
              <w:top w:val="nil"/>
              <w:left w:val="nil"/>
              <w:bottom w:val="nil"/>
              <w:right w:val="single" w:sz="4" w:space="0" w:color="auto"/>
            </w:tcBorders>
            <w:noWrap/>
            <w:hideMark/>
          </w:tcPr>
          <w:p w14:paraId="1D5C9E4B"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2.02</w:t>
            </w:r>
          </w:p>
        </w:tc>
        <w:tc>
          <w:tcPr>
            <w:tcW w:w="1260" w:type="dxa"/>
            <w:tcBorders>
              <w:top w:val="nil"/>
              <w:left w:val="single" w:sz="4" w:space="0" w:color="auto"/>
              <w:bottom w:val="nil"/>
              <w:right w:val="nil"/>
            </w:tcBorders>
            <w:noWrap/>
            <w:hideMark/>
          </w:tcPr>
          <w:p w14:paraId="053153A7"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WATER</w:t>
            </w:r>
          </w:p>
        </w:tc>
        <w:tc>
          <w:tcPr>
            <w:tcW w:w="1530" w:type="dxa"/>
            <w:tcBorders>
              <w:top w:val="nil"/>
              <w:left w:val="nil"/>
              <w:bottom w:val="nil"/>
              <w:right w:val="nil"/>
            </w:tcBorders>
            <w:noWrap/>
            <w:hideMark/>
          </w:tcPr>
          <w:p w14:paraId="5062EE2E"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1.22</w:t>
            </w:r>
          </w:p>
        </w:tc>
      </w:tr>
      <w:tr w:rsidR="00F10834" w:rsidRPr="00AA3319" w14:paraId="02990880" w14:textId="77777777" w:rsidTr="006E2151">
        <w:trPr>
          <w:trHeight w:val="288"/>
        </w:trPr>
        <w:tc>
          <w:tcPr>
            <w:tcW w:w="1435" w:type="dxa"/>
            <w:tcBorders>
              <w:top w:val="nil"/>
              <w:left w:val="nil"/>
              <w:bottom w:val="nil"/>
              <w:right w:val="nil"/>
            </w:tcBorders>
            <w:noWrap/>
            <w:hideMark/>
          </w:tcPr>
          <w:p w14:paraId="1B269CE7"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LST rainy</w:t>
            </w:r>
          </w:p>
        </w:tc>
        <w:tc>
          <w:tcPr>
            <w:tcW w:w="1535" w:type="dxa"/>
            <w:tcBorders>
              <w:top w:val="nil"/>
              <w:left w:val="nil"/>
              <w:bottom w:val="nil"/>
              <w:right w:val="single" w:sz="4" w:space="0" w:color="auto"/>
            </w:tcBorders>
            <w:noWrap/>
            <w:hideMark/>
          </w:tcPr>
          <w:p w14:paraId="335E0CAE"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1.50</w:t>
            </w:r>
          </w:p>
        </w:tc>
        <w:tc>
          <w:tcPr>
            <w:tcW w:w="1350" w:type="dxa"/>
            <w:tcBorders>
              <w:top w:val="nil"/>
              <w:left w:val="single" w:sz="4" w:space="0" w:color="auto"/>
              <w:bottom w:val="nil"/>
              <w:right w:val="nil"/>
            </w:tcBorders>
            <w:noWrap/>
            <w:hideMark/>
          </w:tcPr>
          <w:p w14:paraId="3A1942FB"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SETME</w:t>
            </w:r>
          </w:p>
        </w:tc>
        <w:tc>
          <w:tcPr>
            <w:tcW w:w="1530" w:type="dxa"/>
            <w:tcBorders>
              <w:top w:val="nil"/>
              <w:left w:val="nil"/>
              <w:bottom w:val="nil"/>
              <w:right w:val="single" w:sz="4" w:space="0" w:color="auto"/>
            </w:tcBorders>
            <w:noWrap/>
            <w:hideMark/>
          </w:tcPr>
          <w:p w14:paraId="762B73DE"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1.76</w:t>
            </w:r>
          </w:p>
        </w:tc>
        <w:tc>
          <w:tcPr>
            <w:tcW w:w="1260" w:type="dxa"/>
            <w:tcBorders>
              <w:top w:val="nil"/>
              <w:left w:val="single" w:sz="4" w:space="0" w:color="auto"/>
              <w:bottom w:val="nil"/>
              <w:right w:val="nil"/>
            </w:tcBorders>
            <w:noWrap/>
            <w:hideMark/>
          </w:tcPr>
          <w:p w14:paraId="7C08FFEF"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WOODY</w:t>
            </w:r>
          </w:p>
        </w:tc>
        <w:tc>
          <w:tcPr>
            <w:tcW w:w="1530" w:type="dxa"/>
            <w:tcBorders>
              <w:top w:val="nil"/>
              <w:left w:val="nil"/>
              <w:bottom w:val="nil"/>
              <w:right w:val="nil"/>
            </w:tcBorders>
            <w:noWrap/>
            <w:hideMark/>
          </w:tcPr>
          <w:p w14:paraId="004F706F"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1.15</w:t>
            </w:r>
          </w:p>
        </w:tc>
      </w:tr>
      <w:tr w:rsidR="00F10834" w:rsidRPr="00AA3319" w14:paraId="21430A16" w14:textId="77777777" w:rsidTr="006E2151">
        <w:trPr>
          <w:trHeight w:val="288"/>
        </w:trPr>
        <w:tc>
          <w:tcPr>
            <w:tcW w:w="1435" w:type="dxa"/>
            <w:tcBorders>
              <w:top w:val="nil"/>
              <w:left w:val="nil"/>
              <w:bottom w:val="nil"/>
              <w:right w:val="nil"/>
            </w:tcBorders>
            <w:noWrap/>
            <w:hideMark/>
          </w:tcPr>
          <w:p w14:paraId="43E7D67E"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DISTSW</w:t>
            </w:r>
          </w:p>
        </w:tc>
        <w:tc>
          <w:tcPr>
            <w:tcW w:w="1535" w:type="dxa"/>
            <w:tcBorders>
              <w:top w:val="nil"/>
              <w:left w:val="nil"/>
              <w:bottom w:val="nil"/>
              <w:right w:val="single" w:sz="4" w:space="0" w:color="auto"/>
            </w:tcBorders>
            <w:noWrap/>
            <w:hideMark/>
          </w:tcPr>
          <w:p w14:paraId="301C6645"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1.25</w:t>
            </w:r>
          </w:p>
        </w:tc>
        <w:tc>
          <w:tcPr>
            <w:tcW w:w="1350" w:type="dxa"/>
            <w:tcBorders>
              <w:top w:val="nil"/>
              <w:left w:val="single" w:sz="4" w:space="0" w:color="auto"/>
              <w:bottom w:val="nil"/>
              <w:right w:val="nil"/>
            </w:tcBorders>
            <w:noWrap/>
            <w:hideMark/>
          </w:tcPr>
          <w:p w14:paraId="4C8C3C0F"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CROP</w:t>
            </w:r>
          </w:p>
        </w:tc>
        <w:tc>
          <w:tcPr>
            <w:tcW w:w="1530" w:type="dxa"/>
            <w:tcBorders>
              <w:top w:val="nil"/>
              <w:left w:val="nil"/>
              <w:bottom w:val="nil"/>
              <w:right w:val="single" w:sz="4" w:space="0" w:color="auto"/>
            </w:tcBorders>
            <w:noWrap/>
            <w:hideMark/>
          </w:tcPr>
          <w:p w14:paraId="3AE8E0DE"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1.72</w:t>
            </w:r>
          </w:p>
        </w:tc>
        <w:tc>
          <w:tcPr>
            <w:tcW w:w="1260" w:type="dxa"/>
            <w:tcBorders>
              <w:top w:val="nil"/>
              <w:left w:val="single" w:sz="4" w:space="0" w:color="auto"/>
              <w:bottom w:val="nil"/>
              <w:right w:val="nil"/>
            </w:tcBorders>
            <w:noWrap/>
            <w:hideMark/>
          </w:tcPr>
          <w:p w14:paraId="13078130"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DISTSW</w:t>
            </w:r>
          </w:p>
        </w:tc>
        <w:tc>
          <w:tcPr>
            <w:tcW w:w="1530" w:type="dxa"/>
            <w:tcBorders>
              <w:top w:val="nil"/>
              <w:left w:val="nil"/>
              <w:bottom w:val="nil"/>
              <w:right w:val="nil"/>
            </w:tcBorders>
            <w:noWrap/>
            <w:hideMark/>
          </w:tcPr>
          <w:p w14:paraId="21F3CE6E"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1.02</w:t>
            </w:r>
          </w:p>
        </w:tc>
      </w:tr>
      <w:tr w:rsidR="00F10834" w:rsidRPr="00AA3319" w14:paraId="18E910D4" w14:textId="77777777" w:rsidTr="006E2151">
        <w:trPr>
          <w:trHeight w:val="288"/>
        </w:trPr>
        <w:tc>
          <w:tcPr>
            <w:tcW w:w="1435" w:type="dxa"/>
            <w:tcBorders>
              <w:top w:val="nil"/>
              <w:left w:val="nil"/>
              <w:bottom w:val="nil"/>
              <w:right w:val="nil"/>
            </w:tcBorders>
            <w:noWrap/>
            <w:hideMark/>
          </w:tcPr>
          <w:p w14:paraId="23E6A358"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CROP</w:t>
            </w:r>
          </w:p>
        </w:tc>
        <w:tc>
          <w:tcPr>
            <w:tcW w:w="1535" w:type="dxa"/>
            <w:tcBorders>
              <w:top w:val="nil"/>
              <w:left w:val="nil"/>
              <w:bottom w:val="nil"/>
              <w:right w:val="single" w:sz="4" w:space="0" w:color="auto"/>
            </w:tcBorders>
            <w:noWrap/>
            <w:hideMark/>
          </w:tcPr>
          <w:p w14:paraId="62152708"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0.94</w:t>
            </w:r>
          </w:p>
        </w:tc>
        <w:tc>
          <w:tcPr>
            <w:tcW w:w="1350" w:type="dxa"/>
            <w:tcBorders>
              <w:top w:val="nil"/>
              <w:left w:val="single" w:sz="4" w:space="0" w:color="auto"/>
              <w:bottom w:val="nil"/>
              <w:right w:val="nil"/>
            </w:tcBorders>
            <w:noWrap/>
            <w:hideMark/>
          </w:tcPr>
          <w:p w14:paraId="6087435C"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WATER</w:t>
            </w:r>
          </w:p>
        </w:tc>
        <w:tc>
          <w:tcPr>
            <w:tcW w:w="1530" w:type="dxa"/>
            <w:tcBorders>
              <w:top w:val="nil"/>
              <w:left w:val="nil"/>
              <w:bottom w:val="nil"/>
              <w:right w:val="single" w:sz="4" w:space="0" w:color="auto"/>
            </w:tcBorders>
            <w:noWrap/>
            <w:hideMark/>
          </w:tcPr>
          <w:p w14:paraId="402FF803"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0.88</w:t>
            </w:r>
          </w:p>
        </w:tc>
        <w:tc>
          <w:tcPr>
            <w:tcW w:w="1260" w:type="dxa"/>
            <w:tcBorders>
              <w:top w:val="nil"/>
              <w:left w:val="single" w:sz="4" w:space="0" w:color="auto"/>
              <w:bottom w:val="nil"/>
              <w:right w:val="nil"/>
            </w:tcBorders>
            <w:noWrap/>
            <w:hideMark/>
          </w:tcPr>
          <w:p w14:paraId="0B4A71E5"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LST rainy</w:t>
            </w:r>
          </w:p>
        </w:tc>
        <w:tc>
          <w:tcPr>
            <w:tcW w:w="1530" w:type="dxa"/>
            <w:tcBorders>
              <w:top w:val="nil"/>
              <w:left w:val="nil"/>
              <w:bottom w:val="nil"/>
              <w:right w:val="nil"/>
            </w:tcBorders>
            <w:noWrap/>
            <w:hideMark/>
          </w:tcPr>
          <w:p w14:paraId="420019C2"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0.84</w:t>
            </w:r>
          </w:p>
        </w:tc>
      </w:tr>
      <w:tr w:rsidR="00F10834" w:rsidRPr="00AA3319" w14:paraId="1FA4FB01" w14:textId="77777777" w:rsidTr="006E2151">
        <w:trPr>
          <w:trHeight w:val="288"/>
        </w:trPr>
        <w:tc>
          <w:tcPr>
            <w:tcW w:w="1435" w:type="dxa"/>
            <w:tcBorders>
              <w:top w:val="nil"/>
              <w:left w:val="nil"/>
              <w:bottom w:val="single" w:sz="4" w:space="0" w:color="auto"/>
              <w:right w:val="nil"/>
            </w:tcBorders>
            <w:noWrap/>
            <w:hideMark/>
          </w:tcPr>
          <w:p w14:paraId="40375754"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IRRI</w:t>
            </w:r>
          </w:p>
        </w:tc>
        <w:tc>
          <w:tcPr>
            <w:tcW w:w="1535" w:type="dxa"/>
            <w:tcBorders>
              <w:top w:val="nil"/>
              <w:left w:val="nil"/>
              <w:bottom w:val="single" w:sz="4" w:space="0" w:color="auto"/>
              <w:right w:val="single" w:sz="4" w:space="0" w:color="auto"/>
            </w:tcBorders>
            <w:noWrap/>
            <w:hideMark/>
          </w:tcPr>
          <w:p w14:paraId="261E01D7"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0.04</w:t>
            </w:r>
          </w:p>
        </w:tc>
        <w:tc>
          <w:tcPr>
            <w:tcW w:w="1350" w:type="dxa"/>
            <w:tcBorders>
              <w:top w:val="nil"/>
              <w:left w:val="single" w:sz="4" w:space="0" w:color="auto"/>
              <w:bottom w:val="single" w:sz="4" w:space="0" w:color="auto"/>
              <w:right w:val="nil"/>
            </w:tcBorders>
            <w:noWrap/>
            <w:hideMark/>
          </w:tcPr>
          <w:p w14:paraId="68396427"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IRRI</w:t>
            </w:r>
          </w:p>
        </w:tc>
        <w:tc>
          <w:tcPr>
            <w:tcW w:w="1530" w:type="dxa"/>
            <w:tcBorders>
              <w:top w:val="nil"/>
              <w:left w:val="nil"/>
              <w:bottom w:val="single" w:sz="4" w:space="0" w:color="auto"/>
              <w:right w:val="single" w:sz="4" w:space="0" w:color="auto"/>
            </w:tcBorders>
            <w:noWrap/>
            <w:hideMark/>
          </w:tcPr>
          <w:p w14:paraId="7CC41E35"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0.01</w:t>
            </w:r>
          </w:p>
        </w:tc>
        <w:tc>
          <w:tcPr>
            <w:tcW w:w="1260" w:type="dxa"/>
            <w:tcBorders>
              <w:top w:val="nil"/>
              <w:left w:val="single" w:sz="4" w:space="0" w:color="auto"/>
              <w:bottom w:val="single" w:sz="4" w:space="0" w:color="auto"/>
              <w:right w:val="nil"/>
            </w:tcBorders>
            <w:noWrap/>
            <w:hideMark/>
          </w:tcPr>
          <w:p w14:paraId="0AC7C2A1"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IRRI</w:t>
            </w:r>
          </w:p>
        </w:tc>
        <w:tc>
          <w:tcPr>
            <w:tcW w:w="1530" w:type="dxa"/>
            <w:tcBorders>
              <w:top w:val="nil"/>
              <w:left w:val="nil"/>
              <w:bottom w:val="single" w:sz="4" w:space="0" w:color="auto"/>
              <w:right w:val="nil"/>
            </w:tcBorders>
            <w:noWrap/>
            <w:hideMark/>
          </w:tcPr>
          <w:p w14:paraId="2C825934" w14:textId="77777777" w:rsidR="00F10834" w:rsidRPr="00AA3319" w:rsidRDefault="00F10834" w:rsidP="00F10834">
            <w:pPr>
              <w:spacing w:line="240" w:lineRule="auto"/>
              <w:jc w:val="left"/>
              <w:rPr>
                <w:rFonts w:eastAsia="Calibri" w:cs="Times New Roman"/>
                <w:sz w:val="22"/>
              </w:rPr>
            </w:pPr>
            <w:r w:rsidRPr="00AA3319">
              <w:rPr>
                <w:rFonts w:eastAsia="Calibri" w:cs="Times New Roman"/>
                <w:sz w:val="22"/>
              </w:rPr>
              <w:t>0.04</w:t>
            </w:r>
          </w:p>
        </w:tc>
      </w:tr>
    </w:tbl>
    <w:p w14:paraId="0B0A5A09" w14:textId="77777777" w:rsidR="0086102B" w:rsidRPr="00AA3319" w:rsidRDefault="0086102B">
      <w:pPr>
        <w:spacing w:line="259" w:lineRule="auto"/>
        <w:rPr>
          <w:rFonts w:cs="Times New Roman"/>
          <w:b/>
          <w:bCs/>
        </w:rPr>
      </w:pPr>
    </w:p>
    <w:p w14:paraId="7CAA248C" w14:textId="7009D612" w:rsidR="00617A79" w:rsidRPr="00141C47" w:rsidRDefault="00EE74B8" w:rsidP="00617A79">
      <w:pPr>
        <w:pStyle w:val="Heading1"/>
        <w:rPr>
          <w:rFonts w:cs="Times New Roman"/>
        </w:rPr>
      </w:pPr>
      <w:r w:rsidRPr="00AA3319">
        <w:rPr>
          <w:rFonts w:cs="Times New Roman"/>
        </w:rPr>
        <w:br w:type="page"/>
      </w:r>
      <w:bookmarkStart w:id="89" w:name="_Toc78889198"/>
      <w:r w:rsidR="00617A79" w:rsidRPr="00AA3319">
        <w:rPr>
          <w:rFonts w:cs="Times New Roman"/>
        </w:rPr>
        <w:lastRenderedPageBreak/>
        <w:t xml:space="preserve">Identifying </w:t>
      </w:r>
      <w:r w:rsidR="00F1745B">
        <w:rPr>
          <w:rFonts w:cs="Times New Roman"/>
        </w:rPr>
        <w:t>e</w:t>
      </w:r>
      <w:r w:rsidR="00617A79" w:rsidRPr="00AA3319">
        <w:rPr>
          <w:rFonts w:cs="Times New Roman"/>
        </w:rPr>
        <w:t xml:space="preserve">nvironmental </w:t>
      </w:r>
      <w:r w:rsidR="00F1745B">
        <w:rPr>
          <w:rFonts w:cs="Times New Roman"/>
        </w:rPr>
        <w:t>r</w:t>
      </w:r>
      <w:r w:rsidR="00617A79" w:rsidRPr="00AA3319">
        <w:rPr>
          <w:rFonts w:cs="Times New Roman"/>
        </w:rPr>
        <w:t xml:space="preserve">isk </w:t>
      </w:r>
      <w:r w:rsidR="00F1745B">
        <w:rPr>
          <w:rFonts w:cs="Times New Roman"/>
        </w:rPr>
        <w:t>f</w:t>
      </w:r>
      <w:r w:rsidR="00617A79" w:rsidRPr="00AA3319">
        <w:rPr>
          <w:rFonts w:cs="Times New Roman"/>
        </w:rPr>
        <w:t xml:space="preserve">actors and </w:t>
      </w:r>
      <w:r w:rsidR="00F1745B">
        <w:rPr>
          <w:rFonts w:cs="Times New Roman"/>
        </w:rPr>
        <w:t>m</w:t>
      </w:r>
      <w:r w:rsidR="00617A79" w:rsidRPr="00AA3319">
        <w:rPr>
          <w:rFonts w:cs="Times New Roman"/>
        </w:rPr>
        <w:t xml:space="preserve">apping the </w:t>
      </w:r>
      <w:r w:rsidR="00F1745B">
        <w:rPr>
          <w:rFonts w:cs="Times New Roman"/>
        </w:rPr>
        <w:t>d</w:t>
      </w:r>
      <w:r w:rsidR="00617A79" w:rsidRPr="00AA3319">
        <w:rPr>
          <w:rFonts w:cs="Times New Roman"/>
        </w:rPr>
        <w:t xml:space="preserve">istribution of West Nile </w:t>
      </w:r>
      <w:r w:rsidR="00F1745B">
        <w:rPr>
          <w:rFonts w:cs="Times New Roman"/>
        </w:rPr>
        <w:t>v</w:t>
      </w:r>
      <w:r w:rsidR="00617A79" w:rsidRPr="00AA3319">
        <w:rPr>
          <w:rFonts w:cs="Times New Roman"/>
        </w:rPr>
        <w:t xml:space="preserve">irus in an </w:t>
      </w:r>
      <w:r w:rsidR="00F1745B">
        <w:rPr>
          <w:rFonts w:cs="Times New Roman"/>
        </w:rPr>
        <w:t>e</w:t>
      </w:r>
      <w:r w:rsidR="00617A79" w:rsidRPr="00AA3319">
        <w:rPr>
          <w:rFonts w:cs="Times New Roman"/>
        </w:rPr>
        <w:t xml:space="preserve">ndemic </w:t>
      </w:r>
      <w:r w:rsidR="00F1745B">
        <w:rPr>
          <w:rFonts w:cs="Times New Roman"/>
        </w:rPr>
        <w:t>r</w:t>
      </w:r>
      <w:r w:rsidR="00617A79" w:rsidRPr="00AA3319">
        <w:rPr>
          <w:rFonts w:cs="Times New Roman"/>
        </w:rPr>
        <w:t>egion of North America</w:t>
      </w:r>
      <w:bookmarkEnd w:id="89"/>
    </w:p>
    <w:p w14:paraId="7E149ABB" w14:textId="77777777" w:rsidR="00617A79" w:rsidRPr="00AA3319" w:rsidRDefault="00617A79" w:rsidP="00E31B84">
      <w:pPr>
        <w:rPr>
          <w:rFonts w:cs="Times New Roman"/>
          <w:b/>
          <w:bCs/>
        </w:rPr>
      </w:pPr>
      <w:r w:rsidRPr="00AA3319">
        <w:rPr>
          <w:rFonts w:cs="Times New Roman"/>
          <w:b/>
          <w:bCs/>
        </w:rPr>
        <w:t>Abstract</w:t>
      </w:r>
    </w:p>
    <w:p w14:paraId="7780F1B0" w14:textId="77777777" w:rsidR="00617A79" w:rsidRPr="00AA3319" w:rsidRDefault="00617A79" w:rsidP="00A750EC">
      <w:pPr>
        <w:rPr>
          <w:rFonts w:cs="Times New Roman"/>
        </w:rPr>
      </w:pPr>
      <w:r w:rsidRPr="00AA3319">
        <w:rPr>
          <w:rFonts w:cs="Times New Roman"/>
        </w:rPr>
        <w:t>Understanding the geographic distribution of mosquito-borne disease and mapping disease risk are important for prevention and control efforts. Mosquito-borne viruses (arboviruses), such as West Nile virus (WNV), are highly dependent on environmental conditions. Therefore, the use of environmental data can help in making spatial predictions of disease distribution. We used geocoded human case data for 2004-2017 and population-weighted control points in combination with multiple geospatial environmental datasets to assess the environmental drivers of WNV cases and to map relative infection risk in South Dakota, USA. We compared the effectiveness of 1) land cover and physiography data, 2) climate data, and 3) spectral data for mapping the risk of WNV in South Dakota. A final model combining all datasets was used to predict spatial patterns of disease transmission and characterize the associations between environmental factors and WNV risk.</w:t>
      </w:r>
    </w:p>
    <w:p w14:paraId="28C4F396" w14:textId="77777777" w:rsidR="00617A79" w:rsidRPr="00AA3319" w:rsidRDefault="00617A79" w:rsidP="00617A79">
      <w:pPr>
        <w:rPr>
          <w:rFonts w:cs="Times New Roman"/>
          <w:color w:val="000000" w:themeColor="text1"/>
          <w:szCs w:val="24"/>
        </w:rPr>
      </w:pPr>
      <w:r w:rsidRPr="00AA3319">
        <w:rPr>
          <w:rFonts w:cs="Times New Roman"/>
          <w:color w:val="000000" w:themeColor="text1"/>
          <w:szCs w:val="24"/>
        </w:rPr>
        <w:t xml:space="preserve">We used a boosted regression tree (BRT) model to identify the most important variables driving WNV risk and generated risk maps by applying this model across the entire state. We found that combining multiple sources of environmental data resulted in the most accurate predictions. Elevation, late season humidity, and early-season surface moisture were the most important predictors of disease distribution. Indices that quantified inter-annual variability of climatic conditions and land surface moisture were better predictors </w:t>
      </w:r>
      <w:r w:rsidRPr="00AA3319">
        <w:rPr>
          <w:rFonts w:cs="Times New Roman"/>
          <w:color w:val="000000" w:themeColor="text1"/>
          <w:szCs w:val="24"/>
        </w:rPr>
        <w:lastRenderedPageBreak/>
        <w:t>than inter-annual mean. We suggest that combining measures of inter-annual environmental variability with static land cover and physiography variables can help to improve spatial predictions of arbovirus transmission risk.</w:t>
      </w:r>
    </w:p>
    <w:p w14:paraId="654540A7" w14:textId="77777777" w:rsidR="00617A79" w:rsidRPr="00AA3319" w:rsidRDefault="00617A79" w:rsidP="00617A79">
      <w:pPr>
        <w:rPr>
          <w:rFonts w:eastAsiaTheme="majorEastAsia" w:cs="Times New Roman"/>
          <w:b/>
          <w:color w:val="000000" w:themeColor="text1"/>
          <w:szCs w:val="32"/>
        </w:rPr>
      </w:pPr>
      <w:r w:rsidRPr="00AA3319">
        <w:rPr>
          <w:rFonts w:cs="Times New Roman"/>
          <w:color w:val="000000" w:themeColor="text1"/>
        </w:rPr>
        <w:br w:type="page"/>
      </w:r>
    </w:p>
    <w:p w14:paraId="2CCE4107" w14:textId="5C1D1E5F" w:rsidR="00617A79" w:rsidRPr="00AA3319" w:rsidRDefault="00617A79" w:rsidP="00A750EC">
      <w:pPr>
        <w:pStyle w:val="Heading2"/>
        <w:rPr>
          <w:rFonts w:cs="Times New Roman"/>
          <w:b/>
          <w:szCs w:val="32"/>
        </w:rPr>
      </w:pPr>
      <w:bookmarkStart w:id="90" w:name="_Toc78889199"/>
      <w:r w:rsidRPr="00AA3319">
        <w:rPr>
          <w:rFonts w:cs="Times New Roman"/>
        </w:rPr>
        <w:lastRenderedPageBreak/>
        <w:t>Introduction</w:t>
      </w:r>
      <w:bookmarkEnd w:id="90"/>
    </w:p>
    <w:p w14:paraId="7FA174C4" w14:textId="404E4E99" w:rsidR="00617A79" w:rsidRPr="00AA3319" w:rsidRDefault="00617A79" w:rsidP="00A750EC">
      <w:pPr>
        <w:rPr>
          <w:rFonts w:cs="Times New Roman"/>
        </w:rPr>
      </w:pPr>
      <w:r w:rsidRPr="00AA3319">
        <w:rPr>
          <w:rFonts w:cs="Times New Roman"/>
        </w:rPr>
        <w:t xml:space="preserve">Understanding the geographic distribution of disease and mapping disease risk are important in supporting public health efforts to reduce the burden of infectious disease </w:t>
      </w:r>
      <w:r w:rsidR="002B37C7" w:rsidRPr="00AA3319">
        <w:rPr>
          <w:rFonts w:cs="Times New Roman"/>
        </w:rPr>
        <w:fldChar w:fldCharType="begin"/>
      </w:r>
      <w:r w:rsidR="0043153D" w:rsidRPr="00AA3319">
        <w:rPr>
          <w:rFonts w:cs="Times New Roman"/>
        </w:rPr>
        <w:instrText xml:space="preserve"> ADDIN ZOTERO_ITEM CSL_CITATION {"citationID":"MUn8y5XJ","properties":{"formattedCitation":"(Hay et al., 2013; Ostfeld et al., 2005; Pigott et al., 2015)","plainCitation":"(Hay et al., 2013; Ostfeld et al., 2005; Pigott et al., 2015)","noteIndex":0},"citationItems":[{"id":1477,"uris":["http://zotero.org/users/5456909/items/T8WE4ELM"],"uri":["http://zotero.org/users/5456909/items/T8WE4ELM"],"itemData":{"id":1477,"type":"article-journal","abstract":"The primary aim of this review was to evaluate the state of knowledge of the geographical distribution of all infectious diseases of clinical significance to humans. A systematic review was conducted to enumerate cartographic progress, with respect to the data available for mapping and the methods currently applied. The results helped define the minimum information requirements for mapping infectious disease occurrence, and a quantitative framework for assessing the mapping opportunities for all infectious diseases. This revealed that of 355 infectious diseases identified, 174 (49%) have a strong rationale for mapping and of these only 7 (4%) had been comprehensively mapped. A variety of ambitions, such as the quantification of the global burden of infectious disease, international biosurveillance, assessing the like-lihood of infectious disease outbreaks and exploring the propensity for infectious disease evolution and emergence, are limited by these omissions. An overview of the factors hindering progress in disease cartography is pro-vided. It is argued that rapid improvement in the landscape of infectious diseases mapping can be made by embracing non-conventional data sources, automation of geo-positioning and mapping procedures enabled by machine learning and information technology, respectively, in addition to harnessing labour of the volunteer 'cognitive surplus' through crowdsourcing.","container-title":"Philosophical Transactions of the Royal Society B: Biological Sciences","page":"20120250-20120250","title":"Global mapping of infectious disease","volume":"368","author":[{"family":"Hay","given":"Simon I"},{"family":"Battle","given":"Katherine E"},{"family":"Pigott","given":"David M"},{"family":"Smith","given":"David L"},{"family":"Moyes","given":"Catherine L"},{"family":"Bhatt","given":"Samir"},{"family":"Brownstein","given":"John S"},{"family":"Collier","given":"Nigel"},{"family":"Myers","given":"Monica F"},{"family":"George","given":"Dylan B"},{"family":"Gething","given":"Peter W"}],"issued":{"date-parts":[["2013"]]}}},{"id":684,"uris":["http://zotero.org/users/5456909/items/6MVSKGVN"],"uri":["http://zotero.org/users/5456909/items/6MVSKGVN"],"itemData":{"id":684,"type":"article-journal","abstract":"Spatial epidemiology is the study of spatial variation in disease risk or incidence. Several ecological processes can result in strong spatial patterns of such risk or incidence: for example, pathogen dispersal might be highly localized, vectors or reservoirs for pathogens might be spatially restricted, or susceptible hosts might be clumped. Here, we briefly describe approaches to spatial epidemiology that are spatially implicit, such as metapopulation models of disease transmission, and then focus on research in spatial epidemiology that is spatially explicit, such as the creation of risk maps for particular geographical areas. Although the spatial dynamics of infectious diseases are the subject of intensive study, the impacts of landscape structure on epidemiological processes have so far been neglected. The few studies that demonstrate how landscape composition (types of elements) and configuration (spatial positions of those elements) influence disease risk or incidence suggest that a true integration of landscape ecology with epidemiology will be fruitful.","container-title":"Trends in Ecology &amp; Evolution","issue":"6","page":"328-336","title":"Spatial epidemiology: An emerging (or re-emerging) discipline","volume":"20","author":[{"family":"Ostfeld","given":"Richard S."},{"family":"Glass","given":"Gregory E."},{"family":"Keesing","given":"Felicia"}],"issued":{"date-parts":[["2005",6]]}}},{"id":1465,"uris":["http://zotero.org/users/5456909/items/N78MMPI2"],"uri":["http://zotero.org/users/5456909/items/N78MMPI2"],"itemData":{"id":1465,"type":"article-journal","abstract":"Background","container-title":"PLoS Neglected Tropical Disease","issue":"6","page":"e0003756-e0003756","title":"Prioritising infectious disease mapping","volume":"9","author":[{"family":"Pigott","given":"David M"},{"family":"Howes","given":"Rosalind E"},{"family":"Wiebe","given":"Antoinette"},{"family":"Battle","given":"Katherine E"},{"family":"Golding","given":"Nick"},{"family":"Gething","given":"Peter W"},{"family":"Dowell","given":"Scott F"},{"family":"Farag","given":"Tamer H"},{"family":"Garcia","given":"Andres J"},{"family":"Kimball","given":"Ann M"},{"family":"Krause","given":"L Kendall"},{"family":"Smith","given":"Craig H"},{"family":"Brooker","given":"Simon J"},{"family":"Kyu","given":"Hmwe H"},{"family":"Vos","given":"Theo"},{"family":"Murray","given":"Christopher J L"},{"family":"Moyes","given":"Catherine L"},{"family":"Hay","given":"Simon I"}],"issued":{"date-parts":[["2015"]]}}}],"schema":"https://github.com/citation-style-language/schema/raw/master/csl-citation.json"} </w:instrText>
      </w:r>
      <w:r w:rsidR="002B37C7" w:rsidRPr="00AA3319">
        <w:rPr>
          <w:rFonts w:cs="Times New Roman"/>
        </w:rPr>
        <w:fldChar w:fldCharType="separate"/>
      </w:r>
      <w:r w:rsidR="0043153D" w:rsidRPr="00AA3319">
        <w:rPr>
          <w:rFonts w:cs="Times New Roman"/>
        </w:rPr>
        <w:t>(Hay et al., 2013; Ostfeld et al., 2005; Pigott et al., 2015)</w:t>
      </w:r>
      <w:r w:rsidR="002B37C7" w:rsidRPr="00AA3319">
        <w:rPr>
          <w:rFonts w:cs="Times New Roman"/>
        </w:rPr>
        <w:fldChar w:fldCharType="end"/>
      </w:r>
      <w:r w:rsidR="002B37C7" w:rsidRPr="00AA3319">
        <w:rPr>
          <w:rFonts w:cs="Times New Roman"/>
          <w:noProof/>
        </w:rPr>
        <w:t>.</w:t>
      </w:r>
      <w:r w:rsidRPr="00AA3319">
        <w:rPr>
          <w:rFonts w:cs="Times New Roman"/>
        </w:rPr>
        <w:t xml:space="preserve"> Locating high-risk areas and identifying populations at risk can allow health officials to implement targeted disease prevention, control, and elimination efforts. In the case of mosquito-borne diseases, targeted interventions can improve the effectiveness of disease prevention and vector control campaigns. By knowing where disease hot spots are located, public authorities can apply insecticides for mosquito control primarily in high-risk areas, and therefore efficiently decrease disease transmission </w:t>
      </w:r>
      <w:r w:rsidRPr="00AA3319">
        <w:rPr>
          <w:rFonts w:cs="Times New Roman"/>
        </w:rPr>
        <w:fldChar w:fldCharType="begin" w:fldLock="1"/>
      </w:r>
      <w:r w:rsidR="00531D94" w:rsidRPr="00AA3319">
        <w:rPr>
          <w:rFonts w:cs="Times New Roman"/>
        </w:rPr>
        <w:instrText xml:space="preserve"> ADDIN ZOTERO_ITEM CSL_CITATION {"citationID":"YiugY7fx","properties":{"formattedCitation":"(Bousema et al., 2012)","plainCitation":"(Bousema et al., 2012)","noteIndex":0},"citationItems":[{"id":667,"uris":["http://zotero.org/users/5456909/items/X9GC3HIS"],"uri":["http://zotero.org/users/5456909/items/X9GC3HIS"],"itemData":{"id":667,"type":"article-journal","abstract":"Teun Bousema and colleagues argue that targeting malaria “hotspots” is a highly efficient way to reduce malaria transmission at all levels of transmission intensity.","container-title":"PLoS Medicine","issue":"1","page":"e1001165-e1001165","title":"Hitting hotspots: spatial targeting of malaria for control and elimination","volume":"9","author":[{"family":"Bousema","given":"Teun"},{"family":"Griffin","given":"Jamie T."},{"family":"Sauerwein","given":"Robert W."},{"family":"Smith","given":"David L."},{"family":"Churcher","given":"Thomas S."},{"family":"Takken","given":"Willem"},{"family":"Ghani","given":"Azra"},{"family":"Drakeley","given":"Chris"},{"family":"Gosling","given":"Roly"}],"issued":{"date-parts":[["2012",1]]}}}],"schema":"https://github.com/citation-style-language/schema/raw/master/csl-citation.json"} </w:instrText>
      </w:r>
      <w:r w:rsidRPr="00AA3319">
        <w:rPr>
          <w:rFonts w:cs="Times New Roman"/>
        </w:rPr>
        <w:fldChar w:fldCharType="separate"/>
      </w:r>
      <w:r w:rsidR="002B37C7" w:rsidRPr="00AA3319">
        <w:rPr>
          <w:rFonts w:cs="Times New Roman"/>
        </w:rPr>
        <w:t>(Bousema et al., 2012)</w:t>
      </w:r>
      <w:r w:rsidRPr="00AA3319">
        <w:rPr>
          <w:rFonts w:cs="Times New Roman"/>
        </w:rPr>
        <w:fldChar w:fldCharType="end"/>
      </w:r>
      <w:r w:rsidRPr="00AA3319">
        <w:rPr>
          <w:rFonts w:cs="Times New Roman"/>
        </w:rPr>
        <w:t xml:space="preserve"> while reducing concerns associated with the development of resistance against insecticides </w:t>
      </w:r>
      <w:r w:rsidRPr="00AA3319">
        <w:rPr>
          <w:rFonts w:cs="Times New Roman"/>
        </w:rPr>
        <w:fldChar w:fldCharType="begin" w:fldLock="1"/>
      </w:r>
      <w:r w:rsidR="002B37C7" w:rsidRPr="00AA3319">
        <w:rPr>
          <w:rFonts w:cs="Times New Roman"/>
        </w:rPr>
        <w:instrText xml:space="preserve"> ADDIN ZOTERO_ITEM CSL_CITATION {"citationID":"Xqnqpvgr","properties":{"formattedCitation":"(Hemingway and Ranson, 2000)","plainCitation":"(Hemingway and Ranson, 2000)","noteIndex":0},"citationItems":[{"id":665,"uris":["http://zotero.org/users/5456909/items/ZZPUN3BV"],"uri":["http://zotero.org/users/5456909/items/ZZPUN3BV"],"itemData":{"id":665,"type":"article-journal","abstract":"▪ Abstract Insecticide resistance is an increasing problem in many insect vectors of disease. Our knowledge of the basic mechanisms underlying resistance to commonly used insecticides is well established. Molecular techniques have recently allowed us to start and dissect most of these mechanisms at the DNA level. The next major challenge will be to use this molecular understanding of resistance to develop novel strategies with which we can truly manage resistance. State-of-the-art information on resistance in insect vectors of disease is reviewed in this context.","container-title":"Annual Review of Entomology","issue":"1","page":"371-391","title":"Insecticide resistance in insect vectors of human disease","volume":"45","author":[{"family":"Hemingway","given":"Janet"},{"family":"Ranson","given":"Hilary"}],"issued":{"date-parts":[["2000",1]]}}}],"schema":"https://github.com/citation-style-language/schema/raw/master/csl-citation.json"} </w:instrText>
      </w:r>
      <w:r w:rsidRPr="00AA3319">
        <w:rPr>
          <w:rFonts w:cs="Times New Roman"/>
        </w:rPr>
        <w:fldChar w:fldCharType="separate"/>
      </w:r>
      <w:r w:rsidR="002B37C7" w:rsidRPr="00AA3319">
        <w:rPr>
          <w:rFonts w:cs="Times New Roman"/>
        </w:rPr>
        <w:t>(Hemingway and Ranson, 2000)</w:t>
      </w:r>
      <w:r w:rsidRPr="00AA3319">
        <w:rPr>
          <w:rFonts w:cs="Times New Roman"/>
        </w:rPr>
        <w:fldChar w:fldCharType="end"/>
      </w:r>
      <w:r w:rsidRPr="00AA3319">
        <w:rPr>
          <w:rFonts w:cs="Times New Roman"/>
        </w:rPr>
        <w:t xml:space="preserve">. Additionally, targeting community outreach and public education encourages communities at risk to engage in prevention behaviors, as people who are aware of the risk in their neighborhood are more likely to eliminate potential breeding sites in their homes, apply insect repellent, dress appropriately to avoid bites, and avoid the outdoors during mosquito feeding hours </w:t>
      </w:r>
      <w:r w:rsidRPr="00AA3319">
        <w:rPr>
          <w:rFonts w:cs="Times New Roman"/>
          <w:noProof/>
        </w:rPr>
        <w:fldChar w:fldCharType="begin"/>
      </w:r>
      <w:r w:rsidRPr="00AA3319">
        <w:rPr>
          <w:rFonts w:cs="Times New Roman"/>
          <w:noProof/>
        </w:rPr>
        <w:instrText xml:space="preserve"> AUTHOR  "(Mitchell et al. 2018)" </w:instrText>
      </w:r>
      <w:r w:rsidRPr="00AA3319">
        <w:rPr>
          <w:rFonts w:cs="Times New Roman"/>
          <w:noProof/>
        </w:rPr>
        <w:fldChar w:fldCharType="separate"/>
      </w:r>
      <w:r w:rsidRPr="00AA3319">
        <w:rPr>
          <w:rFonts w:cs="Times New Roman"/>
          <w:noProof/>
        </w:rPr>
        <w:t>(Mitchell et al. 2018)</w:t>
      </w:r>
      <w:r w:rsidRPr="00AA3319">
        <w:rPr>
          <w:rFonts w:cs="Times New Roman"/>
          <w:noProof/>
        </w:rPr>
        <w:fldChar w:fldCharType="end"/>
      </w:r>
      <w:r w:rsidRPr="00AA3319">
        <w:rPr>
          <w:rFonts w:cs="Times New Roman"/>
        </w:rPr>
        <w:t>. Such spatially-targeted strategies at the community level are only possible if we can identify risk areas at a sufficiently high spatial resolution.</w:t>
      </w:r>
    </w:p>
    <w:p w14:paraId="7009917D" w14:textId="1EA58318" w:rsidR="00617A79" w:rsidRPr="00AA3319" w:rsidRDefault="00617A79" w:rsidP="00A750EC">
      <w:pPr>
        <w:rPr>
          <w:rFonts w:cs="Times New Roman"/>
        </w:rPr>
      </w:pPr>
      <w:r w:rsidRPr="00AA3319">
        <w:rPr>
          <w:rFonts w:cs="Times New Roman"/>
        </w:rPr>
        <w:t xml:space="preserve">In this study, we focus on understanding and predicting fine-grained spatial patterns of human West Nile virus (WNV) risk. WNV is a mosquito-borne pathogen of global importance, as it is the most widely distributed encephalitic flavivirus </w:t>
      </w:r>
      <w:r w:rsidRPr="00AA3319">
        <w:rPr>
          <w:rFonts w:cs="Times New Roman"/>
        </w:rPr>
        <w:fldChar w:fldCharType="begin" w:fldLock="1"/>
      </w:r>
      <w:r w:rsidR="002B37C7" w:rsidRPr="00AA3319">
        <w:rPr>
          <w:rFonts w:cs="Times New Roman"/>
        </w:rPr>
        <w:instrText xml:space="preserve"> ADDIN ZOTERO_ITEM CSL_CITATION {"citationID":"bXzMpouf","properties":{"formattedCitation":"(May et al., 2011)","plainCitation":"(May et al., 2011)","noteIndex":0},"citationItems":[{"id":774,"uris":["http://zotero.org/users/5456909/items/IIA4PHWX"],"uri":["http://zotero.org/users/5456909/items/IIA4PHWX"],"itemData":{"id":774,"type":"article-journal","abstract":"West Nile virus (WNV) is the most widely distributed of the encephalitic flaviviruses and is a major cause of encephalitis, with isolates obtained from all continents, apart from Antarctica. Subsequent to its divergence from the other members of the Japanese encephalitis virus complex, presumably in Africa, WNV has diverged into individual lineages that mostly correspond with geographic distribution. Here we elucidate the phylogeography and evolutionary history of isolates from lineage 1 of WNV. Interestingly, there are many examples of the same amino acid having evolved independently on multiple occasions. In Africa, WNV exists in an endemic cycle, whereas it is epidemic in Europe, being reintroduced regularly from Africa either directly (in western Europe) or via the Middle East (in eastern Europe). Significantly, introduction into other geographic areas has occurred on one occasion only in each region, leading to subsequent establishment and expansion of the virus in these areas. Only one endemic genotype each is present in India and Australia, suggesting that WNV was successfully introduced into these locations once only. Each introduction occurred many centuries ago, probably due to trade and exploration during the 19th century. Likewise, in the Americas, WNV was successfully introduced in 1999 and subsequently became endemic across most temperate regions of North America (NA). In contrast to previous suggestions, an isolate from the epidemic in Israel in 1998 was not the direct progenitor of the NA epidemic; rather, both epidemics originated from the same (unknown) location.","container-title":"Journal of Virology","issue":"6","page":"2964-74","title":"Phylogeography of West Nile virus: from the cradle of evolution in Africa to Eurasia, Australia, and the Americas.","volume":"85","author":[{"family":"May","given":"Fiona J"},{"family":"Davis","given":"C Todd"},{"family":"Tesh","given":"Robert B"},{"family":"Barrett","given":"Alan D T"}],"issued":{"date-parts":[["2011",3]]}}}],"schema":"https://github.com/citation-style-language/schema/raw/master/csl-citation.json"} </w:instrText>
      </w:r>
      <w:r w:rsidRPr="00AA3319">
        <w:rPr>
          <w:rFonts w:cs="Times New Roman"/>
        </w:rPr>
        <w:fldChar w:fldCharType="separate"/>
      </w:r>
      <w:r w:rsidR="002B37C7" w:rsidRPr="00AA3319">
        <w:rPr>
          <w:rFonts w:cs="Times New Roman"/>
        </w:rPr>
        <w:t>(May et al., 2011)</w:t>
      </w:r>
      <w:r w:rsidRPr="00AA3319">
        <w:rPr>
          <w:rFonts w:cs="Times New Roman"/>
        </w:rPr>
        <w:fldChar w:fldCharType="end"/>
      </w:r>
      <w:r w:rsidRPr="00AA3319">
        <w:rPr>
          <w:rFonts w:cs="Times New Roman"/>
        </w:rPr>
        <w:t xml:space="preserve"> and the most widespread cause of arboviral neurological disease in the world </w:t>
      </w:r>
      <w:r w:rsidRPr="00AA3319">
        <w:rPr>
          <w:rFonts w:cs="Times New Roman"/>
        </w:rPr>
        <w:fldChar w:fldCharType="begin" w:fldLock="1"/>
      </w:r>
      <w:r w:rsidR="00B15B8A" w:rsidRPr="00AA3319">
        <w:rPr>
          <w:rFonts w:cs="Times New Roman"/>
        </w:rPr>
        <w:instrText xml:space="preserve"> ADDIN ZOTERO_ITEM CSL_CITATION {"citationID":"Wh7ZR4u3","properties":{"formattedCitation":"(Chancey et al., 2015)","plainCitation":"(Chancey et al., 2015)","noteIndex":0},"citationItems":[{"id":742,"uris":["http://zotero.org/users/5456909/items/L435JJKZ"],"uri":["http://zotero.org/users/5456909/items/L435JJKZ"],"itemData":{"id":742,"type":"article-journal","abstract":"Since its initial isolation in Uganda in 1937 through the present, West Nile virus (WNV) has become an important cause of human and animal disease worldwide. WNV, an enveloped virus of the genus Flavivirus , is naturally maintained in an enzootic cycle between birds and mosquitoes, with occasional epizootic spillover causing disease in humans and horses. The mosquito vectors for WNV are widely distributed worldwide, and the known geographic range of WNV transmission and disease has continued to increase over the past 77 years. While most human infections with WNV are asymptomatic, severe neurological disease may develop resulting in long-term sequelae or death. Surveillance and preventive measures are an ongoing need to reduce the public health impact of WNV in areas with the potential for transmission.","container-title":"BioMed Research International","page":"1-20","title":"The global ecology and epidemiology of West Nile virus","author":[{"family":"Chancey","given":"Caren"},{"family":"Grinev","given":"Andriyan"},{"family":"Volkova","given":"Evgeniya"},{"family":"Rios","given":"Maria"}],"issued":{"date-parts":[["2015",3]]}}}],"schema":"https://github.com/citation-style-language/schema/raw/master/csl-citation.json"} </w:instrText>
      </w:r>
      <w:r w:rsidRPr="00AA3319">
        <w:rPr>
          <w:rFonts w:cs="Times New Roman"/>
        </w:rPr>
        <w:fldChar w:fldCharType="separate"/>
      </w:r>
      <w:r w:rsidR="002B37C7" w:rsidRPr="00AA3319">
        <w:rPr>
          <w:rFonts w:cs="Times New Roman"/>
        </w:rPr>
        <w:t>(Chancey et al., 2015)</w:t>
      </w:r>
      <w:r w:rsidRPr="00AA3319">
        <w:rPr>
          <w:rFonts w:cs="Times New Roman"/>
        </w:rPr>
        <w:fldChar w:fldCharType="end"/>
      </w:r>
      <w:r w:rsidRPr="00AA3319">
        <w:rPr>
          <w:rFonts w:cs="Times New Roman"/>
        </w:rPr>
        <w:t xml:space="preserve">. It is primarily a zoonotic disease transmitted between birds as the main reservoir </w:t>
      </w:r>
      <w:r w:rsidRPr="00AA3319">
        <w:rPr>
          <w:rFonts w:cs="Times New Roman"/>
        </w:rPr>
        <w:lastRenderedPageBreak/>
        <w:t xml:space="preserve">hosts and mosquitoes as vectors. Infections in horses and humans can occur as spillovers, but these organisms are dead-end hosts. First isolated in Uganda, the virus has spread across the globe </w:t>
      </w:r>
      <w:r w:rsidRPr="00AA3319">
        <w:rPr>
          <w:rFonts w:cs="Times New Roman"/>
        </w:rPr>
        <w:fldChar w:fldCharType="begin" w:fldLock="1"/>
      </w:r>
      <w:r w:rsidR="00B15B8A" w:rsidRPr="00AA3319">
        <w:rPr>
          <w:rFonts w:cs="Times New Roman"/>
        </w:rPr>
        <w:instrText xml:space="preserve"> ADDIN ZOTERO_ITEM CSL_CITATION {"citationID":"Omqi3kYB","properties":{"formattedCitation":"(Chancey et al., 2015)","plainCitation":"(Chancey et al., 2015)","noteIndex":0},"citationItems":[{"id":742,"uris":["http://zotero.org/users/5456909/items/L435JJKZ"],"uri":["http://zotero.org/users/5456909/items/L435JJKZ"],"itemData":{"id":742,"type":"article-journal","abstract":"Since its initial isolation in Uganda in 1937 through the present, West Nile virus (WNV) has become an important cause of human and animal disease worldwide. WNV, an enveloped virus of the genus Flavivirus , is naturally maintained in an enzootic cycle between birds and mosquitoes, with occasional epizootic spillover causing disease in humans and horses. The mosquito vectors for WNV are widely distributed worldwide, and the known geographic range of WNV transmission and disease has continued to increase over the past 77 years. While most human infections with WNV are asymptomatic, severe neurological disease may develop resulting in long-term sequelae or death. Surveillance and preventive measures are an ongoing need to reduce the public health impact of WNV in areas with the potential for transmission.","container-title":"BioMed Research International","page":"1-20","title":"The global ecology and epidemiology of West Nile virus","author":[{"family":"Chancey","given":"Caren"},{"family":"Grinev","given":"Andriyan"},{"family":"Volkova","given":"Evgeniya"},{"family":"Rios","given":"Maria"}],"issued":{"date-parts":[["2015",3]]}}}],"schema":"https://github.com/citation-style-language/schema/raw/master/csl-citation.json"} </w:instrText>
      </w:r>
      <w:r w:rsidRPr="00AA3319">
        <w:rPr>
          <w:rFonts w:cs="Times New Roman"/>
        </w:rPr>
        <w:fldChar w:fldCharType="separate"/>
      </w:r>
      <w:r w:rsidR="002B37C7" w:rsidRPr="00AA3319">
        <w:rPr>
          <w:rFonts w:cs="Times New Roman"/>
        </w:rPr>
        <w:t>(Chancey et al., 2015)</w:t>
      </w:r>
      <w:r w:rsidRPr="00AA3319">
        <w:rPr>
          <w:rFonts w:cs="Times New Roman"/>
        </w:rPr>
        <w:fldChar w:fldCharType="end"/>
      </w:r>
      <w:r w:rsidRPr="00AA3319">
        <w:rPr>
          <w:rFonts w:cs="Times New Roman"/>
        </w:rPr>
        <w:t xml:space="preserve">, including to the United States. After its first introduction to the United States in 1999, it dispersed rapidly and now covers a large geographical area and a wide ecological range </w:t>
      </w:r>
      <w:r w:rsidRPr="00AA3319">
        <w:rPr>
          <w:rFonts w:cs="Times New Roman"/>
        </w:rPr>
        <w:fldChar w:fldCharType="begin" w:fldLock="1"/>
      </w:r>
      <w:r w:rsidR="00701ADA" w:rsidRPr="00AA3319">
        <w:rPr>
          <w:rFonts w:cs="Times New Roman"/>
        </w:rPr>
        <w:instrText xml:space="preserve"> ADDIN ZOTERO_ITEM CSL_CITATION {"citationID":"DS3muhmX","properties":{"formattedCitation":"(Reisen, 2013)","plainCitation":"(Reisen, 2013)","noteIndex":0},"citationItems":[{"id":35,"uris":["http://zotero.org/users/5456909/items/W4NN733R"],"uri":["http://zotero.org/users/5456909/items/W4NN733R"],"itemData":{"id":35,"type":"article-journal","abstract":"The introduction, dispersal and establishment of West Nile virus in North America were reviewed, focusing on factors that may have enhanced receptivity and enabled the invasion process. The overwintering persistence of this tropical virus within temperate latitudes was unexpected, but was key in the transition from invasion to endemic establishment. The cascade of temporal events allowing sporadic amplification to outbreak levels was discussed within a future perspective.","container-title":"Viruses","issue":"9","language":"en","page":"2079-2105","source":"www.mdpi.com","title":"Ecology of West Nile Virus in North America","volume":"5","author":[{"family":"Reisen","given":"William K."}],"issued":{"date-parts":[["2013",9]]}}}],"schema":"https://github.com/citation-style-language/schema/raw/master/csl-citation.json"} </w:instrText>
      </w:r>
      <w:r w:rsidRPr="00AA3319">
        <w:rPr>
          <w:rFonts w:cs="Times New Roman"/>
        </w:rPr>
        <w:fldChar w:fldCharType="separate"/>
      </w:r>
      <w:r w:rsidR="00701ADA" w:rsidRPr="00AA3319">
        <w:rPr>
          <w:rFonts w:cs="Times New Roman"/>
        </w:rPr>
        <w:t>(Reisen, 2013)</w:t>
      </w:r>
      <w:r w:rsidRPr="00AA3319">
        <w:rPr>
          <w:rFonts w:cs="Times New Roman"/>
        </w:rPr>
        <w:fldChar w:fldCharType="end"/>
      </w:r>
      <w:r w:rsidRPr="00AA3319">
        <w:rPr>
          <w:rFonts w:cs="Times New Roman"/>
        </w:rPr>
        <w:t xml:space="preserve">. In the United States, WNV has caused more than 45,000 reported human cases, including 22,913 cases of severe neuroinvasive disease and 2,138 deaths </w:t>
      </w:r>
      <w:r w:rsidRPr="00AA3319">
        <w:rPr>
          <w:rFonts w:cs="Times New Roman"/>
        </w:rPr>
        <w:fldChar w:fldCharType="begin" w:fldLock="1"/>
      </w:r>
      <w:r w:rsidR="008E5BF5">
        <w:rPr>
          <w:rFonts w:cs="Times New Roman"/>
        </w:rPr>
        <w:instrText xml:space="preserve"> ADDIN ZOTERO_ITEM CSL_CITATION {"citationID":"j2TQUS35","properties":{"formattedCitation":"(CDC, 2017, 2016)","plainCitation":"(CDC, 2017, 2016)","noteIndex":0},"citationItems":[{"id":"YKY8t1zq/3wGH2nh4","uris":["http://www.mendeley.com/documents/?uuid=d676ce94-3912-3e12-9fea-2f3521033b50"],"uri":["http://www.mendeley.com/documents/?uuid=d676ce94-3912-3e12-9fea-2f3521033b50"],"itemData":{"URL":"https://www.cdc.gov/westnile/statsmaps/cumMapsData.html","accessed":{"date-parts":[["2018","5","24"]]},"author":[{"dropping-particle":"","family":"CDC","given":"","non-dropping-particle":"","parse-names":false,"suffix":""}],"id":"ITEM-1","issued":{"date-parts":[["2016"]]},"title":"Final cumulative maps &amp; data for 1999–2016","type":"webpage"}},{"id":"YKY8t1zq/yGfsHTEq","uris":["http://www.mendeley.com/documents/?uuid=a50e73a2-b807-3a57-8a01-0f424edd9925"],"uri":["http://www.mendeley.com/documents/?uuid=a50e73a2-b807-3a57-8a01-0f424edd9925"],"itemData":{"URL":"https://www.cdc.gov/westnile/statsmaps/preliminarymapsdata2017/disease-cases-state.html","accessed":{"date-parts":[["2018","6","4"]]},"author":[{"dropping-particle":"","family":"CDC","given":"","non-dropping-particle":"","parse-names":false,"suffix":""}],"id":"ITEM-2","issued":{"date-parts":[["2017"]]},"title":"West Nile virus disease cases by state","type":"webpage"}}],"schema":"https://github.com/citation-style-language/schema/raw/master/csl-citation.json"} </w:instrText>
      </w:r>
      <w:r w:rsidRPr="00AA3319">
        <w:rPr>
          <w:rFonts w:cs="Times New Roman"/>
        </w:rPr>
        <w:fldChar w:fldCharType="separate"/>
      </w:r>
      <w:r w:rsidR="002B37C7" w:rsidRPr="00AA3319">
        <w:rPr>
          <w:rFonts w:cs="Times New Roman"/>
        </w:rPr>
        <w:t>(CDC, 2017, 2016)</w:t>
      </w:r>
      <w:r w:rsidRPr="00AA3319">
        <w:rPr>
          <w:rFonts w:cs="Times New Roman"/>
        </w:rPr>
        <w:fldChar w:fldCharType="end"/>
      </w:r>
      <w:r w:rsidRPr="00AA3319">
        <w:rPr>
          <w:rFonts w:cs="Times New Roman"/>
        </w:rPr>
        <w:t xml:space="preserve">. Surprisingly, the highest incidence rates of WNV neuroinvasive disease within the country are reported in the Northern Great Plains, with South Dakota having the highest disease rate </w:t>
      </w:r>
      <w:r w:rsidRPr="00AA3319">
        <w:rPr>
          <w:rFonts w:cs="Times New Roman"/>
        </w:rPr>
        <w:fldChar w:fldCharType="begin" w:fldLock="1"/>
      </w:r>
      <w:r w:rsidR="00AE0418" w:rsidRPr="00AA3319">
        <w:rPr>
          <w:rFonts w:cs="Times New Roman"/>
        </w:rPr>
        <w:instrText xml:space="preserve"> ADDIN ZOTERO_ITEM CSL_CITATION {"citationID":"uRDZqwUW","properties":{"formattedCitation":"(Burakoff et al., 2018)","plainCitation":"(Burakoff et al., 2018)","noteIndex":0},"citationItems":[{"id":1022,"uris":["http://zotero.org/users/5456909/items/4G8MMDR8"],"uri":["http://zotero.org/users/5456909/items/4G8MMDR8"],"itemData":{"id":1022,"type":"article-journal","abstract":"Arthropod-borne viruses (arboviruses) are transmitted to humans primarily through the bites of infected mosquitoes and ticks. West Nile virus (WNV) is the leading cause of domestically acquired arboviral disease in the continental United States (1,2). Other arboviruses, including La Crosse, Powassan, Jamestown Canyon, St. Louis encephalitis, and eastern equine encephalitis viruses, cause sporadic cases of disease and occasional outbreaks. This report summarizes surveillance data reported to CDC for 2016 for nationally notifiable arboviruses. It excludes dengue, chikungunya, and Zika viruses, as these are primarily nondomestic viruses typically acquired through travel. Forty-seven states and the District of Columbia (DC) reported 2,240 cases of domestic arboviral disease, including 2,150 (96%) WNV disease cases. Of the WNV disease cases, 1,310 (61%) were classified as neuroinvasive disease (e.g., meningitis, encephalitis, acute flaccid paralysis), for a national incidence of 0.41 cases per 100,000 population. After WNV, the most frequently reported arboviruses were La Crosse (35 cases), Powassan (22), and Jamestown Canyon (15) viruses. Because arboviral diseases continue to cause serious illness, maintaining surveillance is important to direct prevention activities.","container-title":"Morbidity and Mortality Weekly Report","issue":"1","page":"13-17","title":"West Nile virus and other nationally notifiable arboviral diseases - United States, 2016.","volume":"67","author":[{"family":"Burakoff","given":"Alexis"},{"family":"Lehman","given":"Jennifer"},{"family":"Fischer","given":"Marc"},{"family":"Staples","given":"J Erin"},{"family":"Lindsey","given":"Nicole P"}],"issued":{"date-parts":[["2018"]]}}}],"schema":"https://github.com/citation-style-language/schema/raw/master/csl-citation.json"} </w:instrText>
      </w:r>
      <w:r w:rsidRPr="00AA3319">
        <w:rPr>
          <w:rFonts w:cs="Times New Roman"/>
        </w:rPr>
        <w:fldChar w:fldCharType="separate"/>
      </w:r>
      <w:r w:rsidR="002B37C7" w:rsidRPr="00AA3319">
        <w:rPr>
          <w:rFonts w:cs="Times New Roman"/>
        </w:rPr>
        <w:t>(Burakoff et al., 2018)</w:t>
      </w:r>
      <w:r w:rsidRPr="00AA3319">
        <w:rPr>
          <w:rFonts w:cs="Times New Roman"/>
        </w:rPr>
        <w:fldChar w:fldCharType="end"/>
      </w:r>
      <w:r w:rsidRPr="00AA3319">
        <w:rPr>
          <w:rFonts w:cs="Times New Roman"/>
        </w:rPr>
        <w:t>. Detailed WNV risk maps for high-risk states such as South Dakota will help public health authorities to implement strategies that can reduce transmission rates by allowing them to target those communities at highest risk.</w:t>
      </w:r>
    </w:p>
    <w:p w14:paraId="3A1F6637" w14:textId="57DC472D" w:rsidR="00617A79" w:rsidRPr="00AA3319" w:rsidRDefault="00617A79" w:rsidP="00A750EC">
      <w:pPr>
        <w:rPr>
          <w:rFonts w:cs="Times New Roman"/>
          <w:lang w:val="de-DE"/>
        </w:rPr>
      </w:pPr>
      <w:r w:rsidRPr="00AA3319">
        <w:rPr>
          <w:rFonts w:cs="Times New Roman"/>
        </w:rPr>
        <w:t xml:space="preserve">Environmental conditions can have a large influence on the ecology of mosquito-borne diseases, such as WNV. For WNV to occur in humans, the environmental conditions need to be suitable for vector mosquitoes to breed, become infected from suitable avian hosts, survive long enough to become infectious, and finally transmit the virus to a susceptible human host. Vector species, host species, and the virus itself are sensitive to fluctuations in climate and landscape features. High temperature has been found to increase the risk of WNV transmission </w:t>
      </w:r>
      <w:r w:rsidRPr="00AA3319">
        <w:rPr>
          <w:rFonts w:cs="Times New Roman"/>
        </w:rPr>
        <w:fldChar w:fldCharType="begin" w:fldLock="1"/>
      </w:r>
      <w:r w:rsidR="002B37C7" w:rsidRPr="00AA3319">
        <w:rPr>
          <w:rFonts w:cs="Times New Roman"/>
        </w:rPr>
        <w:instrText xml:space="preserve"> ADDIN ZOTERO_ITEM CSL_CITATION {"citationID":"J628Mt6x","properties":{"formattedCitation":"(Davis et al., 2017; Lockaby et al., 2016; Marcantonio et al., 2015)","plainCitation":"(Davis et al., 2017; Lockaby et al., 2016; Marcantonio et al., 2015)","noteIndex":0},"citationItems":[{"id":1673,"uris":["http://zotero.org/users/5456909/items/EHSJI494"],"uri":["http://zotero.org/users/5456909/items/EHSJI494"],"itemData":{"id":1673,"type":"article-journal","container-title":"PLoS Currents Outbreaks","page":"1-11","title":"Integrating environmental monitoring and mosquito surveillance to predict vector-borne disease: Prospective forecasts of a West Nile virus outbreak","volume":"9","author":[{"family":"Davis","given":"Justin K."},{"family":"Vincent","given":"Geoffrey"},{"family":"Hildreth","given":"Michael B."},{"family":"Kightlinger","given":"Lon"},{"family":"Carlson","given":"Christopher"},{"family":"Wimberly","given":"Michael C."}],"issued":{"date-parts":[["2017"]]}}},{"id":1035,"uris":["http://zotero.org/users/5456909/items/S26SW8MY"],"uri":["http://zotero.org/users/5456909/items/S26SW8MY"],"itemData":{"id":1035,"type":"article-journal","container-title":"Journal of Vector Ecology","issue":"2","page":"232-243","title":"Climatic, ecological, and socioeconomic factors associated with West Nile virus incidence in Atlanta, Georgia, U.S.A.","volume":"41","author":[{"family":"Lockaby","given":"Graeme"},{"family":"Noori","given":"Navideh"},{"family":"Morse","given":"Wayde"},{"family":"Zipperer","given":"Wayne"},{"family":"Kalin","given":"Latif"},{"family":"Governo","given":"Robin"},{"family":"Sawant","given":"Rajesh"},{"family":"Ricker","given":"Matthew"}],"issued":{"date-parts":[["2016",12]]}}},{"id":1117,"uris":["http://zotero.org/users/5456909/items/7LD7TUHF"],"uri":["http://zotero.org/users/5456909/items/7LD7TUHF"],"itemData":{"id":1117,"type":"article-journal","abstract":"West Nile Virus (WNV) is a globally important mosquito borne virus, with significant implications for human and animal health. The emergence and spread of new lineages, and increased pathogenicity, is the cause of escalating public health concern. Pinpointing the environmental conditions that favour WNV circulation and transmission to humans is challenging, due both to the complexity of its biological cycle, and the under-diagnosis and reporting of epidemiological data. Here, we used remote sensing and GIS to enable collation of multiple types of environmental data over a continental spatial scale, in order to model annual West Nile Fever (WNF) incidence across Europe and neighbouring countries. Multi-model selection and inference were used to gain a consensus from multiple linear mixed models. Climate and landscape were key predictors of WNF outbreaks (specifically, high precipitation in late winter/early spring, high summer temperatures, summer drought, occurrence of irrigated croplands and highly fragmented forests). Identification of the environmental conditions associated with WNF outbreaks is key to enabling public health bodies to properly focus surveillance and mitigation of West Nile virus impact, but more work needs to be done to enable accurate predictions of WNF risk.","container-title":"PLOS ONE","issue":"3","page":"e0121158-e0121158","title":"Identifying the environmental conditions favouring West Nile virus outbreaks in Europe","volume":"10","author":[{"family":"Marcantonio","given":"Matteo"},{"family":"Rizzoli","given":"Annapaola"},{"family":"Metz","given":"Markus"},{"family":"Rosà","given":"Roberto"},{"family":"Marini","given":"Giovanni"},{"family":"Chadwick","given":"Elizabeth"},{"family":"Neteler","given":"Markus"}],"issued":{"date-parts":[["2015",3]]}}}],"schema":"https://github.com/citation-style-language/schema/raw/master/csl-citation.json"} </w:instrText>
      </w:r>
      <w:r w:rsidRPr="00AA3319">
        <w:rPr>
          <w:rFonts w:cs="Times New Roman"/>
        </w:rPr>
        <w:fldChar w:fldCharType="separate"/>
      </w:r>
      <w:r w:rsidR="002B37C7" w:rsidRPr="00AA3319">
        <w:rPr>
          <w:rFonts w:cs="Times New Roman"/>
        </w:rPr>
        <w:t>(Davis et al., 2017; Lockaby et al., 2016; Marcantonio et al., 2015)</w:t>
      </w:r>
      <w:r w:rsidRPr="00AA3319">
        <w:rPr>
          <w:rFonts w:cs="Times New Roman"/>
        </w:rPr>
        <w:fldChar w:fldCharType="end"/>
      </w:r>
      <w:r w:rsidRPr="00AA3319">
        <w:rPr>
          <w:rFonts w:cs="Times New Roman"/>
        </w:rPr>
        <w:t xml:space="preserve">, whereas the effects of humidity </w:t>
      </w:r>
      <w:r w:rsidRPr="00AA3319">
        <w:rPr>
          <w:rFonts w:cs="Times New Roman"/>
        </w:rPr>
        <w:fldChar w:fldCharType="begin" w:fldLock="1"/>
      </w:r>
      <w:r w:rsidR="002B37C7" w:rsidRPr="00AA3319">
        <w:rPr>
          <w:rFonts w:cs="Times New Roman"/>
        </w:rPr>
        <w:instrText xml:space="preserve"> ADDIN ZOTERO_ITEM CSL_CITATION {"citationID":"opohESr8","properties":{"formattedCitation":"(Lebl et al., 2013)","plainCitation":"(Lebl et al., 2013)","noteIndex":0},"citationItems":[{"id":1792,"uris":["http://zotero.org/users/5456909/items/L83RF6I5"],"uri":["http://zotero.org/users/5456909/items/L83RF6I5"],"itemData":{"id":1792,"type":"article-journal","abstract":"Background: Culex pipiens/restuans mosquitoes are important vectors for a variety of arthropod borne viral infections. In this study, the associations between 20 years of mosquito capture data and the time lagged environmental quantities daytime length, temperature, precipitation, relative humidity and wind speed were used to generate a predictive model for the population dynamics of this vector species. Methods: Mosquito population in the study area was represented by averaged time series of mosquitos counts captured at 6 sites in Cook County (Illinois, USA). Cross-correlation maps (CCMs) were compiled to investigate the association between mosquito abundances and environmental quantities. The results obtained from the CCMs were incorporated into a Poisson regression to generate a predictive model. To optimize the predictive model the time lags obtained from the CCMs were adjusted using a genetic algorithm. Results: CCMs for weekly data showed a highly positive correlation of mosquito abundances with daytime length 4 to 5 weeks prior to capture (quantified by a Spearman rank order correlation of r S = 0.898) and with temperature during 2 weeks prior to capture (r S = 0.870). Maximal negative correlations were found for wind speed averaged over 3 week prior to capture (r S = −0.621). Cx. pipiens/restuans population dynamics was predicted by integrating the CCM results in Poisson regression models. They were used to simulate the average seasonal cycle of the mosquito abundance. Verification with observations resulted in a correlation of r S = 0.899 for daily and r S = 0.917 for weekly data. Applying the optimized models to the entire 20-years time series also resulted in a suitable fit with r S = 0.876 for daily and r S = 0.899 for weekly data. Conclusions: The study demonstrates the application of interval lagged weather data to predict mosquito abundances with a feasible accuracy, especially when related to weekly Cx. pipiens/restuans populations.","container-title":"Parasites &amp; Vectors","issue":"129","page":"1-11","title":"Predicting Culex pipiens/restuans population dynamics by interval lagged weather data","volume":"6","author":[{"family":"Lebl","given":"Karin"},{"family":"Brugger","given":"Katharina"},{"family":"Rubel","given":"Franz"}],"issued":{"date-parts":[["2013"]]}}}],"schema":"https://github.com/citation-style-language/schema/raw/master/csl-citation.json"} </w:instrText>
      </w:r>
      <w:r w:rsidRPr="00AA3319">
        <w:rPr>
          <w:rFonts w:cs="Times New Roman"/>
        </w:rPr>
        <w:fldChar w:fldCharType="separate"/>
      </w:r>
      <w:r w:rsidR="002B37C7" w:rsidRPr="00AA3319">
        <w:rPr>
          <w:rFonts w:cs="Times New Roman"/>
        </w:rPr>
        <w:t>(Lebl et al., 2013)</w:t>
      </w:r>
      <w:r w:rsidRPr="00AA3319">
        <w:rPr>
          <w:rFonts w:cs="Times New Roman"/>
        </w:rPr>
        <w:fldChar w:fldCharType="end"/>
      </w:r>
      <w:r w:rsidRPr="00AA3319">
        <w:rPr>
          <w:rFonts w:cs="Times New Roman"/>
        </w:rPr>
        <w:t xml:space="preserve"> and precipitation </w:t>
      </w:r>
      <w:r w:rsidRPr="00AA3319">
        <w:rPr>
          <w:rFonts w:cs="Times New Roman"/>
        </w:rPr>
        <w:fldChar w:fldCharType="begin" w:fldLock="1"/>
      </w:r>
      <w:r w:rsidR="00FF3DA9" w:rsidRPr="00AA3319">
        <w:rPr>
          <w:rFonts w:cs="Times New Roman"/>
        </w:rPr>
        <w:instrText xml:space="preserve"> ADDIN ZOTERO_ITEM CSL_CITATION {"citationID":"jDZ6nczQ","properties":{"formattedCitation":"(Wimberly et al., 2014)","plainCitation":"(Wimberly et al., 2014)","noteIndex":0},"citationItems":[{"id":1969,"uris":["http://zotero.org/users/5456909/items/3FNAZN77"],"uri":["http://zotero.org/users/5456909/items/3FNAZN77"],"itemData":{"id":1969,"type":"article-journal","abstract":"The national resurgence of human West Nile virus (WNV) disease in 2012 raised questions about the factors responsible for WNV outbreaks. Interannual climatic variations may influence WNV amplification and transmission to humans through multiple pathways, including mosquito breeding habitats, gonotrophic cycles, extrinsic incubation, avian communities, and human behavior. We examined the influences of temperature and precipitation anomalies on interannual variation in human WNV cases in three regions of the United States. There were consistent positive influences of winter temperatures, weaker and more variable positive effects of spring and summer temperatures, and highly variable precipitation effects that ranged from positive to negative. The overwintering period may be a particularly important climatic constraint on the dynamics of WNV in cold-temperate regions of North America. Geographic differences in the seasonal timing and relative importance of climatic drivers of WNV risk likely reflect underlying variability in key ecological and social characteristics.","container-title":"American Journal of Tropical Medicine and Hygiene","issue":"4","page":"677-684","title":"Regional variation of climatic influences on West Nile virus outbreaks in the United States","volume":"91","author":[{"family":"Wimberly","given":"Michael C."},{"family":"Lamsal","given":"Aashis"},{"family":"Giacomo","given":"Paolla"},{"family":"Chuang","given":"Ting Wu"}],"issued":{"date-parts":[["2014"]]}}}],"schema":"https://github.com/citation-style-language/schema/raw/master/csl-citation.json"} </w:instrText>
      </w:r>
      <w:r w:rsidRPr="00AA3319">
        <w:rPr>
          <w:rFonts w:cs="Times New Roman"/>
        </w:rPr>
        <w:fldChar w:fldCharType="separate"/>
      </w:r>
      <w:r w:rsidR="00FF3DA9" w:rsidRPr="00AA3319">
        <w:rPr>
          <w:rFonts w:cs="Times New Roman"/>
        </w:rPr>
        <w:t>(Wimberly et al., 2014)</w:t>
      </w:r>
      <w:r w:rsidRPr="00AA3319">
        <w:rPr>
          <w:rFonts w:cs="Times New Roman"/>
        </w:rPr>
        <w:fldChar w:fldCharType="end"/>
      </w:r>
      <w:r w:rsidRPr="00AA3319">
        <w:rPr>
          <w:rFonts w:cs="Times New Roman"/>
        </w:rPr>
        <w:t xml:space="preserve"> are more variable. Increasing temperature generally leads to higher mosquito growth rates and shortens the gonotrophic cycle (the time required to produce eggs after a blood meal) and the extrinsic incubation period (the time required for an infected mosquito to become </w:t>
      </w:r>
      <w:r w:rsidRPr="00AA3319">
        <w:rPr>
          <w:rFonts w:cs="Times New Roman"/>
        </w:rPr>
        <w:lastRenderedPageBreak/>
        <w:t xml:space="preserve">infectious) </w:t>
      </w:r>
      <w:r w:rsidRPr="00AA3319">
        <w:rPr>
          <w:rFonts w:cs="Times New Roman"/>
        </w:rPr>
        <w:fldChar w:fldCharType="begin" w:fldLock="1"/>
      </w:r>
      <w:r w:rsidR="00701ADA" w:rsidRPr="00AA3319">
        <w:rPr>
          <w:rFonts w:cs="Times New Roman"/>
        </w:rPr>
        <w:instrText xml:space="preserve"> ADDIN ZOTERO_ITEM CSL_CITATION {"citationID":"VZUolfcl","properties":{"formattedCitation":"(Hartley et al., 2012; Kilpatrick et al., 2008; Reisen et al., 2006)","plainCitation":"(Hartley et al., 2012; Kilpatrick et al., 2008; Reisen et al., 2006)","noteIndex":0},"citationItems":[{"id":1318,"uris":["http://zotero.org/users/5456909/items/VV7QK44C"],"uri":["http://zotero.org/users/5456909/items/VV7QK44C"],"itemData":{"id":1318,"type":"article-journal","abstract":"Temperature has played a critical role in the spatiotemporal dynamics of West Nile virus transmission throughout California from its introduction in 2003 through establishment by 2009. We compared two novel mechanistic measures of transmission risk, the temperature-dependent ratio of virus extrinsic incubation period to the mosquito gonotrophic period (BT), and the fundamental reproductive ratio (R(0)) based on a mathematical model, to analyze spatiotemporal patterns of receptivity to viral amplification. Maps of BT and R(0) were created at 20-km scale and compared throughout California to seroconversions in sentinel chicken flocks at half-month intervals. Overall, estimates of BT and R(0) agreed with intensity of transmission measured by the frequency of sentinel chicken seroconversions. Mechanistic measures such as these are important for understanding how temperature affects the spatiotemporal dynamics of West Nile virus transmission and for delineating risk estimates useful to inform vector control agency intervention decisions and communicate outbreak potential.","container-title":"The American journal of tropical medicine and hygiene","issue":"5","page":"884-94","title":"Effects of temperature on emergence and seasonality of West Nile virus in California.","volume":"86","author":[{"family":"Hartley","given":"David M"},{"family":"Barker","given":"Christopher M"},{"family":"Le Menach","given":"Arnaud"},{"family":"Niu","given":"Tianchan"},{"family":"Gaff","given":"Holly D"},{"family":"Reisen","given":"William K"}],"issued":{"date-parts":[["2012",5]]}}},{"id":1707,"uris":["http://zotero.org/users/5456909/items/LZ37UW4F"],"uri":["http://zotero.org/users/5456909/items/LZ37UW4F"],"itemData":{"id":1707,"type":"article-journal","container-title":"PLoS Pathogens","issue":"6","page":"e1000092-e1000092","title":"Temperature, Viral Genetics, and the Transmission of West Nile Virus by Culex pipiens Mosquitoes","volume":"4","author":[{"family":"Kilpatrick","given":"A. Marm"},{"family":"Meola","given":"Mark A."},{"family":"Moudy","given":"Robin M."},{"family":"Kramer","given":"Laura D."}],"editor":[{"family":"Buchmeier","given":"Michael J."}],"issued":{"date-parts":[["2008",6]]}}},{"id":1243,"uris":["http://zotero.org/users/5456909/items/Y36XXYZV"],"uri":["http://zotero.org/users/5456909/items/Y36XXYZV"],"itemData":{"id":1243,"type":"article-journal","container-title":"Journal of Medical Entomology","issue":"2","page":"309-317","title":"Effects of Temperature on the Transmission of West Nile Virus by &lt;i&gt;Culex tarsalis&lt;/i&gt; (Diptera: Culicidae)","volume":"43","author":[{"family":"Reisen","given":"William K."},{"family":"Fang","given":"Ying"},{"family":"Martinez","given":"Vincent M."}],"issued":{"date-parts":[["2006",3]]}}}],"schema":"https://github.com/citation-style-language/schema/raw/master/csl-citation.json"} </w:instrText>
      </w:r>
      <w:r w:rsidRPr="00AA3319">
        <w:rPr>
          <w:rFonts w:cs="Times New Roman"/>
        </w:rPr>
        <w:fldChar w:fldCharType="separate"/>
      </w:r>
      <w:r w:rsidR="00701ADA" w:rsidRPr="00AA3319">
        <w:rPr>
          <w:rFonts w:cs="Times New Roman"/>
        </w:rPr>
        <w:t>(Hartley et al., 2012; Kilpatrick et al., 2008; Reisen et al., 2006)</w:t>
      </w:r>
      <w:r w:rsidRPr="00AA3319">
        <w:rPr>
          <w:rFonts w:cs="Times New Roman"/>
        </w:rPr>
        <w:fldChar w:fldCharType="end"/>
      </w:r>
      <w:r w:rsidRPr="00AA3319">
        <w:rPr>
          <w:rFonts w:cs="Times New Roman"/>
        </w:rPr>
        <w:t xml:space="preserve">. However, high temperature can also decrease the longevity of female mosquitoes </w:t>
      </w:r>
      <w:r w:rsidRPr="00AA3319">
        <w:rPr>
          <w:rFonts w:cs="Times New Roman"/>
          <w:noProof/>
        </w:rPr>
        <w:fldChar w:fldCharType="begin"/>
      </w:r>
      <w:r w:rsidRPr="00AA3319">
        <w:rPr>
          <w:rFonts w:cs="Times New Roman"/>
          <w:noProof/>
        </w:rPr>
        <w:instrText xml:space="preserve"> AUTHOR  "(Ciota et al., 2014)" </w:instrText>
      </w:r>
      <w:r w:rsidRPr="00AA3319">
        <w:rPr>
          <w:rFonts w:cs="Times New Roman"/>
          <w:noProof/>
        </w:rPr>
        <w:fldChar w:fldCharType="separate"/>
      </w:r>
      <w:r w:rsidRPr="00AA3319">
        <w:rPr>
          <w:rFonts w:cs="Times New Roman"/>
          <w:noProof/>
        </w:rPr>
        <w:t>(Ciota et al., 2014)</w:t>
      </w:r>
      <w:r w:rsidRPr="00AA3319">
        <w:rPr>
          <w:rFonts w:cs="Times New Roman"/>
          <w:noProof/>
        </w:rPr>
        <w:fldChar w:fldCharType="end"/>
      </w:r>
      <w:r w:rsidRPr="00AA3319">
        <w:rPr>
          <w:rFonts w:cs="Times New Roman"/>
        </w:rPr>
        <w:t xml:space="preserve">. In addition to these temperature effects, humidity influences the survival of adult mosquitoes and their activity pattern, and precipitation influences the availability of breeding sites. Landscape features, such as topography, soils, and vegetation also affect WNV transmission, as these variables determine the available habitats for mosquitoes and birds, and WNV risk is highest in areas with suitable habitat for mosquitoes and birds to complete the transmission cycle </w:t>
      </w:r>
      <w:r w:rsidRPr="00AA3319">
        <w:rPr>
          <w:rFonts w:cs="Times New Roman"/>
        </w:rPr>
        <w:fldChar w:fldCharType="begin" w:fldLock="1"/>
      </w:r>
      <w:r w:rsidR="002B37C7" w:rsidRPr="00AA3319">
        <w:rPr>
          <w:rFonts w:cs="Times New Roman"/>
        </w:rPr>
        <w:instrText xml:space="preserve"> ADDIN ZOTERO_ITEM CSL_CITATION {"citationID":"eScF8DCe","properties":{"formattedCitation":"(Chuang et al., 2012)","plainCitation":"(Chuang et al., 2012)","noteIndex":0},"citationItems":[{"id":1951,"uris":["http://zotero.org/users/5456909/items/7KGZQJR8"],"uri":["http://zotero.org/users/5456909/items/7KGZQJR8"],"itemData":{"id":1951,"type":"article-journal","abstract":"Understanding the landscape-level determinants of West Nile virus (WNV) can aid in mapping high-risk areas and enhance disease control and prevention efforts. This study analyzed the spatial patterns of human WNV cases in three areas in South Dakota during 2003-2007 and investigated the influences of land cover, hydrology, soils, irrigation, and elevation by using case-control models. Land cover, hydrology, soils, and elevation all influenced WNV risk, although the main drivers were different in each study area. Risk for WNV was generally higher in areas with rural land cover than in developed areas, and higher close to wetlands or soils with a high ponding frequency. In western South Dakota, WNV risk also decreased with increasing elevation and was higher in forested areas. Our results showed that the spatial patterns of human WNV risk were associated with landscape-level features that likely reflect variability in mosquito ecology, avian host communities, and human activity.","container-title":"The American Journal of Tropical Medicine and Hygiene","issue":"4","page":"724-31","title":"Landscape-level spatial patterns of West Nile virus risk in the northern Great Plains.","volume":"86","author":[{"family":"Chuang","given":"T.W."},{"family":"Hockett","given":"Christine W"},{"family":"Kightlinger","given":"Lon"},{"family":"Wimberly","given":"Michael C"}],"issued":{"date-parts":[["2012"]]}}}],"schema":"https://github.com/citation-style-language/schema/raw/master/csl-citation.json"} </w:instrText>
      </w:r>
      <w:r w:rsidRPr="00AA3319">
        <w:rPr>
          <w:rFonts w:cs="Times New Roman"/>
        </w:rPr>
        <w:fldChar w:fldCharType="separate"/>
      </w:r>
      <w:r w:rsidR="002B37C7" w:rsidRPr="00AA3319">
        <w:rPr>
          <w:rFonts w:cs="Times New Roman"/>
        </w:rPr>
        <w:t>(Chuang et al., 2012)</w:t>
      </w:r>
      <w:r w:rsidRPr="00AA3319">
        <w:rPr>
          <w:rFonts w:cs="Times New Roman"/>
        </w:rPr>
        <w:fldChar w:fldCharType="end"/>
      </w:r>
      <w:r w:rsidRPr="00AA3319">
        <w:rPr>
          <w:rFonts w:cs="Times New Roman"/>
        </w:rPr>
        <w:t xml:space="preserve">. Depending on the geographic location and the particular vector and host species, these high-risk zones can include rural agricultural areas </w:t>
      </w:r>
      <w:r w:rsidRPr="00AA3319">
        <w:rPr>
          <w:rFonts w:cs="Times New Roman"/>
        </w:rPr>
        <w:fldChar w:fldCharType="begin" w:fldLock="1"/>
      </w:r>
      <w:r w:rsidR="00701ADA" w:rsidRPr="00AA3319">
        <w:rPr>
          <w:rFonts w:cs="Times New Roman"/>
        </w:rPr>
        <w:instrText xml:space="preserve"> ADDIN ZOTERO_ITEM CSL_CITATION {"citationID":"cNbMkYKH","properties":{"formattedCitation":"(Chuang et al., 2012; Reisen et al., 2013)","plainCitation":"(Chuang et al., 2012; Reisen et al., 2013)","noteIndex":0},"citationItems":[{"id":1951,"uris":["http://zotero.org/users/5456909/items/7KGZQJR8"],"uri":["http://zotero.org/users/5456909/items/7KGZQJR8"],"itemData":{"id":1951,"type":"article-journal","abstract":"Understanding the landscape-level determinants of West Nile virus (WNV) can aid in mapping high-risk areas and enhance disease control and prevention efforts. This study analyzed the spatial patterns of human WNV cases in three areas in South Dakota during 2003-2007 and investigated the influences of land cover, hydrology, soils, irrigation, and elevation by using case-control models. Land cover, hydrology, soils, and elevation all influenced WNV risk, although the main drivers were different in each study area. Risk for WNV was generally higher in areas with rural land cover than</w:instrText>
      </w:r>
      <w:r w:rsidR="00701ADA" w:rsidRPr="00E926CD">
        <w:rPr>
          <w:rFonts w:cs="Times New Roman"/>
          <w:lang w:val="de-DE"/>
        </w:rPr>
        <w:instrText xml:space="preserve"> in developed areas, and higher close to wetlands or soils with a high ponding frequency. In western South Dakota, WNV risk also decreased with increasing elevation and was higher in forested areas. Our results showed that the spatial patterns of human WNV risk were associated with landscape-level features that likely reflect variability in mosquito ecolog</w:instrText>
      </w:r>
      <w:r w:rsidR="00701ADA" w:rsidRPr="00AA3319">
        <w:rPr>
          <w:rFonts w:cs="Times New Roman"/>
          <w:lang w:val="de-DE"/>
        </w:rPr>
        <w:instrText xml:space="preserve">y, avian host communities, and human activity.","container-title":"The American Journal of Tropical Medicine and Hygiene","issue":"4","page":"724-31","title":"Landscape-level spatial patterns of West Nile virus risk in the northern Great Plains.","volume":"86","author":[{"family":"Chuang","given":"T.W."},{"family":"Hockett","given":"Christine W"},{"family":"Kightlinger","given":"Lon"},{"family":"Wimberly","given":"Michael C"}],"issued":{"date-parts":[["2012"]]}}},{"id":1302,"uris":["http://zotero.org/users/5456909/items/BRBFDSB9"],"uri":["http://zotero.org/users/5456909/items/BRBFDSB9"],"itemData":{"id":1302,"type":"article-journal","container-title":"Journal of Medical Entomology","issue":"5","page":"1071-1076","title":"Host Selection Patterns of Culex tarsalis (Diptera: Culicidae) at Wetlands Near the Salton Sea, Coachella Valley, California, 1998–2002","volume":"50","author":[{"family":"Reisen","given":"William K."},{"family":"Lothrop","given":"Hugh D."},{"family":"Thiemann","given":"Tara"}],"issued":{"date-parts":[["2013",9]]}}}],"schema":"https://github.com/citation-style-language/schema/raw/master/csl-citation.json"} </w:instrText>
      </w:r>
      <w:r w:rsidRPr="00AA3319">
        <w:rPr>
          <w:rFonts w:cs="Times New Roman"/>
        </w:rPr>
        <w:fldChar w:fldCharType="separate"/>
      </w:r>
      <w:r w:rsidR="00701ADA" w:rsidRPr="00AA3319">
        <w:rPr>
          <w:rFonts w:cs="Times New Roman"/>
          <w:lang w:val="de-DE"/>
        </w:rPr>
        <w:t>(Chuang et al., 2012; Reisen et al., 2013)</w:t>
      </w:r>
      <w:r w:rsidRPr="00AA3319">
        <w:rPr>
          <w:rFonts w:cs="Times New Roman"/>
        </w:rPr>
        <w:fldChar w:fldCharType="end"/>
      </w:r>
      <w:r w:rsidRPr="00AA3319">
        <w:rPr>
          <w:rFonts w:cs="Times New Roman"/>
          <w:lang w:val="de-DE"/>
        </w:rPr>
        <w:t xml:space="preserve">, wetlands </w:t>
      </w:r>
      <w:r w:rsidRPr="00AA3319">
        <w:rPr>
          <w:rFonts w:cs="Times New Roman"/>
        </w:rPr>
        <w:fldChar w:fldCharType="begin" w:fldLock="1"/>
      </w:r>
      <w:r w:rsidR="00701ADA" w:rsidRPr="00AA3319">
        <w:rPr>
          <w:rFonts w:cs="Times New Roman"/>
          <w:lang w:val="de-DE"/>
        </w:rPr>
        <w:instrText xml:space="preserve"> ADDIN ZOTERO_ITEM CSL_CITATION {"citationID":"6HcRso2Z","properties":{"formattedCitation":"(S\\uc0\\u225{}nchez-G\\uc0\\u243{}mez et al., 2017)","plainCitation":"(Sánchez-Gómez et al., 2017)","noteIndex":0},"citationItems":[{"id":1191,"uris":["http://zotero.org/users/5456909/items/YJX9LSRV"],"uri":["http://zotero.org/users/5456909/items/YJX9LSRV"],"itemData":{"id":1191,"type":"article-journal","abstract":"West Nile fever is an emergent disease in Europe. The objective of this study was to conduct a predictive risk mapping of West Nile Virus (WNV) circulation in Spain based on historical data of WNV circulation. Areas of Spain with evidence of WNV circulation were mapped based on data from notifications to the surveillance systems and a literature review. A logistic regression-based spatial model was used to assess the probability of WNV circulation. Data were analyzed at municipality level. Mean temperatures of the period from June to October, presence of wetlands and presence of Special Protection Areas for birds were considered as potential predictors. Two predictors of WNV circulation were identified: higher temperature [adjusted odds ratio (AOR) 2.07, 95% CI 1.82–2.35, p&lt;0.01] and presence of wetlands (3.37, 95% CI 1.89–5.99, p&lt;0.01). Model validations indicated good predictions: area under the ROC curve was 0.895 (95% CI 0.870–0.919) for internal validation and 0.895 (95% CI 0.840–0.951) for external validation. This model could support improvements of WNV risk- based surveillance in Spain. The importance of a comprehensive surveillance for WNF, including human, animal and potential vectors is highlighted, which could additionally result in model refinements.","container-title":"Acta Tropica","page":"163-169","title":"Risk mapping of West Nile virus circulation in Spain, 2015","volume":"169","author":[{"family":"Sánchez-Gómez","given":"Amaya"},{"family":"Amela","given":"Carmen"},{"family":"Fernández-Carrión","given":"Eduardo"},{"family":"Martínez-Avilés","given":"Marta"},{"family":"Sánchez-Vizcaíno","given":"José Manuel"},{"family":"Sierra-Moros","given":"María José"}],"issued":{"date-parts":[["2017",5]]}}}],"schema":"https://github.com/citation-style-language/schema/raw/master/csl-citation.json"} </w:instrText>
      </w:r>
      <w:r w:rsidRPr="00AA3319">
        <w:rPr>
          <w:rFonts w:cs="Times New Roman"/>
        </w:rPr>
        <w:fldChar w:fldCharType="separate"/>
      </w:r>
      <w:r w:rsidR="00701ADA" w:rsidRPr="00AA3319">
        <w:rPr>
          <w:rFonts w:cs="Times New Roman"/>
          <w:szCs w:val="24"/>
          <w:lang w:val="de-DE"/>
        </w:rPr>
        <w:t>(Sánchez-Gómez et al., 2017)</w:t>
      </w:r>
      <w:r w:rsidRPr="00AA3319">
        <w:rPr>
          <w:rFonts w:cs="Times New Roman"/>
        </w:rPr>
        <w:fldChar w:fldCharType="end"/>
      </w:r>
      <w:r w:rsidRPr="00AA3319">
        <w:rPr>
          <w:rFonts w:cs="Times New Roman"/>
          <w:lang w:val="de-DE"/>
        </w:rPr>
        <w:t>, and urban areas with small forest patches</w:t>
      </w:r>
      <w:r w:rsidR="002B37C7" w:rsidRPr="00AA3319">
        <w:rPr>
          <w:rFonts w:cs="Times New Roman"/>
          <w:lang w:val="de-DE"/>
        </w:rPr>
        <w:t xml:space="preserve"> </w:t>
      </w:r>
      <w:r w:rsidR="002B37C7" w:rsidRPr="00AA3319">
        <w:rPr>
          <w:rFonts w:cs="Times New Roman"/>
        </w:rPr>
        <w:fldChar w:fldCharType="begin"/>
      </w:r>
      <w:r w:rsidR="002B37C7" w:rsidRPr="00AA3319">
        <w:rPr>
          <w:rFonts w:cs="Times New Roman"/>
          <w:lang w:val="de-DE"/>
        </w:rPr>
        <w:instrText xml:space="preserve"> ADDIN ZOTERO_ITEM CSL_CITATION {"citationID":"DpB65Rvf","properties":{"formattedCitation":"(Lockaby et al., 2016)","plainCitation":"(Lockaby et al., 2016)","noteIndex":0},"citationItems":[{"id":1035,"uris":["http://zotero.org/users/5456909/items/S26SW8MY"],"uri":["http://zotero.org/users/5456909/items/S26SW8MY"],"itemData":{"id":1035,"type":"article-journal","container-title":"Journal of Vector Ecology","issue":"2","page":"232-243","title":"Climatic, ecological, and socioeconomic factors associated with West Nile virus incidence in Atlanta, Georgia, U.S.A.","volume":"41","author":[{"family":"Lockaby","given":"Graeme"},{"family":"Noori","given":"Navideh"},{"family":"Morse","given":"Wayde"},{"family":"Zipperer","given":"Wayne"},{"family":"Kalin","given":"Latif"},{"family":"Governo","given":"Robin"},{"family":"Sawant","given":"Rajesh"},{"family":"Ricker","given":"Matthew"}],"issued":{"date-parts":[["2016",12]]}}}],"schema":"https://github.com/citation-style-language/schema/raw/master/csl-citation.json"} </w:instrText>
      </w:r>
      <w:r w:rsidR="002B37C7" w:rsidRPr="00AA3319">
        <w:rPr>
          <w:rFonts w:cs="Times New Roman"/>
        </w:rPr>
        <w:fldChar w:fldCharType="separate"/>
      </w:r>
      <w:r w:rsidR="002B37C7" w:rsidRPr="00AA3319">
        <w:rPr>
          <w:rFonts w:cs="Times New Roman"/>
          <w:lang w:val="de-DE"/>
        </w:rPr>
        <w:t>(Lockaby et al., 2016)</w:t>
      </w:r>
      <w:r w:rsidR="002B37C7" w:rsidRPr="00AA3319">
        <w:rPr>
          <w:rFonts w:cs="Times New Roman"/>
        </w:rPr>
        <w:fldChar w:fldCharType="end"/>
      </w:r>
      <w:r w:rsidRPr="00AA3319">
        <w:rPr>
          <w:rFonts w:cs="Times New Roman"/>
          <w:lang w:val="de-DE"/>
        </w:rPr>
        <w:t>.</w:t>
      </w:r>
    </w:p>
    <w:p w14:paraId="61A124EB" w14:textId="4A86D47E" w:rsidR="00617A79" w:rsidRPr="00AA3319" w:rsidRDefault="00617A79" w:rsidP="00A750EC">
      <w:pPr>
        <w:rPr>
          <w:rFonts w:cs="Times New Roman"/>
        </w:rPr>
      </w:pPr>
      <w:r w:rsidRPr="00AA3319">
        <w:rPr>
          <w:rFonts w:cs="Times New Roman"/>
        </w:rPr>
        <w:t>Because mosquito-borne disease transmission is sensitive to variations in habitat and climate, geospatial environmental data can be used to develop disease risk maps. In this approach, data on disease occurrence at specific locations are combined with predictor variables from geospatial datasets to develop predictive models (Peterson, 2014). These models are then applied across the entire geographic domain to produce predictions of disease risk at unsampled locations. Considerable advances in using environmental data for assessing disease risk have been made in recent years</w:t>
      </w:r>
      <w:r w:rsidR="002B37C7" w:rsidRPr="00AA3319">
        <w:rPr>
          <w:rFonts w:cs="Times New Roman"/>
        </w:rPr>
        <w:t xml:space="preserve"> </w:t>
      </w:r>
      <w:r w:rsidR="002B37C7" w:rsidRPr="00AA3319">
        <w:rPr>
          <w:rFonts w:cs="Times New Roman"/>
        </w:rPr>
        <w:fldChar w:fldCharType="begin"/>
      </w:r>
      <w:r w:rsidR="002B37C7" w:rsidRPr="00AA3319">
        <w:rPr>
          <w:rFonts w:cs="Times New Roman"/>
        </w:rPr>
        <w:instrText xml:space="preserve"> ADDIN ZOTERO_ITEM CSL_CITATION {"citationID":"ar65saAj","properties":{"formattedCitation":"(Kraemer et al., 2016)","plainCitation":"(Kraemer et al., 2016)","noteIndex":0},"citationItems":[{"id":4608,"uris":["http://zotero.org/users/5456909/items/39AJ7GHM"],"uri":["http://zotero.org/users/5456909/items/39AJ7GHM"],"itemData":{"id":4608,"type":"article-journal","abstract":"Quantitatively mapping the spatial distributions of infectious diseases is key to both investigating their epidemiology and identifying populations at risk of infection. Important advances in data quality and methodologies have allowed for better investigation of disease risk and its association with environmental factors. However, incorporating dynamic human behavioural processes in disease mapping remains challenging. For example, connectivity among human populations, a key driver of pathogen dispersal, has increased sharply over the past century, along with the availability of data derived from mobile phones and other dynamic data sources. Future work must be targeted towards the rapid updating and dissemination of appropriately designed disease maps to guide the public health community in reducing the global burden of infectious disease.","container-title":"Trends in Parasitology","ISSN":"1471-4922","issue":"1","journalAbbreviation":"Trends in Parasitology","language":"en","page":"19-29","source":"ScienceDirect","title":"Progress and Challenges in Infectious Disease Cartography","volume":"32","author":[{"family":"Kraemer","given":"M. U. G."},{"family":"Hay","given":"Simon I."},{"family":"Pigott","given":"David M."},{"family":"Smith","given":"David L."},{"family":"Wint","given":"G. R. William"},{"family":"Golding","given":"Nick"}],"issued":{"date-parts":[["2016",1,1]]}}}],"schema":"https://github.com/citation-style-language/schema/raw/master/csl-citation.json"} </w:instrText>
      </w:r>
      <w:r w:rsidR="002B37C7" w:rsidRPr="00AA3319">
        <w:rPr>
          <w:rFonts w:cs="Times New Roman"/>
        </w:rPr>
        <w:fldChar w:fldCharType="separate"/>
      </w:r>
      <w:r w:rsidR="002B37C7" w:rsidRPr="00AA3319">
        <w:rPr>
          <w:rFonts w:cs="Times New Roman"/>
        </w:rPr>
        <w:t>(Kraemer et al., 2016)</w:t>
      </w:r>
      <w:r w:rsidR="002B37C7" w:rsidRPr="00AA3319">
        <w:rPr>
          <w:rFonts w:cs="Times New Roman"/>
        </w:rPr>
        <w:fldChar w:fldCharType="end"/>
      </w:r>
      <w:r w:rsidRPr="00AA3319">
        <w:rPr>
          <w:rFonts w:cs="Times New Roman"/>
        </w:rPr>
        <w:t xml:space="preserve">. The increasing availability of geospatial datasets such as gridded meteorological data, land cover maps, and digital elevation models now facilitates the analysis and prediction of disease risk across large areas ranging from landscapes to the globe </w:t>
      </w:r>
      <w:r w:rsidRPr="00AA3319">
        <w:rPr>
          <w:rFonts w:cs="Times New Roman"/>
        </w:rPr>
        <w:fldChar w:fldCharType="begin" w:fldLock="1"/>
      </w:r>
      <w:r w:rsidR="0043153D" w:rsidRPr="00AA3319">
        <w:rPr>
          <w:rFonts w:cs="Times New Roman"/>
        </w:rPr>
        <w:instrText xml:space="preserve"> ADDIN ZOTERO_ITEM CSL_CITATION {"citationID":"KXiv42tL","properties":{"formattedCitation":"(Ostfeld et al., 2005; Peterson, 2014)","plainCitation":"(Ostfeld et al., 2005; Peterson, 2014)","noteIndex":0},"citationItems":[{"id":684,"uris":["http://zotero.org/users/5456909/items/6MVSKGVN"],"uri":["http://zotero.org/users/5456909/items/6MVSKGVN"],"itemData":{"id":684,"type":"article-journal","abstract":"Spatial epidemiology is the study of spatial variation in disease risk or incidence. Several ecological processes can result in strong spatial patterns of such risk or incidence: for example, pathogen dispersal might be highly localized, vectors or reservoirs for pathogens might be spatially restricted, or susceptible hosts might be clumped. Here, we briefly describe approaches to spatial epidemiology that are spatially implicit, such as metapopulation models of disease transmission, and then focus on research in spatial epidemiology that is spatially explicit, such as the creation of risk maps for particular geographical areas. Although the spatial dynamics of infectious diseases are the subject of intensive study, the impacts of landscape structure on epidemiological processes have so far been neglected. The few studies that demonstrate how landscape composition (types of elements) and configuration (spatial positions of those elements) influence disease risk or incidence suggest that a true integration of landscape ecology with epidemiology will be fruitful.","container-title":"Trends in Ecology &amp; Evolution","issue":"6","page":"328-336","title":"Spatial epidemiology: An emerging (or re-emerging) discipline","volume":"20","author":[{"family":"Ostfeld","given":"Richard S."},{"family":"Glass","given":"Gregory E."},{"family":"Keesing","given":"Felicia"}],"issued":{"date-parts":[["2005",6]]}}},{"id":1798,"uris":["http://zotero.org/users/5456909/items/WHL74ZAB"],"uri":["http://zotero.org/users/5456909/items/WHL74ZAB"],"itemData":{"id":1798,"type":"book","event-place":"Baltimore","ISBN":"978-1-4214-1473-7","publisher":"The Johns Hopkins University Press","publisher-place":"Baltimore","title":"Mapping Disease Transmission Risk.","author":[{"family":"Peterson","given":"A. T."}],"issued":{"date-parts":[["2014"]]}}}],"schema":"https://github.com/citation-style-language/schema/raw/master/csl-citation.json"} </w:instrText>
      </w:r>
      <w:r w:rsidRPr="00AA3319">
        <w:rPr>
          <w:rFonts w:cs="Times New Roman"/>
        </w:rPr>
        <w:fldChar w:fldCharType="separate"/>
      </w:r>
      <w:r w:rsidR="0043153D" w:rsidRPr="00AA3319">
        <w:rPr>
          <w:rFonts w:cs="Times New Roman"/>
        </w:rPr>
        <w:t>(Ostfeld et al., 2005; Peterson, 2014)</w:t>
      </w:r>
      <w:r w:rsidRPr="00AA3319">
        <w:rPr>
          <w:rFonts w:cs="Times New Roman"/>
        </w:rPr>
        <w:fldChar w:fldCharType="end"/>
      </w:r>
      <w:r w:rsidRPr="00AA3319">
        <w:rPr>
          <w:rFonts w:cs="Times New Roman"/>
        </w:rPr>
        <w:t xml:space="preserve">. Numerous studies have used geospatial datasets and spatial modelling techniques to predict spatial patterns of vector borne diseases, including tick-borne diseases </w:t>
      </w:r>
      <w:r w:rsidRPr="00AA3319">
        <w:rPr>
          <w:rFonts w:cs="Times New Roman"/>
        </w:rPr>
        <w:lastRenderedPageBreak/>
        <w:fldChar w:fldCharType="begin" w:fldLock="1"/>
      </w:r>
      <w:r w:rsidR="00FF3DA9" w:rsidRPr="00AA3319">
        <w:rPr>
          <w:rFonts w:cs="Times New Roman"/>
        </w:rPr>
        <w:instrText xml:space="preserve"> ADDIN ZOTERO_ITEM CSL_CITATION {"citationID":"3N1bUyhr","properties":{"formattedCitation":"(Wimberly et al., 2008)","plainCitation":"(Wimberly et al., 2008)","noteIndex":0},"citationItems":[{"id":1689,"uris":["http://zotero.org/users/5456909/items/46FZ5ATG"],"uri":["http://zotero.org/users/5456909/items/46FZ5ATG"],"itemData":{"id":1689,"type":"article-journal","abstract":"Disease maps are used increasingly in the health sciences, with applications ranging from the diagnosis of individual cases to regional and global assessments of public health. However, data on the distributions of emerging infectious diseases are often available from only a limited number of samples. We compared several spatial modelling approaches for predicting the geographic distributions of two tick-borne pathogens: Ehrlichia chaffeensis, the causative agent of human monocytotropic ehrlichiosis, and Anaplasma phagocytophilum, the causative agent of human granulocytotropic anaplasmosis. These approaches extended environmental modelling based on logistic regression by incorporating both spatial autocorrelation (the tendency for pathogen distributions to be clustered in space) and spatial heterogeneity (the potential for environmental relationships to vary spatially). Incorporating either spatial autocorrelation or spatial heterogeneity resulted in substantial improvements over the standard logistic regression model. For E. chaffeensis, which was common within the boundaries of its geographic range and had a highly clustered distribution, the model based only on spatial autocorrelation was most accurate. For A. phagocytophilum, which has a more complex zoonotic cycle and a comparatively weak spatial pattern, the model that incorporated both spatial autocorrelation and spatially heterogeneous relationships with environmental variables was most accurate. Spatial autocorrelation can improve the accuracy of predictive disease risk models by incorporating spatial patterns as a proxy for unmeasured environmental variables and spatial processes. Spatial heterogeneity can also improve prediction accuracy by accounting for unique ecological conditions in different regions that affect the relative importance of environmental drivers on disease risk.","container-title":"International Journal of Health Geographics","issue":"1","page":"15-15","title":"Enhanced spatial models for predicting the geographic distributions of tick-borne pathogens","volume":"7","author":[{"family":"Wimberly","given":"Michael C."},{"family":"Baer","given":"Adam D."},{"family":"Yabsley","given":"Michael J."}],"issued":{"date-parts":[["2008",8]]}}}],"schema":"https://github.com/citation-style-language/schema/raw/master/csl-citation.json"} </w:instrText>
      </w:r>
      <w:r w:rsidRPr="00AA3319">
        <w:rPr>
          <w:rFonts w:cs="Times New Roman"/>
        </w:rPr>
        <w:fldChar w:fldCharType="separate"/>
      </w:r>
      <w:r w:rsidR="00FF3DA9" w:rsidRPr="00AA3319">
        <w:rPr>
          <w:rFonts w:cs="Times New Roman"/>
        </w:rPr>
        <w:t>(Wimberly et al., 2008)</w:t>
      </w:r>
      <w:r w:rsidRPr="00AA3319">
        <w:rPr>
          <w:rFonts w:cs="Times New Roman"/>
        </w:rPr>
        <w:fldChar w:fldCharType="end"/>
      </w:r>
      <w:r w:rsidRPr="00AA3319">
        <w:rPr>
          <w:rFonts w:cs="Times New Roman"/>
        </w:rPr>
        <w:t xml:space="preserve">, West Nile virus </w:t>
      </w:r>
      <w:r w:rsidRPr="00AA3319">
        <w:rPr>
          <w:rFonts w:cs="Times New Roman"/>
        </w:rPr>
        <w:fldChar w:fldCharType="begin" w:fldLock="1"/>
      </w:r>
      <w:r w:rsidR="00FF3DA9" w:rsidRPr="00AA3319">
        <w:rPr>
          <w:rFonts w:cs="Times New Roman"/>
        </w:rPr>
        <w:instrText xml:space="preserve"> ADDIN ZOTERO_ITEM CSL_CITATION {"citationID":"FeY8sLYL","properties":{"formattedCitation":"(Chuang et al., 2012; Peterson et al., 2008; Tran et al., 2014; Young et al., 2013)","plainCitation":"(Chuang et al., 2012; Peterson et al., 2008; Tran et al., 2014; Young et al., 2013)","noteIndex":0},"citationItems":[{"id":1951,"uris":["http://zotero.org/users/5456909/items/7KGZQJR8"],"uri":["http://zotero.org/users/5456909/items/7KGZQJR8"],"itemData":{"id":1951,"type":"article-journal","abstract":"Understanding the landscape-level determinants of West Nile virus (WNV) can aid in mapping high-risk areas and enhance disease control and prevention efforts. This study analyzed the spatial patterns of human WNV cases in three areas in South Dakota during 2003-2007 and investigated the influences of land cover, hydrology, soils, irrigation, and elevation by using case-control models. Land cover, hydrology, soils, and elevation all influenced WNV risk, although the main drivers were different in each study area. Risk for WNV was generally higher in areas with rural land cover than in developed areas, and higher close to wetlands or soils with a high ponding frequency. In western South Dakota, WNV risk also decreased with increasing elevation and was higher in forested areas. Our results showed that the spatial patterns of human WNV risk were associated with landscape-level features that likely reflect variability in mosquito ecology, avian host communities, and human activity.","container-title":"The American Journal of Tropical Medicine and Hygiene","issue":"4","page":"724-31","title":"Landscape-level spatial patterns of West Nile virus risk in the northern Great Plains.","volume":"86","author":[{"family":"Chuang","given":"T.W."},{"family":"Hockett","given":"Christine W"},{"family":"Kightlinger","given":"Lon"},{"family":"Wimberly","given":"Michael C"}],"issued":{"date-parts":[["2012"]]}}},{"id":1705,"uris":["http://zotero.org/users/5456909/items/SCJ4EC6K"],"uri":["http://zotero.org/users/5456909/items/SCJ4EC6K"],"itemData":{"id":1705,"type":"article-journal","container-title":"Journal of Vector Ecology","issue":"2","page":"342-352","title":"Predictable ecology and geography of West Nile virus transmission in the central United States","volume":"33","author":[{"family":"Peterson","given":"A.T."},{"family":"Robbing","given":"Amber"},{"family":"Restifo","given":"Robert"},{"family":"Howell","given":"James"},{"family":"Nasci","given":"Roger"}],"issued":{"date-parts":[["2008"]]}}},{"id":2288,"uris":["http://zotero.org/users/5456909/items/ZWL896RX"],"uri":["http://zotero.org/users/5456909/items/ZWL896RX"],"itemData":{"id":2288,"type":"article-journal","container-title":"International Journal of Health Geographics","issue":"1","page":"26","title":"Environmental predictors of West Nile Fever risk in Europe","volume":"13","author":[{"family":"Tran","given":"Annelise"},{"family":"Sudre","given":"Bertrand"},{"family":"Paz","given":"Shlomit"},{"family":"Rossi","given":"Massimiliano"},{"family":"Desbrosse","given":"Annie"},{"family":"Chevalier","given":"Véronique"},{"family":"Semenza","given":"Jan C."}],"issued":{"date-parts":[["2014"]]}}},{"id":654,"uris":["http://zotero.org/users/5456909/items/ZDNA7LGV"],"uri":["http://zotero.org/users/5456909/items/ZDNA7LGV"],"itemData":{"id":654,"type":"article-journal","abstract":"Landscape epidemiology, sometimes called spatial epidemiology, is a sub-discipline of medical geography that uses environmental conditions as explanatory variables in the study of disease or other health phenomena. Machine learning is a sub-discipline of artificial intelligence that can be used to create predictive models from large and complex datasets. West Nile virus (WNV) is a relatively new infectious disease in the United States, and has a fairly well-understood transmission cycle that is believed to be highly dependent on environmental conditions. This study takes a remote sensing and GIS approach to the study of WNV, using both landscape epidemiology and machine learning techniques. A combination of remotely sensed and in situ variables is used to predict WNV incidence with a correlation coefficient as high as 0.86. A novel method of mitigating the effect of limited case numbers is also tested and ultimately discarded. A consistent spatial pattern of model errors is identified, indicating the chosen variables are capable of predicting WNV disease risk across most of the United States, but are inadequate in the northern Great Plains region of the US.","container-title":"Applied Geography","page":"241-249","title":"A remote sensing and GIS-assisted landscape epidemiology approach to West Nile virus","volume":"45","author":[{"family":"Young","given":"Sean G."},{"family":"Tullis","given":"Jason A."},{"family":"Cothren","given":"Jackson"}],"issued":{"date-parts":[["2013",12]]}}}],"schema":"https://github.com/citation-style-language/schema/raw/master/csl-citation.json"} </w:instrText>
      </w:r>
      <w:r w:rsidRPr="00AA3319">
        <w:rPr>
          <w:rFonts w:cs="Times New Roman"/>
        </w:rPr>
        <w:fldChar w:fldCharType="separate"/>
      </w:r>
      <w:r w:rsidR="00FF3DA9" w:rsidRPr="00AA3319">
        <w:rPr>
          <w:rFonts w:cs="Times New Roman"/>
        </w:rPr>
        <w:t>(Chuang et al., 2012; Peterson et al., 2008; Tran et al., 2014; Young et al., 2013)</w:t>
      </w:r>
      <w:r w:rsidRPr="00AA3319">
        <w:rPr>
          <w:rFonts w:cs="Times New Roman"/>
        </w:rPr>
        <w:fldChar w:fldCharType="end"/>
      </w:r>
      <w:r w:rsidRPr="00AA3319">
        <w:rPr>
          <w:rFonts w:cs="Times New Roman"/>
        </w:rPr>
        <w:t xml:space="preserve">, malaria </w:t>
      </w:r>
      <w:r w:rsidRPr="00AA3319">
        <w:rPr>
          <w:rFonts w:cs="Times New Roman"/>
        </w:rPr>
        <w:fldChar w:fldCharType="begin" w:fldLock="1"/>
      </w:r>
      <w:r w:rsidR="000D258D" w:rsidRPr="00AA3319">
        <w:rPr>
          <w:rFonts w:cs="Times New Roman"/>
        </w:rPr>
        <w:instrText xml:space="preserve"> ADDIN ZOTERO_ITEM CSL_CITATION {"citationID":"xbKyPig7","properties":{"formattedCitation":"(Benali et al., 2014; Midekisa et al., 2014)","plainCitation":"(Benali et al., 2014; Midekisa et al., 2014)","noteIndex":0},"citationItems":[{"id":1426,"uris":["http://zotero.org/users/5456909/items/XLFISP4X"],"uri":["http://zotero.org/users/5456909/items/XLFISP4X"],"itemData":{"id":1426,"type":"article-journal","abstract":"Malaria was endemic in Europe for more than two millennia until its eradication in the 1970s. Recent autochthonous cases registered in Greece have increased the awareness regarding the threat of malaria re-emergence in Southern Europe. Currently, the presence of competent vectors, suitable environmental conditions and the evidences of a changing climate may increase the widespread re-emergence of malaria in Southern Europe. This work focused on determining the current relationships between environmental factors and the density of the former malaria vector Anopheles atroparvus in Portugal, a previously endemic country. Adult females were sampled and vector density was estimated in 22 sites in Southern Portugal between 2001 and 2010 and related with land cover and satellite-derived air temperature and vegetation indices. The relationship between vector density and local larval habitat, temperature and, in a broader sense, to environmental suitability, was assessed using a statistical modelling approach. Results showed that present environmental conditions are suitable for vector development at high densities and the spatial and temporal patterns closely resemble the ones registered in the past endemic period. The use of satellite-derived data, together with statistical models, allowed the extrapolation of suitable environmental conditions for vector development from site-level to the Portuguese mainland territory. This work also improved the baseline knowledge needed to understand the potential impacts of future environmental changes on vector density and, indirectly, on the risk of malaria re-emergence.","container-title":"Remote Sensing of Environment","page":"116-130","title":"Satellite-derived estimation of environmental suitability for malaria vector development in Portugal","volume":"145","author":[{"family":"Benali","given":"A."},{"family":"Nunes","given":"J.P."},{"family":"Freitas","given":"F.B."},{"family":"Sousa","given":"C.A."},{"family":"Novo","given":"M.T."},{"family":"Lourenço","given":"P.M."},{"family":"Lima","given":"J.C."},{"family":"Seixas","given":"J."},{"family":"Almeida","given":"A.P.G."}],"issued":{"date-parts":[["2014",4]]}}},{"id":2183,"uris":["http://zotero.org/users/5456909/items/HKEZJGAK"],"uri":["http://zotero.org/users/5456909/items/HKEZJGAK"],"itemData":{"id":2183,"type":"article-journal","container-title":"Water Resources Research","issue":"11","page":"8791-8806","title":"Multisensor earth observations to characterize wetlands and malaria epidemiology in Ethiopia","volume":"50","author":[{"family":"Midekisa","given":"Alemayehu"},{"family":"Senay","given":"Gabriel B."},{"family":"Wimberly","given":"Michael C."}],"issued":{"date-parts":[["2014",11]]}}}],"schema":"https://github.com/citation-style-language/schema/raw/master/csl-citation.json"} </w:instrText>
      </w:r>
      <w:r w:rsidRPr="00AA3319">
        <w:rPr>
          <w:rFonts w:cs="Times New Roman"/>
        </w:rPr>
        <w:fldChar w:fldCharType="separate"/>
      </w:r>
      <w:r w:rsidR="002B37C7" w:rsidRPr="00AA3319">
        <w:rPr>
          <w:rFonts w:cs="Times New Roman"/>
        </w:rPr>
        <w:t>(Benali et al., 2014; Midekisa et al., 2014)</w:t>
      </w:r>
      <w:r w:rsidRPr="00AA3319">
        <w:rPr>
          <w:rFonts w:cs="Times New Roman"/>
        </w:rPr>
        <w:fldChar w:fldCharType="end"/>
      </w:r>
      <w:r w:rsidRPr="00AA3319">
        <w:rPr>
          <w:rFonts w:cs="Times New Roman"/>
        </w:rPr>
        <w:t xml:space="preserve"> and chikungunya </w:t>
      </w:r>
      <w:r w:rsidRPr="00AA3319">
        <w:rPr>
          <w:rFonts w:cs="Times New Roman"/>
        </w:rPr>
        <w:fldChar w:fldCharType="begin" w:fldLock="1"/>
      </w:r>
      <w:r w:rsidR="00164EEB" w:rsidRPr="00AA3319">
        <w:rPr>
          <w:rFonts w:cs="Times New Roman"/>
        </w:rPr>
        <w:instrText xml:space="preserve"> ADDIN ZOTERO_ITEM CSL_CITATION {"citationID":"rcEMGynY","properties":{"formattedCitation":"(Fischer et al., 2013)","plainCitation":"(Fischer et al., 2013)","noteIndex":0},"citationItems":[{"id":2170,"uris":["http://zotero.org/users/5456909/items/47FUSS5J"],"uri":["http://zotero.org/users/5456909/items/47FUSS5J"],"itemData":{"id":2170,"type":"article-journal","abstract":"BACKGROUND: Chikungunya was, from the European perspective, considered to be a travel-related tropical mosquito-borne disease prior to the first European outbreak in Northern Italy in 2007. This was followed by cases of autochthonous transmission reported in South-eastern France in 2010. Both events occurred after the introduction, establishment and expansion of the Chikungunya-competent and highly invasive disease vector Aedes albopictus (Asian tiger mosquito) in Europe. In order to assess whether these outbreaks are indicative of the beginning of a trend or one-off events, there is a need to further examine the factors driving the potential transmission of Chikungunya in Europe. The climatic suitability, both now and in the future, is an essential starting point for such an analysis.\\n\\nMETHODS: The climatic suitability for Chikungunya outbreaks was determined by using bioclimatic factors that influence, both vector and, pathogen. Climatic suitability for the European distribution of the vector Aedes albopictus was based upon previous correlative environmental niche models. Climatic risk classes were derived by combining climatic suitability for the vector with known temperature requirements for pathogen transmission, obtained from outbreak regions. In addition, the longest potential intra-annual season for Chikungunya transmission was estimated for regions with expected vector occurrences.In order to analyse spatio-temporal trends for risk exposure and season of transmission in Europe, climate change impacts are projected for three time-frames (2011-2040, 2041-2070 and 2071-2100) and two climate scenarios (A1B and B1) from the Intergovernmental Panel on Climate Change (IPCC). These climatic projections are based on regional climate model COSMO-CLM, which builds on the global model ECHAM5.\\n\\nRESULTS: European areas with current and future climatic suitability of Chikungunya transmission are identified. An increase in risk is projected for Western Europe (e.g. France and Benelux-States) in the first half of the 21st century and from mid-century onwards for central parts of Europe (e.g. Germany). Interestingly, the southernmost parts of Europe do not generally provide suitable conditions in these projections. Nevertheless, many Mediterranean regions will persist to be climatically suitable for transmission. Overall, the highest risk of transmission by the end of the 21st century was projected for France, Northern Italy and the Pannonian Basin (East-Central Europe). This general tendency is depicted in both, the A1B and B1 climate change scenarios.\\n\\nCONCLUSION: In order to guide preparedness for further outbreaks, it is crucial to anticipate risk as to identify areas where specific public health measures, such as surveillance and vector control, can be implemented. However, public health practitioners need to be aware that climate is only one factor driving the transmission of vector-borne disease.","container-title":"International Journal of Health Geographics","ISSN":"1476-072X (Electronic)\\n1476-072X (Linking)","issue":"51","page":"1-12","title":"Climate change effects on Chikungunya transmission in Europe: Geospatial analysis of vector's climatic suitability and virus' temperature requirements.","volume":"12","author":[{"family":"Fischer","given":"Dominik"},{"family":"Thomas","given":"Stephanie M"},{"family":"Suk","given":"Jonathan E"},{"family":"Sudre","given":"Bertrand"},{"family":"Hess","given":"Andrea"},{"family":"Tjaden","given":"Nils B"},{"family":"Beierkuhnlein","given":"Carl"},{"family":"Semenza","given":"Jan C"}],"issued":{"date-parts":[["2013"]]}}}],"schema":"https://github.com/citation-style-language/schema/raw/master/csl-citation.json"} </w:instrText>
      </w:r>
      <w:r w:rsidRPr="00AA3319">
        <w:rPr>
          <w:rFonts w:cs="Times New Roman"/>
        </w:rPr>
        <w:fldChar w:fldCharType="separate"/>
      </w:r>
      <w:r w:rsidR="002B37C7" w:rsidRPr="00AA3319">
        <w:rPr>
          <w:rFonts w:cs="Times New Roman"/>
        </w:rPr>
        <w:t>(Fischer et al., 2013)</w:t>
      </w:r>
      <w:r w:rsidRPr="00AA3319">
        <w:rPr>
          <w:rFonts w:cs="Times New Roman"/>
        </w:rPr>
        <w:fldChar w:fldCharType="end"/>
      </w:r>
      <w:r w:rsidRPr="00AA3319">
        <w:rPr>
          <w:rFonts w:cs="Times New Roman"/>
        </w:rPr>
        <w:t>.</w:t>
      </w:r>
    </w:p>
    <w:p w14:paraId="7E123C82" w14:textId="7E77E1C8" w:rsidR="00617A79" w:rsidRPr="00AA3319" w:rsidRDefault="00617A79" w:rsidP="00A750EC">
      <w:pPr>
        <w:rPr>
          <w:rFonts w:cs="Times New Roman"/>
        </w:rPr>
      </w:pPr>
      <w:r w:rsidRPr="00AA3319">
        <w:rPr>
          <w:rFonts w:cs="Times New Roman"/>
        </w:rPr>
        <w:t xml:space="preserve">One important source of environmental data is satellite remote sensing. Sensors carried by Earth-observing satellites provide information on reflected, emitted, and backscattered radiation that can be used to identify objects and phenomena on the Earth’s surface. Today, we have unprecedented access to freely-available, long-term archives of high-quality satellite images with global coverage at spatial resolutions from tens to thousands of meters </w:t>
      </w:r>
      <w:r w:rsidRPr="00AA3319">
        <w:rPr>
          <w:rFonts w:cs="Times New Roman"/>
        </w:rPr>
        <w:fldChar w:fldCharType="begin" w:fldLock="1"/>
      </w:r>
      <w:r w:rsidR="00FF3DA9" w:rsidRPr="00AA3319">
        <w:rPr>
          <w:rFonts w:cs="Times New Roman"/>
        </w:rPr>
        <w:instrText xml:space="preserve"> ADDIN ZOTERO_ITEM CSL_CITATION {"citationID":"ral3xcle","properties":{"formattedCitation":"(Hansen and Loveland, 2012; Wulder et al., 2016)","plainCitation":"(Hansen and Loveland, 2012; Wulder et al., 2016)","noteIndex":0},"citationItems":[{"id":2841,"uris":["http://zotero.org/users/5456909/items/JYAHWDU5"],"uri":["http://zotero.org/users/5456909/items/JYAHWDU5"],"itemData":{"id":2841,"type":"article-journal","abstract":"Landsat data constitute the longest record of global-scale medium spatial resolution earth observation data. As a result, the current methods for large area monitoring of land cover change using medium spatial resolution imagery (10–50 m) typically employ Landsat data. Most large area products quantify forest cover change. Forests are a comparatively easy cover type to map as well as a current focus of environmental monitoring concerning the global carbon cycle and biodiversity loss. Among existing change products, supervised or knowledgebased characterization methods predominate. Radiometric correction methods vary signiﬁcantly, largely as a function of geographic/algorithmic scale. For instance, products created by mosaicking per scene characterizations do not require radiometric normalization. On the other hand, methods that employ a single index or classiﬁcation model over an entire study area do require radiometric normalization. Temporal updating of cover change varies between existing products as a function of regional acquisition frequency, cloud cover and seasonality. With the Landsat archive opened for free access to terrain-corrected data, future product generation will be more data intensive. Per scene, interactive analyses will no longer be viable. Coupling free and open access to large data volumes with improved processing power will result in automated image pre-processing and land cover characterization methods. Such methods will need to leverage high-performance computing capabilities in advancing the land cover monitoring discipline. Robust validation efforts will be required to quantify product accuracies in determining the optimal change characterization methodologies.","container-title":"Remote Sensing of Environment","ISSN":"00344257","language":"en","page":"66-74","source":"Crossref","title":"A review of large area monitoring of land cover change using Landsat data","volume":"122","author":[{"family":"Hansen","given":"M.C"},{"family":"Loveland","given":"T.R"}],"issued":{"date-parts":[["2012",7]]}}},{"id":1456,"uris":["http://zotero.org/users/5456909/items/V8J8K2RI"],"uri":["http://zotero.org/users/5456909/items/V8J8K2RI"],"itemData":{"id":1456,"type":"article-journal","abstract":"a b s t r a c t New and previously unimaginable Landsat applications have been fostered by a policy change in 2008 that made analysis-ready Landsat data free and open access. Since 1972, Landsat has been collecting images of the Earth, with the early years of the program constrained by onboard satellite and ground systems, as well as limitations across the range of required computing, networking, and storage capabilities. Rather than robust on-satellite storage for transmission via high bandwidth downlink to a centralized storage and distribution facility as with Landsat-8, a network of receiving stations, one operated by the U.S. government, the other operated by a commu-nity of International Cooperators (ICs), were utilized. ICs paid a fee for the right to receive and distribute Landsat data and over time, more Landsat data was held outside the archive of the United State Geological Survey (USGS) than was held inside, much of it unique. Recognizing the critical value of these data, the USGS began a Landsat Global Archive Consolidation (LGAC) initiative in 2010 to bring these data into a single, universally accessible, centralized global archive, housed at the Earth Resources Observation and Science (EROS) Center in Sioux Falls, South Dakota. The primary LGAC goals are to inventory the data held by ICs, acquire the data, and ingest and apply standard ground station processing to generate an L1T analysis-ready product. As of January 1, 2015 there were 5,532,454 images in the USGS archive. LGAC has contributed approximately 3.2 million of those im-ages, more than doubling the original USGS archive holdings. Moreover, an additional 2.3 million images have been identified to date through the LGAC initiative and are in the process of being added to the archive. The im-pact of LGAC is significant and, in terms of images in the collection, analogous to that of having had two additional Landsat-5 missions. As a result of LGAC, there are regions of the globe that now have markedly improved Landsat data coverage, resulting in an enhanced capacity for mapping, monitoring change, and capturing historic condi-tions. Although future missions can be planned and implemented, the past cannot be revisited, underscoring the value and enhanced significance of historical Landsat data and the LGAC initiative. The aim of this paper is to re-port the current status of the global USGS Landsat archive, document the existing and anticipated contributions of LGAC to the archive, and characterize the current acquisitions of Landsat-7 and Landsat-8. Landsat-8 is adding data to the archive at an unprecedented rate as nearly all terrestrial images are now collected. We also offer key lessons learned so far from the LGAC initiative, plus insights regarding other critical elements of the Landsat program looking forward, such as acquisition, continuity, temporal revisit, and the importance of continuing to operationalize the Landsat program.","container-title":"Remote Sensing of Environment","page":"271-283","title":"The global Landsat archive: Status, consolidation, and direction","volume":"185","author":[{"family":"Wulder","given":"Michael A"},{"family":"White","given":"Joanne C"},{"family":"Loveland","given":"Thomas R"},{"family":"Woodcock","given":"Curtis E"},{"family":"Belward","given":"Alan S"},{"family":"Cohen","given":"Warren B"},{"family":"Fosnight","given":"Eugene A"},{"family":"Shaw","given":"Jerad"},{"family":"Masek","given":"Jeffrey G"},{"family":"Roy","given":"David P"}],"issued":{"date-parts":[["2016"]]}}}],"schema":"https://github.com/citation-style-language/schema/raw/master/csl-citation.json"} </w:instrText>
      </w:r>
      <w:r w:rsidRPr="00AA3319">
        <w:rPr>
          <w:rFonts w:cs="Times New Roman"/>
        </w:rPr>
        <w:fldChar w:fldCharType="separate"/>
      </w:r>
      <w:r w:rsidR="002B37C7" w:rsidRPr="00AA3319">
        <w:rPr>
          <w:rFonts w:cs="Times New Roman"/>
        </w:rPr>
        <w:t>(Hansen and Loveland, 2012; Wulder et al., 2016)</w:t>
      </w:r>
      <w:r w:rsidRPr="00AA3319">
        <w:rPr>
          <w:rFonts w:cs="Times New Roman"/>
        </w:rPr>
        <w:fldChar w:fldCharType="end"/>
      </w:r>
      <w:r w:rsidRPr="00AA3319">
        <w:rPr>
          <w:rFonts w:cs="Times New Roman"/>
        </w:rPr>
        <w:t xml:space="preserve">. As a result, there has been increasing usage of satellite remote sensing data in large-scale environmental monitoring applications, including disease modelling. Satellite data can be used to compute a variety of spectral indices that are sensitive to environmental factors such as vegetation greenness, water, and land surface temperature. These indices characterize a wide range of environmental conditions, and thus may be more effective at identifying the specific vector and host habitats associated with disease transmission than other data sources such as classified land cover maps and coarser-grained meteorological datasets. Additionally, historical satellite archives allow us to observe long-term changes in land surface characteristics and measure their inter- and intra-annual variability, as opposed to viewing land cover as a static condition. Thus, the use of satellite-derived spectral information can help to improve disease risk maps by providing novel sources of environmental information that are relevant to vector and host ecology. </w:t>
      </w:r>
    </w:p>
    <w:p w14:paraId="1CA85212" w14:textId="77777777" w:rsidR="00617A79" w:rsidRPr="00AA3319" w:rsidRDefault="00617A79" w:rsidP="00A750EC">
      <w:pPr>
        <w:rPr>
          <w:rFonts w:cs="Times New Roman"/>
        </w:rPr>
      </w:pPr>
      <w:r w:rsidRPr="00AA3319">
        <w:rPr>
          <w:rFonts w:cs="Times New Roman"/>
        </w:rPr>
        <w:t>With the ever-increasing availability of high-quality geospatial data, researchers face the challenge of deciding what data to include for their specific applications. The objective</w:t>
      </w:r>
      <w:r w:rsidRPr="00AA3319">
        <w:rPr>
          <w:rFonts w:cs="Times New Roman"/>
          <w:b/>
        </w:rPr>
        <w:t xml:space="preserve"> </w:t>
      </w:r>
      <w:r w:rsidRPr="00AA3319">
        <w:rPr>
          <w:rFonts w:cs="Times New Roman"/>
        </w:rPr>
        <w:t xml:space="preserve">of </w:t>
      </w:r>
      <w:r w:rsidRPr="00AA3319">
        <w:rPr>
          <w:rFonts w:cs="Times New Roman"/>
        </w:rPr>
        <w:lastRenderedPageBreak/>
        <w:t>this study is to explore the use of different types of geospatial environmental data for predicting the spatial patterns WNV disease risk in South Dakota. We compared three broad classes of geospatial data commonly used in previous studies: 1) land cover and physiography data, describing the physical structure, vegetation, and hydrology of the land surface at a single point in time; 2) climate data, derived from gridded and interpolated meteorological data; and 3) spectral indices derived from satellite sensors, measuring a variety of environmental conditions on the land surface. We sought to determine which of these data types produced the best fitting spatial model of human WNV cases and which specific environmental variables had the strongest influence on WNV patterns when all data types were included in a combined model. This approach allowed us to identify the best model for predicting the spatial distribution of WNV risk in South Dakota and yielded broader insights that can help to inform similar mapping efforts for different diseases in other locations.</w:t>
      </w:r>
    </w:p>
    <w:p w14:paraId="00614659" w14:textId="78F97E91" w:rsidR="00617A79" w:rsidRPr="00AA3319" w:rsidRDefault="00617A79" w:rsidP="00A750EC">
      <w:pPr>
        <w:pStyle w:val="Heading2"/>
        <w:rPr>
          <w:rFonts w:cs="Times New Roman"/>
        </w:rPr>
      </w:pPr>
      <w:bookmarkStart w:id="91" w:name="_Toc78889200"/>
      <w:r w:rsidRPr="00AA3319">
        <w:rPr>
          <w:rFonts w:cs="Times New Roman"/>
        </w:rPr>
        <w:t>Methods</w:t>
      </w:r>
      <w:bookmarkEnd w:id="91"/>
    </w:p>
    <w:p w14:paraId="2ED47496" w14:textId="159879EC" w:rsidR="00617A79" w:rsidRPr="00AA3319" w:rsidRDefault="00617A79" w:rsidP="00A750EC">
      <w:pPr>
        <w:rPr>
          <w:rFonts w:cs="Times New Roman"/>
        </w:rPr>
      </w:pPr>
      <w:r w:rsidRPr="00AA3319">
        <w:rPr>
          <w:rFonts w:cs="Times New Roman"/>
        </w:rPr>
        <w:t xml:space="preserve">The overall workflow involved acquiring and processing human WNV case data, exploratory analysis of the WNV case data, acquiring and processing environmental data, fitting boosted regression tree models of WNV cases using the environmental variables, and applying these models to generate risk maps (Figure </w:t>
      </w:r>
      <w:r w:rsidR="00DE1A98" w:rsidRPr="00AA3319">
        <w:rPr>
          <w:rFonts w:cs="Times New Roman"/>
        </w:rPr>
        <w:t>3-</w:t>
      </w:r>
      <w:r w:rsidRPr="00AA3319">
        <w:rPr>
          <w:rFonts w:cs="Times New Roman"/>
        </w:rPr>
        <w:t xml:space="preserve">1). These steps are described in detail in the following subsections. </w:t>
      </w:r>
    </w:p>
    <w:p w14:paraId="4B45B043" w14:textId="77777777" w:rsidR="00FC4A2F" w:rsidRPr="00AA3319" w:rsidRDefault="00FC4A2F" w:rsidP="00FC4A2F">
      <w:pPr>
        <w:keepNext/>
        <w:rPr>
          <w:rFonts w:cs="Times New Roman"/>
        </w:rPr>
      </w:pPr>
      <w:r w:rsidRPr="00AA3319">
        <w:rPr>
          <w:rFonts w:cs="Times New Roman"/>
          <w:noProof/>
        </w:rPr>
        <w:lastRenderedPageBreak/>
        <w:drawing>
          <wp:inline distT="0" distB="0" distL="0" distR="0" wp14:anchorId="41664DF6" wp14:editId="6B437C3A">
            <wp:extent cx="5486400" cy="4253865"/>
            <wp:effectExtent l="0" t="0" r="0" b="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4253865"/>
                    </a:xfrm>
                    <a:prstGeom prst="rect">
                      <a:avLst/>
                    </a:prstGeom>
                  </pic:spPr>
                </pic:pic>
              </a:graphicData>
            </a:graphic>
          </wp:inline>
        </w:drawing>
      </w:r>
    </w:p>
    <w:p w14:paraId="2789776F" w14:textId="7A653D09" w:rsidR="00617A79" w:rsidRPr="00AA3319" w:rsidRDefault="00FC4A2F" w:rsidP="00FC4A2F">
      <w:pPr>
        <w:pStyle w:val="Caption"/>
        <w:ind w:firstLine="0"/>
        <w:rPr>
          <w:rFonts w:cs="Times New Roman"/>
        </w:rPr>
      </w:pPr>
      <w:bookmarkStart w:id="92" w:name="_Toc78881291"/>
      <w:r w:rsidRPr="00AA3319">
        <w:rPr>
          <w:rFonts w:cs="Times New Roman"/>
        </w:rPr>
        <w:t xml:space="preserve">Figure </w:t>
      </w:r>
      <w:r w:rsidR="004C1B0D">
        <w:rPr>
          <w:rFonts w:cs="Times New Roman"/>
        </w:rPr>
        <w:fldChar w:fldCharType="begin"/>
      </w:r>
      <w:r w:rsidR="004C1B0D">
        <w:rPr>
          <w:rFonts w:cs="Times New Roman"/>
        </w:rPr>
        <w:instrText xml:space="preserve"> STYLEREF 1 \s </w:instrText>
      </w:r>
      <w:r w:rsidR="004C1B0D">
        <w:rPr>
          <w:rFonts w:cs="Times New Roman"/>
        </w:rPr>
        <w:fldChar w:fldCharType="separate"/>
      </w:r>
      <w:r w:rsidR="00F243F7">
        <w:rPr>
          <w:rFonts w:cs="Times New Roman"/>
          <w:noProof/>
        </w:rPr>
        <w:t>3</w:t>
      </w:r>
      <w:r w:rsidR="004C1B0D">
        <w:rPr>
          <w:rFonts w:cs="Times New Roman"/>
        </w:rPr>
        <w:fldChar w:fldCharType="end"/>
      </w:r>
      <w:r w:rsidR="004C1B0D">
        <w:rPr>
          <w:rFonts w:cs="Times New Roman"/>
        </w:rPr>
        <w:noBreakHyphen/>
      </w:r>
      <w:r w:rsidR="004C1B0D">
        <w:rPr>
          <w:rFonts w:cs="Times New Roman"/>
        </w:rPr>
        <w:fldChar w:fldCharType="begin"/>
      </w:r>
      <w:r w:rsidR="004C1B0D">
        <w:rPr>
          <w:rFonts w:cs="Times New Roman"/>
        </w:rPr>
        <w:instrText xml:space="preserve"> SEQ Figure \* ARABIC \s 1 </w:instrText>
      </w:r>
      <w:r w:rsidR="004C1B0D">
        <w:rPr>
          <w:rFonts w:cs="Times New Roman"/>
        </w:rPr>
        <w:fldChar w:fldCharType="separate"/>
      </w:r>
      <w:r w:rsidR="00F243F7">
        <w:rPr>
          <w:rFonts w:cs="Times New Roman"/>
          <w:noProof/>
        </w:rPr>
        <w:t>1</w:t>
      </w:r>
      <w:r w:rsidR="004C1B0D">
        <w:rPr>
          <w:rFonts w:cs="Times New Roman"/>
        </w:rPr>
        <w:fldChar w:fldCharType="end"/>
      </w:r>
      <w:r w:rsidRPr="00AA3319">
        <w:rPr>
          <w:rFonts w:cs="Times New Roman"/>
        </w:rPr>
        <w:t>: Workflow for West Nile virus (WNV) modeling and risk mapping. The analysis is divided into four major sections. The processing of case and control data, an exploratory analysis of case and control data, the processing of environmental variables, and the statistical modeling to produce WNV risk maps. Bold text represents the four main sections; italic text represents data processing steps, boxes, and arrows represent the main data flows. BRT = boosted regression tree.</w:t>
      </w:r>
      <w:bookmarkEnd w:id="92"/>
    </w:p>
    <w:p w14:paraId="5FB7B67D" w14:textId="716CA61F" w:rsidR="00617A79" w:rsidRPr="00AA3319" w:rsidRDefault="00617A79" w:rsidP="00A750EC">
      <w:pPr>
        <w:pStyle w:val="Heading3"/>
        <w:rPr>
          <w:rFonts w:cs="Times New Roman"/>
        </w:rPr>
      </w:pPr>
      <w:bookmarkStart w:id="93" w:name="_Toc78889201"/>
      <w:r w:rsidRPr="00AA3319">
        <w:rPr>
          <w:rFonts w:cs="Times New Roman"/>
        </w:rPr>
        <w:t xml:space="preserve">West Nile </w:t>
      </w:r>
      <w:r w:rsidR="00F3359D">
        <w:rPr>
          <w:rFonts w:cs="Times New Roman"/>
        </w:rPr>
        <w:t>v</w:t>
      </w:r>
      <w:r w:rsidRPr="00AA3319">
        <w:rPr>
          <w:rFonts w:cs="Times New Roman"/>
        </w:rPr>
        <w:t xml:space="preserve">irus </w:t>
      </w:r>
      <w:r w:rsidR="00F3359D">
        <w:rPr>
          <w:rFonts w:cs="Times New Roman"/>
        </w:rPr>
        <w:t>c</w:t>
      </w:r>
      <w:r w:rsidRPr="00AA3319">
        <w:rPr>
          <w:rFonts w:cs="Times New Roman"/>
        </w:rPr>
        <w:t xml:space="preserve">ase and </w:t>
      </w:r>
      <w:r w:rsidR="00F3359D">
        <w:rPr>
          <w:rFonts w:cs="Times New Roman"/>
        </w:rPr>
        <w:t>c</w:t>
      </w:r>
      <w:r w:rsidRPr="00AA3319">
        <w:rPr>
          <w:rFonts w:cs="Times New Roman"/>
        </w:rPr>
        <w:t xml:space="preserve">ontrol </w:t>
      </w:r>
      <w:r w:rsidR="00F3359D">
        <w:rPr>
          <w:rFonts w:cs="Times New Roman"/>
        </w:rPr>
        <w:t>d</w:t>
      </w:r>
      <w:r w:rsidRPr="00AA3319">
        <w:rPr>
          <w:rFonts w:cs="Times New Roman"/>
        </w:rPr>
        <w:t>ata</w:t>
      </w:r>
      <w:bookmarkEnd w:id="93"/>
    </w:p>
    <w:p w14:paraId="25E0B918" w14:textId="5263FEFF" w:rsidR="00617A79" w:rsidRPr="00AA3319" w:rsidRDefault="00617A79" w:rsidP="00A750EC">
      <w:pPr>
        <w:rPr>
          <w:rFonts w:cs="Times New Roman"/>
        </w:rPr>
      </w:pPr>
      <w:r w:rsidRPr="00AA3319">
        <w:rPr>
          <w:rFonts w:cs="Times New Roman"/>
        </w:rPr>
        <w:t xml:space="preserve">From the South Dakota Department of Health (SDDOH) we received 1381 serologically-confirmed case records of West Nile fever, West Nile neuroinvasive disease, and WNV infected blood donor detections with spatial information for the years 2004 – 2017. Cases of West Nile fever and West Nile neuroinvasive diseases were diagnosed by clinicians and confirmed by laboratory techniques and meet the CDC case definition </w:t>
      </w:r>
      <w:r w:rsidRPr="00AA3319">
        <w:rPr>
          <w:rFonts w:cs="Times New Roman"/>
        </w:rPr>
        <w:fldChar w:fldCharType="begin" w:fldLock="1"/>
      </w:r>
      <w:r w:rsidR="008E5BF5">
        <w:rPr>
          <w:rFonts w:cs="Times New Roman"/>
        </w:rPr>
        <w:instrText xml:space="preserve"> ADDIN ZOTERO_ITEM CSL_CITATION {"citationID":"WebH14yK","properties":{"formattedCitation":"(CDC, 2015)","plainCitation":"(CDC, 2015)","noteIndex":0},"citationItems":[{"id":"YKY8t1zq/YAaFi24f","uris":["http://www.mendeley.com/documents/?uuid=6881ab03-7f47-3fd7-9955-d69d808c57ec"],"uri":["http://www.mendeley.com/documents/?uuid=6881ab03-7f47-3fd7-9955-d69d808c57ec"],"itemData":{"URL":"https://wwwn.cdc.gov/nndss/conditions/arboviral-diseases-neuroinvasive-and-non-neuroinvasive/case-definition/2015/","accessed":{"date-parts":[["2018","5","24"]]},"author":[{"dropping-particle":"","family":"CDC","given":"","non-dropping-particle":"","parse-names":false,"suffix":""}],"id":"ITEM-1","issued":{"date-parts":[["2015"]]},"title":"Arboviral diseases, neuroinvasive and non-neuroinvasive | 2015 case definition","type":"webpage"}}],"schema":"https://github.com/citation-style-language/schema/raw/master/csl-citation.json"} </w:instrText>
      </w:r>
      <w:r w:rsidRPr="00AA3319">
        <w:rPr>
          <w:rFonts w:cs="Times New Roman"/>
        </w:rPr>
        <w:fldChar w:fldCharType="separate"/>
      </w:r>
      <w:r w:rsidR="002B37C7" w:rsidRPr="00AA3319">
        <w:rPr>
          <w:rFonts w:cs="Times New Roman"/>
        </w:rPr>
        <w:t>(CDC, 2015)</w:t>
      </w:r>
      <w:r w:rsidRPr="00AA3319">
        <w:rPr>
          <w:rFonts w:cs="Times New Roman"/>
        </w:rPr>
        <w:fldChar w:fldCharType="end"/>
      </w:r>
      <w:r w:rsidRPr="00AA3319">
        <w:rPr>
          <w:rFonts w:cs="Times New Roman"/>
        </w:rPr>
        <w:t xml:space="preserve">. In </w:t>
      </w:r>
      <w:r w:rsidRPr="00AA3319">
        <w:rPr>
          <w:rFonts w:cs="Times New Roman"/>
        </w:rPr>
        <w:lastRenderedPageBreak/>
        <w:t xml:space="preserve">addition to symptomatic WNV cases, we also included cases of WNV-positive blood donors reported to the SDDOH. After the first two years of introduction in 2002-2003, the annual number of WNV cases declined and the geographic distribution of cases shifted </w:t>
      </w:r>
      <w:r w:rsidRPr="00AA3319">
        <w:rPr>
          <w:rFonts w:cs="Times New Roman"/>
        </w:rPr>
        <w:fldChar w:fldCharType="begin" w:fldLock="1"/>
      </w:r>
      <w:r w:rsidR="00FF3DA9" w:rsidRPr="00AA3319">
        <w:rPr>
          <w:rFonts w:cs="Times New Roman"/>
        </w:rPr>
        <w:instrText xml:space="preserve"> ADDIN ZOTERO_ITEM CSL_CITATION {"citationID":"VfiBrmBG","properties":{"formattedCitation":"(Wimberly et al., 2013)","plainCitation":"(Wimberly et al., 2013)","noteIndex":0},"citationItems":[{"id":1714,"uris":["http://zotero.org/users/5456909/items/VNVAA5W7"],"uri":["http://zotero.org/users/5456909/items/VNVAA5W7"],"itemData":{"id":1714,"type":"article-journal","abstract":"Despite a cold temperate climate and low human population density, the Northern Great Plains has become a persistent hot spot for human West Nile virus (WNV) disease in North America. Understanding the spatial and temporal patterns of WNV can provide insights into the epidemiological and ecological factors that influence disease emergence and persistence. We analyzed the 1,962 cases of human WNV disease that occurred in South Dakota from 2002–2012 to identify the geographic distribution, seasonal cycles, and interannual variability of disease risk. The geographic and seasonal patterns of WNV have changed since the invasion and initial epidemic in 2002–2003, with cases shifting toward the eastern portion of South Dakota and occurring earlier in the transmission season in more recent years. WNV cases were temporally autocorrelated at lags of up to six weeks and early season cumulative case numbers were correlated with seasonal totals, indicating the possibility of using these data for short-term early detection of outbreaks. Epidemiological data are likely to be most effective for early warning of WNV virus outbreaks if they are integrated with entomological surveillance and environmental monitoring to leverage the strengths and minimize the weaknesses of each information source.","container-title":"International Journal of Environmental Research and Public Health","issue":"11","page":"5584-5602","title":"Spatio-temporal epidemiology of human West Nile virus disease in South Dakota","volume":"10","author":[{"family":"Wimberly","given":"Michael C."},{"family":"Giacomo","given":"Paolla"},{"family":"Kightlinger","given":"Lon"},{"family":"Hildreth","given":"Michael"}],"issued":{"date-parts":[["2013",10]]}}}],"schema":"https://github.com/citation-style-language/schema/raw/master/csl-citation.json"} </w:instrText>
      </w:r>
      <w:r w:rsidRPr="00AA3319">
        <w:rPr>
          <w:rFonts w:cs="Times New Roman"/>
        </w:rPr>
        <w:fldChar w:fldCharType="separate"/>
      </w:r>
      <w:r w:rsidR="00FF3DA9" w:rsidRPr="00AA3319">
        <w:rPr>
          <w:rFonts w:cs="Times New Roman"/>
        </w:rPr>
        <w:t>(Wimberly et al., 2013)</w:t>
      </w:r>
      <w:r w:rsidRPr="00AA3319">
        <w:rPr>
          <w:rFonts w:cs="Times New Roman"/>
        </w:rPr>
        <w:fldChar w:fldCharType="end"/>
      </w:r>
      <w:r w:rsidRPr="00AA3319">
        <w:rPr>
          <w:rFonts w:cs="Times New Roman"/>
        </w:rPr>
        <w:t xml:space="preserve">. These first two years were excluded from our analysis as the disease was not yet endemic, and the patterns were atypical from the following years. </w:t>
      </w:r>
    </w:p>
    <w:p w14:paraId="3929A5D6" w14:textId="77777777" w:rsidR="00617A79" w:rsidRPr="00AA3319" w:rsidRDefault="00617A79" w:rsidP="00A750EC">
      <w:pPr>
        <w:rPr>
          <w:rFonts w:cs="Times New Roman"/>
        </w:rPr>
      </w:pPr>
      <w:r w:rsidRPr="00AA3319">
        <w:rPr>
          <w:rFonts w:cs="Times New Roman"/>
        </w:rPr>
        <w:t>Of the case records between the years 2004-2017, 1257 contained geocoded coordinates of the home addresses of confirmed cases, an additional 121 data points contained at least zip code information, and only three cases had no spatial information. For those cases where only zip-code information was available, we assigned the case data point to a random location within the given zip code tabulation area (ZCTA). The availability of spatial coordinates at the household level allowed us to assign a precise spatial location to most cases and avoided problems associated with summarizing cases within arbitrary spatial boundaries such as ZCTAs and counties.</w:t>
      </w:r>
    </w:p>
    <w:p w14:paraId="0DCBCD99" w14:textId="77777777" w:rsidR="00617A79" w:rsidRPr="00AA3319" w:rsidRDefault="00617A79" w:rsidP="00A750EC">
      <w:pPr>
        <w:rPr>
          <w:rFonts w:cs="Times New Roman"/>
        </w:rPr>
      </w:pPr>
      <w:r w:rsidRPr="00AA3319">
        <w:rPr>
          <w:rFonts w:cs="Times New Roman"/>
        </w:rPr>
        <w:t xml:space="preserve">We used the technique of Chuang et al. </w:t>
      </w:r>
      <w:r w:rsidR="000656BD" w:rsidRPr="00AA3319">
        <w:rPr>
          <w:rFonts w:cs="Times New Roman"/>
        </w:rPr>
        <w:fldChar w:fldCharType="begin"/>
      </w:r>
      <w:r w:rsidR="000656BD" w:rsidRPr="00AA3319">
        <w:rPr>
          <w:rFonts w:cs="Times New Roman"/>
        </w:rPr>
        <w:instrText xml:space="preserve"> AUTHOR  (2012) </w:instrText>
      </w:r>
      <w:r w:rsidR="000656BD" w:rsidRPr="00AA3319">
        <w:rPr>
          <w:rFonts w:cs="Times New Roman"/>
        </w:rPr>
        <w:fldChar w:fldCharType="separate"/>
      </w:r>
      <w:r w:rsidRPr="00AA3319">
        <w:rPr>
          <w:rFonts w:cs="Times New Roman"/>
          <w:noProof/>
        </w:rPr>
        <w:t>(2012)</w:t>
      </w:r>
      <w:r w:rsidR="000656BD" w:rsidRPr="00AA3319">
        <w:rPr>
          <w:rFonts w:cs="Times New Roman"/>
          <w:noProof/>
        </w:rPr>
        <w:fldChar w:fldCharType="end"/>
      </w:r>
      <w:r w:rsidRPr="00AA3319">
        <w:rPr>
          <w:rFonts w:cs="Times New Roman"/>
        </w:rPr>
        <w:t xml:space="preserve"> to generate a set of 50,000 control points to represent the background distribution of the human population. We used census-block level population information from the 2010 census to generate control points proportional to the population of census block. We assigned these control points to random locations within each block. This population-based weighting controlled for the uneven population distribution and prevented a bias that would otherwise have skewed our results towards over-predicting risk in highly populated places.</w:t>
      </w:r>
    </w:p>
    <w:p w14:paraId="5E9B2BAA" w14:textId="2B722A1E" w:rsidR="00617A79" w:rsidRPr="00AA3319" w:rsidRDefault="00617A79" w:rsidP="00A750EC">
      <w:pPr>
        <w:pStyle w:val="Heading3"/>
        <w:rPr>
          <w:rFonts w:cs="Times New Roman"/>
        </w:rPr>
      </w:pPr>
      <w:bookmarkStart w:id="94" w:name="_Toc78889202"/>
      <w:r w:rsidRPr="00AA3319">
        <w:rPr>
          <w:rFonts w:cs="Times New Roman"/>
        </w:rPr>
        <w:t xml:space="preserve">Exploratory </w:t>
      </w:r>
      <w:r w:rsidR="00F3359D">
        <w:rPr>
          <w:rFonts w:cs="Times New Roman"/>
        </w:rPr>
        <w:t>a</w:t>
      </w:r>
      <w:r w:rsidRPr="00AA3319">
        <w:rPr>
          <w:rFonts w:cs="Times New Roman"/>
        </w:rPr>
        <w:t>nalysis</w:t>
      </w:r>
      <w:bookmarkEnd w:id="94"/>
    </w:p>
    <w:p w14:paraId="01E704BC" w14:textId="77777777" w:rsidR="00617A79" w:rsidRPr="00AA3319" w:rsidRDefault="00617A79" w:rsidP="00A750EC">
      <w:pPr>
        <w:rPr>
          <w:rFonts w:cs="Times New Roman"/>
        </w:rPr>
      </w:pPr>
      <w:r w:rsidRPr="00AA3319">
        <w:rPr>
          <w:rFonts w:cs="Times New Roman"/>
        </w:rPr>
        <w:t xml:space="preserve">To study the distribution of WNV cases in relation to the population distribution, we created a map of smoothed incidence rates. We applied a kernel smoothing technique to </w:t>
      </w:r>
      <w:r w:rsidRPr="00AA3319">
        <w:rPr>
          <w:rFonts w:cs="Times New Roman"/>
        </w:rPr>
        <w:lastRenderedPageBreak/>
        <w:t xml:space="preserve">create a gridded layer where every grid cell contained density estimates for case and control points. The density estimates for each cell were based on the numbers of case and control points within a set radius given by a smoothing parameter, and their distances to the cell. As smoothing parameter, we chose a bandwidth of 0.5 degree. We used the R package kernSmooth (Wand &amp; Jones 1995). Then we created an approximate smoothed incidence rate by dividing the pixel values of the smoothed case grid by the control grid. </w:t>
      </w:r>
    </w:p>
    <w:p w14:paraId="16AD49F6" w14:textId="7850A4FA" w:rsidR="00617A79" w:rsidRPr="00AA3319" w:rsidRDefault="00617A79" w:rsidP="00A750EC">
      <w:pPr>
        <w:pStyle w:val="Heading3"/>
        <w:rPr>
          <w:rFonts w:cs="Times New Roman"/>
        </w:rPr>
      </w:pPr>
      <w:bookmarkStart w:id="95" w:name="_Toc78889203"/>
      <w:r w:rsidRPr="00AA3319">
        <w:rPr>
          <w:rFonts w:cs="Times New Roman"/>
        </w:rPr>
        <w:t xml:space="preserve">Environmental </w:t>
      </w:r>
      <w:r w:rsidR="00A703AF">
        <w:rPr>
          <w:rFonts w:cs="Times New Roman"/>
        </w:rPr>
        <w:t>v</w:t>
      </w:r>
      <w:r w:rsidRPr="00AA3319">
        <w:rPr>
          <w:rFonts w:cs="Times New Roman"/>
        </w:rPr>
        <w:t>ariables</w:t>
      </w:r>
      <w:bookmarkEnd w:id="95"/>
    </w:p>
    <w:p w14:paraId="10FB158C" w14:textId="24A923B2" w:rsidR="00617A79" w:rsidRPr="00AA3319" w:rsidRDefault="00617A79" w:rsidP="00A750EC">
      <w:pPr>
        <w:rPr>
          <w:rFonts w:cs="Times New Roman"/>
        </w:rPr>
      </w:pPr>
      <w:r w:rsidRPr="00AA3319">
        <w:rPr>
          <w:rFonts w:cs="Times New Roman"/>
        </w:rPr>
        <w:t xml:space="preserve">We compiled a variety of datasets that contain environmental information relevant to disease amplification and transmission. A list of the data used for the disease risk models is provided in Table </w:t>
      </w:r>
      <w:r w:rsidR="0021152F">
        <w:rPr>
          <w:rFonts w:cs="Times New Roman"/>
        </w:rPr>
        <w:t>3-</w:t>
      </w:r>
      <w:r w:rsidRPr="00AA3319">
        <w:rPr>
          <w:rFonts w:cs="Times New Roman"/>
        </w:rPr>
        <w:t xml:space="preserve">1. We grouped the data into three main types. </w:t>
      </w:r>
      <w:r w:rsidRPr="00AA3319">
        <w:rPr>
          <w:rFonts w:cs="Times New Roman"/>
          <w:i/>
        </w:rPr>
        <w:t>Land cover and physiography data</w:t>
      </w:r>
      <w:r w:rsidRPr="00AA3319">
        <w:rPr>
          <w:rFonts w:cs="Times New Roman"/>
        </w:rPr>
        <w:t xml:space="preserve"> included a variety of standard national-level data products characterizing land cover and land use, topography, soils, and wetlands.</w:t>
      </w:r>
      <w:r w:rsidRPr="00AA3319">
        <w:rPr>
          <w:rFonts w:cs="Times New Roman"/>
          <w:i/>
        </w:rPr>
        <w:t xml:space="preserve"> Climate data</w:t>
      </w:r>
      <w:r w:rsidRPr="00AA3319">
        <w:rPr>
          <w:rFonts w:cs="Times New Roman"/>
        </w:rPr>
        <w:t xml:space="preserve"> included indices derived from a gridded meteorological dataset.</w:t>
      </w:r>
      <w:r w:rsidRPr="00AA3319">
        <w:rPr>
          <w:rFonts w:cs="Times New Roman"/>
          <w:i/>
        </w:rPr>
        <w:t xml:space="preserve"> Spectral data</w:t>
      </w:r>
      <w:r w:rsidRPr="00AA3319">
        <w:rPr>
          <w:rFonts w:cs="Times New Roman"/>
        </w:rPr>
        <w:t xml:space="preserve"> included indices calculated from high temporal resolution remotely sensed surface reflectance data in the optical and infrared wavelengths. The specific variables derived from these data sets are listed in Table </w:t>
      </w:r>
      <w:r w:rsidR="0021152F">
        <w:rPr>
          <w:rFonts w:cs="Times New Roman"/>
        </w:rPr>
        <w:t>3-</w:t>
      </w:r>
      <w:r w:rsidRPr="00AA3319">
        <w:rPr>
          <w:rFonts w:cs="Times New Roman"/>
        </w:rPr>
        <w:t xml:space="preserve">2. </w:t>
      </w:r>
    </w:p>
    <w:p w14:paraId="0B7668AA" w14:textId="61D764A4" w:rsidR="00617A79" w:rsidRPr="00AA3319" w:rsidRDefault="00617A79" w:rsidP="00A750EC">
      <w:pPr>
        <w:rPr>
          <w:rFonts w:cs="Times New Roman"/>
        </w:rPr>
      </w:pPr>
      <w:r w:rsidRPr="00AA3319">
        <w:rPr>
          <w:rFonts w:cs="Times New Roman"/>
        </w:rPr>
        <w:t xml:space="preserve">We retrieved land cover and physiography data for South Dakota from various national datasets. Land cover variables were derived from the 2011 National Land Cover Database (NLCD) at a 30m resolution. From the initial NLCD land cover gridded dataset, we created new datasets containing presence/absence information for each of the five land cover classes: developed areas (developed low intensity, developed medium, and developed high), forest (deciduous forest, evergreen forest, and mixed forest), grassland (grassland/herbaceous), pasture (pasture/hay), wetland (woody wetlands, emergent </w:t>
      </w:r>
      <w:r w:rsidRPr="00AA3319">
        <w:rPr>
          <w:rFonts w:cs="Times New Roman"/>
        </w:rPr>
        <w:lastRenderedPageBreak/>
        <w:t xml:space="preserve">herbaceous wetland) and cropland (cultivated crops). Data on wetland distribution was also downloaded from the National Wetlands Inventory (NWI). We first converted the shapefiles into raster format and then created individual presence/absence layers for each of five wetland types: freshwater emergent wetland, freshwater pond, riverine, freshwater forested/shrub wetland and lakes. We extracted data on ponding frequency from the Soil Survey Geographic (SSURGO) Database. </w:t>
      </w:r>
      <w:r w:rsidRPr="00AA3319">
        <w:rPr>
          <w:rFonts w:eastAsia="Calibri" w:cs="Times New Roman"/>
          <w:szCs w:val="20"/>
        </w:rPr>
        <w:t>Ponding frequency is reported as</w:t>
      </w:r>
      <w:r w:rsidRPr="00AA3319">
        <w:rPr>
          <w:rFonts w:cs="Times New Roman"/>
        </w:rPr>
        <w:t xml:space="preserve"> “percentage of the map unit that is subject to water ponded on the soil surface” Lastly, we downloaded data from the National Elevation Dataset (NED) at a 30-meter resolution. </w:t>
      </w:r>
    </w:p>
    <w:p w14:paraId="622DF1CE" w14:textId="3B0E7B61" w:rsidR="00365432" w:rsidRPr="00AA3319" w:rsidRDefault="00365432" w:rsidP="00365432">
      <w:pPr>
        <w:pStyle w:val="Caption"/>
        <w:keepNext/>
        <w:ind w:firstLine="0"/>
        <w:rPr>
          <w:rFonts w:cs="Times New Roman"/>
        </w:rPr>
      </w:pPr>
      <w:bookmarkStart w:id="96" w:name="_Toc78879971"/>
      <w:r w:rsidRPr="00AA3319">
        <w:rPr>
          <w:rFonts w:cs="Times New Roman"/>
        </w:rPr>
        <w:t xml:space="preserve">Table </w:t>
      </w:r>
      <w:r w:rsidR="00BC1366">
        <w:rPr>
          <w:rFonts w:cs="Times New Roman"/>
        </w:rPr>
        <w:fldChar w:fldCharType="begin"/>
      </w:r>
      <w:r w:rsidR="00BC1366">
        <w:rPr>
          <w:rFonts w:cs="Times New Roman"/>
        </w:rPr>
        <w:instrText xml:space="preserve"> STYLEREF 1 \s </w:instrText>
      </w:r>
      <w:r w:rsidR="00BC1366">
        <w:rPr>
          <w:rFonts w:cs="Times New Roman"/>
        </w:rPr>
        <w:fldChar w:fldCharType="separate"/>
      </w:r>
      <w:r w:rsidR="00F243F7">
        <w:rPr>
          <w:rFonts w:cs="Times New Roman"/>
          <w:noProof/>
        </w:rPr>
        <w:t>3</w:t>
      </w:r>
      <w:r w:rsidR="00BC1366">
        <w:rPr>
          <w:rFonts w:cs="Times New Roman"/>
        </w:rPr>
        <w:fldChar w:fldCharType="end"/>
      </w:r>
      <w:r w:rsidR="00BC1366">
        <w:rPr>
          <w:rFonts w:cs="Times New Roman"/>
        </w:rPr>
        <w:noBreakHyphen/>
      </w:r>
      <w:r w:rsidR="00BC1366">
        <w:rPr>
          <w:rFonts w:cs="Times New Roman"/>
        </w:rPr>
        <w:fldChar w:fldCharType="begin"/>
      </w:r>
      <w:r w:rsidR="00BC1366">
        <w:rPr>
          <w:rFonts w:cs="Times New Roman"/>
        </w:rPr>
        <w:instrText xml:space="preserve"> SEQ Table \* ARABIC \s 1 </w:instrText>
      </w:r>
      <w:r w:rsidR="00BC1366">
        <w:rPr>
          <w:rFonts w:cs="Times New Roman"/>
        </w:rPr>
        <w:fldChar w:fldCharType="separate"/>
      </w:r>
      <w:r w:rsidR="00F243F7">
        <w:rPr>
          <w:rFonts w:cs="Times New Roman"/>
          <w:noProof/>
        </w:rPr>
        <w:t>1</w:t>
      </w:r>
      <w:r w:rsidR="00BC1366">
        <w:rPr>
          <w:rFonts w:cs="Times New Roman"/>
        </w:rPr>
        <w:fldChar w:fldCharType="end"/>
      </w:r>
      <w:r w:rsidRPr="00AA3319">
        <w:rPr>
          <w:rFonts w:cs="Times New Roman"/>
        </w:rPr>
        <w:t>: Environmental datasets used as explanatory variables.</w:t>
      </w:r>
      <w:bookmarkEnd w:id="96"/>
    </w:p>
    <w:p w14:paraId="04E10D94" w14:textId="671A2BC1" w:rsidR="00365432" w:rsidRPr="00AA3319" w:rsidRDefault="00365432" w:rsidP="00A750EC">
      <w:pPr>
        <w:rPr>
          <w:rFonts w:cs="Times New Roman"/>
        </w:rPr>
      </w:pPr>
      <w:r w:rsidRPr="00AA3319">
        <w:rPr>
          <w:rFonts w:cs="Times New Roman"/>
          <w:noProof/>
        </w:rPr>
        <w:drawing>
          <wp:inline distT="0" distB="0" distL="0" distR="0" wp14:anchorId="4F8CE8CF" wp14:editId="1A596018">
            <wp:extent cx="5555504" cy="3548743"/>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75297" cy="3561386"/>
                    </a:xfrm>
                    <a:prstGeom prst="rect">
                      <a:avLst/>
                    </a:prstGeom>
                    <a:noFill/>
                  </pic:spPr>
                </pic:pic>
              </a:graphicData>
            </a:graphic>
          </wp:inline>
        </w:drawing>
      </w:r>
    </w:p>
    <w:p w14:paraId="5899FC33" w14:textId="37720524" w:rsidR="00617A79" w:rsidRPr="00AA3319" w:rsidRDefault="00617A79" w:rsidP="00A750EC">
      <w:pPr>
        <w:rPr>
          <w:rFonts w:cs="Times New Roman"/>
        </w:rPr>
      </w:pPr>
      <w:r w:rsidRPr="00AA3319">
        <w:rPr>
          <w:rFonts w:cs="Times New Roman"/>
        </w:rPr>
        <w:t xml:space="preserve">Climatic variables were derived from the North American Land Data Assimilation System (NLDAS) atmospheric forcing data </w:t>
      </w:r>
      <w:r w:rsidRPr="00AA3319">
        <w:rPr>
          <w:rFonts w:cs="Times New Roman"/>
          <w:noProof/>
        </w:rPr>
        <w:fldChar w:fldCharType="begin"/>
      </w:r>
      <w:r w:rsidRPr="00AA3319">
        <w:rPr>
          <w:rFonts w:cs="Times New Roman"/>
          <w:noProof/>
        </w:rPr>
        <w:instrText xml:space="preserve"> AUTHOR  "(Mitchell et al., 2004)" </w:instrText>
      </w:r>
      <w:r w:rsidRPr="00AA3319">
        <w:rPr>
          <w:rFonts w:cs="Times New Roman"/>
          <w:noProof/>
        </w:rPr>
        <w:fldChar w:fldCharType="separate"/>
      </w:r>
      <w:r w:rsidRPr="00AA3319">
        <w:rPr>
          <w:rFonts w:cs="Times New Roman"/>
          <w:noProof/>
        </w:rPr>
        <w:t>(Mitchell et al., 2004)</w:t>
      </w:r>
      <w:r w:rsidRPr="00AA3319">
        <w:rPr>
          <w:rFonts w:cs="Times New Roman"/>
          <w:noProof/>
        </w:rPr>
        <w:fldChar w:fldCharType="end"/>
      </w:r>
      <w:r w:rsidRPr="00AA3319">
        <w:rPr>
          <w:rFonts w:cs="Times New Roman"/>
        </w:rPr>
        <w:t xml:space="preserve">. We retrieved hourly temperature, precipitation, and specific humidity data for the years 2004-2017 from the </w:t>
      </w:r>
      <w:r w:rsidRPr="00AA3319">
        <w:rPr>
          <w:rFonts w:cs="Times New Roman"/>
        </w:rPr>
        <w:lastRenderedPageBreak/>
        <w:t>Goddard Earth Sciences Data and Information Services Center. We calculated daily mean values for temperature [‎°C], relative humidity [%], and vapour pressure deficit [kPa], as well as daily total values for precipitation [mm] from the initial hourly data. Then we calculated yearly mean values for two parts of the WNV transmission season, as defined by Wimberly et al. (2008b). The early WNV season (May &amp; June) encompasses the period of virus amplification in the mosquito-bird system prior to the occurrence of most human WNV cases. The late WNV season is when most mosquito-human transmission takes place, and the majority of human cases occur. We calculated the inter-annual mean and standard deviation of each early-season and late season variable.</w:t>
      </w:r>
    </w:p>
    <w:p w14:paraId="792C7A26" w14:textId="7DEB84F6" w:rsidR="00365432" w:rsidRPr="00AA3319" w:rsidRDefault="00365432" w:rsidP="00365432">
      <w:pPr>
        <w:pStyle w:val="Caption"/>
        <w:keepNext/>
        <w:ind w:firstLine="0"/>
        <w:rPr>
          <w:rFonts w:cs="Times New Roman"/>
        </w:rPr>
      </w:pPr>
      <w:bookmarkStart w:id="97" w:name="_Toc78879972"/>
      <w:r w:rsidRPr="00AA3319">
        <w:rPr>
          <w:rFonts w:cs="Times New Roman"/>
        </w:rPr>
        <w:t xml:space="preserve">Table </w:t>
      </w:r>
      <w:r w:rsidR="00BC1366">
        <w:rPr>
          <w:rFonts w:cs="Times New Roman"/>
        </w:rPr>
        <w:fldChar w:fldCharType="begin"/>
      </w:r>
      <w:r w:rsidR="00BC1366">
        <w:rPr>
          <w:rFonts w:cs="Times New Roman"/>
        </w:rPr>
        <w:instrText xml:space="preserve"> STYLEREF 1 \s </w:instrText>
      </w:r>
      <w:r w:rsidR="00BC1366">
        <w:rPr>
          <w:rFonts w:cs="Times New Roman"/>
        </w:rPr>
        <w:fldChar w:fldCharType="separate"/>
      </w:r>
      <w:r w:rsidR="00F243F7">
        <w:rPr>
          <w:rFonts w:cs="Times New Roman"/>
          <w:noProof/>
        </w:rPr>
        <w:t>3</w:t>
      </w:r>
      <w:r w:rsidR="00BC1366">
        <w:rPr>
          <w:rFonts w:cs="Times New Roman"/>
        </w:rPr>
        <w:fldChar w:fldCharType="end"/>
      </w:r>
      <w:r w:rsidR="00BC1366">
        <w:rPr>
          <w:rFonts w:cs="Times New Roman"/>
        </w:rPr>
        <w:noBreakHyphen/>
      </w:r>
      <w:r w:rsidR="00BC1366">
        <w:rPr>
          <w:rFonts w:cs="Times New Roman"/>
        </w:rPr>
        <w:fldChar w:fldCharType="begin"/>
      </w:r>
      <w:r w:rsidR="00BC1366">
        <w:rPr>
          <w:rFonts w:cs="Times New Roman"/>
        </w:rPr>
        <w:instrText xml:space="preserve"> SEQ Table \* ARABIC \s 1 </w:instrText>
      </w:r>
      <w:r w:rsidR="00BC1366">
        <w:rPr>
          <w:rFonts w:cs="Times New Roman"/>
        </w:rPr>
        <w:fldChar w:fldCharType="separate"/>
      </w:r>
      <w:r w:rsidR="00F243F7">
        <w:rPr>
          <w:rFonts w:cs="Times New Roman"/>
          <w:noProof/>
        </w:rPr>
        <w:t>2</w:t>
      </w:r>
      <w:r w:rsidR="00BC1366">
        <w:rPr>
          <w:rFonts w:cs="Times New Roman"/>
        </w:rPr>
        <w:fldChar w:fldCharType="end"/>
      </w:r>
      <w:r w:rsidRPr="00AA3319">
        <w:rPr>
          <w:rFonts w:cs="Times New Roman"/>
        </w:rPr>
        <w:t>: List of environmental variables and their abbreviations.</w:t>
      </w:r>
      <w:bookmarkEnd w:id="97"/>
    </w:p>
    <w:p w14:paraId="3403FBFB" w14:textId="42A2361F" w:rsidR="00365432" w:rsidRPr="00AA3319" w:rsidRDefault="00365432" w:rsidP="00A750EC">
      <w:pPr>
        <w:rPr>
          <w:rFonts w:cs="Times New Roman"/>
        </w:rPr>
      </w:pPr>
      <w:r w:rsidRPr="00AA3319">
        <w:rPr>
          <w:rFonts w:cs="Times New Roman"/>
          <w:noProof/>
        </w:rPr>
        <w:drawing>
          <wp:inline distT="0" distB="0" distL="0" distR="0" wp14:anchorId="279B0C7D" wp14:editId="2BE16182">
            <wp:extent cx="5535811" cy="4027714"/>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41968" cy="4032194"/>
                    </a:xfrm>
                    <a:prstGeom prst="rect">
                      <a:avLst/>
                    </a:prstGeom>
                    <a:noFill/>
                  </pic:spPr>
                </pic:pic>
              </a:graphicData>
            </a:graphic>
          </wp:inline>
        </w:drawing>
      </w:r>
    </w:p>
    <w:p w14:paraId="266D2471" w14:textId="57544C31" w:rsidR="00617A79" w:rsidRPr="00AA3319" w:rsidRDefault="00617A79" w:rsidP="00A750EC">
      <w:pPr>
        <w:rPr>
          <w:rFonts w:cs="Times New Roman"/>
        </w:rPr>
      </w:pPr>
      <w:r w:rsidRPr="00AA3319">
        <w:rPr>
          <w:rFonts w:cs="Times New Roman"/>
        </w:rPr>
        <w:lastRenderedPageBreak/>
        <w:t xml:space="preserve">We acquired spectral data from the MODIS MCD43A4 Collection 6 nadir bidirectional reflectance distribution function (BRDF) adjusted surface reflectance data set for the years 2004-2017. The imagery has a 500m spatial resolution and comes as daily data summarized over a 16-day moving window. Only pixels using the full BRDF inversion were used. On a pixel basis, we first calculated different environmental indices presenting different aspects of environmental conditions on the land surface. We calculated the normalized difference vegetation index (NDVI) </w:t>
      </w:r>
      <w:r w:rsidRPr="00AA3319">
        <w:rPr>
          <w:rFonts w:cs="Times New Roman"/>
        </w:rPr>
        <w:fldChar w:fldCharType="begin" w:fldLock="1"/>
      </w:r>
      <w:r w:rsidR="00FF3DA9" w:rsidRPr="00AA3319">
        <w:rPr>
          <w:rFonts w:cs="Times New Roman"/>
        </w:rPr>
        <w:instrText xml:space="preserve"> ADDIN ZOTERO_ITEM CSL_CITATION {"citationID":"zQKxuZpa","properties":{"formattedCitation":"(Tucker, 1979)","plainCitation":"(Tucker, 1979)","noteIndex":0},"citationItems":[{"id":663,"uris":["http://zotero.org/users/5456909/items/2G52PXE8"],"uri":["http://zotero.org/users/5456909/items/2G52PXE8"],"itemData":{"id":663,"type":"article-journal","abstract":"In situ collected spectrometer data were used to evaluate and quantify the relationships between various linear combinations of red and photographic infrared radiances and experimental plot biomass, leaf water content, and chlorophyll content. The radiance variables evaluated included the red and photographic infrared (IR) radiance and the linear combinations of the IR/red ratio, the square root of the IR/red ratio, the IR-red difference, the vegetation index, and the transformed vegetation index. In addition, the corresponding green and red linear combinations were evaluated for comparative purposes. Three data sets were used from June, September, and October sampling periods. Regression analysis showed the increased utility of the IR and red linear combinations vis-à-vis the same green and red linear combinations. The red and IR linear combinations had 7% and 14% greater regression significance than the green and red linear combinations for the June and September sampling periods, respectively. The vegetation index, transformed vegetation index, and square root of the IR/red ratio were the most significant, followed closely by the IR/red ratio. Less than a 6% difference separated the highest and lowest of these four ER and red linear combinations. The use of these linear combinations was shown to be sensitive primarily to the green leaf area or green leaf biomass. As such, these linear combinations of the red and photographic IR radiances can be employed to monitor the photosynthetically active biomass of plant canopies.","container-title":"Remote Sensing of Environment","issue":"2","page":"127-150","title":"Red and photographic infrared linear combinations for monitoring vegetation","volume":"8","author":[{"family":"Tucker","given":"Compton J."}],"issued":{"date-parts":[["1979",5]]}}}],"schema":"https://github.com/citation-style-language/schema/raw/master/csl-citation.json"} </w:instrText>
      </w:r>
      <w:r w:rsidRPr="00AA3319">
        <w:rPr>
          <w:rFonts w:cs="Times New Roman"/>
        </w:rPr>
        <w:fldChar w:fldCharType="separate"/>
      </w:r>
      <w:r w:rsidR="002B37C7" w:rsidRPr="00AA3319">
        <w:rPr>
          <w:rFonts w:cs="Times New Roman"/>
        </w:rPr>
        <w:t>(Tucker, 1979)</w:t>
      </w:r>
      <w:r w:rsidRPr="00AA3319">
        <w:rPr>
          <w:rFonts w:cs="Times New Roman"/>
        </w:rPr>
        <w:fldChar w:fldCharType="end"/>
      </w:r>
      <w:r w:rsidRPr="00AA3319">
        <w:rPr>
          <w:rFonts w:cs="Times New Roman"/>
        </w:rPr>
        <w:t xml:space="preserve"> to study the impact of vegetation on disease risk. Additionally, we calculated three water indices, the normalized difference water index (NDWI) which is sensitive to open surface water </w:t>
      </w:r>
      <w:r w:rsidRPr="00AA3319">
        <w:rPr>
          <w:rFonts w:cs="Times New Roman"/>
        </w:rPr>
        <w:fldChar w:fldCharType="begin" w:fldLock="1"/>
      </w:r>
      <w:r w:rsidR="00D5378A" w:rsidRPr="00AA3319">
        <w:rPr>
          <w:rFonts w:cs="Times New Roman"/>
        </w:rPr>
        <w:instrText xml:space="preserve"> ADDIN ZOTERO_ITEM CSL_CITATION {"citationID":"blQv0NHQ","properties":{"formattedCitation":"(McFeeters, 1996)","plainCitation":"(McFeeters, 1996)","noteIndex":0},"citationItems":[{"id":1470,"uris":["http://zotero.org/users/5456909/items/6M9RNKTT"],"uri":["http://zotero.org/users/5456909/items/6M9RNKTT"],"itemData":{"id":1470,"type":"article-journal","container-title":"International Journal of Remote Sensing","issue":"7","page":"1425-1432","title":"The use of the normalized difference water index (NDWI) in the delineation of open water features","volume":"17","author":[{"family":"McFeeters","given":"Stuart K"}],"issued":{"date-parts":[["1996",5]]}}}],"schema":"https://github.com/citation-style-language/schema/raw/master/csl-citation.json"} </w:instrText>
      </w:r>
      <w:r w:rsidRPr="00AA3319">
        <w:rPr>
          <w:rFonts w:cs="Times New Roman"/>
        </w:rPr>
        <w:fldChar w:fldCharType="separate"/>
      </w:r>
      <w:r w:rsidR="002B37C7" w:rsidRPr="00AA3319">
        <w:rPr>
          <w:rFonts w:cs="Times New Roman"/>
        </w:rPr>
        <w:t>(McFeeters, 1996)</w:t>
      </w:r>
      <w:r w:rsidRPr="00AA3319">
        <w:rPr>
          <w:rFonts w:cs="Times New Roman"/>
        </w:rPr>
        <w:fldChar w:fldCharType="end"/>
      </w:r>
      <w:r w:rsidRPr="00AA3319">
        <w:rPr>
          <w:rFonts w:cs="Times New Roman"/>
        </w:rPr>
        <w:t xml:space="preserve">, a different normalized difference water index (NDWI2) which is sensitive to vegetation liquid water </w:t>
      </w:r>
      <w:r w:rsidRPr="00AA3319">
        <w:rPr>
          <w:rFonts w:cs="Times New Roman"/>
        </w:rPr>
        <w:fldChar w:fldCharType="begin" w:fldLock="1"/>
      </w:r>
      <w:r w:rsidR="00D5378A" w:rsidRPr="00AA3319">
        <w:rPr>
          <w:rFonts w:cs="Times New Roman"/>
        </w:rPr>
        <w:instrText xml:space="preserve"> ADDIN ZOTERO_ITEM CSL_CITATION {"citationID":"GhgmjmNR","properties":{"formattedCitation":"(Gao, 1996)","plainCitation":"(Gao, 1996)","noteIndex":0},"citationItems":[{"id":1686,"uris":["http://zotero.org/users/5456909/items/Y594I9NP"],"uri":["http://zotero.org/users/5456909/items/Y594I9NP"],"itemData":{"id":1686,"type":"article-journal","abstract":"The normalized difference vegetation index (NDVI) has been widely used for remote sensing of vegetation for many years. This index uses radiances or reflectances from a red channel around 0.66 μm and a near-IR channel around 0.86 μm. The red channel is located in the strong chlorophyll absorption region, while the near-IR channel is located in the high reflectance plateau of vegetation canopies. The two channels sense very different depths through vegetation canopies. In this article, another index, namely the normalized difference water index (NDWI), is proposed for remote sensing of vegetation liquid water from space. NDWI is defined as (p(0.86 μm) - ρ(1.24 μm))/(ρ(0.86 μm) + ρ(1.24 μm)), where ρ represents the radiance in reflectance units. Both the 0.86-μm and the 1.24-μm channels are located in the high reflectance plateau of vegetation canopies. They sense similar depths through vegetation canopies. They sense similar depths through vegetation canopies. Absorption by vegetation liquid water near 0.86 μm is negligible. Weak liquid absorption at 1.24 μm is present. Canopy scattering enhances the water absorption. As a result, NDWI is sensitive to changes in liquid water content of vegetation canopies. Atmospheric aerosol scattering effects in the 0.86-1.24 μm region are weak. NDWI is less sensitive to atmospheric effects than NDVI. NDWI does not remove completely the background soil reflectance effects, similar to NDVI. Because the information about vegetation canopies contained in the 1.24-μm channel is very different from that contained in the red channel near 0.66 μm. NDWI should be considered as an independent vegetation index. It is complementary to, not a substitute for NDVI. Laboratory-measured reflectance of stacked green leaves, and spectral imaging data acquired with Airborne Visible Infrared Imaging Spectrometer (AVIRIS) over Jasper Ridge in California and the High Plains in northern Colorado, are used to demonstrate the usefulness of NDWI. Comparisons between NDWI and NDVI images are also given.","container-title":"Remote Sensing of Environment","ISSN":"0034-4257","issue":"3","page":"257-266","title":"NDWI - A normalized difference water index for remote sensing of vegetation liquid water from space","volume":"58","author":[{"family":"Gao","given":"Bo Cai"}],"issued":{"date-parts":[["1996"]]}}}],"schema":"https://github.com/citation-style-language/schema/raw/master/csl-citation.json"} </w:instrText>
      </w:r>
      <w:r w:rsidRPr="00AA3319">
        <w:rPr>
          <w:rFonts w:cs="Times New Roman"/>
        </w:rPr>
        <w:fldChar w:fldCharType="separate"/>
      </w:r>
      <w:r w:rsidR="002B37C7" w:rsidRPr="00AA3319">
        <w:rPr>
          <w:rFonts w:cs="Times New Roman"/>
        </w:rPr>
        <w:t>(Gao, 1996)</w:t>
      </w:r>
      <w:r w:rsidRPr="00AA3319">
        <w:rPr>
          <w:rFonts w:cs="Times New Roman"/>
        </w:rPr>
        <w:fldChar w:fldCharType="end"/>
      </w:r>
      <w:r w:rsidRPr="00AA3319">
        <w:rPr>
          <w:rFonts w:cs="Times New Roman"/>
        </w:rPr>
        <w:t xml:space="preserve">, and the modified normalized difference water index (MNDWI) which is useful for identifying open water in areas with high background noise </w:t>
      </w:r>
      <w:r w:rsidRPr="00AA3319">
        <w:rPr>
          <w:rFonts w:cs="Times New Roman"/>
        </w:rPr>
        <w:fldChar w:fldCharType="begin" w:fldLock="1"/>
      </w:r>
      <w:r w:rsidR="00FF3DA9" w:rsidRPr="00AA3319">
        <w:rPr>
          <w:rFonts w:cs="Times New Roman"/>
        </w:rPr>
        <w:instrText xml:space="preserve"> ADDIN ZOTERO_ITEM CSL_CITATION {"citationID":"xlnGQNGE","properties":{"formattedCitation":"(Xu, 2006)","plainCitation":"(Xu, 2006)","noteIndex":0},"citationItems":[{"id":3304,"uris":["http://zotero.org/users/5456909/items/GL3KH3CX"],"uri":["http://zotero.org/users/5456909/items/GL3KH3CX"],"itemData":{"id":3304,"type":"article-journal","abstract":"The normalized difference water index (NDWI) of McFeeters (1996) was modified by substitution of a middle infrared band such as Landsat TM band 5 for the near infrared band used in the NDWI. The modified NDWI (MNDWI) can enhance open water features while efficiently suppressing and even removing built‐up land noise as well as vegetation and soil noise. The enhanced water information using the NDWI is often mixed with built‐up land noise and the area of extracted water is thus overestimated. Accordingly, the MNDWI is more suitable for enhancing and extracting water information for a water region with a background dominated by built‐up land areas because of its advantage in reducing and even removing built‐up land noise over the NDWI.","container-title":"International Journal of Remote Sensing","ISSN":"0143-1161","issue":"14","page":"3025-3033","source":"Taylor and Francis+NEJM","title":"Modification of normalised difference water index (NDWI) to enhance open water features in remotely sensed imagery","volume":"27","author":[{"family":"Xu","given":"Hanqiu"}],"issued":{"date-parts":[["2006",7,20]]}}}],"schema":"https://github.com/citation-style-language/schema/raw/master/csl-citation.json"} </w:instrText>
      </w:r>
      <w:r w:rsidRPr="00AA3319">
        <w:rPr>
          <w:rFonts w:cs="Times New Roman"/>
        </w:rPr>
        <w:fldChar w:fldCharType="separate"/>
      </w:r>
      <w:r w:rsidR="00FF3DA9" w:rsidRPr="00AA3319">
        <w:rPr>
          <w:rFonts w:cs="Times New Roman"/>
        </w:rPr>
        <w:t>(Xu, 2006)</w:t>
      </w:r>
      <w:r w:rsidRPr="00AA3319">
        <w:rPr>
          <w:rFonts w:cs="Times New Roman"/>
        </w:rPr>
        <w:fldChar w:fldCharType="end"/>
      </w:r>
      <w:r w:rsidRPr="00AA3319">
        <w:rPr>
          <w:rFonts w:cs="Times New Roman"/>
        </w:rPr>
        <w:t xml:space="preserve">. Additionally, we used the tasseled cap transformation, which converts spectral layers into interpretable bands conveying information on vegetation greenness, vegetation and soil wetness, and land surface brightness </w:t>
      </w:r>
      <w:r w:rsidRPr="00AA3319">
        <w:rPr>
          <w:rFonts w:cs="Times New Roman"/>
        </w:rPr>
        <w:fldChar w:fldCharType="begin" w:fldLock="1"/>
      </w:r>
      <w:r w:rsidR="002B37C7" w:rsidRPr="00AA3319">
        <w:rPr>
          <w:rFonts w:cs="Times New Roman"/>
        </w:rPr>
        <w:instrText xml:space="preserve"> ADDIN ZOTERO_ITEM CSL_CITATION {"citationID":"mrlT8b02","properties":{"formattedCitation":"(Lobser and Cohen, 2007)","plainCitation":"(Lobser and Cohen, 2007)","noteIndex":0},"citationItems":[{"id":3301,"uris":["http://zotero.org/users/5456909/items/L8PHLQK9"],"uri":["http://zotero.org/users/5456909/items/L8PHLQK9"],"itemData":{"id":3301,"type":"article-journal","container-title":"International Journal of Remote Sensing","issue":"22","language":"en","page":"5079-5101","source":"Crossref","title":"MODIS tasselled cap: land cover characteristics expressed through transformed MODIS data","title-short":"MODIS tasselled cap","volume":"28","author":[{"family":"Lobser","given":"S. E."},{"family":"Cohen","given":"W. B."}],"issued":{"date-parts":[["2007",11,20]]}}}],"schema":"https://github.com/citation-style-language/schema/raw/master/csl-citation.json"} </w:instrText>
      </w:r>
      <w:r w:rsidRPr="00AA3319">
        <w:rPr>
          <w:rFonts w:cs="Times New Roman"/>
        </w:rPr>
        <w:fldChar w:fldCharType="separate"/>
      </w:r>
      <w:r w:rsidR="002B37C7" w:rsidRPr="00AA3319">
        <w:rPr>
          <w:rFonts w:cs="Times New Roman"/>
        </w:rPr>
        <w:t>(Lobser and Cohen, 2007)</w:t>
      </w:r>
      <w:r w:rsidRPr="00AA3319">
        <w:rPr>
          <w:rFonts w:cs="Times New Roman"/>
        </w:rPr>
        <w:fldChar w:fldCharType="end"/>
      </w:r>
      <w:r w:rsidRPr="00AA3319">
        <w:rPr>
          <w:rFonts w:cs="Times New Roman"/>
        </w:rPr>
        <w:t xml:space="preserve">. The spectral indices and tasseled cap transformation were calculated in the R-package RStoolbox. We then calculated the median of these indices in each year for the early and late West Nile transmission seasons defined previously. Finally, we calculated the inter-annual mean and standard deviation for these yearly indices. </w:t>
      </w:r>
    </w:p>
    <w:p w14:paraId="441BDCD1" w14:textId="27CC5B84" w:rsidR="00617A79" w:rsidRPr="00AA3319" w:rsidRDefault="00617A79" w:rsidP="00A750EC">
      <w:pPr>
        <w:rPr>
          <w:rFonts w:cs="Times New Roman"/>
        </w:rPr>
      </w:pPr>
      <w:r w:rsidRPr="00AA3319">
        <w:rPr>
          <w:rFonts w:cs="Times New Roman"/>
        </w:rPr>
        <w:t xml:space="preserve">We converted all datasets to the same spatial resolution. We chose 300 m as the common resolution, as a multiple of the NLCD and NED data at 30 m resolution. For rescaling continuous variables, we used bilinear interpolation. For rescaling categorical variables, we aggregated pixels using a majority filter. To account for the uncertainty of the exact </w:t>
      </w:r>
      <w:r w:rsidRPr="00AA3319">
        <w:rPr>
          <w:rFonts w:cs="Times New Roman"/>
        </w:rPr>
        <w:lastRenderedPageBreak/>
        <w:t xml:space="preserve">location of infection as given by the patient’s home address, and to include environmental information in further vicinity of the case locations, we applied a moving window of 5x5 pixels. Examples of the gridded environmental layers are shown in Figure </w:t>
      </w:r>
      <w:r w:rsidR="00064D1B" w:rsidRPr="00AA3319">
        <w:rPr>
          <w:rFonts w:cs="Times New Roman"/>
        </w:rPr>
        <w:t>3-</w:t>
      </w:r>
      <w:r w:rsidRPr="00AA3319">
        <w:rPr>
          <w:rFonts w:cs="Times New Roman"/>
        </w:rPr>
        <w:t xml:space="preserve">2. </w:t>
      </w:r>
    </w:p>
    <w:p w14:paraId="7BF308A0" w14:textId="3D3CAC94" w:rsidR="00617A79" w:rsidRPr="00AA3319" w:rsidRDefault="00617A79" w:rsidP="00A750EC">
      <w:pPr>
        <w:pStyle w:val="Heading3"/>
        <w:rPr>
          <w:rFonts w:cs="Times New Roman"/>
        </w:rPr>
      </w:pPr>
      <w:bookmarkStart w:id="98" w:name="_Toc78889204"/>
      <w:r w:rsidRPr="00AA3319">
        <w:rPr>
          <w:rFonts w:cs="Times New Roman"/>
        </w:rPr>
        <w:t xml:space="preserve">Statistical </w:t>
      </w:r>
      <w:r w:rsidR="00F3359D">
        <w:rPr>
          <w:rFonts w:cs="Times New Roman"/>
        </w:rPr>
        <w:t>m</w:t>
      </w:r>
      <w:r w:rsidRPr="00AA3319">
        <w:rPr>
          <w:rFonts w:cs="Times New Roman"/>
        </w:rPr>
        <w:t>odelling</w:t>
      </w:r>
      <w:bookmarkEnd w:id="98"/>
    </w:p>
    <w:p w14:paraId="359EE600" w14:textId="3DD15402" w:rsidR="00617A79" w:rsidRPr="00AA3319" w:rsidRDefault="00617A79" w:rsidP="00A750EC">
      <w:pPr>
        <w:rPr>
          <w:rFonts w:cs="Times New Roman"/>
        </w:rPr>
      </w:pPr>
      <w:r w:rsidRPr="00AA3319">
        <w:rPr>
          <w:rFonts w:cs="Times New Roman"/>
        </w:rPr>
        <w:t xml:space="preserve">We fitted an ensemble of boosted regression tree </w:t>
      </w:r>
      <w:r w:rsidRPr="00AA3319">
        <w:rPr>
          <w:rFonts w:cs="Times New Roman"/>
          <w:b/>
        </w:rPr>
        <w:t>(</w:t>
      </w:r>
      <w:r w:rsidRPr="00AA3319">
        <w:rPr>
          <w:rFonts w:cs="Times New Roman"/>
        </w:rPr>
        <w:t xml:space="preserve">BRT) models to predict the spatial distribution of West Nile virus transmission risk and to study the influence of the different environmental factors, using the gbm package in the statistical software R, version 3.4.4 </w:t>
      </w:r>
      <w:r w:rsidRPr="00AA3319">
        <w:rPr>
          <w:rFonts w:cs="Times New Roman"/>
        </w:rPr>
        <w:fldChar w:fldCharType="begin" w:fldLock="1"/>
      </w:r>
      <w:r w:rsidR="008E5BF5">
        <w:rPr>
          <w:rFonts w:cs="Times New Roman"/>
        </w:rPr>
        <w:instrText xml:space="preserve"> ADDIN ZOTERO_ITEM CSL_CITATION {"citationID":"XeUo4684","properties":{"formattedCitation":"(R Core Team, 2016)","plainCitation":"(R Core Team, 2016)","noteIndex":0},"citationItems":[{"id":"YKY8t1zq/berrnQTA","uris":["http://www.mendeley.com/documents/?uuid=9a3d4fe5-78cb-434c-b4b1-13c72ef64cc6"],"uri":["http://www.mendeley.com/documents/?uuid=9a3d4fe5-78cb-434c-b4b1-13c72ef64cc6"],"itemData":{"author":[{"dropping-particle":"","family":"R Core Team","given":"","non-dropping-particle":"","parse-names":false,"suffix":""}],"id":"ITEM-1","issued":{"date-parts":[["2016"]]},"publisher-place":"Vienna, Austria","title":"A language and environment for statistical computing. R Foundation for Statistical Computing","type":"article"}}],"schema":"https://github.com/citation-style-language/schema/raw/master/csl-citation.json"} </w:instrText>
      </w:r>
      <w:r w:rsidRPr="00AA3319">
        <w:rPr>
          <w:rFonts w:cs="Times New Roman"/>
        </w:rPr>
        <w:fldChar w:fldCharType="separate"/>
      </w:r>
      <w:r w:rsidR="002B37C7" w:rsidRPr="00AA3319">
        <w:rPr>
          <w:rFonts w:cs="Times New Roman"/>
        </w:rPr>
        <w:t>(R Core Team, 2016)</w:t>
      </w:r>
      <w:r w:rsidRPr="00AA3319">
        <w:rPr>
          <w:rFonts w:cs="Times New Roman"/>
        </w:rPr>
        <w:fldChar w:fldCharType="end"/>
      </w:r>
      <w:r w:rsidRPr="00AA3319">
        <w:rPr>
          <w:rFonts w:cs="Times New Roman"/>
        </w:rPr>
        <w:t>.</w:t>
      </w:r>
    </w:p>
    <w:p w14:paraId="2BEA5BDA" w14:textId="38CEF1D8" w:rsidR="00617A79" w:rsidRPr="00AA3319" w:rsidRDefault="00617A79" w:rsidP="00A750EC">
      <w:pPr>
        <w:rPr>
          <w:rFonts w:cs="Times New Roman"/>
        </w:rPr>
      </w:pPr>
      <w:r w:rsidRPr="00AA3319">
        <w:rPr>
          <w:rFonts w:cs="Times New Roman"/>
        </w:rPr>
        <w:t xml:space="preserve">BRT models are widely used in applications to predict species distribution </w:t>
      </w:r>
      <w:r w:rsidRPr="00AA3319">
        <w:rPr>
          <w:rFonts w:cs="Times New Roman"/>
        </w:rPr>
        <w:fldChar w:fldCharType="begin" w:fldLock="1"/>
      </w:r>
      <w:r w:rsidR="002B37C7" w:rsidRPr="00AA3319">
        <w:rPr>
          <w:rFonts w:cs="Times New Roman"/>
        </w:rPr>
        <w:instrText xml:space="preserve"> ADDIN ZOTERO_ITEM CSL_CITATION {"citationID":"TEpsVN3q","properties":{"formattedCitation":"(Elith et al., 2008; Elith and Graham, 2009)","plainCitation":"(Elith et al., 2008; Elith and Graham, 2009)","noteIndex":0},"citationItems":[{"id":1693,"uris":["http://zotero.org/users/5456909/items/LLLGNTES"],"uri":["http://zotero.org/users/5456909/items/LLLGNTES"],"itemData":{"id":1693,"type":"article-journal","container-title":"Journal of Animal Ecology","issue":"4","page":"802-813","title":"A working guide to boosted regression trees","volume":"77","author":[{"family":"Elith","given":"Jane"},{"family":"Leathwick","given":"J. R."},{"family":"Hastie","given":"T."}],"issued":{"date-parts":[["2008",7]]}}},{"id":1001,"uris":["http://zotero.org/users/5456909/items/4SBE4L3F"],"uri":["http://zotero.org/users/5456909/items/4SBE4L3F"],"itemData":{"id":1001,"type":"article-journal","container-title":"Ecography","issue":"1","page":"66-77","title":"Do they? How do they? WHY do they differ? On finding reasons for differing performances of species distribution models","volume":"32","author":[{"family":"Elith","given":"Jane"},{"family":"Graham","given":"Catherine H."}],"issued":{"date-parts":[["2009",4]]}}}],"schema":"https://github.com/citation-style-language/schema/raw/master/csl-citation.json"} </w:instrText>
      </w:r>
      <w:r w:rsidRPr="00AA3319">
        <w:rPr>
          <w:rFonts w:cs="Times New Roman"/>
        </w:rPr>
        <w:fldChar w:fldCharType="separate"/>
      </w:r>
      <w:r w:rsidR="002B37C7" w:rsidRPr="00AA3319">
        <w:rPr>
          <w:rFonts w:cs="Times New Roman"/>
        </w:rPr>
        <w:t>(Elith et al., 2008; Elith and Graham, 2009)</w:t>
      </w:r>
      <w:r w:rsidRPr="00AA3319">
        <w:rPr>
          <w:rFonts w:cs="Times New Roman"/>
        </w:rPr>
        <w:fldChar w:fldCharType="end"/>
      </w:r>
      <w:r w:rsidRPr="00AA3319">
        <w:rPr>
          <w:rFonts w:cs="Times New Roman"/>
        </w:rPr>
        <w:t xml:space="preserve"> and increasingly also to predict spatial patterns in disease transmission </w:t>
      </w:r>
      <w:r w:rsidRPr="00AA3319">
        <w:rPr>
          <w:rFonts w:cs="Times New Roman"/>
        </w:rPr>
        <w:fldChar w:fldCharType="begin" w:fldLock="1"/>
      </w:r>
      <w:r w:rsidR="000D258D" w:rsidRPr="00AA3319">
        <w:rPr>
          <w:rFonts w:cs="Times New Roman"/>
        </w:rPr>
        <w:instrText xml:space="preserve"> ADDIN ZOTERO_ITEM CSL_CITATION {"citationID":"puWL8O6h","properties":{"formattedCitation":"(Hay et al., 2013)","plainCitation":"(Hay et al., 2013)","noteIndex":0},"citationItems":[{"id":1477,"uris":["http://zotero.org/users/5456909/items/T8WE4ELM"],"uri":["http://zotero.org/users/5456909/items/T8WE4ELM"],"itemData":{"id":1477,"type":"article-journal","abstract":"The primary aim of this review was to evaluate the state of knowledge of the geographical distribution of all infectious diseases of clinical significance to humans. A systematic review was conducted to enumerate cartographic progress, with respect to the data available for mapping and the methods currently applied. The results helped define the minimum information requirements for mapping infectious disease occurrence, and a quantitative framework for assessing the mapping opportunities for all infectious diseases. This revealed that of 355 infectious diseases identified, 174 (49%) have a strong rationale for mapping and of these only 7 (4%) had been comprehensively mapped. A variety of ambitions, such as the quantification of the global burden of infectious disease, international biosurveillance, assessing the like-lihood of infectious disease outbreaks and exploring the propensity for infectious disease evolution and emergence, are limited by these omissions. An overview of the factors hindering progress in disease cartography is pro-vided. It is argued that rapid improvement in the landscape of infectious diseases mapping can be made by embracing non-conventional data sources, automation of geo-positioning and mapping procedures enabled by machine learning and information technology, respectively, in addition to harnessing labour of the volunteer 'cognitive surplus' through crowdsourcing.","container-title":"Philosophical Transactions of the Royal Society B: Biological Sciences","page":"20120250-20120250","title":"Global mapping of infectious disease","volume":"368","author":[{"family":"Hay","given":"Simon I"},{"family":"Battle","given":"Katherine E"},{"family":"Pigott","given":"David M"},{"family":"Smith","given":"David L"},{"family":"Moyes","given":"Catherine L"},{"family":"Bhatt","given":"Samir"},{"family":"Brownstein","given":"John S"},{"family":"Collier","given":"Nigel"},{"family":"Myers","given":"Monica F"},{"family":"George","given":"Dylan B"},{"family":"Gething","given":"Peter W"}],"issued":{"date-parts":[["2013"]]}}}],"schema":"https://github.com/citation-style-language/schema/raw/master/csl-citation.json"} </w:instrText>
      </w:r>
      <w:r w:rsidRPr="00AA3319">
        <w:rPr>
          <w:rFonts w:cs="Times New Roman"/>
        </w:rPr>
        <w:fldChar w:fldCharType="separate"/>
      </w:r>
      <w:r w:rsidR="002B37C7" w:rsidRPr="00AA3319">
        <w:rPr>
          <w:rFonts w:cs="Times New Roman"/>
        </w:rPr>
        <w:t>(Hay et al., 2013)</w:t>
      </w:r>
      <w:r w:rsidRPr="00AA3319">
        <w:rPr>
          <w:rFonts w:cs="Times New Roman"/>
        </w:rPr>
        <w:fldChar w:fldCharType="end"/>
      </w:r>
      <w:r w:rsidRPr="00AA3319">
        <w:rPr>
          <w:rFonts w:cs="Times New Roman"/>
        </w:rPr>
        <w:t>. BRT models are useful in these applications due to their high predictive accuracy and their ability to capture non-linear relationships between predictor and response variables and interactions among predictor variables. We created four different models based on different sets of environmental data, 1) land cover and physiography data, 2) climate data, 3) spectral data, and 4) a combination of all datasets.</w:t>
      </w:r>
    </w:p>
    <w:p w14:paraId="58D28978" w14:textId="5813B7BA" w:rsidR="00617A79" w:rsidRPr="00AA3319" w:rsidRDefault="00617A79" w:rsidP="00A750EC">
      <w:pPr>
        <w:rPr>
          <w:rFonts w:cs="Times New Roman"/>
        </w:rPr>
      </w:pPr>
      <w:r w:rsidRPr="00AA3319">
        <w:rPr>
          <w:rFonts w:cs="Times New Roman"/>
        </w:rPr>
        <w:t xml:space="preserve">To fit the BRT models, we created a dataset of all 1,374 disease case points and a set of 12,366 control points (nine times the number of all case points) that were randomly sampled from our previously generated control dataset. Pixel information was extracted from the environmental datasets, at each sampled case and control point location. </w:t>
      </w:r>
      <w:bookmarkStart w:id="99" w:name="_Hlk526688926"/>
      <w:r w:rsidRPr="00AA3319">
        <w:rPr>
          <w:rFonts w:cs="Times New Roman"/>
        </w:rPr>
        <w:t xml:space="preserve">We initially fit the BRT model using the same approach as Elith et al. (2008) with a tree complexity of 5, a learning rate of 0.01 and a bag fraction of 0.5. We compared the cross-validated predictive performance of the model under different parameter combinations </w:t>
      </w:r>
      <w:r w:rsidRPr="00AA3319">
        <w:rPr>
          <w:rFonts w:cs="Times New Roman"/>
        </w:rPr>
        <w:lastRenderedPageBreak/>
        <w:t>with tree complexity ranging from 3-6, learning rate from 0.01-0.001 and bag fraction from 0.5-0.7 to select the optimal parameters for each model.</w:t>
      </w:r>
      <w:bookmarkEnd w:id="99"/>
    </w:p>
    <w:p w14:paraId="6232D503" w14:textId="77777777" w:rsidR="00296458" w:rsidRPr="00AA3319" w:rsidRDefault="00296458" w:rsidP="00296458">
      <w:pPr>
        <w:keepNext/>
        <w:rPr>
          <w:rFonts w:cs="Times New Roman"/>
        </w:rPr>
      </w:pPr>
      <w:r w:rsidRPr="00AA3319">
        <w:rPr>
          <w:rFonts w:cs="Times New Roman"/>
          <w:noProof/>
        </w:rPr>
        <w:lastRenderedPageBreak/>
        <w:drawing>
          <wp:inline distT="0" distB="0" distL="0" distR="0" wp14:anchorId="0A956FC2" wp14:editId="39122225">
            <wp:extent cx="5349440" cy="6923314"/>
            <wp:effectExtent l="0" t="0" r="3810" b="0"/>
            <wp:docPr id="19" name="Picture 1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5355247" cy="6930830"/>
                    </a:xfrm>
                    <a:prstGeom prst="rect">
                      <a:avLst/>
                    </a:prstGeom>
                  </pic:spPr>
                </pic:pic>
              </a:graphicData>
            </a:graphic>
          </wp:inline>
        </w:drawing>
      </w:r>
    </w:p>
    <w:p w14:paraId="077C3C95" w14:textId="37C43F9C" w:rsidR="00296458" w:rsidRPr="00AA3319" w:rsidRDefault="00296458" w:rsidP="00CD10AD">
      <w:pPr>
        <w:pStyle w:val="Caption"/>
        <w:ind w:firstLine="0"/>
        <w:rPr>
          <w:rFonts w:cs="Times New Roman"/>
        </w:rPr>
      </w:pPr>
      <w:bookmarkStart w:id="100" w:name="_Toc78881292"/>
      <w:r w:rsidRPr="00AA3319">
        <w:rPr>
          <w:rFonts w:cs="Times New Roman"/>
        </w:rPr>
        <w:t xml:space="preserve">Figure </w:t>
      </w:r>
      <w:r w:rsidR="004C1B0D">
        <w:rPr>
          <w:rFonts w:cs="Times New Roman"/>
        </w:rPr>
        <w:fldChar w:fldCharType="begin"/>
      </w:r>
      <w:r w:rsidR="004C1B0D">
        <w:rPr>
          <w:rFonts w:cs="Times New Roman"/>
        </w:rPr>
        <w:instrText xml:space="preserve"> STYLEREF 1 \s </w:instrText>
      </w:r>
      <w:r w:rsidR="004C1B0D">
        <w:rPr>
          <w:rFonts w:cs="Times New Roman"/>
        </w:rPr>
        <w:fldChar w:fldCharType="separate"/>
      </w:r>
      <w:r w:rsidR="00F243F7">
        <w:rPr>
          <w:rFonts w:cs="Times New Roman"/>
          <w:noProof/>
        </w:rPr>
        <w:t>3</w:t>
      </w:r>
      <w:r w:rsidR="004C1B0D">
        <w:rPr>
          <w:rFonts w:cs="Times New Roman"/>
        </w:rPr>
        <w:fldChar w:fldCharType="end"/>
      </w:r>
      <w:r w:rsidR="004C1B0D">
        <w:rPr>
          <w:rFonts w:cs="Times New Roman"/>
        </w:rPr>
        <w:noBreakHyphen/>
      </w:r>
      <w:r w:rsidR="004C1B0D">
        <w:rPr>
          <w:rFonts w:cs="Times New Roman"/>
        </w:rPr>
        <w:fldChar w:fldCharType="begin"/>
      </w:r>
      <w:r w:rsidR="004C1B0D">
        <w:rPr>
          <w:rFonts w:cs="Times New Roman"/>
        </w:rPr>
        <w:instrText xml:space="preserve"> SEQ Figure \* ARABIC \s 1 </w:instrText>
      </w:r>
      <w:r w:rsidR="004C1B0D">
        <w:rPr>
          <w:rFonts w:cs="Times New Roman"/>
        </w:rPr>
        <w:fldChar w:fldCharType="separate"/>
      </w:r>
      <w:r w:rsidR="00F243F7">
        <w:rPr>
          <w:rFonts w:cs="Times New Roman"/>
          <w:noProof/>
        </w:rPr>
        <w:t>2</w:t>
      </w:r>
      <w:r w:rsidR="004C1B0D">
        <w:rPr>
          <w:rFonts w:cs="Times New Roman"/>
        </w:rPr>
        <w:fldChar w:fldCharType="end"/>
      </w:r>
      <w:r w:rsidRPr="00AA3319">
        <w:rPr>
          <w:rFonts w:cs="Times New Roman"/>
        </w:rPr>
        <w:t>: . Environmental variables mapped across South Dakota. (a) Elevation, (b) 14-year standard deviation of relative humidity in July/August, (c) 14-year mean for relative humidity in July/August, (d) 14-year standard deviation of tasseled cap wetness in May/June, (e) percent pasture, (f) 14-year standard deviation of precipitation in May/June, (g) 14-year mean of precipitation for July/August, (h) ponding frequency.</w:t>
      </w:r>
      <w:bookmarkEnd w:id="100"/>
    </w:p>
    <w:p w14:paraId="1FF0A12E" w14:textId="698B463A" w:rsidR="00617A79" w:rsidRPr="00AA3319" w:rsidRDefault="00617A79" w:rsidP="00A750EC">
      <w:pPr>
        <w:rPr>
          <w:rFonts w:cs="Times New Roman"/>
        </w:rPr>
      </w:pPr>
      <w:r w:rsidRPr="00AA3319">
        <w:rPr>
          <w:rFonts w:cs="Times New Roman"/>
        </w:rPr>
        <w:lastRenderedPageBreak/>
        <w:t xml:space="preserve">To evaluate the predictive accuracy of each model, the data were split into subsets for training (80%) and validation (20%). To account for variation in the model results that arise from control point sampling, we fitted each model 20 times, using a different subset of control points and a different random assignment of training and validation subsets each time. For each model run, we used all available case points, and sampled new control points (with replacement) from the complete control dataset. We then used the fitted BRT model object to produce spatial predictions across the entire state. We calculated the mean predicted value for each grid cell from all 20 predictions for each pixel to characterize the spatial distribution of WNV transmission risk. </w:t>
      </w:r>
      <w:r w:rsidRPr="00AA3319">
        <w:rPr>
          <w:rStyle w:val="CommentReference"/>
          <w:rFonts w:eastAsia="Calibri" w:cs="Times New Roman"/>
          <w:color w:val="000000" w:themeColor="text1"/>
        </w:rPr>
        <w:t xml:space="preserve"> </w:t>
      </w:r>
      <w:r w:rsidRPr="00AA3319">
        <w:rPr>
          <w:rFonts w:cs="Times New Roman"/>
        </w:rPr>
        <w:t>We converted the case probabilities to percentiles to visualize the relative risk of WNV transmission across the state. To quantify the relative influence of different environmental variables, we ranked their relative importance during the model fitting process. Relative importance was measured as the normalized reduction of squared error attributable to each variable. We then created partial dependence plots for the most important variables to examine the relationship between environmental variables and disease risk. For accuracy assessment, we used the predicted values and the validation dataset to calculate AUC values for each model run and calculated a mean AUC for the 20 model runs.</w:t>
      </w:r>
    </w:p>
    <w:p w14:paraId="38727C04" w14:textId="77777777" w:rsidR="0042118C" w:rsidRPr="00AA3319" w:rsidRDefault="0042118C" w:rsidP="0042118C">
      <w:pPr>
        <w:keepNext/>
        <w:rPr>
          <w:rFonts w:cs="Times New Roman"/>
        </w:rPr>
      </w:pPr>
      <w:r w:rsidRPr="00AA3319">
        <w:rPr>
          <w:rFonts w:cs="Times New Roman"/>
          <w:noProof/>
        </w:rPr>
        <w:lastRenderedPageBreak/>
        <w:drawing>
          <wp:inline distT="0" distB="0" distL="0" distR="0" wp14:anchorId="4BDAC30B" wp14:editId="6FF691A4">
            <wp:extent cx="5486400" cy="7099935"/>
            <wp:effectExtent l="0" t="0" r="0" b="5715"/>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1F120BB8" w14:textId="0D75012E" w:rsidR="0042118C" w:rsidRPr="00AA3319" w:rsidRDefault="0042118C" w:rsidP="0042118C">
      <w:pPr>
        <w:pStyle w:val="Caption"/>
        <w:ind w:firstLine="0"/>
        <w:rPr>
          <w:rFonts w:cs="Times New Roman"/>
        </w:rPr>
      </w:pPr>
      <w:bookmarkStart w:id="101" w:name="_Toc78881293"/>
      <w:r w:rsidRPr="00AA3319">
        <w:rPr>
          <w:rFonts w:cs="Times New Roman"/>
        </w:rPr>
        <w:t xml:space="preserve">Figure </w:t>
      </w:r>
      <w:r w:rsidR="004C1B0D">
        <w:rPr>
          <w:rFonts w:cs="Times New Roman"/>
        </w:rPr>
        <w:fldChar w:fldCharType="begin"/>
      </w:r>
      <w:r w:rsidR="004C1B0D">
        <w:rPr>
          <w:rFonts w:cs="Times New Roman"/>
        </w:rPr>
        <w:instrText xml:space="preserve"> STYLEREF 1 \s </w:instrText>
      </w:r>
      <w:r w:rsidR="004C1B0D">
        <w:rPr>
          <w:rFonts w:cs="Times New Roman"/>
        </w:rPr>
        <w:fldChar w:fldCharType="separate"/>
      </w:r>
      <w:r w:rsidR="00F243F7">
        <w:rPr>
          <w:rFonts w:cs="Times New Roman"/>
          <w:noProof/>
        </w:rPr>
        <w:t>3</w:t>
      </w:r>
      <w:r w:rsidR="004C1B0D">
        <w:rPr>
          <w:rFonts w:cs="Times New Roman"/>
        </w:rPr>
        <w:fldChar w:fldCharType="end"/>
      </w:r>
      <w:r w:rsidR="004C1B0D">
        <w:rPr>
          <w:rFonts w:cs="Times New Roman"/>
        </w:rPr>
        <w:noBreakHyphen/>
      </w:r>
      <w:r w:rsidR="004C1B0D">
        <w:rPr>
          <w:rFonts w:cs="Times New Roman"/>
        </w:rPr>
        <w:fldChar w:fldCharType="begin"/>
      </w:r>
      <w:r w:rsidR="004C1B0D">
        <w:rPr>
          <w:rFonts w:cs="Times New Roman"/>
        </w:rPr>
        <w:instrText xml:space="preserve"> SEQ Figure \* ARABIC \s 1 </w:instrText>
      </w:r>
      <w:r w:rsidR="004C1B0D">
        <w:rPr>
          <w:rFonts w:cs="Times New Roman"/>
        </w:rPr>
        <w:fldChar w:fldCharType="separate"/>
      </w:r>
      <w:r w:rsidR="00F243F7">
        <w:rPr>
          <w:rFonts w:cs="Times New Roman"/>
          <w:noProof/>
        </w:rPr>
        <w:t>3</w:t>
      </w:r>
      <w:r w:rsidR="004C1B0D">
        <w:rPr>
          <w:rFonts w:cs="Times New Roman"/>
        </w:rPr>
        <w:fldChar w:fldCharType="end"/>
      </w:r>
      <w:r w:rsidRPr="00AA3319">
        <w:rPr>
          <w:rFonts w:cs="Times New Roman"/>
        </w:rPr>
        <w:t>: (a) Spatially smoothed West Nile virus (WNV) case points, (b) population weighted control points, and (c) incidence rates of human WNV disease in South Dakota for 2004-2017.</w:t>
      </w:r>
      <w:bookmarkEnd w:id="101"/>
    </w:p>
    <w:p w14:paraId="6D641A5B" w14:textId="399E340E" w:rsidR="00617A79" w:rsidRPr="00AA3319" w:rsidRDefault="00617A79" w:rsidP="00A750EC">
      <w:pPr>
        <w:pStyle w:val="Heading2"/>
        <w:rPr>
          <w:rFonts w:cs="Times New Roman"/>
        </w:rPr>
      </w:pPr>
      <w:bookmarkStart w:id="102" w:name="_Toc78889205"/>
      <w:r w:rsidRPr="00AA3319">
        <w:rPr>
          <w:rFonts w:cs="Times New Roman"/>
        </w:rPr>
        <w:lastRenderedPageBreak/>
        <w:t>Results</w:t>
      </w:r>
      <w:bookmarkEnd w:id="102"/>
    </w:p>
    <w:p w14:paraId="3453FB30" w14:textId="5A73066A" w:rsidR="00617A79" w:rsidRPr="00AA3319" w:rsidRDefault="00617A79" w:rsidP="00A750EC">
      <w:pPr>
        <w:pStyle w:val="Heading3"/>
        <w:rPr>
          <w:rFonts w:cs="Times New Roman"/>
        </w:rPr>
      </w:pPr>
      <w:bookmarkStart w:id="103" w:name="_Toc78889206"/>
      <w:r w:rsidRPr="00AA3319">
        <w:rPr>
          <w:rFonts w:cs="Times New Roman"/>
        </w:rPr>
        <w:t xml:space="preserve">Spatial </w:t>
      </w:r>
      <w:r w:rsidR="00F3359D">
        <w:rPr>
          <w:rFonts w:cs="Times New Roman"/>
        </w:rPr>
        <w:t>p</w:t>
      </w:r>
      <w:r w:rsidRPr="00AA3319">
        <w:rPr>
          <w:rFonts w:cs="Times New Roman"/>
        </w:rPr>
        <w:t>atterns</w:t>
      </w:r>
      <w:bookmarkEnd w:id="103"/>
    </w:p>
    <w:p w14:paraId="14D82A18" w14:textId="72C03B37" w:rsidR="00617A79" w:rsidRPr="00AA3319" w:rsidRDefault="00617A79" w:rsidP="00A750EC">
      <w:pPr>
        <w:rPr>
          <w:rFonts w:cs="Times New Roman"/>
        </w:rPr>
      </w:pPr>
      <w:r w:rsidRPr="00AA3319">
        <w:rPr>
          <w:rFonts w:cs="Times New Roman"/>
        </w:rPr>
        <w:t xml:space="preserve">Figure </w:t>
      </w:r>
      <w:r w:rsidR="00064D1B" w:rsidRPr="00AA3319">
        <w:rPr>
          <w:rFonts w:cs="Times New Roman"/>
        </w:rPr>
        <w:t>3-</w:t>
      </w:r>
      <w:r w:rsidRPr="00AA3319">
        <w:rPr>
          <w:rFonts w:cs="Times New Roman"/>
        </w:rPr>
        <w:t xml:space="preserve">3 shows the spatially-smoothed distribution of WNV cases, control points, and incidence rates for South Dakota. We observed the largest number of cases (Figure </w:t>
      </w:r>
      <w:r w:rsidR="00064D1B" w:rsidRPr="00AA3319">
        <w:rPr>
          <w:rFonts w:cs="Times New Roman"/>
        </w:rPr>
        <w:t>3-</w:t>
      </w:r>
      <w:r w:rsidRPr="00AA3319">
        <w:rPr>
          <w:rFonts w:cs="Times New Roman"/>
        </w:rPr>
        <w:t xml:space="preserve">3a) in areas with high population densities (Figure </w:t>
      </w:r>
      <w:r w:rsidR="00064D1B" w:rsidRPr="00AA3319">
        <w:rPr>
          <w:rFonts w:cs="Times New Roman"/>
        </w:rPr>
        <w:t>3-</w:t>
      </w:r>
      <w:r w:rsidRPr="00AA3319">
        <w:rPr>
          <w:rFonts w:cs="Times New Roman"/>
        </w:rPr>
        <w:t>3b). However, the incidence rate, calculated as cases divided by population, was relatively low in most urban areas and highest in the northern James River Valley located in northeastern South Dakota. There was another, smaller area of high incidence just north of the Black Hills in northwestern South Dakota.</w:t>
      </w:r>
    </w:p>
    <w:p w14:paraId="33764E6A" w14:textId="77777777" w:rsidR="0042118C" w:rsidRPr="00AA3319" w:rsidRDefault="0042118C" w:rsidP="0042118C">
      <w:pPr>
        <w:keepNext/>
        <w:rPr>
          <w:rFonts w:cs="Times New Roman"/>
        </w:rPr>
      </w:pPr>
      <w:r w:rsidRPr="00AA3319">
        <w:rPr>
          <w:rFonts w:cs="Times New Roman"/>
          <w:noProof/>
        </w:rPr>
        <w:lastRenderedPageBreak/>
        <w:drawing>
          <wp:inline distT="0" distB="0" distL="0" distR="0" wp14:anchorId="19B93C2D" wp14:editId="66D44D4B">
            <wp:extent cx="5486400" cy="7099935"/>
            <wp:effectExtent l="0" t="0" r="0" b="5715"/>
            <wp:docPr id="21" name="Picture 2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 letter&#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7EAFDE13" w14:textId="387A8D14" w:rsidR="0042118C" w:rsidRPr="00AA3319" w:rsidRDefault="0042118C" w:rsidP="0042118C">
      <w:pPr>
        <w:pStyle w:val="Caption"/>
        <w:ind w:firstLine="0"/>
        <w:rPr>
          <w:rFonts w:cs="Times New Roman"/>
        </w:rPr>
      </w:pPr>
      <w:bookmarkStart w:id="104" w:name="_Toc78881294"/>
      <w:r w:rsidRPr="00AA3319">
        <w:rPr>
          <w:rFonts w:cs="Times New Roman"/>
        </w:rPr>
        <w:t xml:space="preserve">Figure </w:t>
      </w:r>
      <w:r w:rsidR="004C1B0D">
        <w:rPr>
          <w:rFonts w:cs="Times New Roman"/>
        </w:rPr>
        <w:fldChar w:fldCharType="begin"/>
      </w:r>
      <w:r w:rsidR="004C1B0D">
        <w:rPr>
          <w:rFonts w:cs="Times New Roman"/>
        </w:rPr>
        <w:instrText xml:space="preserve"> STYLEREF 1 \s </w:instrText>
      </w:r>
      <w:r w:rsidR="004C1B0D">
        <w:rPr>
          <w:rFonts w:cs="Times New Roman"/>
        </w:rPr>
        <w:fldChar w:fldCharType="separate"/>
      </w:r>
      <w:r w:rsidR="00F243F7">
        <w:rPr>
          <w:rFonts w:cs="Times New Roman"/>
          <w:noProof/>
        </w:rPr>
        <w:t>3</w:t>
      </w:r>
      <w:r w:rsidR="004C1B0D">
        <w:rPr>
          <w:rFonts w:cs="Times New Roman"/>
        </w:rPr>
        <w:fldChar w:fldCharType="end"/>
      </w:r>
      <w:r w:rsidR="004C1B0D">
        <w:rPr>
          <w:rFonts w:cs="Times New Roman"/>
        </w:rPr>
        <w:noBreakHyphen/>
      </w:r>
      <w:r w:rsidR="004C1B0D">
        <w:rPr>
          <w:rFonts w:cs="Times New Roman"/>
        </w:rPr>
        <w:fldChar w:fldCharType="begin"/>
      </w:r>
      <w:r w:rsidR="004C1B0D">
        <w:rPr>
          <w:rFonts w:cs="Times New Roman"/>
        </w:rPr>
        <w:instrText xml:space="preserve"> SEQ Figure \* ARABIC \s 1 </w:instrText>
      </w:r>
      <w:r w:rsidR="004C1B0D">
        <w:rPr>
          <w:rFonts w:cs="Times New Roman"/>
        </w:rPr>
        <w:fldChar w:fldCharType="separate"/>
      </w:r>
      <w:r w:rsidR="00F243F7">
        <w:rPr>
          <w:rFonts w:cs="Times New Roman"/>
          <w:noProof/>
        </w:rPr>
        <w:t>4</w:t>
      </w:r>
      <w:r w:rsidR="004C1B0D">
        <w:rPr>
          <w:rFonts w:cs="Times New Roman"/>
        </w:rPr>
        <w:fldChar w:fldCharType="end"/>
      </w:r>
      <w:r w:rsidRPr="00AA3319">
        <w:rPr>
          <w:rFonts w:cs="Times New Roman"/>
        </w:rPr>
        <w:t>: West Nile virus risk patterns based on three different environmental datasets: (a) land cover and physiography data, (b) climate data, and (c) spectral data.</w:t>
      </w:r>
      <w:bookmarkEnd w:id="104"/>
    </w:p>
    <w:p w14:paraId="43D3A366" w14:textId="302A9EF8" w:rsidR="00617A79" w:rsidRPr="00AA3319" w:rsidRDefault="00617A79" w:rsidP="00A750EC">
      <w:pPr>
        <w:rPr>
          <w:rFonts w:cs="Times New Roman"/>
        </w:rPr>
      </w:pPr>
      <w:r w:rsidRPr="00AA3319">
        <w:rPr>
          <w:rFonts w:cs="Times New Roman"/>
        </w:rPr>
        <w:lastRenderedPageBreak/>
        <w:t xml:space="preserve">All three risk maps in Figure </w:t>
      </w:r>
      <w:r w:rsidR="00064D1B" w:rsidRPr="00AA3319">
        <w:rPr>
          <w:rFonts w:cs="Times New Roman"/>
        </w:rPr>
        <w:t>3-</w:t>
      </w:r>
      <w:r w:rsidRPr="00AA3319">
        <w:rPr>
          <w:rFonts w:cs="Times New Roman"/>
        </w:rPr>
        <w:t xml:space="preserve">4 showed a similar pattern in highlighting the James River Valley stretching from northeastern to southeastern South Dakota, and area of high risk. Also, all models showed an east-west gradient with areas east of the Missouri River having higher risk (Figure </w:t>
      </w:r>
      <w:r w:rsidR="00064D1B" w:rsidRPr="00AA3319">
        <w:rPr>
          <w:rFonts w:cs="Times New Roman"/>
        </w:rPr>
        <w:t>3-</w:t>
      </w:r>
      <w:r w:rsidRPr="00AA3319">
        <w:rPr>
          <w:rFonts w:cs="Times New Roman"/>
        </w:rPr>
        <w:t>4)</w:t>
      </w:r>
      <w:bookmarkStart w:id="105" w:name="_Hlk526689041"/>
      <w:r w:rsidRPr="00AA3319">
        <w:rPr>
          <w:rFonts w:cs="Times New Roman"/>
        </w:rPr>
        <w:t>.</w:t>
      </w:r>
      <w:bookmarkEnd w:id="105"/>
      <w:r w:rsidRPr="00AA3319">
        <w:rPr>
          <w:rFonts w:cs="Times New Roman"/>
        </w:rPr>
        <w:t xml:space="preserve"> </w:t>
      </w:r>
    </w:p>
    <w:p w14:paraId="2930613D" w14:textId="2DDCD1B3" w:rsidR="00617A79" w:rsidRPr="00AA3319" w:rsidRDefault="00617A79" w:rsidP="00A750EC">
      <w:pPr>
        <w:rPr>
          <w:rFonts w:cs="Times New Roman"/>
        </w:rPr>
      </w:pPr>
      <w:r w:rsidRPr="00AA3319">
        <w:rPr>
          <w:rFonts w:cs="Times New Roman"/>
        </w:rPr>
        <w:t xml:space="preserve">The model based on the land cover and physiography data (Figure </w:t>
      </w:r>
      <w:r w:rsidR="00064D1B" w:rsidRPr="00AA3319">
        <w:rPr>
          <w:rFonts w:cs="Times New Roman"/>
        </w:rPr>
        <w:t>3-</w:t>
      </w:r>
      <w:r w:rsidRPr="00AA3319">
        <w:rPr>
          <w:rFonts w:cs="Times New Roman"/>
        </w:rPr>
        <w:t xml:space="preserve">4a) clearly highlighted the whole James River Valley the areas of highest relative risk all located in the valley. The risk gradually decreased with increasing elevation above and distance from the river. The areas west of the Missouri River predominantly had relative risk below the median. The climate-driven model (Figure </w:t>
      </w:r>
      <w:r w:rsidR="00064D1B" w:rsidRPr="00AA3319">
        <w:rPr>
          <w:rFonts w:cs="Times New Roman"/>
        </w:rPr>
        <w:t>3-</w:t>
      </w:r>
      <w:r w:rsidRPr="00AA3319">
        <w:rPr>
          <w:rFonts w:cs="Times New Roman"/>
        </w:rPr>
        <w:t xml:space="preserve">4b) showed a patchy pattern, with high risk occurring mostly in the northern parts of the James River Valley and the plateaus to the east and west of the valley, as well as a few isolated hotspots in western South Dakota. The model based on spectral data (Figure </w:t>
      </w:r>
      <w:r w:rsidR="00064D1B" w:rsidRPr="00AA3319">
        <w:rPr>
          <w:rFonts w:cs="Times New Roman"/>
        </w:rPr>
        <w:t>3-</w:t>
      </w:r>
      <w:r w:rsidRPr="00AA3319">
        <w:rPr>
          <w:rFonts w:cs="Times New Roman"/>
        </w:rPr>
        <w:t xml:space="preserve">4c) mostly highlighted the northern James River Valley and the parts of the Missouri Coteau region located to the west. Also, as a result of the different resolution of the environmental datasets, risk patterns are resolved at different scales.  The models based on land cover and physiography data and the spectral data show finer grained spatial patterns, whereas the climate data driven model presents a comparatively smooth pattern. </w:t>
      </w:r>
    </w:p>
    <w:p w14:paraId="52ADA414" w14:textId="77777777" w:rsidR="00E609F4" w:rsidRPr="00AA3319" w:rsidRDefault="00E609F4" w:rsidP="00E609F4">
      <w:pPr>
        <w:keepNext/>
        <w:rPr>
          <w:rFonts w:cs="Times New Roman"/>
        </w:rPr>
      </w:pPr>
      <w:r w:rsidRPr="00AA3319">
        <w:rPr>
          <w:rFonts w:cs="Times New Roman"/>
          <w:noProof/>
        </w:rPr>
        <w:lastRenderedPageBreak/>
        <w:drawing>
          <wp:inline distT="0" distB="0" distL="0" distR="0" wp14:anchorId="612934F7" wp14:editId="0ABCC8DF">
            <wp:extent cx="5486400" cy="3862705"/>
            <wp:effectExtent l="0" t="0" r="0" b="4445"/>
            <wp:docPr id="22" name="Picture 22"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ap&#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86400" cy="3862705"/>
                    </a:xfrm>
                    <a:prstGeom prst="rect">
                      <a:avLst/>
                    </a:prstGeom>
                  </pic:spPr>
                </pic:pic>
              </a:graphicData>
            </a:graphic>
          </wp:inline>
        </w:drawing>
      </w:r>
    </w:p>
    <w:p w14:paraId="4B18E0DF" w14:textId="08BA8B00" w:rsidR="00E609F4" w:rsidRPr="00AA3319" w:rsidRDefault="00E609F4" w:rsidP="00E609F4">
      <w:pPr>
        <w:pStyle w:val="Caption"/>
        <w:ind w:firstLine="0"/>
        <w:rPr>
          <w:rFonts w:cs="Times New Roman"/>
        </w:rPr>
      </w:pPr>
      <w:bookmarkStart w:id="106" w:name="_Toc78881295"/>
      <w:r w:rsidRPr="00AA3319">
        <w:rPr>
          <w:rFonts w:cs="Times New Roman"/>
        </w:rPr>
        <w:t xml:space="preserve">Figure </w:t>
      </w:r>
      <w:r w:rsidR="004C1B0D">
        <w:rPr>
          <w:rFonts w:cs="Times New Roman"/>
        </w:rPr>
        <w:fldChar w:fldCharType="begin"/>
      </w:r>
      <w:r w:rsidR="004C1B0D">
        <w:rPr>
          <w:rFonts w:cs="Times New Roman"/>
        </w:rPr>
        <w:instrText xml:space="preserve"> STYLEREF 1 \s </w:instrText>
      </w:r>
      <w:r w:rsidR="004C1B0D">
        <w:rPr>
          <w:rFonts w:cs="Times New Roman"/>
        </w:rPr>
        <w:fldChar w:fldCharType="separate"/>
      </w:r>
      <w:r w:rsidR="00F243F7">
        <w:rPr>
          <w:rFonts w:cs="Times New Roman"/>
          <w:noProof/>
        </w:rPr>
        <w:t>3</w:t>
      </w:r>
      <w:r w:rsidR="004C1B0D">
        <w:rPr>
          <w:rFonts w:cs="Times New Roman"/>
        </w:rPr>
        <w:fldChar w:fldCharType="end"/>
      </w:r>
      <w:r w:rsidR="004C1B0D">
        <w:rPr>
          <w:rFonts w:cs="Times New Roman"/>
        </w:rPr>
        <w:noBreakHyphen/>
      </w:r>
      <w:r w:rsidR="004C1B0D">
        <w:rPr>
          <w:rFonts w:cs="Times New Roman"/>
        </w:rPr>
        <w:fldChar w:fldCharType="begin"/>
      </w:r>
      <w:r w:rsidR="004C1B0D">
        <w:rPr>
          <w:rFonts w:cs="Times New Roman"/>
        </w:rPr>
        <w:instrText xml:space="preserve"> SEQ Figure \* ARABIC \s 1 </w:instrText>
      </w:r>
      <w:r w:rsidR="004C1B0D">
        <w:rPr>
          <w:rFonts w:cs="Times New Roman"/>
        </w:rPr>
        <w:fldChar w:fldCharType="separate"/>
      </w:r>
      <w:r w:rsidR="00F243F7">
        <w:rPr>
          <w:rFonts w:cs="Times New Roman"/>
          <w:noProof/>
        </w:rPr>
        <w:t>5</w:t>
      </w:r>
      <w:r w:rsidR="004C1B0D">
        <w:rPr>
          <w:rFonts w:cs="Times New Roman"/>
        </w:rPr>
        <w:fldChar w:fldCharType="end"/>
      </w:r>
      <w:r w:rsidRPr="00AA3319">
        <w:rPr>
          <w:rFonts w:cs="Times New Roman"/>
        </w:rPr>
        <w:t>: West Nile virus risk patterns based on BRT model predictions using all available environmental variables.</w:t>
      </w:r>
      <w:bookmarkEnd w:id="106"/>
    </w:p>
    <w:p w14:paraId="400F2B31" w14:textId="5337320B" w:rsidR="00617A79" w:rsidRPr="00AA3319" w:rsidRDefault="00617A79" w:rsidP="00A750EC">
      <w:pPr>
        <w:rPr>
          <w:rFonts w:cs="Times New Roman"/>
        </w:rPr>
      </w:pPr>
      <w:r w:rsidRPr="00AA3319">
        <w:rPr>
          <w:rFonts w:cs="Times New Roman"/>
        </w:rPr>
        <w:t xml:space="preserve">The spatial pattern of relative WNV risk in South Dakota predicted by the model including all available environmental variables is presented in Figure </w:t>
      </w:r>
      <w:r w:rsidR="00064D1B" w:rsidRPr="00AA3319">
        <w:rPr>
          <w:rFonts w:cs="Times New Roman"/>
        </w:rPr>
        <w:t>3-</w:t>
      </w:r>
      <w:r w:rsidRPr="00AA3319">
        <w:rPr>
          <w:rFonts w:cs="Times New Roman"/>
        </w:rPr>
        <w:t>5. Based on this model, the relative risk of WNV was highest in the northern part of the James River Valley, with more areas of high risk in eastern South Dakota and one additional hot spot at the edge of the Prairie Coteau.</w:t>
      </w:r>
    </w:p>
    <w:p w14:paraId="20F8BBF6" w14:textId="77777777" w:rsidR="00617A79" w:rsidRPr="00AA3319" w:rsidRDefault="00617A79" w:rsidP="00A750EC">
      <w:pPr>
        <w:rPr>
          <w:rFonts w:eastAsia="Calibri" w:cs="Times New Roman"/>
        </w:rPr>
      </w:pPr>
      <w:bookmarkStart w:id="107" w:name="_Hlk526692627"/>
      <w:r w:rsidRPr="00AA3319">
        <w:rPr>
          <w:rFonts w:cs="Times New Roman"/>
        </w:rPr>
        <w:t xml:space="preserve">The combined model performed best, with the highest mean AUC value of 0.727. The combined model’s AUC was followed by lower AUC values from the models driven by land cover and physiography data (0.711), climate data (0.719) and spectral data (0.679). Despite the relatively narrow range of AUC values for the best three models, the maps </w:t>
      </w:r>
      <w:r w:rsidRPr="00AA3319">
        <w:rPr>
          <w:rFonts w:cs="Times New Roman"/>
        </w:rPr>
        <w:lastRenderedPageBreak/>
        <w:t xml:space="preserve">produced by the models showed considerable differences in spatial patterns of relative WNV risk as described previously. </w:t>
      </w:r>
    </w:p>
    <w:p w14:paraId="014F98F3" w14:textId="61F30322" w:rsidR="00617A79" w:rsidRPr="00AA3319" w:rsidRDefault="00617A79" w:rsidP="00A750EC">
      <w:pPr>
        <w:pStyle w:val="Heading3"/>
        <w:rPr>
          <w:rFonts w:eastAsia="Times New Roman" w:cs="Times New Roman"/>
        </w:rPr>
      </w:pPr>
      <w:bookmarkStart w:id="108" w:name="_Toc78889207"/>
      <w:bookmarkEnd w:id="107"/>
      <w:r w:rsidRPr="00AA3319">
        <w:rPr>
          <w:rFonts w:cs="Times New Roman"/>
        </w:rPr>
        <w:t xml:space="preserve">Environmental </w:t>
      </w:r>
      <w:r w:rsidR="00F3359D">
        <w:rPr>
          <w:rFonts w:cs="Times New Roman"/>
        </w:rPr>
        <w:t>d</w:t>
      </w:r>
      <w:r w:rsidRPr="00AA3319">
        <w:rPr>
          <w:rFonts w:cs="Times New Roman"/>
        </w:rPr>
        <w:t xml:space="preserve">ata </w:t>
      </w:r>
      <w:r w:rsidR="00F3359D">
        <w:rPr>
          <w:rFonts w:cs="Times New Roman"/>
        </w:rPr>
        <w:t>a</w:t>
      </w:r>
      <w:r w:rsidRPr="00AA3319">
        <w:rPr>
          <w:rFonts w:cs="Times New Roman"/>
        </w:rPr>
        <w:t>nalysis</w:t>
      </w:r>
      <w:bookmarkEnd w:id="108"/>
    </w:p>
    <w:p w14:paraId="65AB47D0" w14:textId="11C15748" w:rsidR="00617A79" w:rsidRPr="00AA3319" w:rsidRDefault="00617A79" w:rsidP="00A750EC">
      <w:pPr>
        <w:rPr>
          <w:rFonts w:cs="Times New Roman"/>
        </w:rPr>
      </w:pPr>
      <w:r w:rsidRPr="00AA3319">
        <w:rPr>
          <w:rFonts w:cs="Times New Roman"/>
        </w:rPr>
        <w:t xml:space="preserve">We interpreted the influences of environmental variables by quantifying the relative importance of each variable in the different BRT models (Figure </w:t>
      </w:r>
      <w:r w:rsidR="00064D1B" w:rsidRPr="00AA3319">
        <w:rPr>
          <w:rFonts w:cs="Times New Roman"/>
        </w:rPr>
        <w:t>3-</w:t>
      </w:r>
      <w:r w:rsidRPr="00AA3319">
        <w:rPr>
          <w:rFonts w:cs="Times New Roman"/>
        </w:rPr>
        <w:t xml:space="preserve">6) and by visualizing the partial dependence between relative risk and the most influential variables (Figure </w:t>
      </w:r>
      <w:r w:rsidR="00064D1B" w:rsidRPr="00AA3319">
        <w:rPr>
          <w:rFonts w:cs="Times New Roman"/>
        </w:rPr>
        <w:t>3-</w:t>
      </w:r>
      <w:r w:rsidRPr="00AA3319">
        <w:rPr>
          <w:rFonts w:cs="Times New Roman"/>
        </w:rPr>
        <w:t xml:space="preserve">7). Elevation was the most important variable in the model based on land cover and physiography data (Figure </w:t>
      </w:r>
      <w:r w:rsidR="00064D1B" w:rsidRPr="00AA3319">
        <w:rPr>
          <w:rFonts w:cs="Times New Roman"/>
        </w:rPr>
        <w:t>3-</w:t>
      </w:r>
      <w:r w:rsidRPr="00AA3319">
        <w:rPr>
          <w:rFonts w:cs="Times New Roman"/>
        </w:rPr>
        <w:t xml:space="preserve">6a), with low elevations more favorable for disease transmission. Of the climatic variables, the standard deviation of precipitation during early mosquito season (May/June) had the strongest impact on disease risk (Figure </w:t>
      </w:r>
      <w:r w:rsidR="00064D1B" w:rsidRPr="00AA3319">
        <w:rPr>
          <w:rFonts w:cs="Times New Roman"/>
        </w:rPr>
        <w:t>3-</w:t>
      </w:r>
      <w:r w:rsidRPr="00AA3319">
        <w:rPr>
          <w:rFonts w:cs="Times New Roman"/>
        </w:rPr>
        <w:t xml:space="preserve">6b). We observed the highest risk at very high and very low inter-annual variation of early-season precipitation. Inter-annual variation in moisture-related metrics, including the tasseled cap wetness index, NDVI, and MNDWI, were the most important predictors in the model based on spectral data (Figure </w:t>
      </w:r>
      <w:r w:rsidR="00064D1B" w:rsidRPr="00AA3319">
        <w:rPr>
          <w:rFonts w:cs="Times New Roman"/>
        </w:rPr>
        <w:t>3-</w:t>
      </w:r>
      <w:r w:rsidRPr="00AA3319">
        <w:rPr>
          <w:rFonts w:cs="Times New Roman"/>
        </w:rPr>
        <w:t>6c). Higher inter-annual variation of these moisture-sensitive indices was associated with higher disease risk.</w:t>
      </w:r>
    </w:p>
    <w:p w14:paraId="397144AA" w14:textId="77777777" w:rsidR="00E609F4" w:rsidRPr="00AA3319" w:rsidRDefault="00E609F4" w:rsidP="00E609F4">
      <w:pPr>
        <w:keepNext/>
        <w:rPr>
          <w:rFonts w:cs="Times New Roman"/>
        </w:rPr>
      </w:pPr>
      <w:r w:rsidRPr="00AA3319">
        <w:rPr>
          <w:rFonts w:cs="Times New Roman"/>
          <w:noProof/>
        </w:rPr>
        <w:lastRenderedPageBreak/>
        <w:drawing>
          <wp:inline distT="0" distB="0" distL="0" distR="0" wp14:anchorId="128E21D8" wp14:editId="75BA59C4">
            <wp:extent cx="5486400" cy="3134995"/>
            <wp:effectExtent l="0" t="0" r="0" b="8255"/>
            <wp:docPr id="23" name="Picture 23"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surface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86400" cy="3134995"/>
                    </a:xfrm>
                    <a:prstGeom prst="rect">
                      <a:avLst/>
                    </a:prstGeom>
                  </pic:spPr>
                </pic:pic>
              </a:graphicData>
            </a:graphic>
          </wp:inline>
        </w:drawing>
      </w:r>
    </w:p>
    <w:p w14:paraId="7586CD6C" w14:textId="62F09BF9" w:rsidR="00E609F4" w:rsidRPr="00AA3319" w:rsidRDefault="00E609F4" w:rsidP="00E609F4">
      <w:pPr>
        <w:pStyle w:val="Caption"/>
        <w:ind w:firstLine="0"/>
        <w:rPr>
          <w:rFonts w:cs="Times New Roman"/>
        </w:rPr>
      </w:pPr>
      <w:bookmarkStart w:id="109" w:name="_Toc78881296"/>
      <w:r w:rsidRPr="00AA3319">
        <w:rPr>
          <w:rFonts w:cs="Times New Roman"/>
        </w:rPr>
        <w:t xml:space="preserve">Figure </w:t>
      </w:r>
      <w:r w:rsidR="004C1B0D">
        <w:rPr>
          <w:rFonts w:cs="Times New Roman"/>
        </w:rPr>
        <w:fldChar w:fldCharType="begin"/>
      </w:r>
      <w:r w:rsidR="004C1B0D">
        <w:rPr>
          <w:rFonts w:cs="Times New Roman"/>
        </w:rPr>
        <w:instrText xml:space="preserve"> STYLEREF 1 \s </w:instrText>
      </w:r>
      <w:r w:rsidR="004C1B0D">
        <w:rPr>
          <w:rFonts w:cs="Times New Roman"/>
        </w:rPr>
        <w:fldChar w:fldCharType="separate"/>
      </w:r>
      <w:r w:rsidR="00F243F7">
        <w:rPr>
          <w:rFonts w:cs="Times New Roman"/>
          <w:noProof/>
        </w:rPr>
        <w:t>3</w:t>
      </w:r>
      <w:r w:rsidR="004C1B0D">
        <w:rPr>
          <w:rFonts w:cs="Times New Roman"/>
        </w:rPr>
        <w:fldChar w:fldCharType="end"/>
      </w:r>
      <w:r w:rsidR="004C1B0D">
        <w:rPr>
          <w:rFonts w:cs="Times New Roman"/>
        </w:rPr>
        <w:noBreakHyphen/>
      </w:r>
      <w:r w:rsidR="004C1B0D">
        <w:rPr>
          <w:rFonts w:cs="Times New Roman"/>
        </w:rPr>
        <w:fldChar w:fldCharType="begin"/>
      </w:r>
      <w:r w:rsidR="004C1B0D">
        <w:rPr>
          <w:rFonts w:cs="Times New Roman"/>
        </w:rPr>
        <w:instrText xml:space="preserve"> SEQ Figure \* ARABIC \s 1 </w:instrText>
      </w:r>
      <w:r w:rsidR="004C1B0D">
        <w:rPr>
          <w:rFonts w:cs="Times New Roman"/>
        </w:rPr>
        <w:fldChar w:fldCharType="separate"/>
      </w:r>
      <w:r w:rsidR="00F243F7">
        <w:rPr>
          <w:rFonts w:cs="Times New Roman"/>
          <w:noProof/>
        </w:rPr>
        <w:t>6</w:t>
      </w:r>
      <w:r w:rsidR="004C1B0D">
        <w:rPr>
          <w:rFonts w:cs="Times New Roman"/>
        </w:rPr>
        <w:fldChar w:fldCharType="end"/>
      </w:r>
      <w:r w:rsidRPr="00AA3319">
        <w:rPr>
          <w:rFonts w:cs="Times New Roman"/>
        </w:rPr>
        <w:t xml:space="preserve">: Relative importance of environmental variables in predicting the relative risk of West Nile virus. We used four sets of environmental variables to fit a BRT model: (a) land cover and physiography data, (b) climate data, (c) spectral data, and (d) all datasets combined. Explanations of the variable codes are provided in Table </w:t>
      </w:r>
      <w:r w:rsidR="0021152F">
        <w:rPr>
          <w:rFonts w:cs="Times New Roman"/>
        </w:rPr>
        <w:t>3-</w:t>
      </w:r>
      <w:r w:rsidRPr="00AA3319">
        <w:rPr>
          <w:rFonts w:cs="Times New Roman"/>
        </w:rPr>
        <w:t>2.</w:t>
      </w:r>
      <w:bookmarkEnd w:id="109"/>
    </w:p>
    <w:p w14:paraId="76EEF6D6" w14:textId="0785C20B" w:rsidR="00617A79" w:rsidRPr="00AA3319" w:rsidRDefault="00617A79" w:rsidP="00A750EC">
      <w:pPr>
        <w:rPr>
          <w:rFonts w:cs="Times New Roman"/>
        </w:rPr>
      </w:pPr>
      <w:r w:rsidRPr="00AA3319">
        <w:rPr>
          <w:rFonts w:cs="Times New Roman"/>
        </w:rPr>
        <w:t xml:space="preserve">The combined model was mainly driven by elevation, followed by metrics of relative humidity and precipitation in the late season (RH_LateSD, RH_LateMean, and Prec_LateMean), inter-annual variation in precipitation and surface moisture availability in early-season (TcWet_EarlySD, Prec_EarlySD), and percent pasture, and as soil conditions associated with surface water ponding (PondFr) (Figure </w:t>
      </w:r>
      <w:r w:rsidR="00064D1B" w:rsidRPr="00AA3319">
        <w:rPr>
          <w:rFonts w:cs="Times New Roman"/>
        </w:rPr>
        <w:t>3-</w:t>
      </w:r>
      <w:r w:rsidRPr="00AA3319">
        <w:rPr>
          <w:rFonts w:cs="Times New Roman"/>
        </w:rPr>
        <w:t>6d). In general, climatic variables proved to be more influential than spectral variables. Of all spectral variables, inter-annual variability in surface moisture proved to be of highest importance.</w:t>
      </w:r>
    </w:p>
    <w:p w14:paraId="10927E00" w14:textId="77777777" w:rsidR="00DA103E" w:rsidRPr="00AA3319" w:rsidRDefault="00DA103E" w:rsidP="00DA103E">
      <w:pPr>
        <w:keepNext/>
        <w:rPr>
          <w:rFonts w:cs="Times New Roman"/>
        </w:rPr>
      </w:pPr>
      <w:r w:rsidRPr="00AA3319">
        <w:rPr>
          <w:rFonts w:cs="Times New Roman"/>
          <w:noProof/>
        </w:rPr>
        <w:lastRenderedPageBreak/>
        <w:drawing>
          <wp:inline distT="0" distB="0" distL="0" distR="0" wp14:anchorId="678ED6DF" wp14:editId="576B1FE4">
            <wp:extent cx="5486400" cy="3083560"/>
            <wp:effectExtent l="0" t="0" r="0" b="2540"/>
            <wp:docPr id="24" name="Picture 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0" cy="3083560"/>
                    </a:xfrm>
                    <a:prstGeom prst="rect">
                      <a:avLst/>
                    </a:prstGeom>
                  </pic:spPr>
                </pic:pic>
              </a:graphicData>
            </a:graphic>
          </wp:inline>
        </w:drawing>
      </w:r>
    </w:p>
    <w:p w14:paraId="00C229F7" w14:textId="0D40F050" w:rsidR="00DA103E" w:rsidRPr="00AA3319" w:rsidRDefault="00DA103E" w:rsidP="00DA103E">
      <w:pPr>
        <w:pStyle w:val="Caption"/>
        <w:ind w:firstLine="0"/>
        <w:rPr>
          <w:rFonts w:cs="Times New Roman"/>
        </w:rPr>
      </w:pPr>
      <w:bookmarkStart w:id="110" w:name="_Toc78881297"/>
      <w:r w:rsidRPr="00AA3319">
        <w:rPr>
          <w:rFonts w:cs="Times New Roman"/>
        </w:rPr>
        <w:t xml:space="preserve">Figure </w:t>
      </w:r>
      <w:r w:rsidR="004C1B0D">
        <w:rPr>
          <w:rFonts w:cs="Times New Roman"/>
        </w:rPr>
        <w:fldChar w:fldCharType="begin"/>
      </w:r>
      <w:r w:rsidR="004C1B0D">
        <w:rPr>
          <w:rFonts w:cs="Times New Roman"/>
        </w:rPr>
        <w:instrText xml:space="preserve"> STYLEREF 1 \s </w:instrText>
      </w:r>
      <w:r w:rsidR="004C1B0D">
        <w:rPr>
          <w:rFonts w:cs="Times New Roman"/>
        </w:rPr>
        <w:fldChar w:fldCharType="separate"/>
      </w:r>
      <w:r w:rsidR="00F243F7">
        <w:rPr>
          <w:rFonts w:cs="Times New Roman"/>
          <w:noProof/>
        </w:rPr>
        <w:t>3</w:t>
      </w:r>
      <w:r w:rsidR="004C1B0D">
        <w:rPr>
          <w:rFonts w:cs="Times New Roman"/>
        </w:rPr>
        <w:fldChar w:fldCharType="end"/>
      </w:r>
      <w:r w:rsidR="004C1B0D">
        <w:rPr>
          <w:rFonts w:cs="Times New Roman"/>
        </w:rPr>
        <w:noBreakHyphen/>
      </w:r>
      <w:r w:rsidR="004C1B0D">
        <w:rPr>
          <w:rFonts w:cs="Times New Roman"/>
        </w:rPr>
        <w:fldChar w:fldCharType="begin"/>
      </w:r>
      <w:r w:rsidR="004C1B0D">
        <w:rPr>
          <w:rFonts w:cs="Times New Roman"/>
        </w:rPr>
        <w:instrText xml:space="preserve"> SEQ Figure \* ARABIC \s 1 </w:instrText>
      </w:r>
      <w:r w:rsidR="004C1B0D">
        <w:rPr>
          <w:rFonts w:cs="Times New Roman"/>
        </w:rPr>
        <w:fldChar w:fldCharType="separate"/>
      </w:r>
      <w:r w:rsidR="00F243F7">
        <w:rPr>
          <w:rFonts w:cs="Times New Roman"/>
          <w:noProof/>
        </w:rPr>
        <w:t>7</w:t>
      </w:r>
      <w:r w:rsidR="004C1B0D">
        <w:rPr>
          <w:rFonts w:cs="Times New Roman"/>
        </w:rPr>
        <w:fldChar w:fldCharType="end"/>
      </w:r>
      <w:r w:rsidRPr="00AA3319">
        <w:rPr>
          <w:rFonts w:cs="Times New Roman"/>
        </w:rPr>
        <w:t xml:space="preserve">: Boosted regression tree (BRT) partial dependence of risk on the top ranked environmental variables from the combined model containing all data sources. Black lines represent the fitted function for environmental variables and relative West Nile virus risk. Blue lines represent a smoothed approximation. Variables are explained in Table </w:t>
      </w:r>
      <w:r w:rsidR="0021152F">
        <w:rPr>
          <w:rFonts w:cs="Times New Roman"/>
        </w:rPr>
        <w:t>3-</w:t>
      </w:r>
      <w:r w:rsidRPr="00AA3319">
        <w:rPr>
          <w:rFonts w:cs="Times New Roman"/>
        </w:rPr>
        <w:t>2</w:t>
      </w:r>
      <w:bookmarkEnd w:id="110"/>
    </w:p>
    <w:p w14:paraId="48807A36" w14:textId="391215ED" w:rsidR="00617A79" w:rsidRPr="00AA3319" w:rsidRDefault="00617A79" w:rsidP="00A750EC">
      <w:pPr>
        <w:pStyle w:val="Heading2"/>
        <w:rPr>
          <w:rFonts w:cs="Times New Roman"/>
        </w:rPr>
      </w:pPr>
      <w:bookmarkStart w:id="111" w:name="_Toc78889208"/>
      <w:r w:rsidRPr="00AA3319">
        <w:rPr>
          <w:rFonts w:cs="Times New Roman"/>
        </w:rPr>
        <w:t>Discussion</w:t>
      </w:r>
      <w:bookmarkEnd w:id="111"/>
    </w:p>
    <w:p w14:paraId="03DD36DF" w14:textId="77777777" w:rsidR="00617A79" w:rsidRPr="00AA3319" w:rsidRDefault="00617A79" w:rsidP="00A750EC">
      <w:pPr>
        <w:rPr>
          <w:rFonts w:cs="Times New Roman"/>
        </w:rPr>
      </w:pPr>
      <w:r w:rsidRPr="00AA3319">
        <w:rPr>
          <w:rFonts w:cs="Times New Roman"/>
        </w:rPr>
        <w:t xml:space="preserve">This study applied classified land cover and physiography data, climate data, and spectral data to map the relative risk of WNV transmission in South Dakota. All models highlighted particular aspects of environmentally-driven spatial heterogeneity in WNV risk, and they generated predicted risk maps with more spatial detail than the smoothed incidence rates. </w:t>
      </w:r>
      <w:bookmarkStart w:id="112" w:name="_Hlk526700097"/>
      <w:r w:rsidRPr="00AA3319">
        <w:rPr>
          <w:rFonts w:cs="Times New Roman"/>
        </w:rPr>
        <w:t xml:space="preserve">The models also showed some broad-scale similarities when at the state level. These similarities reflect broad-scale associations between the land cover, physiography, climate, vegetation, and surface moisture variables that were measured in the various datasets. In particular, there is a strong east-west variation across the state reflected in an elevation gradient, a climatic gradient, and a transition from predominantly cropland and pasture in the east to predominantly grasslands in the west. Despite these large-scale collinearities, </w:t>
      </w:r>
      <w:r w:rsidRPr="00AA3319">
        <w:rPr>
          <w:rFonts w:cs="Times New Roman"/>
        </w:rPr>
        <w:lastRenderedPageBreak/>
        <w:t>each of the datasets provided unique information and captured a different aspect of the environmental influences on WNV risk distribution.</w:t>
      </w:r>
    </w:p>
    <w:bookmarkEnd w:id="112"/>
    <w:p w14:paraId="588EC6E7" w14:textId="77777777" w:rsidR="00617A79" w:rsidRPr="00AA3319" w:rsidRDefault="00617A79" w:rsidP="00A750EC">
      <w:pPr>
        <w:rPr>
          <w:rFonts w:cs="Times New Roman"/>
        </w:rPr>
      </w:pPr>
      <w:r w:rsidRPr="00AA3319">
        <w:rPr>
          <w:rFonts w:cs="Times New Roman"/>
        </w:rPr>
        <w:t xml:space="preserve">Increasing the complexity of the model by combining all three datasets produced the best-fitting model and helped the quality of the spatial prediction. The combined model identified spatial differences in transmission risk and highlighted a major high-risk area in the northern James River Valley with one distinct hotspot on the Prairie Coteau. We found that these high-risk areas were characterized by distinctive hydrological conditions during the early WNV season and climatological conditions during late WNV season. The combined model also helped to lessen the influence of spatial artifacts visible in the other models, such as the “rings” in the climate model that are a by-product of processing the climate data and the very strong signature of elevation in the land cover and physiography model. It is notable that the four most important variables in the combined model came from all three of the data sources, emphasizing that these different types of data provide complementary information to support disease predictions. </w:t>
      </w:r>
    </w:p>
    <w:p w14:paraId="7871671A" w14:textId="22242917" w:rsidR="00617A79" w:rsidRPr="00AA3319" w:rsidRDefault="00617A79" w:rsidP="00A750EC">
      <w:pPr>
        <w:rPr>
          <w:rFonts w:cs="Times New Roman"/>
        </w:rPr>
      </w:pPr>
      <w:r w:rsidRPr="00AA3319">
        <w:rPr>
          <w:rFonts w:cs="Times New Roman"/>
        </w:rPr>
        <w:t xml:space="preserve">The model based on land cover and physiography data, which was driven primarily by elevation, highlighted the whole James River Valley as a high-risk area, with lower risk on the plateaus to the east and west of the valley. The James River Valley is a glacial valley that is dominated by relatively flat lowlands with poorly drained soils, shallow water tables, and extensive wetlands. In South Dakota, the main mosquito vector is </w:t>
      </w:r>
      <w:r w:rsidRPr="00AA3319">
        <w:rPr>
          <w:rFonts w:cs="Times New Roman"/>
          <w:i/>
        </w:rPr>
        <w:t xml:space="preserve">Culex tarsalis </w:t>
      </w:r>
      <w:r w:rsidRPr="00AA3319">
        <w:rPr>
          <w:rFonts w:cs="Times New Roman"/>
        </w:rPr>
        <w:t>Coquillett</w:t>
      </w:r>
      <w:r w:rsidRPr="00AA3319">
        <w:rPr>
          <w:rFonts w:cs="Times New Roman"/>
          <w:i/>
        </w:rPr>
        <w:t xml:space="preserve"> </w:t>
      </w:r>
      <w:r w:rsidRPr="00AA3319">
        <w:rPr>
          <w:rFonts w:cs="Times New Roman"/>
          <w:i/>
        </w:rPr>
        <w:fldChar w:fldCharType="begin" w:fldLock="1"/>
      </w:r>
      <w:r w:rsidR="008E5BF5">
        <w:rPr>
          <w:rFonts w:cs="Times New Roman"/>
          <w:i/>
        </w:rPr>
        <w:instrText xml:space="preserve"> ADDIN ZOTERO_ITEM CSL_CITATION {"citationID":"MCQcPxWC","properties":{"formattedCitation":"(Vincent, 2018)","plainCitation":"(Vincent, 2018)","noteIndex":0},"citationItems":[{"id":"YKY8t1zq/8t4KGi45","uris":["http://www.mendeley.com/documents/?uuid=abdf24b2-79c0-3a43-885e-d3e9f5e2feb1"],"uri":["http://www.mendeley.com/documents/?uuid=abdf24b2-79c0-3a43-885e-d3e9f5e2feb1"],"itemData":{"author":[{"dropping-particle":"","family":"Vincent","given":"Geoffrey P","non-dropping-particle":"","parse-names":false,"suffix":""}],"id":"ITEM-1","issued":{"date-parts":[["2018"]]},"publisher":"(Doctoral dissertation)","title":"Surveillance of South Dakota mosquito abundance, infection rate, and insecticide susceptibility","type":"thesis"}}],"schema":"https://github.com/citation-style-language/schema/raw/master/csl-citation.json"} </w:instrText>
      </w:r>
      <w:r w:rsidRPr="00AA3319">
        <w:rPr>
          <w:rFonts w:cs="Times New Roman"/>
          <w:i/>
        </w:rPr>
        <w:fldChar w:fldCharType="separate"/>
      </w:r>
      <w:r w:rsidR="002B37C7" w:rsidRPr="00AA3319">
        <w:rPr>
          <w:rFonts w:cs="Times New Roman"/>
        </w:rPr>
        <w:t>(Vincent, 2018)</w:t>
      </w:r>
      <w:r w:rsidRPr="00AA3319">
        <w:rPr>
          <w:rFonts w:cs="Times New Roman"/>
          <w:i/>
        </w:rPr>
        <w:fldChar w:fldCharType="end"/>
      </w:r>
      <w:r w:rsidRPr="00AA3319">
        <w:rPr>
          <w:rFonts w:cs="Times New Roman"/>
        </w:rPr>
        <w:t xml:space="preserve">. This mosquito is associated with small unconnected semi-permanent ponds with standing water </w:t>
      </w:r>
      <w:r w:rsidRPr="00AA3319">
        <w:rPr>
          <w:rFonts w:cs="Times New Roman"/>
        </w:rPr>
        <w:fldChar w:fldCharType="begin" w:fldLock="1"/>
      </w:r>
      <w:r w:rsidR="00701ADA" w:rsidRPr="00AA3319">
        <w:rPr>
          <w:rFonts w:cs="Times New Roman"/>
        </w:rPr>
        <w:instrText xml:space="preserve"> ADDIN ZOTERO_ITEM CSL_CITATION {"citationID":"AGnw5PDB","properties":{"formattedCitation":"(Mercer et al., 2005; Skaff and Cheruvelil, 2016)","plainCitation":"(Mercer et al., 2005; Skaff and Cheruvelil, 2016)","noteIndex":0},"citationItems":[{"id":661,"uris":["http://zotero.org/users/5456909/items/ASFXWCN3"],"uri":["http://zotero.org/users/5456909/items/ASFXWCN3"],"itemData":{"id":661,"type":"article-journal","container-title":"Entomological Society of America","issue":"4","page":"685-693","title":"Mosquito (Diptera : Culicidae) development within microhabitats of an Iowa wetland","volume":"42","author":[{"family":"Mercer","given":"David R"},{"family":"Sheeley","given":"Sara L"},{"family":"Brown","given":"Edward J"}],"issued":{"date-parts":[["2005"]]}}},{"id":1261,"uris":["http://zotero.org/users/5456909/items/XM9NFCYI"],"uri":["http://zotero.org/users/5456909/items/XM9NFCYI"],"itemData":{"id":1261,"type":"article-journal","abstract":"Context: Mosquito-borne diseases in the United States are notorious for their seemingly erratic temporal and spatial outbreak patterns in humans. Identifying linkages between fine-scale phenomenon and macroscale outbreak patterns can improve the understanding of these complex socio-ecological systems. Objectives: Using West Nile virus (WNV) as a model system, we examine whether fine-scale wetland characteristics - wetland size, connectivity, and inundation regime - have an important effect on macroscale human disease outbreak in the northeastern and midwestern United States. Methods: We take a spatially explicit GIS-based approach, derive new macroscale wetland metrics based on fine-scale wetland characteristics, and use county-level annual human WNV incidence data over 11 years to evaluate linkages between the fine and macroscales (1.6 million km2). Results: In regions dominated by the Culex tarsalis WNV vector, U.S. counties with a small average wetland size had more than 100% higher human WNV incidence than counties with a large average wetland size. In regions dominated by the Cx. pipiens and Cx. restuans vectors, a low proportional area of connected wetland was associated with at least 50% higher human WNV incidence than a high proportional area of connected wetland. Finally, Cx. tarsalis-dominated counties with a high proportional area of semi-permanent wetland that were experiencing drought conditions had over 300% higher annual WNV incidence than drought-affected counties with a low proportional area of semi-permanent wetland. Conclusions: Our results suggest that phenomena occurring at the individual wetland scale may aggregate to influence macroscale human WNV outbreak patterns and may be mediated by the interplay of other factors such as vector species-specific traits and climate.","container-title":"Landscape Ecology","ISSN":"0921-2973","issue":"7","page":"1615-1628","title":"Fine-scale wetland features mediate vector and climate-dependent macroscale patterns in human West Nile virus incidence","volume":"31","author":[{"family":"Skaff","given":"Nicholas Karam"},{"family":"Cheruvelil","given":"Kendra Spence"}],"issued":{"date-parts":[["2016",9]]}}}],"schema":"https://github.com/citation-style-language/schema/raw/master/csl-citation.json"} </w:instrText>
      </w:r>
      <w:r w:rsidRPr="00AA3319">
        <w:rPr>
          <w:rFonts w:cs="Times New Roman"/>
        </w:rPr>
        <w:fldChar w:fldCharType="separate"/>
      </w:r>
      <w:r w:rsidR="00701ADA" w:rsidRPr="00AA3319">
        <w:rPr>
          <w:rFonts w:cs="Times New Roman"/>
        </w:rPr>
        <w:t>(Mercer et al., 2005; Skaff and Cheruvelil, 2016)</w:t>
      </w:r>
      <w:r w:rsidRPr="00AA3319">
        <w:rPr>
          <w:rFonts w:cs="Times New Roman"/>
        </w:rPr>
        <w:fldChar w:fldCharType="end"/>
      </w:r>
      <w:r w:rsidRPr="00AA3319">
        <w:rPr>
          <w:rFonts w:cs="Times New Roman"/>
        </w:rPr>
        <w:t xml:space="preserve">, which are abundant in the northern James River Valley. Our study also found that such catchment areas with temporary ponding are associated with high densities of WNV cases. </w:t>
      </w:r>
      <w:r w:rsidRPr="00AA3319">
        <w:rPr>
          <w:rFonts w:cs="Times New Roman"/>
        </w:rPr>
        <w:lastRenderedPageBreak/>
        <w:t xml:space="preserve">In contrast, the highest elevation in the state is in the Black Hills in western South Dakota, which have a different ecosystem than in the rest of the state, with lower temperatures, higher forest cover, and few suitable breeding sites for </w:t>
      </w:r>
      <w:r w:rsidRPr="00AA3319">
        <w:rPr>
          <w:rFonts w:cs="Times New Roman"/>
          <w:i/>
        </w:rPr>
        <w:t>Culex tarsalis</w:t>
      </w:r>
      <w:r w:rsidRPr="00AA3319">
        <w:rPr>
          <w:rFonts w:cs="Times New Roman"/>
        </w:rPr>
        <w:t xml:space="preserve">. Therefore, we suggest that geospatial data on land cover, physiography, and soils can identify locations that are likely to contain the temporary water bodies that serve as breeding sites for the main vector species, </w:t>
      </w:r>
      <w:r w:rsidRPr="00AA3319">
        <w:rPr>
          <w:rFonts w:cs="Times New Roman"/>
          <w:i/>
        </w:rPr>
        <w:t>Culex tarsalis</w:t>
      </w:r>
      <w:r w:rsidRPr="00AA3319">
        <w:rPr>
          <w:rFonts w:cs="Times New Roman"/>
        </w:rPr>
        <w:t xml:space="preserve">. </w:t>
      </w:r>
    </w:p>
    <w:p w14:paraId="318D52D2" w14:textId="112F5EC1" w:rsidR="00617A79" w:rsidRPr="00AA3319" w:rsidRDefault="00617A79" w:rsidP="00A750EC">
      <w:pPr>
        <w:rPr>
          <w:rFonts w:cs="Times New Roman"/>
        </w:rPr>
      </w:pPr>
      <w:r w:rsidRPr="00AA3319">
        <w:rPr>
          <w:rFonts w:cs="Times New Roman"/>
        </w:rPr>
        <w:t xml:space="preserve">The model based on climatic variables highlighted the northeastern part of the state, emphasizing the distinct climatology in the northern part of the James River Valley and adjacent uplands. Both late season inter-annual variability and the long-term mean of relative humidity were important, as well as the late season long term mean of precipitation. Mosquitoes are small, ectothermic animals, and are sensitive to ambient climatic conditions, especially humidity. Mosquitoes desiccate at low humidity and avoid high humidity </w:t>
      </w:r>
      <w:r w:rsidRPr="00AA3319">
        <w:rPr>
          <w:rFonts w:cs="Times New Roman"/>
        </w:rPr>
        <w:fldChar w:fldCharType="begin" w:fldLock="1"/>
      </w:r>
      <w:r w:rsidR="00FF3DA9" w:rsidRPr="00AA3319">
        <w:rPr>
          <w:rFonts w:cs="Times New Roman"/>
        </w:rPr>
        <w:instrText xml:space="preserve"> ADDIN ZOTERO_ITEM CSL_CITATION {"citationID":"11DPnCme","properties":{"formattedCitation":"(Thomson, 1938)","plainCitation":"(Thomson, 1938)","noteIndex":0},"citationItems":[{"id":674,"uris":["http://zotero.org/users/5456909/items/3KBNX2G5"],"uri":["http://zotero.org/users/5456909/items/3KBNX2G5"],"itemData":{"id":674,"type":"article-journal","abstract":"Reactions to Temperature 1. The reactions of Culex fatigans to temperature were studied by means of a new type of temperature gradient apparatus based on the same principle as the humidity alternative chamber. 2. Females at different stages were exposed to a range of 5°C. at different parts of the temperature scale, and it was found that the sensitivity was very much greater at high temperatures than at low ones. 3. The most striking feature of behaviour at all stages was the strong avoidance of high temperatures. This was strongest in the hungry females, less strong in the blood-fed females and those with mature ovaries, and least strong in the newly emerged females. 4. Newly emerged females showed avoidance of high temperature below 30°C., but not below 25°C. They also showed a weak avoidance of low temperature. At 29°C. they were sensitive to a difference of 1°C. or a gradient of 0·05°C. per cm. 5. Hungry females showed a strong avoidance of high temperature below 25°C., the reaction still taking place below 15°C. There was no avoidance of low temperatures. 6. Blood-fed females and those with mature ovaries showed a strong avoidance of high temperatures below 25°C., but below 20°C. they were unaffected by temperature differences. Blood-fed females were sensitive to a difference of 1°C. or a gradient of 0·05°C. per cm. at 23°C. 7. Except in the case of newly emerged females there was quite a close relation between the reactions to temperature and the effects of temperature. 8. Reasons are given for regarding the temperature reactions of Culex as of first importance in determining the behaviour of the mosquitoes when seeking a resting place. Reactions to Humidity 9. The reactions of Culex fatigans to humidity were studied by means of the alternative chamber, in a dark constant temperature room at 25°C. 10. At all stages the strongest humidity reaction was an avoidance of high humidities above 95 per cent. R.H. 11. This reaction was strongest in the blood-fed females and those with mature ovaries, less strong in the newly emerged females, and weakest in the hungry females. 12. The avoidance of high humidity was strongest when there was a difference of 20 per cent. R.H., such as a 78–98 per cent. R.H. gradient. Near saturation point all stages except hungry females were sensitive to a difference of 1 per cent. R.H. or a gradient of ·05 per cent. R.H. per cm. Hungry females at this point were not sensitive to a difference of less than 3 per cent. R.H. 13. All stages showed a slight but regular avoidance of low humidities, provided a sufficiently large humidity range, not less than 40 per cent. R.H., was present. 14. Hungry females, despite the onset of mortality due to desiccation, showed no sharp avoidance of low humidities which were rapidly fatal to them. 15. Between 30 and 85 per cent. R.H. all stages were unaffected by humidity differences of as much as 40 per cent. R.H. 16. The avoidance of high humidities was equally strong in blood-fed females at 20, 25, and 30°C. At 35°C., greatly increased activity eliminated the reaction. 17. The reaction was much less intense in daylight and disappeared altogether after sundown. 18. Reasons are given for considering that the measure of humidity which determines the behaviour of the mosquito is relative humidity and not saturation deficiency, even though the latter is the important one in the water relations of insects.","container-title":"Bulletin of Entomological Research","issue":"2","page":"125-140","title":"The reactions of mosquitoes to temperature and humidity","volume":"29","author":[{"family":"Thomson","given":"R. C. Muirhead"}],"issued":{"date-parts":[["1938",7]]}}}],"schema":"https://github.com/citation-style-language/schema/raw/master/csl-citation.json"} </w:instrText>
      </w:r>
      <w:r w:rsidRPr="00AA3319">
        <w:rPr>
          <w:rFonts w:cs="Times New Roman"/>
        </w:rPr>
        <w:fldChar w:fldCharType="separate"/>
      </w:r>
      <w:r w:rsidR="00701ADA" w:rsidRPr="00AA3319">
        <w:rPr>
          <w:rFonts w:cs="Times New Roman"/>
        </w:rPr>
        <w:t>(Thomson, 1938)</w:t>
      </w:r>
      <w:r w:rsidRPr="00AA3319">
        <w:rPr>
          <w:rFonts w:cs="Times New Roman"/>
        </w:rPr>
        <w:fldChar w:fldCharType="end"/>
      </w:r>
      <w:r w:rsidRPr="00AA3319">
        <w:rPr>
          <w:rFonts w:cs="Times New Roman"/>
        </w:rPr>
        <w:t xml:space="preserve">, and it is not surprising that humidity is associated with disease transmission. In addition, drought conditions negatively affect the nesting success of bird communities, including passerine birds, in the Northern Great Plains (George at al., 1992). Variability in precipitation and relative humidity can therefore also affect the abundance of avian hosts. Climatic conditions were important mostly during late season, when the vector mosquito </w:t>
      </w:r>
      <w:r w:rsidRPr="00AA3319">
        <w:rPr>
          <w:rFonts w:cs="Times New Roman"/>
          <w:i/>
        </w:rPr>
        <w:t>Culex tarsalis</w:t>
      </w:r>
      <w:r w:rsidRPr="00AA3319">
        <w:rPr>
          <w:rFonts w:cs="Times New Roman"/>
        </w:rPr>
        <w:t xml:space="preserve"> is feeding primarily on humans </w:t>
      </w:r>
      <w:r w:rsidRPr="00AA3319">
        <w:rPr>
          <w:rFonts w:cs="Times New Roman"/>
        </w:rPr>
        <w:fldChar w:fldCharType="begin" w:fldLock="1"/>
      </w:r>
      <w:r w:rsidR="002B37C7" w:rsidRPr="00AA3319">
        <w:rPr>
          <w:rFonts w:cs="Times New Roman"/>
        </w:rPr>
        <w:instrText xml:space="preserve"> ADDIN ZOTERO_ITEM CSL_CITATION {"citationID":"d6Wk4mtW","properties":{"formattedCitation":"(Kent et al., 2009)","plainCitation":"(Kent et al., 2009)","noteIndex":0},"citationItems":[{"id":1300,"uris":["http://zotero.org/users/5456909/items/NVANPX42"],"uri":["http://zotero.org/users/5456909/items/NVANPX42"],"itemData":{"id":1300,"type":"article-journal","container-title":"Journal of Medical Entomology","issue":"2","page":"380-390","title":"Seasonal blood-feeding behavior of Culex tarsalis (Diptera: Culicidae) in Weld county, Colorado, 2007","volume":"46","author":[{"family":"Kent","given":"Rebekah"},{"family":"Juliusson","given":"Lara"},{"family":"Weissmann","given":"Michael"},{"family":"Evans","given":"Sara"},{"family":"Komar","given":"Nicholas"}],"issued":{"date-parts":[["2009",3]]}}}],"schema":"https://github.com/citation-style-language/schema/raw/master/csl-citation.json"} </w:instrText>
      </w:r>
      <w:r w:rsidRPr="00AA3319">
        <w:rPr>
          <w:rFonts w:cs="Times New Roman"/>
        </w:rPr>
        <w:fldChar w:fldCharType="separate"/>
      </w:r>
      <w:r w:rsidR="002B37C7" w:rsidRPr="00AA3319">
        <w:rPr>
          <w:rFonts w:cs="Times New Roman"/>
        </w:rPr>
        <w:t>(Kent et al., 2009)</w:t>
      </w:r>
      <w:r w:rsidRPr="00AA3319">
        <w:rPr>
          <w:rFonts w:cs="Times New Roman"/>
        </w:rPr>
        <w:fldChar w:fldCharType="end"/>
      </w:r>
      <w:r w:rsidRPr="00AA3319">
        <w:rPr>
          <w:rFonts w:cs="Times New Roman"/>
        </w:rPr>
        <w:t xml:space="preserve"> and we observe the majority of the human WNV cases. We assume that climatic conditions are related to increased WNV cases in late season because during this time of increased feeding on humans, a longer life span of mosquitoes and their increased host-seeking activity will increase the chances of transmitting the disease. However, late-season transmission to </w:t>
      </w:r>
      <w:r w:rsidRPr="00AA3319">
        <w:rPr>
          <w:rFonts w:cs="Times New Roman"/>
        </w:rPr>
        <w:lastRenderedPageBreak/>
        <w:t xml:space="preserve">humans is also contingent upon high levels of mosquito-bird transmission earlier in the season that amplify the virus and increase the mosquito infection rate.  </w:t>
      </w:r>
    </w:p>
    <w:p w14:paraId="15AF1E3B" w14:textId="1747F044" w:rsidR="00617A79" w:rsidRPr="00AA3319" w:rsidRDefault="00617A79" w:rsidP="00A750EC">
      <w:pPr>
        <w:rPr>
          <w:rFonts w:cs="Times New Roman"/>
        </w:rPr>
      </w:pPr>
      <w:r w:rsidRPr="00AA3319">
        <w:rPr>
          <w:rFonts w:cs="Times New Roman"/>
        </w:rPr>
        <w:t xml:space="preserve">The spectrally-driven model highlights the same north-eastern cluster as the climate-driven model. However, the distinctive land surface dynamics of this area were characterized by inter-annual variability in early-season surface moisture availability. In contrast to the importance of climate during the late season, during the early-season the availability of surface moisture was most important. As mentioned earlier, </w:t>
      </w:r>
      <w:r w:rsidRPr="00AA3319">
        <w:rPr>
          <w:rFonts w:cs="Times New Roman"/>
          <w:i/>
        </w:rPr>
        <w:t xml:space="preserve">Culex tarsalis </w:t>
      </w:r>
      <w:r w:rsidRPr="00AA3319">
        <w:rPr>
          <w:rFonts w:cs="Times New Roman"/>
        </w:rPr>
        <w:t xml:space="preserve">mosquitoes depend on small, temporary water bodies. Mosquito-bird interaction and the potential for virus transmission are influenced by the availability of species-rich environments, such as wetlands </w:t>
      </w:r>
      <w:r w:rsidRPr="00AA3319">
        <w:rPr>
          <w:rFonts w:cs="Times New Roman"/>
        </w:rPr>
        <w:fldChar w:fldCharType="begin" w:fldLock="1"/>
      </w:r>
      <w:r w:rsidR="00701ADA" w:rsidRPr="00AA3319">
        <w:rPr>
          <w:rFonts w:cs="Times New Roman"/>
        </w:rPr>
        <w:instrText xml:space="preserve"> ADDIN ZOTERO_ITEM CSL_CITATION {"citationID":"2BP7cxzG","properties":{"formattedCitation":"(Reisen et al., 2013)","plainCitation":"(Reisen et al., 2013)","noteIndex":0},"citationItems":[{"id":1302,"uris":["http://zotero.org/users/5456909/items/BRBFDSB9"],"uri":["http://zotero.org/users/5456909/items/BRBFDSB9"],"itemData":{"id":1302,"type":"article-journal","container-title":"Journal of Medical Entomology","issue":"5","page":"1071-1076","title":"Host Selection Patterns of Culex tarsalis (Diptera: Culicidae) at Wetlands Near the Salton Sea, Coachella Valley, California, 1998–2002","volume":"50","author":[{"family":"Reisen","given":"William K."},{"family":"Lothrop","given":"Hugh D."},{"family":"Thiemann","given":"Tara"}],"issued":{"date-parts":[["2013",9]]}}}],"schema":"https://github.com/citation-style-language/schema/raw/master/csl-citation.json"} </w:instrText>
      </w:r>
      <w:r w:rsidRPr="00AA3319">
        <w:rPr>
          <w:rFonts w:cs="Times New Roman"/>
        </w:rPr>
        <w:fldChar w:fldCharType="separate"/>
      </w:r>
      <w:r w:rsidR="00701ADA" w:rsidRPr="00AA3319">
        <w:rPr>
          <w:rFonts w:cs="Times New Roman"/>
        </w:rPr>
        <w:t>(Reisen et al., 2013)</w:t>
      </w:r>
      <w:r w:rsidRPr="00AA3319">
        <w:rPr>
          <w:rFonts w:cs="Times New Roman"/>
        </w:rPr>
        <w:fldChar w:fldCharType="end"/>
      </w:r>
      <w:r w:rsidRPr="00AA3319">
        <w:rPr>
          <w:rFonts w:cs="Times New Roman"/>
        </w:rPr>
        <w:t xml:space="preserve">. We suggest that surface moisture conditions may be most important for early-season mosquito population growth and disease amplification in the mosquito-bird system, setting the stage for large outbreaks later in the season if conditions are favorable for mosquito survival and increased feeding on humans. We found that areas with high inter-annual variability of surface moisture were at highest risk. This result does not mean that the risk in those areas is consistently high, but rather that those areas have the potential to produce abundant breeding sites in some years, which can lead to high mosquito numbers and high rates of disease amplification. </w:t>
      </w:r>
    </w:p>
    <w:p w14:paraId="7A276C09" w14:textId="40609FA3" w:rsidR="00617A79" w:rsidRPr="00AA3319" w:rsidRDefault="00617A79" w:rsidP="00A750EC">
      <w:pPr>
        <w:rPr>
          <w:rFonts w:cs="Times New Roman"/>
        </w:rPr>
      </w:pPr>
      <w:r w:rsidRPr="00AA3319">
        <w:rPr>
          <w:rFonts w:cs="Times New Roman"/>
        </w:rPr>
        <w:t xml:space="preserve">Contrary to our expectation, temperature did not have a strong influence in our models. Temperature does have a major effect on year-to-year variation in case occurrence </w:t>
      </w:r>
      <w:r w:rsidRPr="00AA3319">
        <w:rPr>
          <w:rFonts w:cs="Times New Roman"/>
        </w:rPr>
        <w:fldChar w:fldCharType="begin" w:fldLock="1"/>
      </w:r>
      <w:r w:rsidR="002B37C7" w:rsidRPr="00AA3319">
        <w:rPr>
          <w:rFonts w:cs="Times New Roman"/>
        </w:rPr>
        <w:instrText xml:space="preserve"> ADDIN ZOTERO_ITEM CSL_CITATION {"citationID":"qFdMm9wU","properties":{"formattedCitation":"(Davis et al., 2017)","plainCitation":"(Davis et al., 2017)","noteIndex":0},"citationItems":[{"id":1673,"uris":["http://zotero.org/users/5456909/items/EHSJI494"],"uri":["http://zotero.org/users/5456909/items/EHSJI494"],"itemData":{"id":1673,"type":"article-journal","container-title":"PLoS Currents Outbreaks","page":"1-11","title":"Integrating environmental monitoring and mosquito surveillance to predict vector-borne disease: Prospective forecasts of a West Nile virus outbreak","volume":"9","author":[{"family":"Davis","given":"Justin K."},{"family":"Vincent","given":"Geoffrey"},{"family":"Hildreth","given":"Michael B."},{"family":"Kightlinger","given":"Lon"},{"family":"Carlson","given":"Christopher"},{"family":"Wimberly","given":"Michael C."}],"issued":{"date-parts":[["2017"]]}}}],"schema":"https://github.com/citation-style-language/schema/raw/master/csl-citation.json"} </w:instrText>
      </w:r>
      <w:r w:rsidRPr="00AA3319">
        <w:rPr>
          <w:rFonts w:cs="Times New Roman"/>
        </w:rPr>
        <w:fldChar w:fldCharType="separate"/>
      </w:r>
      <w:r w:rsidR="002B37C7" w:rsidRPr="00AA3319">
        <w:rPr>
          <w:rFonts w:cs="Times New Roman"/>
        </w:rPr>
        <w:t>(Davis et al., 2017)</w:t>
      </w:r>
      <w:r w:rsidRPr="00AA3319">
        <w:rPr>
          <w:rFonts w:cs="Times New Roman"/>
        </w:rPr>
        <w:fldChar w:fldCharType="end"/>
      </w:r>
      <w:r w:rsidRPr="00AA3319">
        <w:rPr>
          <w:rFonts w:cs="Times New Roman"/>
        </w:rPr>
        <w:t xml:space="preserve">, with WNV outbreaks tending to occur in warmer years, but it does not explain the spatial patterns of disease risk. Within South Dakota, the areas with the highest incidence rates are located in the north, where the mean annual temperature is lowest. Even on a larger scale, areas of the United States with warmer temperature are not the ones most </w:t>
      </w:r>
      <w:r w:rsidRPr="00AA3319">
        <w:rPr>
          <w:rFonts w:cs="Times New Roman"/>
        </w:rPr>
        <w:lastRenderedPageBreak/>
        <w:t xml:space="preserve">prone to WNV. South Dakota is one of the coldest states, but has the highest incidence rate in the country </w:t>
      </w:r>
      <w:r w:rsidRPr="00AA3319">
        <w:rPr>
          <w:rFonts w:cs="Times New Roman"/>
        </w:rPr>
        <w:fldChar w:fldCharType="begin" w:fldLock="1"/>
      </w:r>
      <w:r w:rsidR="00AE0418" w:rsidRPr="00AA3319">
        <w:rPr>
          <w:rFonts w:cs="Times New Roman"/>
        </w:rPr>
        <w:instrText xml:space="preserve"> ADDIN ZOTERO_ITEM CSL_CITATION {"citationID":"RXB8CifK","properties":{"formattedCitation":"(Burakoff et al., 2018)","plainCitation":"(Burakoff et al., 2018)","noteIndex":0},"citationItems":[{"id":1022,"uris":["http://zotero.org/users/5456909/items/4G8MMDR8"],"uri":["http://zotero.org/users/5456909/items/4G8MMDR8"],"itemData":{"id":1022,"type":"article-journal","abstract":"Arthropod-borne viruses (arboviruses) are transmitted to humans primarily through the bites of infected mosquitoes and ticks. West Nile virus (WNV) is the leading cause of domestically acquired arboviral disease in the continental United States (1,2). Other arboviruses, including La Crosse, Powassan, Jamestown Canyon, St. Louis encephalitis, and eastern equine encephalitis viruses, cause sporadic cases of disease and occasional outbreaks. This report summarizes surveillance data reported to CDC for 2016 for nationally notifiable arboviruses. It excludes dengue, chikungunya, and Zika viruses, as these are primarily nondomestic viruses typically acquired through travel. Forty-seven states and the District of Columbia (DC) reported 2,240 cases of domestic arboviral disease, including 2,150 (96%) WNV disease cases. Of the WNV disease cases, 1,310 (61%) were classified as neuroinvasive disease (e.g., meningitis, encephalitis, acute flaccid paralysis), for a national incidence of 0.41 cases per 100,000 population. After WNV, the most frequently reported arboviruses were La Crosse (35 cases), Powassan (22), and Jamestown Canyon (15) viruses. Because arboviral diseases continue to cause serious illness, maintaining surveillance is important to direct prevention activities.","container-title":"Morbidity and Mortality Weekly Report","issue":"1","page":"13-17","title":"West Nile virus and other nationally notifiable arboviral diseases - United States, 2016.","volume":"67","author":[{"family":"Burakoff","given":"Alexis"},{"family":"Lehman","given":"Jennifer"},{"family":"Fischer","given":"Marc"},{"family":"Staples","given":"J Erin"},{"family":"Lindsey","given":"Nicole P"}],"issued":{"date-parts":[["2018"]]}}}],"schema":"https://github.com/citation-style-language/schema/raw/master/csl-citation.json"} </w:instrText>
      </w:r>
      <w:r w:rsidRPr="00AA3319">
        <w:rPr>
          <w:rFonts w:cs="Times New Roman"/>
        </w:rPr>
        <w:fldChar w:fldCharType="separate"/>
      </w:r>
      <w:r w:rsidR="002B37C7" w:rsidRPr="00AA3319">
        <w:rPr>
          <w:rFonts w:cs="Times New Roman"/>
        </w:rPr>
        <w:t>(Burakoff et al., 2018)</w:t>
      </w:r>
      <w:r w:rsidRPr="00AA3319">
        <w:rPr>
          <w:rFonts w:cs="Times New Roman"/>
        </w:rPr>
        <w:fldChar w:fldCharType="end"/>
      </w:r>
      <w:r w:rsidRPr="00AA3319">
        <w:rPr>
          <w:rFonts w:cs="Times New Roman"/>
        </w:rPr>
        <w:t>. We found that hydrology and humidity related variables were more strongly associated with spatial variation in WNV risk. This finding is relevant to projections of disease distribution under different climate change scenarios. Increasing temperatures might lead to increasing frequency and severity of WNV transmission in areas already prone to outbreaks. However, other climatic variables such as precipitation and relative humidity, as well as changing land cover and hydrological conditions may be more important predictors of future shifts in the geographic pattern of WNV transmission.</w:t>
      </w:r>
    </w:p>
    <w:p w14:paraId="556894B9" w14:textId="77777777" w:rsidR="00617A79" w:rsidRPr="00AA3319" w:rsidRDefault="00617A79" w:rsidP="00A750EC">
      <w:pPr>
        <w:rPr>
          <w:rFonts w:cs="Times New Roman"/>
        </w:rPr>
      </w:pPr>
      <w:r w:rsidRPr="00AA3319">
        <w:rPr>
          <w:rFonts w:cs="Times New Roman"/>
        </w:rPr>
        <w:t xml:space="preserve">This study had several important limitations. First, the locations where the WNV transmission took place are unknown, and our data only include the home residence of each case. Therefore, our map is based on the assumption that most people become infected in close proximity to their homes. Additionally, we did not include other non-environmental factors such as access to health care, underreporting of cases with weak symptoms, and underlying variability in the blood donation rate. These variables most likely explain some of the spatial distribution of WNV in South Dakota, but they were not available as geospatial datasets. Instead, this study focused on predicting WNV using environmental datasets, and the results therefore highlight the specific and environmental conditions for which local residents are at highest risk of WNV. These various sources of uncertainty are one reason why the AUC values we reported did not exceed 0.73. However, our aim was not to deliver an accurate classification of where every WNV case occurred within the state, but rather to present the distribution of relative risk across the state given environmental differences. Despite these limitations, our study was able to identify the </w:t>
      </w:r>
      <w:r w:rsidRPr="00AA3319">
        <w:rPr>
          <w:rFonts w:cs="Times New Roman"/>
        </w:rPr>
        <w:lastRenderedPageBreak/>
        <w:t xml:space="preserve">underlying environmental factors that influenced risk, and to map the environmentally-driven relative risk across the state. </w:t>
      </w:r>
    </w:p>
    <w:p w14:paraId="281E5600" w14:textId="77777777" w:rsidR="00617A79" w:rsidRPr="00AA3319" w:rsidRDefault="00617A79" w:rsidP="00A750EC">
      <w:pPr>
        <w:rPr>
          <w:rFonts w:cs="Times New Roman"/>
        </w:rPr>
      </w:pPr>
      <w:r w:rsidRPr="00AA3319">
        <w:rPr>
          <w:rFonts w:cs="Times New Roman"/>
        </w:rPr>
        <w:t xml:space="preserve">Our research suggests that combining multiple sources of data that characterize the hydrological and climatological characteristics and their variability over long time frame can improve estimates of the spatial dimension of disease risk across larger scales. Although models with only spectral indices did not demonstrate the best model performance, adding spectral variables to the combined model improved the spatial predictions. Our recommendation for future research is to include spectral data in combination with additional environmental data to identify areas of high risk. Locating these areas will assist public health education efforts to reach the local audiences at highest risk and enable more targeted and efficient disease prevention activities. Also, targeted vector control strategies can also help to reduce the usage of insecticides, which would have financial benefits, reduce public concerns about insecticide use, and help slow the development of insecticide resistance. </w:t>
      </w:r>
    </w:p>
    <w:p w14:paraId="2ED5FAD8" w14:textId="77777777" w:rsidR="00617A79" w:rsidRPr="00AA3319" w:rsidRDefault="00617A79" w:rsidP="00562673">
      <w:pPr>
        <w:pStyle w:val="Heading2"/>
        <w:rPr>
          <w:rFonts w:cs="Times New Roman"/>
        </w:rPr>
      </w:pPr>
      <w:bookmarkStart w:id="113" w:name="_Toc78889209"/>
      <w:r w:rsidRPr="00AA3319">
        <w:rPr>
          <w:rFonts w:cs="Times New Roman"/>
        </w:rPr>
        <w:t>Acknowledgments</w:t>
      </w:r>
      <w:bookmarkEnd w:id="113"/>
    </w:p>
    <w:p w14:paraId="6204F6D3" w14:textId="77777777" w:rsidR="00617A79" w:rsidRPr="00AA3319" w:rsidRDefault="00617A79" w:rsidP="00617A79">
      <w:pPr>
        <w:rPr>
          <w:rFonts w:cs="Times New Roman"/>
          <w:color w:val="000000" w:themeColor="text1"/>
        </w:rPr>
      </w:pPr>
      <w:r w:rsidRPr="00AA3319">
        <w:rPr>
          <w:rFonts w:cs="Times New Roman"/>
          <w:color w:val="000000" w:themeColor="text1"/>
        </w:rPr>
        <w:t>This work was supported by the Grant NNX15AF74G from the NASA Applied Sciences Health and Air Quality Program. Human case data were obtained through a data-sharing agreement with the South Dakota Department of Health (SDOOH). We thank Lon Kightlinger, Nick Hill and Joshua Clayton of the SDDOH for facilitating access to these data. The underlying data for this article will be deposited in University of Oklahoma’s public access institutional repository and information exchange https://shareok.org/.</w:t>
      </w:r>
    </w:p>
    <w:p w14:paraId="17539198" w14:textId="6B88AB71" w:rsidR="00EE74B8" w:rsidRPr="00AA3319" w:rsidRDefault="009B7022" w:rsidP="009B7022">
      <w:pPr>
        <w:spacing w:line="259" w:lineRule="auto"/>
        <w:jc w:val="left"/>
        <w:rPr>
          <w:rFonts w:eastAsiaTheme="majorEastAsia" w:cs="Times New Roman"/>
          <w:color w:val="2F5496" w:themeColor="accent1" w:themeShade="BF"/>
          <w:sz w:val="32"/>
          <w:szCs w:val="32"/>
        </w:rPr>
      </w:pPr>
      <w:r w:rsidRPr="00AA3319">
        <w:rPr>
          <w:rFonts w:eastAsiaTheme="majorEastAsia" w:cs="Times New Roman"/>
          <w:color w:val="2F5496" w:themeColor="accent1" w:themeShade="BF"/>
          <w:sz w:val="32"/>
          <w:szCs w:val="32"/>
        </w:rPr>
        <w:br w:type="page"/>
      </w:r>
    </w:p>
    <w:p w14:paraId="3CE73388" w14:textId="54D6A769" w:rsidR="0060075D" w:rsidRPr="00AA3319" w:rsidRDefault="00BA6C67" w:rsidP="000855F4">
      <w:pPr>
        <w:pStyle w:val="Heading1"/>
        <w:rPr>
          <w:rFonts w:cs="Times New Roman"/>
        </w:rPr>
      </w:pPr>
      <w:bookmarkStart w:id="114" w:name="_Toc78889210"/>
      <w:bookmarkStart w:id="115" w:name="_Toc70010358"/>
      <w:r w:rsidRPr="00AA3319">
        <w:rPr>
          <w:rFonts w:cs="Times New Roman"/>
        </w:rPr>
        <w:lastRenderedPageBreak/>
        <w:t xml:space="preserve">Comparing satellite data and </w:t>
      </w:r>
      <w:r w:rsidRPr="00AA3319">
        <w:rPr>
          <w:rFonts w:cs="Times New Roman"/>
          <w:i/>
          <w:iCs/>
        </w:rPr>
        <w:t>in-situ</w:t>
      </w:r>
      <w:r w:rsidRPr="00AA3319">
        <w:rPr>
          <w:rFonts w:cs="Times New Roman"/>
        </w:rPr>
        <w:t xml:space="preserve"> measurements in studying vector mosquito habitats in an urban environment</w:t>
      </w:r>
      <w:bookmarkEnd w:id="114"/>
      <w:r w:rsidRPr="00AA3319">
        <w:rPr>
          <w:rFonts w:cs="Times New Roman"/>
        </w:rPr>
        <w:t xml:space="preserve"> </w:t>
      </w:r>
      <w:bookmarkEnd w:id="115"/>
    </w:p>
    <w:p w14:paraId="65CB4257" w14:textId="6A6F57B3" w:rsidR="009A6E7A" w:rsidRPr="00AA3319" w:rsidRDefault="009A6E7A" w:rsidP="009A6E7A">
      <w:pPr>
        <w:rPr>
          <w:rFonts w:cs="Times New Roman"/>
          <w:b/>
          <w:bCs/>
        </w:rPr>
      </w:pPr>
      <w:r w:rsidRPr="00AA3319">
        <w:rPr>
          <w:rFonts w:cs="Times New Roman"/>
          <w:b/>
          <w:bCs/>
        </w:rPr>
        <w:t xml:space="preserve">Abstract </w:t>
      </w:r>
    </w:p>
    <w:p w14:paraId="213BB168" w14:textId="16BF24B2" w:rsidR="001526E0" w:rsidRPr="00AA3319" w:rsidRDefault="00C565E9" w:rsidP="001526E0">
      <w:pPr>
        <w:rPr>
          <w:rFonts w:cs="Times New Roman"/>
        </w:rPr>
      </w:pPr>
      <w:r>
        <w:rPr>
          <w:rFonts w:cs="Times New Roman"/>
        </w:rPr>
        <w:t>E</w:t>
      </w:r>
      <w:r w:rsidR="001526E0" w:rsidRPr="00AA3319">
        <w:rPr>
          <w:rFonts w:cs="Times New Roman"/>
        </w:rPr>
        <w:t xml:space="preserve">xposure to mosquito-borne diseases is influenced by </w:t>
      </w:r>
      <w:r w:rsidR="0000458E" w:rsidRPr="00AA3319">
        <w:rPr>
          <w:rFonts w:cs="Times New Roman"/>
        </w:rPr>
        <w:t>landscape</w:t>
      </w:r>
      <w:r w:rsidR="0000458E">
        <w:rPr>
          <w:rFonts w:cs="Times New Roman"/>
        </w:rPr>
        <w:t xml:space="preserve"> patterns</w:t>
      </w:r>
      <w:r w:rsidR="0000458E" w:rsidRPr="00AA3319">
        <w:rPr>
          <w:rFonts w:cs="Times New Roman"/>
        </w:rPr>
        <w:t xml:space="preserve"> </w:t>
      </w:r>
      <w:r w:rsidR="001526E0" w:rsidRPr="00AA3319">
        <w:rPr>
          <w:rFonts w:cs="Times New Roman"/>
        </w:rPr>
        <w:t xml:space="preserve">as well as </w:t>
      </w:r>
      <w:r w:rsidR="0000458E">
        <w:rPr>
          <w:rFonts w:cs="Times New Roman"/>
        </w:rPr>
        <w:t>microclimates</w:t>
      </w:r>
      <w:r w:rsidR="001526E0" w:rsidRPr="00AA3319">
        <w:rPr>
          <w:rFonts w:cs="Times New Roman"/>
        </w:rPr>
        <w:t xml:space="preserve"> associated with different land covers. With increasing urbanization, it becomes important to understand the distribution of mosquitoes </w:t>
      </w:r>
      <w:r w:rsidR="00381387">
        <w:rPr>
          <w:rFonts w:cs="Times New Roman"/>
        </w:rPr>
        <w:t>in</w:t>
      </w:r>
      <w:r w:rsidR="001526E0" w:rsidRPr="00AA3319">
        <w:rPr>
          <w:rFonts w:cs="Times New Roman"/>
        </w:rPr>
        <w:t xml:space="preserve"> urban landscapes. </w:t>
      </w:r>
      <w:r w:rsidR="00381387">
        <w:rPr>
          <w:rFonts w:cs="Times New Roman"/>
        </w:rPr>
        <w:t>W</w:t>
      </w:r>
      <w:r w:rsidR="001526E0" w:rsidRPr="00AA3319">
        <w:rPr>
          <w:rFonts w:cs="Times New Roman"/>
        </w:rPr>
        <w:t>e investigate</w:t>
      </w:r>
      <w:r w:rsidR="00381387">
        <w:rPr>
          <w:rFonts w:cs="Times New Roman"/>
        </w:rPr>
        <w:t>d</w:t>
      </w:r>
      <w:r w:rsidR="001526E0" w:rsidRPr="00AA3319">
        <w:rPr>
          <w:rFonts w:cs="Times New Roman"/>
        </w:rPr>
        <w:t xml:space="preserve"> how land cover </w:t>
      </w:r>
      <w:r w:rsidR="0000458E">
        <w:rPr>
          <w:rFonts w:cs="Times New Roman"/>
        </w:rPr>
        <w:t xml:space="preserve">and climate </w:t>
      </w:r>
      <w:r w:rsidR="001526E0" w:rsidRPr="00AA3319">
        <w:rPr>
          <w:rFonts w:cs="Times New Roman"/>
        </w:rPr>
        <w:t>influence</w:t>
      </w:r>
      <w:r w:rsidR="00381387">
        <w:rPr>
          <w:rFonts w:cs="Times New Roman"/>
        </w:rPr>
        <w:t>d</w:t>
      </w:r>
      <w:r w:rsidR="001526E0" w:rsidRPr="00AA3319">
        <w:rPr>
          <w:rFonts w:cs="Times New Roman"/>
        </w:rPr>
        <w:t xml:space="preserve"> the abundance of the vector mosquitoes </w:t>
      </w:r>
      <w:r w:rsidR="001526E0" w:rsidRPr="00AA3319">
        <w:rPr>
          <w:rFonts w:cs="Times New Roman"/>
          <w:i/>
          <w:iCs/>
        </w:rPr>
        <w:t>Ae. albopictus</w:t>
      </w:r>
      <w:r w:rsidR="001526E0" w:rsidRPr="00AA3319">
        <w:rPr>
          <w:rFonts w:cs="Times New Roman"/>
        </w:rPr>
        <w:t xml:space="preserve"> and </w:t>
      </w:r>
      <w:r w:rsidR="001526E0" w:rsidRPr="00AA3319">
        <w:rPr>
          <w:rFonts w:cs="Times New Roman"/>
          <w:i/>
          <w:iCs/>
        </w:rPr>
        <w:t>Cx. quinquefasciatus</w:t>
      </w:r>
      <w:r w:rsidR="001526E0" w:rsidRPr="00AA3319">
        <w:rPr>
          <w:rFonts w:cs="Times New Roman"/>
        </w:rPr>
        <w:t xml:space="preserve"> in Norman, Oklahoma (USA). </w:t>
      </w:r>
    </w:p>
    <w:p w14:paraId="0A119E81" w14:textId="6E403C3E" w:rsidR="001526E0" w:rsidRPr="00AA3319" w:rsidRDefault="001526E0" w:rsidP="001526E0">
      <w:pPr>
        <w:rPr>
          <w:rFonts w:cs="Times New Roman"/>
        </w:rPr>
      </w:pPr>
      <w:r w:rsidRPr="00AA3319">
        <w:rPr>
          <w:rFonts w:cs="Times New Roman"/>
        </w:rPr>
        <w:t>From May</w:t>
      </w:r>
      <w:r w:rsidR="00F1566A">
        <w:rPr>
          <w:rFonts w:cs="Times New Roman"/>
        </w:rPr>
        <w:t>-September</w:t>
      </w:r>
      <w:r w:rsidRPr="00AA3319">
        <w:rPr>
          <w:rFonts w:cs="Times New Roman"/>
        </w:rPr>
        <w:t xml:space="preserve"> 2019 and June</w:t>
      </w:r>
      <w:r w:rsidR="00F1566A">
        <w:rPr>
          <w:rFonts w:cs="Times New Roman"/>
        </w:rPr>
        <w:t>-</w:t>
      </w:r>
      <w:r w:rsidRPr="00AA3319">
        <w:rPr>
          <w:rFonts w:cs="Times New Roman"/>
        </w:rPr>
        <w:t xml:space="preserve">October 2020 we sampled </w:t>
      </w:r>
      <w:r w:rsidR="00F1566A">
        <w:rPr>
          <w:rFonts w:cs="Times New Roman"/>
        </w:rPr>
        <w:t xml:space="preserve">abundances of vector </w:t>
      </w:r>
      <w:r w:rsidRPr="00AA3319">
        <w:rPr>
          <w:rFonts w:cs="Times New Roman"/>
        </w:rPr>
        <w:t>mosquitoes along an urban-rural gradient</w:t>
      </w:r>
      <w:r w:rsidR="00F1566A">
        <w:rPr>
          <w:rFonts w:cs="Times New Roman"/>
        </w:rPr>
        <w:t xml:space="preserve"> using CO</w:t>
      </w:r>
      <w:r w:rsidR="00F1566A" w:rsidRPr="00EE7E92">
        <w:rPr>
          <w:rFonts w:cs="Times New Roman"/>
          <w:vertAlign w:val="subscript"/>
        </w:rPr>
        <w:t>2</w:t>
      </w:r>
      <w:r w:rsidR="00F1566A">
        <w:rPr>
          <w:rFonts w:cs="Times New Roman"/>
        </w:rPr>
        <w:t xml:space="preserve"> baited BG Sentinel-2 traps</w:t>
      </w:r>
      <w:r w:rsidRPr="00AA3319">
        <w:rPr>
          <w:rFonts w:cs="Times New Roman"/>
        </w:rPr>
        <w:t xml:space="preserve">. Microclimatic conditions at different sites across our study area were </w:t>
      </w:r>
      <w:r w:rsidR="00381387">
        <w:rPr>
          <w:rFonts w:cs="Times New Roman"/>
        </w:rPr>
        <w:t>measured</w:t>
      </w:r>
      <w:r w:rsidR="00381387" w:rsidRPr="00AA3319">
        <w:rPr>
          <w:rFonts w:cs="Times New Roman"/>
        </w:rPr>
        <w:t xml:space="preserve"> </w:t>
      </w:r>
      <w:r w:rsidRPr="00AA3319">
        <w:rPr>
          <w:rFonts w:cs="Times New Roman"/>
        </w:rPr>
        <w:t xml:space="preserve">with </w:t>
      </w:r>
      <w:r w:rsidR="00381387">
        <w:rPr>
          <w:rFonts w:cs="Times New Roman"/>
        </w:rPr>
        <w:t>sensors</w:t>
      </w:r>
      <w:r w:rsidRPr="00AA3319">
        <w:rPr>
          <w:rFonts w:cs="Times New Roman"/>
        </w:rPr>
        <w:t xml:space="preserve"> that </w:t>
      </w:r>
      <w:r w:rsidR="00381387">
        <w:rPr>
          <w:rFonts w:cs="Times New Roman"/>
        </w:rPr>
        <w:t xml:space="preserve">continually </w:t>
      </w:r>
      <w:r w:rsidRPr="00AA3319">
        <w:rPr>
          <w:rFonts w:cs="Times New Roman"/>
        </w:rPr>
        <w:t xml:space="preserve">recorded temperature and humidity. We mapped environmental patterns </w:t>
      </w:r>
      <w:r w:rsidR="00381387">
        <w:rPr>
          <w:rFonts w:cs="Times New Roman"/>
        </w:rPr>
        <w:t>in and around</w:t>
      </w:r>
      <w:r w:rsidRPr="00AA3319">
        <w:rPr>
          <w:rFonts w:cs="Times New Roman"/>
        </w:rPr>
        <w:t xml:space="preserve"> Norman, Oklahoma</w:t>
      </w:r>
      <w:r w:rsidR="00381387">
        <w:rPr>
          <w:rFonts w:cs="Times New Roman"/>
        </w:rPr>
        <w:t xml:space="preserve"> using</w:t>
      </w:r>
      <w:r w:rsidRPr="00AA3319">
        <w:rPr>
          <w:rFonts w:cs="Times New Roman"/>
        </w:rPr>
        <w:t xml:space="preserve"> </w:t>
      </w:r>
      <w:r w:rsidR="00381387">
        <w:rPr>
          <w:rFonts w:cs="Times New Roman"/>
        </w:rPr>
        <w:t>from Landsat, Sentinel-2</w:t>
      </w:r>
      <w:r w:rsidRPr="00AA3319">
        <w:rPr>
          <w:rFonts w:cs="Times New Roman"/>
        </w:rPr>
        <w:t xml:space="preserve">, VIIRS, </w:t>
      </w:r>
      <w:r w:rsidR="00485B70">
        <w:rPr>
          <w:rFonts w:cs="Times New Roman"/>
        </w:rPr>
        <w:t>and</w:t>
      </w:r>
      <w:r w:rsidRPr="00AA3319">
        <w:rPr>
          <w:rFonts w:cs="Times New Roman"/>
        </w:rPr>
        <w:t xml:space="preserve"> CHIRPS data. We also </w:t>
      </w:r>
      <w:r w:rsidR="0000458E">
        <w:rPr>
          <w:rFonts w:cs="Times New Roman"/>
        </w:rPr>
        <w:t>obtained</w:t>
      </w:r>
      <w:r w:rsidR="0000458E" w:rsidRPr="00AA3319">
        <w:rPr>
          <w:rFonts w:cs="Times New Roman"/>
        </w:rPr>
        <w:t xml:space="preserve"> </w:t>
      </w:r>
      <w:r w:rsidR="0000458E">
        <w:rPr>
          <w:rFonts w:cs="Times New Roman"/>
        </w:rPr>
        <w:t>meteorological</w:t>
      </w:r>
      <w:r w:rsidR="0000458E" w:rsidRPr="00AA3319">
        <w:rPr>
          <w:rFonts w:cs="Times New Roman"/>
        </w:rPr>
        <w:t xml:space="preserve"> </w:t>
      </w:r>
      <w:r w:rsidRPr="00AA3319">
        <w:rPr>
          <w:rFonts w:cs="Times New Roman"/>
        </w:rPr>
        <w:t xml:space="preserve">data from the closest </w:t>
      </w:r>
      <w:r w:rsidR="0000458E">
        <w:rPr>
          <w:rFonts w:cs="Times New Roman"/>
        </w:rPr>
        <w:t>weather</w:t>
      </w:r>
      <w:r w:rsidR="0000458E" w:rsidRPr="00AA3319">
        <w:rPr>
          <w:rFonts w:cs="Times New Roman"/>
        </w:rPr>
        <w:t xml:space="preserve"> </w:t>
      </w:r>
      <w:r w:rsidRPr="00AA3319">
        <w:rPr>
          <w:rFonts w:cs="Times New Roman"/>
        </w:rPr>
        <w:t>station.</w:t>
      </w:r>
      <w:r w:rsidR="0000458E">
        <w:rPr>
          <w:rFonts w:cs="Times New Roman"/>
        </w:rPr>
        <w:t xml:space="preserve"> We compared statistical models of mosquito abundance based on microclimate, remote sensing, and weather station data.</w:t>
      </w:r>
    </w:p>
    <w:p w14:paraId="4C84580D" w14:textId="5ED86C7B" w:rsidR="009A6E7A" w:rsidRPr="00AA3319" w:rsidRDefault="0000458E" w:rsidP="001526E0">
      <w:pPr>
        <w:rPr>
          <w:rFonts w:cs="Times New Roman"/>
        </w:rPr>
      </w:pPr>
      <w:r>
        <w:rPr>
          <w:rFonts w:cs="Times New Roman"/>
        </w:rPr>
        <w:t>For both species, abundance m</w:t>
      </w:r>
      <w:r w:rsidR="001526E0" w:rsidRPr="00AA3319">
        <w:rPr>
          <w:rFonts w:cs="Times New Roman"/>
        </w:rPr>
        <w:t xml:space="preserve">odels based on </w:t>
      </w:r>
      <w:r w:rsidR="00381387" w:rsidRPr="00AA3319">
        <w:rPr>
          <w:rFonts w:cs="Times New Roman"/>
        </w:rPr>
        <w:t>remotely sensed</w:t>
      </w:r>
      <w:r w:rsidR="001526E0" w:rsidRPr="00AA3319">
        <w:rPr>
          <w:rFonts w:cs="Times New Roman"/>
        </w:rPr>
        <w:t xml:space="preserve"> variables performed best in predicting species abundances. Both species were more abundant on trap days with higher temperature and higher relative humidity</w:t>
      </w:r>
      <w:r w:rsidR="00381387">
        <w:rPr>
          <w:rFonts w:cs="Times New Roman"/>
        </w:rPr>
        <w:t xml:space="preserve"> or vegetation moisture</w:t>
      </w:r>
      <w:r w:rsidR="001526E0" w:rsidRPr="00AA3319">
        <w:rPr>
          <w:rFonts w:cs="Times New Roman"/>
        </w:rPr>
        <w:t xml:space="preserve">. Rainfall two weeks prior to the trap day negatively affected the abundance of both species. Both species were </w:t>
      </w:r>
      <w:r w:rsidR="001526E0" w:rsidRPr="00AA3319">
        <w:rPr>
          <w:rFonts w:cs="Times New Roman"/>
        </w:rPr>
        <w:lastRenderedPageBreak/>
        <w:t xml:space="preserve">positively associated with impervious surface </w:t>
      </w:r>
      <w:r w:rsidR="00381387">
        <w:rPr>
          <w:rFonts w:cs="Times New Roman"/>
        </w:rPr>
        <w:t>cover</w:t>
      </w:r>
      <w:r w:rsidR="00381387" w:rsidRPr="00AA3319">
        <w:rPr>
          <w:rFonts w:cs="Times New Roman"/>
        </w:rPr>
        <w:t xml:space="preserve"> </w:t>
      </w:r>
      <w:r w:rsidR="001526E0" w:rsidRPr="00AA3319">
        <w:rPr>
          <w:rFonts w:cs="Times New Roman"/>
        </w:rPr>
        <w:t xml:space="preserve">surrounding a trap site. However, tree cover </w:t>
      </w:r>
      <w:r w:rsidR="00381387">
        <w:rPr>
          <w:rFonts w:cs="Times New Roman"/>
        </w:rPr>
        <w:t xml:space="preserve">was </w:t>
      </w:r>
      <w:r w:rsidR="001526E0" w:rsidRPr="00AA3319">
        <w:rPr>
          <w:rFonts w:cs="Times New Roman"/>
        </w:rPr>
        <w:t xml:space="preserve">negatively </w:t>
      </w:r>
      <w:r w:rsidR="00381387">
        <w:rPr>
          <w:rFonts w:cs="Times New Roman"/>
        </w:rPr>
        <w:t>associated with</w:t>
      </w:r>
      <w:r w:rsidR="00381387" w:rsidRPr="00AA3319">
        <w:rPr>
          <w:rFonts w:cs="Times New Roman"/>
        </w:rPr>
        <w:t xml:space="preserve"> </w:t>
      </w:r>
      <w:r w:rsidR="001526E0" w:rsidRPr="00AA3319">
        <w:rPr>
          <w:rFonts w:cs="Times New Roman"/>
          <w:i/>
          <w:iCs/>
        </w:rPr>
        <w:t>Ae. albopictus</w:t>
      </w:r>
      <w:r w:rsidR="001526E0" w:rsidRPr="00AA3319">
        <w:rPr>
          <w:rFonts w:cs="Times New Roman"/>
        </w:rPr>
        <w:t xml:space="preserve"> abundance and positively </w:t>
      </w:r>
      <w:r w:rsidR="00381387">
        <w:rPr>
          <w:rFonts w:cs="Times New Roman"/>
        </w:rPr>
        <w:t xml:space="preserve">associated with </w:t>
      </w:r>
      <w:r w:rsidR="001526E0" w:rsidRPr="00AA3319">
        <w:rPr>
          <w:rFonts w:cs="Times New Roman"/>
          <w:i/>
          <w:iCs/>
        </w:rPr>
        <w:t>Cx. quinquefasciatus</w:t>
      </w:r>
      <w:r w:rsidR="001526E0" w:rsidRPr="00AA3319">
        <w:rPr>
          <w:rFonts w:cs="Times New Roman"/>
        </w:rPr>
        <w:t xml:space="preserve"> abundance. These results </w:t>
      </w:r>
      <w:r w:rsidR="00381387">
        <w:rPr>
          <w:rFonts w:cs="Times New Roman"/>
        </w:rPr>
        <w:t>demonstrate</w:t>
      </w:r>
      <w:r w:rsidR="00381387" w:rsidRPr="00AA3319">
        <w:rPr>
          <w:rFonts w:cs="Times New Roman"/>
        </w:rPr>
        <w:t xml:space="preserve"> </w:t>
      </w:r>
      <w:r w:rsidR="001526E0" w:rsidRPr="00AA3319">
        <w:rPr>
          <w:rFonts w:cs="Times New Roman"/>
        </w:rPr>
        <w:t>the potential of including satellite imagery into small-scale mosquito habitat analyses as well as the need to target vector control within urban areas.</w:t>
      </w:r>
    </w:p>
    <w:p w14:paraId="12CB3891" w14:textId="1945BEBC" w:rsidR="009A6E7A" w:rsidRPr="00AA3319" w:rsidRDefault="009A6E7A">
      <w:pPr>
        <w:spacing w:line="259" w:lineRule="auto"/>
        <w:jc w:val="left"/>
        <w:rPr>
          <w:rFonts w:eastAsiaTheme="majorEastAsia" w:cs="Times New Roman"/>
          <w:sz w:val="30"/>
          <w:szCs w:val="26"/>
        </w:rPr>
      </w:pPr>
      <w:r w:rsidRPr="00AA3319">
        <w:rPr>
          <w:rFonts w:eastAsiaTheme="majorEastAsia" w:cs="Times New Roman"/>
          <w:sz w:val="30"/>
          <w:szCs w:val="26"/>
        </w:rPr>
        <w:br w:type="page"/>
      </w:r>
    </w:p>
    <w:p w14:paraId="422BFFC6" w14:textId="7F7D8B18" w:rsidR="00752F1D" w:rsidRPr="00AA3319" w:rsidRDefault="00752F1D" w:rsidP="00752F1D">
      <w:pPr>
        <w:pStyle w:val="Heading2"/>
        <w:rPr>
          <w:rFonts w:cs="Times New Roman"/>
        </w:rPr>
      </w:pPr>
      <w:bookmarkStart w:id="116" w:name="_Toc78889211"/>
      <w:r w:rsidRPr="00AA3319">
        <w:rPr>
          <w:rFonts w:cs="Times New Roman"/>
        </w:rPr>
        <w:lastRenderedPageBreak/>
        <w:t>Introduction</w:t>
      </w:r>
      <w:bookmarkEnd w:id="116"/>
    </w:p>
    <w:p w14:paraId="0CB0C193" w14:textId="48A216D2" w:rsidR="0060075D" w:rsidRPr="00AA3319" w:rsidRDefault="0060075D" w:rsidP="00C630D4">
      <w:pPr>
        <w:rPr>
          <w:rFonts w:cs="Times New Roman"/>
        </w:rPr>
      </w:pPr>
      <w:r w:rsidRPr="00AA3319">
        <w:rPr>
          <w:rFonts w:cs="Times New Roman"/>
        </w:rPr>
        <w:t>For effective and efficient control of disease transmitting mosquitoes, we need to understand the distribution of mosquito species</w:t>
      </w:r>
      <w:r w:rsidR="00C630D4" w:rsidRPr="00AA3319">
        <w:rPr>
          <w:rFonts w:cs="Times New Roman"/>
        </w:rPr>
        <w:t xml:space="preserve"> </w:t>
      </w:r>
      <w:r w:rsidR="00C630D4" w:rsidRPr="00AA3319">
        <w:rPr>
          <w:rFonts w:cs="Times New Roman"/>
        </w:rPr>
        <w:fldChar w:fldCharType="begin"/>
      </w:r>
      <w:r w:rsidR="006B043F" w:rsidRPr="00AA3319">
        <w:rPr>
          <w:rFonts w:cs="Times New Roman"/>
        </w:rPr>
        <w:instrText xml:space="preserve"> ADDIN ZOTERO_ITEM CSL_CITATION {"citationID":"PKdDbzxx","properties":{"formattedCitation":"(Bousema et al., 2012; Hay et al., 2013; Pigott et al., 2015)","plainCitation":"(Bousema et al., 2012; Hay et al., 2013; Pigott et al., 2015)","noteIndex":0},"citationItems":[{"id":667,"uris":["http://zotero.org/users/5456909/items/X9GC3HIS"],"uri":["http://zotero.org/users/5456909/items/X9GC3HIS"],"itemData":{"id":667,"type":"article-journal","abstract":"Teun Bousema and colleagues argue that targeting malaria “hotspots” is a highly efficient way to reduce malaria transmission at all levels of transmission intensity.","container-title":"PLoS Medicine","issue":"1","page":"e1001165-e1001165","title":"Hitting hotspots: spatial targeting of malaria for control and elimination","volume":"9","author":[{"family":"Bousema","given":"Teun"},{"family":"Griffin","given":"Jamie T."},{"family":"Sauerwein","given":"Robert W."},{"family":"Smith","given":"David L."},{"family":"Churcher","given":"Thomas S."},{"family":"Takken","given":"Willem"},{"family":"Ghani","given":"Azra"},{"family":"Drakeley","given":"Chris"},{"family":"Gosling","given":"Roly"}],"issued":{"date-parts":[["2012",1]]}}},{"id":1477,"uris":["http://zotero.org/users/5456909/items/T8WE4ELM"],"uri":["http://zotero.org/users/5456909/items/T8WE4ELM"],"itemData":{"id":1477,"type":"article-journal","abstract":"The primary aim of this review was to evaluate the state of knowledge of the geographical distribution of all infectious diseases of clinical significance to humans. A systematic review was conducted to enumerate cartographic progress, with respect to the data available for mapping and the methods currently applied. The results helped define the minimum information requirements for mapping infectious disease occurrence, and a quantitative framework for assessing the mapping opportunities for all infectious diseases. This revealed that of 355 infectious diseases identified, 174 (49%) have a strong rationale for mapping and of these only 7 (4%) had been comprehensively mapped. A variety of ambitions, such as the quantification of the global burden of infectious disease, international biosurveillance, assessing the like-lihood of infectious disease outbreaks and exploring the propensity for infectious disease evolution and emergence, are limited by these omissions. An overview of the factors hindering progress in disease cartography is pro-vided. It is argued that rapid improvement in the landscape of infectious diseases mapping can be made by embracing non-conventional data sources, automation of geo-positioning and mapping procedures enabled by machine learning and information technology, respectively, in addition to harnessing labour of the volunteer 'cognitive surplus' through crowdsourcing.","container-title":"Philosophical Transactions of the Royal Society B: Biological Sciences","page":"20120250-20120250","title":"Global mapping of infectious disease","volume":"368","author":[{"family":"Hay","given":"Simon I"},{"family":"Battle","given":"Katherine E"},{"family":"Pigott","given":"David M"},{"family":"Smith","given":"David L"},{"family":"Moyes","given":"Catherine L"},{"family":"Bhatt","given":"Samir"},{"family":"Brownstein","given":"John S"},{"family":"Collier","given":"Nigel"},{"family":"Myers","given":"Monica F"},{"family":"George","given":"Dylan B"},{"family":"Gething","given":"Peter W"}],"issued":{"date-parts":[["2013"]]}}},{"id":1465,"uris":["http://zotero.org/users/5456909/items/N78MMPI2"],"uri":["http://zotero.org/users/5456909/items/N78MMPI2"],"itemData":{"id":1465,"type":"article-journal","abstract":"Background","container-title":"PLoS Neglected Tropical Disease","issue":"6","page":"e0003756-e0003756","title":"Prioritising infectious disease mapping","volume":"9","author":[{"family":"Pigott","given":"David M"},{"family":"Howes","given":"Rosalind E"},{"family":"Wiebe","given":"Antoinette"},{"family":"Battle","given":"Katherine E"},{"family":"Golding","given":"Nick"},{"family":"Gething","given":"Peter W"},{"family":"Dowell","given":"Scott F"},{"family":"Farag","given":"Tamer H"},{"family":"Garcia","given":"Andres J"},{"family":"Kimball","given":"Ann M"},{"family":"Krause","given":"L Kendall"},{"family":"Smith","given":"Craig H"},{"family":"Brooker","given":"Simon J"},{"family":"Kyu","given":"Hmwe H"},{"family":"Vos","given":"Theo"},{"family":"Murray","given":"Christopher J L"},{"family":"Moyes","given":"Catherine L"},{"family":"Hay","given":"Simon I"}],"issued":{"date-parts":[["2015"]]}}}],"schema":"https://github.com/citation-style-language/schema/raw/master/csl-citation.json"} </w:instrText>
      </w:r>
      <w:r w:rsidR="00C630D4" w:rsidRPr="00AA3319">
        <w:rPr>
          <w:rFonts w:cs="Times New Roman"/>
        </w:rPr>
        <w:fldChar w:fldCharType="separate"/>
      </w:r>
      <w:r w:rsidR="002B37C7" w:rsidRPr="00AA3319">
        <w:rPr>
          <w:rFonts w:cs="Times New Roman"/>
        </w:rPr>
        <w:t>(Bousema et al., 2012; Hay et al., 2013; Pigott et al., 2015)</w:t>
      </w:r>
      <w:r w:rsidR="00C630D4" w:rsidRPr="00AA3319">
        <w:rPr>
          <w:rFonts w:cs="Times New Roman"/>
        </w:rPr>
        <w:fldChar w:fldCharType="end"/>
      </w:r>
      <w:r w:rsidRPr="00AA3319">
        <w:rPr>
          <w:rFonts w:cs="Times New Roman"/>
        </w:rPr>
        <w:t>. Information about when and where mosquito abundance is highest can be used to target mosquito control efforts and disease prevention activities. Spatial and temporal variation of mosquito abundance is influenced by habitat availability and climate factors that affect their life cycles. Models can help us understand how different environmental variables influence species abundance and distribution. These environmental relations can also be applied to predict species occurrence and abundance for locations where mosquito observations are not available</w:t>
      </w:r>
      <w:r w:rsidR="00113D1D" w:rsidRPr="00AA3319">
        <w:rPr>
          <w:rFonts w:cs="Times New Roman"/>
        </w:rPr>
        <w:t xml:space="preserve"> </w:t>
      </w:r>
      <w:r w:rsidR="00113D1D" w:rsidRPr="00AA3319">
        <w:rPr>
          <w:rFonts w:cs="Times New Roman"/>
        </w:rPr>
        <w:fldChar w:fldCharType="begin"/>
      </w:r>
      <w:r w:rsidR="002B37C7" w:rsidRPr="00AA3319">
        <w:rPr>
          <w:rFonts w:cs="Times New Roman"/>
        </w:rPr>
        <w:instrText xml:space="preserve"> ADDIN ZOTERO_ITEM CSL_CITATION {"citationID":"354d6d2E","properties":{"formattedCitation":"(Franklin, 2010; Guisan and Zimmermann, 2000)","plainCitation":"(Franklin, 2010; Guisan and Zimmermann, 2000)","noteIndex":0},"citationItems":[{"id":4606,"uris":["http://zotero.org/users/5456909/items/NEHAHQCJ"],"uri":["http://zotero.org/users/5456909/items/NEHAHQCJ"],"itemData":{"id":4606,"type":"book","abstract":"Maps of species' distributions or habitat suitability are required for many aspects of environmental research, resource management and conservation planning. These include biodiversity assessment, reserve design, habitat management and restoration, species and habitat conservation plans and predicting the effects of environmental change on species and ecosystems. The proliferation of methods and uncertainty regarding their effectiveness can be daunting to researchers, resource managers and conservation planners alike. Franklin summarises the methods used in species distribution modeling (also called niche modeling) and presents a framework for spatial prediction of species distributions based on the attributes (space, time, scale) of the data and questions being asked. The framework links theoretical ecological models of species distributions to spatial data on species and environment, and statistical models used for spatial prediction. Providing practical guidelines to students, researchers and practitioners in a broad range of environmental sciences including ecology, geography, conservation biology, and natural resources management.","collection-title":"Ecology, Biodiversity and Conservation","event-place":"Cambridge","publisher":"Cambridge University Press","publisher-place":"Cambridge","source":"Cambridge University Press","title":"Mapping Species Distributions: Spatial Inference and Prediction","title-short":"Mapping Species Distributions","author":[{"family":"Franklin","given":"Janet"}],"accessed":{"date-parts":[["2021",6,28]]},"issued":{"date-parts":[["2010"]]}}},{"id":2007,"uris":["http://zotero.org/users/5456909/items/BHIHWNQS"],"uri":["http://zotero.org/users/5456909/items/BHIHWNQS"],"itemData":{"id":2007,"type":"article-journal","abstract":"With the rise of new powerful statistical techniques and GIS tools, the development of predictive habitat distribution models has rapidly increased in ecology. Such models are static and probabilistic in nature, since they statistically relate the geographical distribution of species or communities to their present environment. A wide array of models has been developed to cover aspects as diverse as biogeography, conservation biology, climate change research, and habitat or species management. In this paper, we present a review of predictive habitat distribution modeling. The variety of statistical techniques used is growing. Ordinary multiple regression and its generalized form (GLM) are very popular and are often used for modeling species distributions. Other methods include neural networks, ordination and classification methods, Bayesian models, locally weighted approaches (e.g. GAM), environmental envelopes or even combinations of these models. The selection of an appropriate method should not depend solely on statistical considerations. Some models are better suited to reflect theoretical findings on the shape and nature of the species’ response (or realized niche). Conceptual considerations include e.g. the trade-off between optimizing accuracy versus optimizing generality. In the field of static distribution modeling, the latter is mostly related to selecting appropriate predictor variables and to designing an appropriate procedure for model selection. New methods, including threshold-independent measures (e.g. receiver operating characteristic (ROC)-plots) and resampling techniques (e.g. bootstrap, cross-validation) have been introduced in ecology for testing the accuracy of predictive models. The choice of an evaluation measure should be driven primarily by the goals of the study. This may possibly lead to the attribution of different weights to the various types of prediction errors (e.g. omission, commission or confusion). Testing the model in a wider range of situations (in space and time) will permit one to define the range of applications for which the model predictions are suitable. In turn, the qualification of the model depends primarily on the goals of the study that define the qualification criteria and on the usability of the model, rather than on statistics alone.","container-title":"Ecological Modelling","ISSN":"0304-3800","page":"147-186","title":"Predictive habitat distribution models in ecology","volume":"135","author":[{"family":"Guisan","given":"A"},{"family":"Zimmermann","given":"N E"}],"issued":{"date-parts":[["2000"]]}}}],"schema":"https://github.com/citation-style-language/schema/raw/master/csl-citation.json"} </w:instrText>
      </w:r>
      <w:r w:rsidR="00113D1D" w:rsidRPr="00AA3319">
        <w:rPr>
          <w:rFonts w:cs="Times New Roman"/>
        </w:rPr>
        <w:fldChar w:fldCharType="separate"/>
      </w:r>
      <w:r w:rsidR="002B37C7" w:rsidRPr="00AA3319">
        <w:rPr>
          <w:rFonts w:cs="Times New Roman"/>
        </w:rPr>
        <w:t>(Franklin, 2010; Guisan and Zimmermann, 2000)</w:t>
      </w:r>
      <w:r w:rsidR="00113D1D" w:rsidRPr="00AA3319">
        <w:rPr>
          <w:rFonts w:cs="Times New Roman"/>
        </w:rPr>
        <w:fldChar w:fldCharType="end"/>
      </w:r>
      <w:r w:rsidRPr="00AA3319">
        <w:rPr>
          <w:rFonts w:cs="Times New Roman"/>
        </w:rPr>
        <w:t>.</w:t>
      </w:r>
    </w:p>
    <w:p w14:paraId="73FEDDB8" w14:textId="4B24F90C" w:rsidR="0060075D" w:rsidRPr="00AA3319" w:rsidRDefault="0060075D" w:rsidP="00851FDD">
      <w:pPr>
        <w:rPr>
          <w:rFonts w:cs="Times New Roman"/>
        </w:rPr>
      </w:pPr>
      <w:r w:rsidRPr="00AA3319">
        <w:rPr>
          <w:rFonts w:cs="Times New Roman"/>
        </w:rPr>
        <w:t xml:space="preserve">In central Oklahoma, the main medically important mosquito species are in the genus </w:t>
      </w:r>
      <w:r w:rsidRPr="00AA3319">
        <w:rPr>
          <w:rFonts w:cs="Times New Roman"/>
          <w:i/>
          <w:iCs/>
        </w:rPr>
        <w:t xml:space="preserve">Culex </w:t>
      </w:r>
      <w:r w:rsidRPr="00AA3319">
        <w:rPr>
          <w:rFonts w:cs="Times New Roman"/>
        </w:rPr>
        <w:t xml:space="preserve">as well as </w:t>
      </w:r>
      <w:r w:rsidRPr="00AA3319">
        <w:rPr>
          <w:rFonts w:cs="Times New Roman"/>
          <w:i/>
          <w:iCs/>
        </w:rPr>
        <w:t>Aedes albopictus</w:t>
      </w:r>
      <w:r w:rsidRPr="00AA3319">
        <w:rPr>
          <w:rFonts w:cs="Times New Roman"/>
        </w:rPr>
        <w:t xml:space="preserve">. </w:t>
      </w:r>
      <w:r w:rsidRPr="00AA3319">
        <w:rPr>
          <w:rFonts w:cs="Times New Roman"/>
          <w:i/>
        </w:rPr>
        <w:t>Culex</w:t>
      </w:r>
      <w:r w:rsidRPr="00AA3319">
        <w:rPr>
          <w:rFonts w:cs="Times New Roman"/>
        </w:rPr>
        <w:t xml:space="preserve"> mosquitoes are the primary vectors of West Nile virus in Oklahoma </w:t>
      </w:r>
      <w:r w:rsidRPr="00AA3319">
        <w:rPr>
          <w:rFonts w:cs="Times New Roman"/>
        </w:rPr>
        <w:fldChar w:fldCharType="begin"/>
      </w:r>
      <w:r w:rsidR="001B184A" w:rsidRPr="00AA3319">
        <w:rPr>
          <w:rFonts w:cs="Times New Roman"/>
        </w:rPr>
        <w:instrText xml:space="preserve"> ADDIN ZOTERO_ITEM CSL_CITATION {"citationID":"JvqAm4J0","properties":{"formattedCitation":"(Noden et al., 2015)","plainCitation":"(Noden et al., 2015)","noteIndex":0},"citationItems":[{"id":3550,"uris":["http://zotero.org/users/5456909/items/G3E6DEWT"],"uri":["http://zotero.org/users/5456909/items/G3E6DEWT"],"itemData":{"id":3550,"type":"article-journal","abstract":"The mosquito fauna of Oklahoma has not been evaluated since 1965 and no report has been published concerning species associated with urban areas in the state. Mosquito collections were conducted as part of the West Nile virus (WNV) surveillance program between April and November from 2003 to 2006, using standard collection methods. A total of 74,756 adults were collected in 26 urban centers in 16 counties of Oklahoma. Altogether, 40 species were recorded during this study period, bringing the total mosquito species recorded in Oklahoma to 62 species in 9 different genera and 18 subgenera. An updated checklist of Oklahoma mosquito fauna is included with a comparison to historical records. New state records include 3 species: Aedes muelleri, Anopheles perplexens, and Culex coronator. In addition to updating the checklist, 12 species of mosquitoes were tested for WNV. Pools of Culex pipiens complex represented the highest proportion testing positive for WNV (134/766, 17.5%), followed by Cx. tarsalis (13/192, 6.8%) and Aedes albopictus (5/215, 2.3%). West Nile virus-positive mosquitoes were detected earliest in June 2005 and latest in November 2004. Infected Cx. pipiens complex testing positive for WNV were more prevalent in the eastern and central areas of Oklahoma, whereas positive Cx. tarsalis were found mainly in the western areas of the state. This distinct geographical difference needs to be monitored and followed up to ensure optimal mosquito control efforts in Oklahoma communities with mosquito control capabilities.","container-title":"Journal of the American Mosquito Control Association; Mount Laurel","ISSN":"8756971X","issue":"4","language":"English","page":"336-345","source":"ProQuest","title":"An Updated Checklist of the Mosquitoes of Oklahoma Including New State Records and West Nile Virus Vectors, 2003-06","volume":"31","author":[{"family":"Noden","given":"Bruce H."},{"family":"Coburn","given":"Lisa"},{"family":"Wright","given":"Russell"},{"family":"Bradley","given":"Kristy"}],"issued":{"date-parts":[["2015",12]]}}}],"schema":"https://github.com/citation-style-language/schema/raw/master/csl-citation.json"} </w:instrText>
      </w:r>
      <w:r w:rsidRPr="00AA3319">
        <w:rPr>
          <w:rFonts w:cs="Times New Roman"/>
        </w:rPr>
        <w:fldChar w:fldCharType="separate"/>
      </w:r>
      <w:r w:rsidR="002B37C7" w:rsidRPr="00AA3319">
        <w:rPr>
          <w:rFonts w:cs="Times New Roman"/>
        </w:rPr>
        <w:t>(Noden et al., 2015)</w:t>
      </w:r>
      <w:r w:rsidRPr="00AA3319">
        <w:rPr>
          <w:rFonts w:cs="Times New Roman"/>
        </w:rPr>
        <w:fldChar w:fldCharType="end"/>
      </w:r>
      <w:r w:rsidRPr="00AA3319">
        <w:rPr>
          <w:rFonts w:cs="Times New Roman"/>
        </w:rPr>
        <w:t xml:space="preserve">, where up to 176 human cases </w:t>
      </w:r>
      <w:r w:rsidR="00F60934">
        <w:rPr>
          <w:rFonts w:cs="Times New Roman"/>
        </w:rPr>
        <w:t>have been</w:t>
      </w:r>
      <w:r w:rsidR="00F60934" w:rsidRPr="00AA3319">
        <w:rPr>
          <w:rFonts w:cs="Times New Roman"/>
        </w:rPr>
        <w:t xml:space="preserve"> </w:t>
      </w:r>
      <w:r w:rsidRPr="00AA3319">
        <w:rPr>
          <w:rFonts w:cs="Times New Roman"/>
        </w:rPr>
        <w:t xml:space="preserve">reported annually </w:t>
      </w:r>
      <w:r w:rsidRPr="00AA3319">
        <w:rPr>
          <w:rFonts w:cs="Times New Roman"/>
        </w:rPr>
        <w:fldChar w:fldCharType="begin"/>
      </w:r>
      <w:r w:rsidR="001B184A" w:rsidRPr="00AA3319">
        <w:rPr>
          <w:rFonts w:cs="Times New Roman"/>
        </w:rPr>
        <w:instrText xml:space="preserve"> ADDIN ZOTERO_ITEM CSL_CITATION {"citationID":"LId4s8NY","properties":{"formattedCitation":"(Oklahoma State Department Of Health, 2019)","plainCitation":"(Oklahoma State Department Of Health, 2019)","noteIndex":0},"citationItems":[{"id":4498,"uris":["http://zotero.org/users/5456909/items/MD7TZMWV"],"uri":["http://zotero.org/users/5456909/items/MD7TZMWV"],"itemData":{"id":4498,"type":"report","title":"West Nile Virus Disease and Deaths by Year Oklahoma, 2002-2019","URL":"https://oklahoma.gov/content/dam/ok/en/health/health2/documents/west-nile-virus-cases-and-deaths-by-year-2002-2019.pdf","author":[{"family":"Oklahoma State Department Of Health","given":""}],"accessed":{"date-parts":[["2021",5,23]]},"issued":{"date-parts":[["2019"]]}}}],"schema":"https://github.com/citation-style-language/schema/raw/master/csl-citation.json"} </w:instrText>
      </w:r>
      <w:r w:rsidRPr="00AA3319">
        <w:rPr>
          <w:rFonts w:cs="Times New Roman"/>
        </w:rPr>
        <w:fldChar w:fldCharType="separate"/>
      </w:r>
      <w:r w:rsidR="002B37C7" w:rsidRPr="00AA3319">
        <w:rPr>
          <w:rFonts w:cs="Times New Roman"/>
        </w:rPr>
        <w:t>(Oklahoma State Department Of Health, 2019)</w:t>
      </w:r>
      <w:r w:rsidRPr="00AA3319">
        <w:rPr>
          <w:rFonts w:cs="Times New Roman"/>
        </w:rPr>
        <w:fldChar w:fldCharType="end"/>
      </w:r>
      <w:r w:rsidRPr="00AA3319">
        <w:rPr>
          <w:rFonts w:cs="Times New Roman"/>
        </w:rPr>
        <w:t xml:space="preserve">. </w:t>
      </w:r>
      <w:r w:rsidRPr="00AA3319">
        <w:rPr>
          <w:rFonts w:cs="Times New Roman"/>
          <w:i/>
          <w:iCs/>
        </w:rPr>
        <w:t>Culex</w:t>
      </w:r>
      <w:r w:rsidRPr="00AA3319">
        <w:rPr>
          <w:rFonts w:cs="Times New Roman"/>
          <w:i/>
        </w:rPr>
        <w:t xml:space="preserve"> quinquefasciatus</w:t>
      </w:r>
      <w:r w:rsidRPr="00AA3319">
        <w:rPr>
          <w:rFonts w:cs="Times New Roman"/>
        </w:rPr>
        <w:t xml:space="preserve"> is a particularly important vector species in urban areas because it is prevalent in peridomestic environments and likely to seek blood meals from humans (Reisen et al. 1992 b). </w:t>
      </w:r>
      <w:r w:rsidRPr="00AA3319">
        <w:rPr>
          <w:rFonts w:cs="Times New Roman"/>
          <w:i/>
          <w:iCs/>
        </w:rPr>
        <w:t xml:space="preserve">Aedes albopictus </w:t>
      </w:r>
      <w:r w:rsidRPr="00AA3319">
        <w:rPr>
          <w:rFonts w:cs="Times New Roman"/>
        </w:rPr>
        <w:t xml:space="preserve">is a competent vector for a variety of arboviruses, including yellow fever, dengue, chikungunya, Zika and Eastern Equine encephalitis. It has also been found to transmit West Nile virus </w:t>
      </w:r>
      <w:r w:rsidRPr="00AA3319">
        <w:rPr>
          <w:rFonts w:cs="Times New Roman"/>
        </w:rPr>
        <w:fldChar w:fldCharType="begin"/>
      </w:r>
      <w:r w:rsidR="001B184A" w:rsidRPr="00AA3319">
        <w:rPr>
          <w:rFonts w:cs="Times New Roman"/>
        </w:rPr>
        <w:instrText xml:space="preserve"> ADDIN ZOTERO_ITEM CSL_CITATION {"citationID":"6afu6t2G","properties":{"formattedCitation":"(Holick et al., 2002)","plainCitation":"(Holick et al., 2002)","noteIndex":0},"citationItems":[{"id":4545,"uris":["http://zotero.org/users/5456909/items/9VINL7SY"],"uri":["http://zotero.org/users/5456909/items/9VINL7SY"],"itemData":{"id":4545,"type":"article-journal","abstract":"In August 2000, Aedes albopictus was found in a CO2-baited Centers for Disease Control light trap in eastern Philadelphia, PA. In late September 2000, West Nile viral antigen was detected by reverse transcription-polymerase chain reaction testing from a pool of 2 Ae. albopictus mosquitoes that were collected in southwestern Montgomery County.","container-title":"Journal of the American Mosquito Control Association","ISSN":"8756-971X","issue":"2","journalAbbreviation":"J Am Mosq Control Assoc","language":"eng","note":"PMID: 12083357","page":"131","source":"PubMed","title":"Discovery of Aedes albopictus infected with west nile virus in southeastern Pennsylvania","volume":"18","author":[{"family":"Holick","given":"John"},{"family":"Kyle","given":"Andrew"},{"family":"Ferraro","given":"William"},{"family":"Delaney","given":"Raymond R."},{"family":"Iwaseczko","given":"Marta"}],"issued":{"date-parts":[["2002",6]]}}}],"schema":"https://github.com/citation-style-language/schema/raw/master/csl-citation.json"} </w:instrText>
      </w:r>
      <w:r w:rsidRPr="00AA3319">
        <w:rPr>
          <w:rFonts w:cs="Times New Roman"/>
        </w:rPr>
        <w:fldChar w:fldCharType="separate"/>
      </w:r>
      <w:r w:rsidR="002B37C7" w:rsidRPr="00AA3319">
        <w:rPr>
          <w:rFonts w:cs="Times New Roman"/>
        </w:rPr>
        <w:t>(Holick et al., 2002)</w:t>
      </w:r>
      <w:r w:rsidRPr="00AA3319">
        <w:rPr>
          <w:rFonts w:cs="Times New Roman"/>
        </w:rPr>
        <w:fldChar w:fldCharType="end"/>
      </w:r>
      <w:r w:rsidRPr="00AA3319">
        <w:rPr>
          <w:rFonts w:cs="Times New Roman"/>
        </w:rPr>
        <w:t xml:space="preserve"> and La Crosse virus </w:t>
      </w:r>
      <w:r w:rsidRPr="00AA3319">
        <w:rPr>
          <w:rFonts w:cs="Times New Roman"/>
        </w:rPr>
        <w:fldChar w:fldCharType="begin"/>
      </w:r>
      <w:r w:rsidR="00D5378A" w:rsidRPr="00AA3319">
        <w:rPr>
          <w:rFonts w:cs="Times New Roman"/>
        </w:rPr>
        <w:instrText xml:space="preserve"> ADDIN ZOTERO_ITEM CSL_CITATION {"citationID":"hiOj3EOG","properties":{"formattedCitation":"(Gerhardt et al., 2001)","plainCitation":"(Gerhardt et al., 2001)","noteIndex":0},"citationItems":[{"id":4548,"uris":["http://zotero.org/users/5456909/items/F2CXCBTY"],"uri":["http://zotero.org/users/5456909/items/F2CXCBTY"],"itemData":{"id":4548,"type":"article-journal","abstract":"La Crosse (LAC) virus, a California serogroup bunyavirus, is the leading cause of pediatric arboviral encephalitis in the United States and an emerging disease in Tennessee, West Virginia, and North Carolina. Human cases of LAC encephalitis in Tennessee and North Carolina have increased above endemic levels during 1997 to 1999 and may represent an expansion of a new southeastern endemic focus. This report describes the isolation of LAC virus from the exotic mosquito Aedes albopictus. The discovery of LAC virus in wild populations of Ae. albopictus coupled with its expanding distribution in the southeastern United States, suggests that this mosquito may become an important accessory vector, potentially increasing the number of human cases in endemic foci or expanding the range of the disease.","container-title":"Emerging Infectious Diseases","ISSN":"1080-6040","issue":"5","journalAbbreviation":"Emerg Infect Dis","language":"eng","note":"PMID: 11747692\nPMCID: PMC2631884","page":"807-811","source":"PubMed","title":"First isolation of La Crosse virus from naturally infected Aedes albopictus","volume":"7","author":[{"family":"Gerhardt","given":"R. R."},{"family":"Gottfried","given":"K. L."},{"family":"Apperson","given":"C. S."},{"family":"Davis","given":"B. S."},{"family":"Erwin","given":"P. C."},{"family":"Smith","given":"A. B."},{"family":"Panella","given":"N. A."},{"family":"Powell","given":"E. E."},{"family":"Nasci","given":"R. S."}],"issued":{"date-parts":[["2001",10]]}}}],"schema":"https://github.com/citation-style-language/schema/raw/master/csl-citation.json"} </w:instrText>
      </w:r>
      <w:r w:rsidRPr="00AA3319">
        <w:rPr>
          <w:rFonts w:cs="Times New Roman"/>
        </w:rPr>
        <w:fldChar w:fldCharType="separate"/>
      </w:r>
      <w:r w:rsidR="002B37C7" w:rsidRPr="00AA3319">
        <w:rPr>
          <w:rFonts w:cs="Times New Roman"/>
        </w:rPr>
        <w:t>(Gerhardt et al., 2001)</w:t>
      </w:r>
      <w:r w:rsidRPr="00AA3319">
        <w:rPr>
          <w:rFonts w:cs="Times New Roman"/>
        </w:rPr>
        <w:fldChar w:fldCharType="end"/>
      </w:r>
      <w:r w:rsidRPr="00AA3319">
        <w:rPr>
          <w:rFonts w:cs="Times New Roman"/>
        </w:rPr>
        <w:t xml:space="preserve">. </w:t>
      </w:r>
      <w:r w:rsidRPr="00AA3319">
        <w:rPr>
          <w:rFonts w:cs="Times New Roman"/>
          <w:i/>
          <w:iCs/>
        </w:rPr>
        <w:t>Ae. albopictus</w:t>
      </w:r>
      <w:r w:rsidRPr="00AA3319">
        <w:rPr>
          <w:rFonts w:cs="Times New Roman"/>
        </w:rPr>
        <w:t xml:space="preserve"> is expanding its range into temperate areas </w:t>
      </w:r>
      <w:r w:rsidRPr="00AA3319">
        <w:rPr>
          <w:rFonts w:cs="Times New Roman"/>
        </w:rPr>
        <w:fldChar w:fldCharType="begin"/>
      </w:r>
      <w:r w:rsidR="00701ADA" w:rsidRPr="00AA3319">
        <w:rPr>
          <w:rFonts w:cs="Times New Roman"/>
        </w:rPr>
        <w:instrText xml:space="preserve"> ADDIN ZOTERO_ITEM CSL_CITATION {"citationID":"t29qwQfD","properties":{"formattedCitation":"(Farajollahi and Nelder, 2009; Tjaden et al., 2021)","plainCitation":"(Farajollahi and Nelder, 2009; Tjaden et al., 2021)","noteIndex":0},"citationItems":[{"id":4540,"uris":["http://zotero.org/users/5456909/items/JPUJEI8M"],"uri":["http://zotero.org/users/5456909/items/JPUJEI8M"],"itemData":{"id":4540,"type":"article-journal","abstract":"The Asian tiger mosquito Aedes albopictus (Skuse) was first detected in New Jersey in 1995 during mosquito surveillance operations in Monmouth County. We tracked statewide changes in populations of the Asian tiger mosquito and its association with West Nile virus from 2003 to 2007. Ae. albopictus population abundance has increased in New Jersey since 2003, primarily along the urban corridor between New York City and Philadelphia, and they are now expanding their range further into suburban and rural areas of the state. Ae. albopictus has invaded all counties of New Jersey except for two northwest rural counties (Sussex and Warren). West Nile virus was detected in Ae. albopictus throughout several foci in New Jersey during the study, underscoring the public health significance of this mosquito.","container-title":"Journal of Medical Entomology","ISSN":"0022-2585","issue":"5","journalAbbreviation":"J Med Entomol","language":"eng","note":"PMID: 19769057","page":"1220-1224","source":"PubMed","title":"Changes in Aedes albopictus (Diptera: Culicidae) populations in New Jersey and implications for arbovirus transmission","title-short":"Changes in Aedes albopictus (Diptera","volume":"46","author":[{"family":"Farajollahi","given":"Ary"},{"family":"Nelder","given":"Mark P."}],"issued":{"date-parts":[["2009",9]]}}},{"id":4552,"uris":["http://zotero.org/users/5456909/items/BXVGY8JI"],"uri":["http://zotero.org/users/5456909/items/BXVGY8JI"],"itemData":{"id":4552,"type":"article-journal","abstract":"Chikungunya virus disease (chikungunya) is a mosquito-borne infectious disease reported in at least 50 countries, mostly in the tropics. It has spread around the globe within the last two decades, with local outbreaks in Europe. The vector mosquito Aedes albopictus (Diptera, Culicidae) has already widely established itself in southern Europe and is spreading towards central parts of the continent. Public health authorities and policymakers need to be informed about where and when a chikungunya transmission is likely to take place. Here, we adapted a previously published global ecological niche model (ENM) by including only non-tropical chikungunya occurrence records and selecting bioclimatic variables that can reflect the temperate and sub-tropical conditions in Europe with greater accuracy. Additionally, we applied an epidemiological model to capture the temporal outbreak risk of chikungunya in six selected European cities. Overall, the non-tropical ENM captures all the previous outbreaks in Europe, whereas the global ENM had underestimated the risk. Highly suitable areas are more widespread than previously assumed. They are found in coastal areas of the Mediterranean Sea, in the western part of the Iberian Peninsula, and in Atlantic coastal areas of France. Under a worst-case scenario, even large areas of western Germany and the Benelux states are considered potential areas of transmission. For the six selected European cities, June–September (the 22th–38th week) is the most vulnerable time period, with the maximum continuous duration of a possible transmission period lasting up to 93 days (Ravenna, Italy).","container-title":"Viruses","issue":"6","language":"en","note":"number: 6\npublisher: Multidisciplinary Digital Publishing Institute","page":"1024","source":"www.mdpi.com","title":"Chikungunya Beyond the Tropics: Where and When Do We Expect Disease Transmission in Europe?","title-short":"Chikungunya Beyond the Tropics","volume":"13","author":[{"family":"Tjaden","given":"Nils Benjamin"},{"family":"Cheng","given":"Yanchao"},{"family":"Beierkuhnlein","given":"Carl"},{"family":"Thomas","given":"Stephanie Margarete"}],"issued":{"date-parts":[["2021",6]]}}}],"schema":"https://github.com/citation-style-language/schema/raw/master/csl-citation.json"} </w:instrText>
      </w:r>
      <w:r w:rsidRPr="00AA3319">
        <w:rPr>
          <w:rFonts w:cs="Times New Roman"/>
        </w:rPr>
        <w:fldChar w:fldCharType="separate"/>
      </w:r>
      <w:r w:rsidR="002B37C7" w:rsidRPr="00AA3319">
        <w:rPr>
          <w:rFonts w:cs="Times New Roman"/>
        </w:rPr>
        <w:t>(Farajollahi and Nelder, 2009; Tjaden et al., 2021)</w:t>
      </w:r>
      <w:r w:rsidRPr="00AA3319">
        <w:rPr>
          <w:rFonts w:cs="Times New Roman"/>
        </w:rPr>
        <w:fldChar w:fldCharType="end"/>
      </w:r>
      <w:r w:rsidRPr="00AA3319">
        <w:rPr>
          <w:rFonts w:cs="Times New Roman"/>
        </w:rPr>
        <w:t xml:space="preserve"> and is likely to be responsible for disease outbreaks in these areas </w:t>
      </w:r>
      <w:r w:rsidRPr="00AA3319">
        <w:rPr>
          <w:rFonts w:cs="Times New Roman"/>
        </w:rPr>
        <w:fldChar w:fldCharType="begin"/>
      </w:r>
      <w:r w:rsidR="000D258D" w:rsidRPr="00AA3319">
        <w:rPr>
          <w:rFonts w:cs="Times New Roman"/>
        </w:rPr>
        <w:instrText xml:space="preserve"> ADDIN ZOTERO_ITEM CSL_CITATION {"citationID":"oZgImePC","properties":{"formattedCitation":"(Manore et al., 2017)","plainCitation":"(Manore et al., 2017)","noteIndex":0},"citationItems":[{"id":3218,"uris":["http://zotero.org/users/5456909/items/SRQ69RTJ"],"uri":["http://zotero.org/users/5456909/items/SRQ69RTJ"],"itemData":{"id":3218,"type":"article-journal","abstract":"The recent spread of mosquito-transmitted viruses and associated disease to the Americas motivates a new, data-driven evaluation of risk in temperate population centers. Temperate regions are generally expected to pose low risk for significant mosquito-borne disease; however, the spread of the Asian tiger mosquito (Aedes albopictus) across densely populated urban areas has established a new landscape of risk. We use a model informed by field data to assess the conditions likely to facilitate local transmission of chikungunya and Zika viruses from an infected traveler to Ae. albopictus and then to other humans in USA cities with variable human densities and seasonality. Mosquito-borne disease occurs when specific combinations of conditions maximize virus-to-mosquito and mosquito-to-human contact rates. We develop a mathematical model that captures the epidemiology and is informed by current data on vector ecology from urban sites. The model demonstrates that under specific but realistic conditions, fifty-percent of introductions by infectious travelers to a high human, high mosquito density city could initiate local transmission and 10% of the introductions could result in 100 or more people infected. Despite the propensity for Ae. albopictus to bite non-human vertebrates, we also demonstrate that local virus transmission and human outbreaks may occur when vectors feed from humans even just 40% of the time. Inclusion of human behavioral changes and mitigations were not incorporated into the models and would likely reduce predicted infections. This work demonstrates how a conditional series of non-average events can result in local arbovirus transmission and outbreaks of human disease, even in temperate cities.","container-title":"PLOS Neglected Tropical Diseases","ISSN":"1935-2735","issue":"1","language":"en","page":"e0005255","source":"Crossref","title":"Defining the Risk of Zika and Chikungunya Virus Transmission in Human Population Centers of the Eastern United States","volume":"11","author":[{"family":"Manore","given":"Carrie A."},{"family":"Ostfeld","given":"Richard S."},{"family":"Agusto","given":"Folashade B."},{"family":"Gaff","given":"Holly"},{"family":"LaDeau","given":"Shannon L."}],"editor":[{"family":"Scarpino","given":"Samuel V."}],"issued":{"date-parts":[["2017",1,17]]}}}],"schema":"https://github.com/citation-style-language/schema/raw/master/csl-citation.json"} </w:instrText>
      </w:r>
      <w:r w:rsidRPr="00AA3319">
        <w:rPr>
          <w:rFonts w:cs="Times New Roman"/>
        </w:rPr>
        <w:fldChar w:fldCharType="separate"/>
      </w:r>
      <w:r w:rsidR="002B37C7" w:rsidRPr="00AA3319">
        <w:rPr>
          <w:rFonts w:cs="Times New Roman"/>
        </w:rPr>
        <w:t>(Manore et al., 2017)</w:t>
      </w:r>
      <w:r w:rsidRPr="00AA3319">
        <w:rPr>
          <w:rFonts w:cs="Times New Roman"/>
        </w:rPr>
        <w:fldChar w:fldCharType="end"/>
      </w:r>
      <w:r w:rsidRPr="00AA3319">
        <w:rPr>
          <w:rFonts w:cs="Times New Roman"/>
        </w:rPr>
        <w:t xml:space="preserve"> as it has already been in Europe </w:t>
      </w:r>
      <w:r w:rsidRPr="00AA3319">
        <w:rPr>
          <w:rFonts w:cs="Times New Roman"/>
        </w:rPr>
        <w:fldChar w:fldCharType="begin"/>
      </w:r>
      <w:r w:rsidR="006B043F" w:rsidRPr="00AA3319">
        <w:rPr>
          <w:rFonts w:cs="Times New Roman"/>
        </w:rPr>
        <w:instrText xml:space="preserve"> ADDIN ZOTERO_ITEM CSL_CITATION {"citationID":"EYihkhqR","properties":{"formattedCitation":"(Vega-Rua et al., 2013)","plainCitation":"(Vega-Rua et al., 2013)","noteIndex":0},"citationItems":[{"id":4105,"uris":["http://zotero.org/users/5456909/items/G3HC6GXE"],"uri":["http://zotero.org/users/5456909/items/G3HC6GXE"],"itemData":{"id":4105,"type":"article-journal","abstract":"BACKGROUND: Since 2005, cases of chikungunya (CHIK) were caused by an unusual vector, Aedes albopictus. This mosquito, present in Europe since 1979, has gained importance since its involvement in the first CHIK outbreak in Italy in 2007. The species is capable of transmitting experimentally 26 arboviruses. However, the vectorial status of its temperate populations has remained little investigated. In 2010, autochthonous cases of CHIK and dengue (DEN) were reported in southeastern France. We evaluated the potential of a French population of Ae. albopictus in the transmission of both viruses.\nMETHODOLOGY AND PRINCIPAL FINDINGS: We used two strains of each virus, CHIK AND DEN: one strain was isolated from an imported case, and one from an autochthonous case. We used as controls Aedes aegypti from India and Martinique, the source of the imported cases of CHIK and DEN, respectively. We showed that Ae. albopictus from Cagnes-sur-Mer (AL-CSM) was as efficient as the typical tropical vector Ae. aegypti from India to experimentally transmit both CHIK strains isolated from patients in Fréjus, with around 35-67% of mosquitoes delivering up to 14 viral particles at day 3 post-infection (pi). The unexpected finding came from the high efficiency of AL-CSM to transmit both strains of DENV-1 isolated from patients in Nice. Almost 67% of Ae. albopictus AL-CSM which have ensured viral dissemination were able to transmit at day 9 pi when less than 21% of the typical DEN vector Ae. aegypti from Martinique could achieve transmission.\nCONCLUSIONS/SIGNIFICANCE: Temperate Ae. albopictus behaves differently compared to its counterpart from tropical regions, where recurrent epidemic outbreaks occur. Its potential responsibility for outbreaks in Europe should not be minimized.","container-title":"PloS One","ISSN":"1932-6203","issue":"3","journalAbbreviation":"PLoS One","language":"eng","note":"PMID: 23527259\nPMCID: PMC3601061","page":"e59716","source":"PubMed","title":"High efficiency of temperate &lt;i&gt;Aedes albopictus&lt;/i&gt; to transmit chikungunya and dengue viruses in the Southeast of France","volume":"8","author":[{"family":"Vega-Rua","given":"Anubis"},{"family":"Zouache","given":"Karima"},{"family":"Caro","given":"Valerie"},{"family":"Diancourt","given":"Laure"},{"family":"Delaunay","given":"Pascal"},{"family":"Grandadam","given":"Marc"},{"family":"Failloux","given":"Anna-Bella"}],"issued":{"date-parts":[["2013"]]}}}],"schema":"https://github.com/citation-style-language/schema/raw/master/csl-citation.json"} </w:instrText>
      </w:r>
      <w:r w:rsidRPr="00AA3319">
        <w:rPr>
          <w:rFonts w:cs="Times New Roman"/>
        </w:rPr>
        <w:fldChar w:fldCharType="separate"/>
      </w:r>
      <w:r w:rsidR="002B37C7" w:rsidRPr="00AA3319">
        <w:rPr>
          <w:rFonts w:cs="Times New Roman"/>
        </w:rPr>
        <w:t>(Vega-Rua et al., 2013)</w:t>
      </w:r>
      <w:r w:rsidRPr="00AA3319">
        <w:rPr>
          <w:rFonts w:cs="Times New Roman"/>
        </w:rPr>
        <w:fldChar w:fldCharType="end"/>
      </w:r>
      <w:r w:rsidRPr="00AA3319">
        <w:rPr>
          <w:rFonts w:cs="Times New Roman"/>
        </w:rPr>
        <w:t xml:space="preserve">. This species </w:t>
      </w:r>
      <w:r w:rsidRPr="00AA3319">
        <w:rPr>
          <w:rFonts w:cs="Times New Roman"/>
        </w:rPr>
        <w:lastRenderedPageBreak/>
        <w:t xml:space="preserve">occurs at high densities in urban areas, which puts densely populated areas at risk of disease outbreaks </w:t>
      </w:r>
      <w:r w:rsidRPr="00AA3319">
        <w:rPr>
          <w:rFonts w:cs="Times New Roman"/>
        </w:rPr>
        <w:fldChar w:fldCharType="begin"/>
      </w:r>
      <w:r w:rsidR="000D258D" w:rsidRPr="00AA3319">
        <w:rPr>
          <w:rFonts w:cs="Times New Roman"/>
        </w:rPr>
        <w:instrText xml:space="preserve"> ADDIN ZOTERO_ITEM CSL_CITATION {"citationID":"M8rbdAeA","properties":{"formattedCitation":"(Manore et al., 2017)","plainCitation":"(Manore et al., 2017)","noteIndex":0},"citationItems":[{"id":3218,"uris":["http://zotero.org/users/5456909/items/SRQ69RTJ"],"uri":["http://zotero.org/users/5456909/items/SRQ69RTJ"],"itemData":{"id":3218,"type":"article-journal","abstract":"The recent spread of mosquito-transmitted viruses and associated disease to the Americas motivates a new, data-driven evaluation of risk in temperate population centers. Temperate regions are generally expected to pose low risk for significant mosquito-borne disease; however, the spread of the Asian tiger mosquito (Aedes albopictus) across densely populated urban areas has established a new landscape of risk. We use a model informed by field data to assess the conditions likely to facilitate local transmission of chikungunya and Zika viruses from an infected traveler to Ae. albopictus and then to other humans in USA cities with variable human densities and seasonality. Mosquito-borne disease occurs when specific combinations of conditions maximize virus-to-mosquito and mosquito-to-human contact rates. We develop a mathematical model that captures the epidemiology and is informed by current data on vector ecology from urban sites. The model demonstrates that under specific but realistic conditions, fifty-percent of introductions by infectious travelers to a high human, high mosquito density city could initiate local transmission and 10% of the introductions could result in 100 or more people infected. Despite the propensity for Ae. albopictus to bite non-human vertebrates, we also demonstrate that local virus transmission and human outbreaks may occur when vectors feed from humans even just 40% of the time. Inclusion of human behavioral changes and mitigations were not incorporated into the models and would likely reduce predicted infections. This work demonstrates how a conditional series of non-average events can result in local arbovirus transmission and outbreaks of human disease, even in temperate cities.","container-title":"PLOS Neglected Tropical Diseases","ISSN":"1935-2735","issue":"1","language":"en","page":"e0005255","source":"Crossref","title":"Defining the Risk of Zika and Chikungunya Virus Transmission in Human Population Centers of the Eastern United States","volume":"11","author":[{"family":"Manore","given":"Carrie A."},{"family":"Ostfeld","given":"Richard S."},{"family":"Agusto","given":"Folashade B."},{"family":"Gaff","given":"Holly"},{"family":"LaDeau","given":"Shannon L."}],"editor":[{"family":"Scarpino","given":"Samuel V."}],"issued":{"date-parts":[["2017",1,17]]}}}],"schema":"https://github.com/citation-style-language/schema/raw/master/csl-citation.json"} </w:instrText>
      </w:r>
      <w:r w:rsidRPr="00AA3319">
        <w:rPr>
          <w:rFonts w:cs="Times New Roman"/>
        </w:rPr>
        <w:fldChar w:fldCharType="separate"/>
      </w:r>
      <w:r w:rsidR="002B37C7" w:rsidRPr="00AA3319">
        <w:rPr>
          <w:rFonts w:cs="Times New Roman"/>
        </w:rPr>
        <w:t>(Manore et al., 2017)</w:t>
      </w:r>
      <w:r w:rsidRPr="00AA3319">
        <w:rPr>
          <w:rFonts w:cs="Times New Roman"/>
        </w:rPr>
        <w:fldChar w:fldCharType="end"/>
      </w:r>
      <w:r w:rsidRPr="00AA3319">
        <w:rPr>
          <w:rFonts w:cs="Times New Roman"/>
        </w:rPr>
        <w:t xml:space="preserve">. Mosquito communities are understudied in Oklahoma and more research is needed to understand the abundances of disease vector mosquitoes throughout space and time. Previous studies from central Oklahoma have identified mosquito communities </w:t>
      </w:r>
      <w:r w:rsidRPr="00AA3319">
        <w:rPr>
          <w:rFonts w:cs="Times New Roman"/>
        </w:rPr>
        <w:fldChar w:fldCharType="begin"/>
      </w:r>
      <w:r w:rsidR="001B184A" w:rsidRPr="00AA3319">
        <w:rPr>
          <w:rFonts w:cs="Times New Roman"/>
        </w:rPr>
        <w:instrText xml:space="preserve"> ADDIN ZOTERO_ITEM CSL_CITATION {"citationID":"6sSYom2i","properties":{"formattedCitation":"(Noden et al., 2015; Rozeboom, 1942)","plainCitation":"(Noden et al., 2015; Rozeboom, 1942)","noteIndex":0},"citationItems":[{"id":3550,"uris":["http://zotero.org/users/5456909/items/G3E6DEWT"],"uri":["http://zotero.org/users/5456909/items/G3E6DEWT"],"itemData":{"id":3550,"type":"article-journal","abstract":"The mosquito fauna of Oklahoma has not been evaluated since 1965 and no report has been published concerning species associated with urban areas in the state. Mosquito collections were conducted as part of the West Nile virus (WNV) surveillance program between April and November from 2003 to 2006, using standard collection methods. A total of 74,756 adults were collected in 26 urban centers in 16 counties of Oklahoma. Altogether, 40 species were recorded during this study period, bringing the total mosquito species recorded in Oklahoma to 62 species in 9 different genera and 18 subgenera. An updated checklist of Oklahoma mosquito fauna is included with a comparison to historical records. New state records include 3 species: Aedes muelleri, Anopheles perplexens, and Culex coronator. In addition to updating the checklist, 12 species of mosquitoes were tested for WNV. Pools of Culex pipiens complex represented the highest proportion testing positive for WNV (134/766, 17.5%), followed by Cx. tarsalis (13/192, 6.8%) and Aedes albopictus (5/215, 2.3%). West Nile virus-positive mosquitoes were detected earliest in June 2005 and latest in November 2004. Infected Cx. pipiens complex testing positive for WNV were more prevalent in the eastern and central areas of Oklahoma, whereas positive Cx. tarsalis were found mainly in the western areas of the state. This distinct geographical difference needs to be monitored and followed up to ensure optimal mosquito control efforts in Oklahoma communities with mosquito control capabilities.","container-title":"Journal of the American Mosquito Control Association; Mount Laurel","ISSN":"8756971X","issue":"4","language":"English","page":"336-345","source":"ProQuest","title":"An Updated Checklist of the Mosquitoes of Oklahoma Including New State Records and West Nile Virus Vectors, 2003-06","volume":"31","author":[{"family":"Noden","given":"Bruce H."},{"family":"Coburn","given":"Lisa"},{"family":"Wright","given":"Russell"},{"family":"Bradley","given":"Kristy"}],"issued":{"date-parts":[["2015",12]]}}},{"id":3528,"uris":["http://zotero.org/users/5456909/items/ZH2L8ZPZ"],"uri":["http://zotero.org/users/5456909/items/ZH2L8ZPZ"],"itemData":{"id":3528,"type":"article-journal","language":"en","page":"56","source":"Zotero","title":"THE MOSQUITOES OF OKLAHOMA","author":[{"family":"Rozeboom","given":"E"}],"issued":{"date-parts":[["1942"]]}}}],"schema":"https://github.com/citation-style-language/schema/raw/master/csl-citation.json"} </w:instrText>
      </w:r>
      <w:r w:rsidRPr="00AA3319">
        <w:rPr>
          <w:rFonts w:cs="Times New Roman"/>
        </w:rPr>
        <w:fldChar w:fldCharType="separate"/>
      </w:r>
      <w:r w:rsidR="002B37C7" w:rsidRPr="00AA3319">
        <w:rPr>
          <w:rFonts w:cs="Times New Roman"/>
        </w:rPr>
        <w:t>(Noden et al., 2015; Rozeboom, 1942)</w:t>
      </w:r>
      <w:r w:rsidRPr="00AA3319">
        <w:rPr>
          <w:rFonts w:cs="Times New Roman"/>
        </w:rPr>
        <w:fldChar w:fldCharType="end"/>
      </w:r>
      <w:r w:rsidRPr="00AA3319">
        <w:rPr>
          <w:rFonts w:cs="Times New Roman"/>
        </w:rPr>
        <w:t xml:space="preserve"> and seasonal fluctuations in abundance </w:t>
      </w:r>
      <w:r w:rsidRPr="00AA3319">
        <w:rPr>
          <w:rFonts w:cs="Times New Roman"/>
        </w:rPr>
        <w:fldChar w:fldCharType="begin"/>
      </w:r>
      <w:r w:rsidR="00531D94" w:rsidRPr="00AA3319">
        <w:rPr>
          <w:rFonts w:cs="Times New Roman"/>
        </w:rPr>
        <w:instrText xml:space="preserve"> ADDIN ZOTERO_ITEM CSL_CITATION {"citationID":"I1meSQkB","properties":{"formattedCitation":"(Bradt et al., 2019)","plainCitation":"(Bradt et al., 2019)","noteIndex":0},"citationItems":[{"id":3535,"uris":["http://zotero.org/users/5456909/items/27WB2885"],"uri":["http://zotero.org/users/5456909/items/27WB2885"],"itemData":{"id":3535,"type":"article-journal","abstract":"Abstract.  Vector-borne diseases in the United States have recently increased as a result of the changing nature of vectors, hosts, reservoirs, pathogens, and t","container-title":"Journal of Medical Entomology","journalAbbreviation":"J Med Entomol","language":"en","source":"academic.oup.com","title":"Differences in Mosquito Communities in Six Cities in Oklahoma","author":[{"family":"Bradt","given":"David"},{"family":"Wormington","given":"Jillian D."},{"family":"Long","given":"James M."},{"family":"Hoback","given":"W. Wyatt"},{"family":"Noden","given":"Bruce H."}],"accessed":{"date-parts":[["2019",4,30]]},"issued":{"date-parts":[["2019"]]}}}],"schema":"https://github.com/citation-style-language/schema/raw/master/csl-citation.json"} </w:instrText>
      </w:r>
      <w:r w:rsidRPr="00AA3319">
        <w:rPr>
          <w:rFonts w:cs="Times New Roman"/>
        </w:rPr>
        <w:fldChar w:fldCharType="separate"/>
      </w:r>
      <w:r w:rsidR="002B37C7" w:rsidRPr="00AA3319">
        <w:rPr>
          <w:rFonts w:cs="Times New Roman"/>
        </w:rPr>
        <w:t>(Bradt et al., 2019)</w:t>
      </w:r>
      <w:r w:rsidRPr="00AA3319">
        <w:rPr>
          <w:rFonts w:cs="Times New Roman"/>
        </w:rPr>
        <w:fldChar w:fldCharType="end"/>
      </w:r>
      <w:r w:rsidRPr="00AA3319">
        <w:rPr>
          <w:rFonts w:cs="Times New Roman"/>
        </w:rPr>
        <w:t xml:space="preserve">. However, to our knowledge no studies have linked species abundances to environmental factors in this area. </w:t>
      </w:r>
    </w:p>
    <w:p w14:paraId="138CDA53" w14:textId="3E56034A" w:rsidR="0060075D" w:rsidRPr="00AA3319" w:rsidRDefault="0060075D" w:rsidP="0060075D">
      <w:pPr>
        <w:rPr>
          <w:rFonts w:cs="Times New Roman"/>
        </w:rPr>
      </w:pPr>
      <w:r w:rsidRPr="00AA3319">
        <w:rPr>
          <w:rFonts w:cs="Times New Roman"/>
        </w:rPr>
        <w:t xml:space="preserve">The problem posed by the concentration of these species in urban areas is compounded by the difficulty of tracking these species in heterogeneous urban environments </w:t>
      </w:r>
      <w:r w:rsidRPr="00AA3319">
        <w:rPr>
          <w:rFonts w:cs="Times New Roman"/>
        </w:rPr>
        <w:fldChar w:fldCharType="begin"/>
      </w:r>
      <w:r w:rsidR="000D258D" w:rsidRPr="00AA3319">
        <w:rPr>
          <w:rFonts w:cs="Times New Roman"/>
        </w:rPr>
        <w:instrText xml:space="preserve"> ADDIN ZOTERO_ITEM CSL_CITATION {"citationID":"1b5XxH6s","properties":{"formattedCitation":"(Murdock et al., 2017)","plainCitation":"(Murdock et al., 2017)","noteIndex":0},"citationItems":[{"id":1620,"uris":["http://zotero.org/users/5456909/items/9PXQCDFD"],"uri":["http://zotero.org/users/5456909/items/9PXQCDFD"],"itemData":{"id":1620,"type":"article-journal","abstract":"Most statistical and mechanistic models used to predict mosquito-borne disease transmis-sion incorporate climate drivers of disease transmission by utilizing environmental data col-lected at geographic scales that are potentially coarser than what mosquito populations may actually experience. Temperature and relative humidity can vary greatly between indoor and outdoor environments, and can be influenced strongly by variation in landscape fea-tures. In the Aedes albopictus system, we conducted a proof-of-concept study in the vicinity of the University of Georgia to explore the effects of fine-scale microclimate variation on mosquito life history and vectorial capacity (VC). We placed Ae. albopictus larvae in artificial pots distributed across three replicate sites within three different land uses–urban, subur-ban, and rural, which were characterized by high, intermediate, and low proportions of impervious surfaces. Data loggers were placed into each larval environment and in nearby vegetation to record daily variation in water and ambient temperature and relative humidity. The number of adults emerging from each pot and their body size and sex were recorded daily. We found mosquito microclimate to significantly vary across the season as well as with land use. Urban sites were in general warmer and less humid than suburban and rural sites, translating into decreased larval survival, smaller body sizes, and lower per capita growth rates of mosquitoes on urban sites. Dengue transmission potential was predicted to be higher in the summer than the fall. Additionally, the effects of land use on dengue trans-mission potential varied by season. Warm summers resulted in a higher predicted VC on the cooler, rural sites, while warmer, urban sites had a higher predicted VC during the cooler fall season. PLOS Neglected Tropical Diseases | https://doi.org/10.1371/journal.pntd.0005640 May 30, 2017 1 / 23 a1111111111 a1111111111 a1111111111 a1111111111 a1111111111 OPEN ACCESS Citation: Murdock CC, Evans MV, McClanahan TD, Miazgowicz KL, Tesla B (2017) Fine-scale variation in microclimate across an urban landscape shapes variation in mosquito population dynamics and the potential of Aedes albopictus to transmit arboviral disease. PLoS Negl Trop Dis 11(5): e0005640. Environmental factors influence the dynamics of mosquito-borne disease transmission. Most models used to predict mosquito-borne disease transmission incorporate climate data collected at coarser scales than mosquitoes typically experience. Climate conditions can vary greatly between indoor and outdoor environments, and are influenced by land-scape features. We conducted a field experiment with the Asian tiger mosquito to explore how microclimate variation across an urban landscape affects mosquito life history and potential to transmit arboviruses, like dengue. We demonstrate that climate conditions captured by weather stations do not reflect relevant mosquito microclimate, and that sub-tle variation in mean and diurnal ranges of temperature and relative humidity can lead to appreciable variation in key mosquito / pathogen traits that are important for transmis-sion. Our results have implications for statistical and mechanistic models used to predict variation in transmission across seasons, regions, and land uses, but also for building in realistic environmental variation in laboratory work on mosquito-pathogen interactions. Finally, the variation in microclimate we observed across land use was subtle; likely because our study site is a relatively small city. Nevertheless, these translated into consid-erable differences in mosquito traits and dengue transmission potential, suggesting these effects could be much larger in more expansive cities.","container-title":"PLoS neglected tropical diseases","issue":"5","page":"e0005640-e0005640","title":"Fine-scale variation in microclimate across an urban landscape shapes variation in mosquito population dynamics and the potential of Aedes albopictus to transmit arboviral disease","volume":"11","author":[{"family":"Murdock","given":"Courtney C"},{"family":"Evans","given":"Michelle V"},{"family":"Mcclanahan","given":"Taylor D"},{"family":"Miazgowicz","given":"Kerri L"},{"family":"Tesla","given":"Blanka"}],"issued":{"date-parts":[["2017"]]}}}],"schema":"https://github.com/citation-style-language/schema/raw/master/csl-citation.json"} </w:instrText>
      </w:r>
      <w:r w:rsidRPr="00AA3319">
        <w:rPr>
          <w:rFonts w:cs="Times New Roman"/>
        </w:rPr>
        <w:fldChar w:fldCharType="separate"/>
      </w:r>
      <w:r w:rsidR="002B37C7" w:rsidRPr="00AA3319">
        <w:rPr>
          <w:rFonts w:cs="Times New Roman"/>
        </w:rPr>
        <w:t>(Murdock et al., 2017)</w:t>
      </w:r>
      <w:r w:rsidRPr="00AA3319">
        <w:rPr>
          <w:rFonts w:cs="Times New Roman"/>
        </w:rPr>
        <w:fldChar w:fldCharType="end"/>
      </w:r>
      <w:r w:rsidRPr="00AA3319">
        <w:rPr>
          <w:rFonts w:cs="Times New Roman"/>
        </w:rPr>
        <w:t xml:space="preserve">, where there can be a large range of microhabitats within the landscape </w:t>
      </w:r>
      <w:r w:rsidRPr="00AA3319">
        <w:rPr>
          <w:rFonts w:cs="Times New Roman"/>
        </w:rPr>
        <w:fldChar w:fldCharType="begin"/>
      </w:r>
      <w:r w:rsidR="006B043F" w:rsidRPr="00AA3319">
        <w:rPr>
          <w:rFonts w:cs="Times New Roman"/>
        </w:rPr>
        <w:instrText xml:space="preserve"> ADDIN ZOTERO_ITEM CSL_CITATION {"citationID":"jveqes4D","properties":{"formattedCitation":"(Pincebourde et al., 2016)","plainCitation":"(Pincebourde et al., 2016)","noteIndex":0},"citationItems":[{"id":4144,"uris":["http://zotero.org/users/5456909/items/NLD9IUI4"],"uri":["http://zotero.org/users/5456909/items/NLD9IUI4"],"itemData":{"id":4144,"type":"article-journal","abstract":"When predicting the response of organisms to global change, models use measures of climate at a coarse resolution from general circulation models or from downscaled regional models. Organisms, however, do not experience climate at such large scales. The climate heterogeneity over a landscape and how much of that landscape an organism can sample will determine ultimately the microclimates experienced by organisms. This past few decades has seen an important increase in the number of studies reporting microclimatic patterns at small scales. This synthesis intends to unify studies reporting microclimatic heterogeneity (mostly temperature) at various spatial scales, to infer any emerging trends, and to discuss the causes and consequences of such heterogeneity for organismal performance and with respect to changing land use patterns and climate. First, we identify the environmental drivers of heterogeneity across the various spatial scales that are pertinent to ectotherms. The thermal heterogeneity at the local and micro-scales is mostly generated by the architecture or the geometrical features of the microhabitat. Then, the thermal heterogeneity experienced by individuals is modulated by behavior. Second, we survey the literature to quantify thermal heterogeneity from the micro-scale up to the scale of a landscape in natural habitats. Despite difficulties in compiling studies that differ much in their design and aims, we found that there is as much thermal heterogeneity across micro-, local and landscape scales, and that the temperature range is large in general (&gt;9 °C on average, and up to 26 °C). Third, we examine the extent to which urban habitats can be used to infer the microclimatic patterns of the future. Urban areas generate globally drier and warmer microclimatic patterns and recent evidence suggest that thermal traits of ectotherms are adapted to them. Fourth, we explore the interplay between microclimate heterogeneity and the behavioral thermoregulatory abilities of ectotherms in setting their overall performance. We used a random walk framework to show that the thermal heterogeneity allows a more precise behavioral thermoregulation and a narrower temperature distribution of the ectotherm compared to less heterogeneous microhabitats. Finally, we discuss the potential impacts of global change on the fine scale mosaics of microclimates. The amplitude of change may differ between spatial scales. In heterogeneous microhabitats, the amplitude of change at micro-scale, caused by atmospheric warming, can be substantial while it can be limited at the local and landscape scales. We suggest that the warming signal will influence species performance and biotic interactions by modulating the mosaic of microclimates.","container-title":"Integrative and Comparative Biology","issue":"1","journalAbbreviation":"Integr Comp Biol","language":"eng","page":"45-61","source":"PubMed","title":"Fine-Scale Microclimatic Variation Can Shape the Responses of Organisms to Global Change in Both Natural and Urban Environments","volume":"56","author":[{"family":"Pincebourde","given":"Sylvain"},{"family":"Murdock","given":"Courtney C."},{"family":"Vickers","given":"Mathew"},{"family":"Sears","given":"Michael W."}],"issued":{"date-parts":[["2016"]]}}}],"schema":"https://github.com/citation-style-language/schema/raw/master/csl-citation.json"} </w:instrText>
      </w:r>
      <w:r w:rsidRPr="00AA3319">
        <w:rPr>
          <w:rFonts w:cs="Times New Roman"/>
        </w:rPr>
        <w:fldChar w:fldCharType="separate"/>
      </w:r>
      <w:r w:rsidR="002B37C7" w:rsidRPr="00AA3319">
        <w:rPr>
          <w:rFonts w:cs="Times New Roman"/>
        </w:rPr>
        <w:t>(Pincebourde et al., 2016)</w:t>
      </w:r>
      <w:r w:rsidRPr="00AA3319">
        <w:rPr>
          <w:rFonts w:cs="Times New Roman"/>
        </w:rPr>
        <w:fldChar w:fldCharType="end"/>
      </w:r>
      <w:r w:rsidRPr="00AA3319">
        <w:rPr>
          <w:rFonts w:cs="Times New Roman"/>
        </w:rPr>
        <w:t xml:space="preserve">. Highly heterogeneous landscapes can influence biologically relevant factors in the disease transmission cycle, such as vector density, survivorship, or biting rate </w:t>
      </w:r>
      <w:r w:rsidRPr="00AA3319">
        <w:rPr>
          <w:rFonts w:cs="Times New Roman"/>
        </w:rPr>
        <w:fldChar w:fldCharType="begin"/>
      </w:r>
      <w:r w:rsidR="00D5378A" w:rsidRPr="00AA3319">
        <w:rPr>
          <w:rFonts w:cs="Times New Roman"/>
        </w:rPr>
        <w:instrText xml:space="preserve"> ADDIN ZOTERO_ITEM CSL_CITATION {"citationID":"3wm38SlM","properties":{"formattedCitation":"(Hamer et al., 2011; LaDeau et al., 2015)","plainCitation":"(Hamer et al., 2011; LaDeau et al., 2015)","noteIndex":0},"citationItems":[{"id":4127,"uris":["http://zotero.org/users/5456909/items/UWFI29E2"],"uri":["http://zotero.org/users/5456909/items/UWFI29E2"],"itemData":{"id":4127,"type":"article-journal","abstract":"The influence of host diversity on multi-host pathogen transmission and persistence can be confounded by the large number of species and biological interactions that can characterize many transmission systems. For vector-borne pathogens, the composition of host communities has been hypothesized to affect transmission; however, the specific characteristics of host communities that affect transmission remain largely unknown. We tested the hypothesis that vector host use and force of infection (i.e., the summed number of infectious mosquitoes resulting from feeding upon each vertebrate host within a community of hosts), and not simply host diversity or richness, determine local infection rates of West Nile virus (WNV) in mosquito vectors. In suburban Chicago, Illinois, USA, we estimated community force of infection for West Nile virus using data on Culex pipiens mosquito host selection and WNV vertebrate reservoir competence for each host species in multiple residential and semi-natural study sites. We found host community force of infection interacted with avian diversity to influence WNV infection in Culex mosquitoes across the study area. Two avian species, the American robin (Turdus migratorius) and the house sparrow (Passer domesticus), produced 95.8% of the infectious Cx. pipiens mosquitoes and showed a significant positive association with WNV infection in Culex spp. mosquitoes. Therefore, indices of community structure, such as species diversity or richness, may not be reliable indicators of transmission risk at fine spatial scales in vector-borne disease systems. Rather, robust assessment of local transmission risk should incorporate heterogeneity in vector host feeding and variation in vertebrate reservoir competence at the spatial scale of vector-host interaction.","container-title":"PloS One","ISSN":"1932-6203","issue":"8","journalAbbreviation":"PLoS One","language":"eng","note":"PMID: 21886821\nPMCID: PMC3158794","page":"e23767","source":"PubMed","title":"Fine-scale variation in vector host use and force of infection drive localized patterns of West Nile virus transmission","volume":"6","author":[{"family":"Hamer","given":"Gabriel L."},{"family":"Chaves","given":"Luis F."},{"family":"Anderson","given":"Tavis K."},{"family":"Kitron","given":"Uriel D."},{"family":"Brawn","given":"Jeffrey D."},{"family":"Ruiz","given":"Marilyn O."},{"family":"Loss","given":"Scott R."},{"family":"Walker","given":"Edward D."},{"family":"Goldberg","given":"Tony L."}],"issued":{"date-parts":[["2011"]]}}},{"id":3557,"uris":["http://zotero.org/users/5456909/items/GA3EJMJR"],"uri":["http://zotero.org/users/5456909/items/GA3EJMJR"],"itemData":{"id":3557,"type":"article-journal","abstract":"Urban transmission of arthropod-vectored disease has increased in recent decades. Understanding and managing transmission potential in urban landscapes requires integration of sociological and ecological processes that regulate vector population dynamics, feeding behavior, and vector-pathogen interactions in these unique ecosystems. Vectorial capacity is a key metric for generating predictive understanding about transmission potential in systems with obligate vector transmission. This review evaluates how urban conditions, specifically habitat suitability and local temperature regimes, and the heterogeneity of urban landscapes can influence the biologically-relevant parameters that define vectorial capacity: vector density, survivorship, biting rate, extrinsic incubation period, and vector competence.Urban landscapes represent unique mosaics of habitat. Incidence of vector-borne disease in urban host populations is rarely, if ever, evenly distributed across an urban area. The persistence and quality of vector habitat can vary significantly across socio-economic boundaries to influence vector species composition and abundance, often generating socio-economically distinct gradients of transmission potential across neighborhoods.Urban regions often experience unique temperature regimes, broadly termed urban heat islands (UHI). Arthropod vectors are ectothermic organisms and their growth, survival, and behavior are highly sensitive to environmental temperatures. Vector response to UHI conditions is dependent on regional temperature profiles relative to the vector’s thermal performance range. In temperate climates UHI can facilitate increased vector development rates while having countervailing influence on survival and feeding behavior. Understanding how urban heat island (UHI) conditions alter thermal and moisture constraints across the vector life cycle to influence transmission processes is an important direction for both empirical and modeling research.There remain persistent gaps in understanding of vital rates and drivers in mosquito-vectored disease systems, and vast holes in understanding for other arthropod vectored diseases. Empirical studies are needed to better understand the physiological constraints and socio-ecological processes that generate heterogeneity in critical transmission parameters, including vector survival and fitness. Likewise, laboratory experiments and transmission models must evaluate vector response to realistic field conditions, including variability in sociological and environmental conditions., \n, Pathogens transmitted by the bite of arthropod vectors pose a significant human health burden worldwide, and mosquito-vectored diseases alone cause more than 1300 deaths each day (). The landscape of vector-borne disease risk has changed dramatically in recent decades, due in part to global exchanges of goods and people. This is evident in the spread of tick-borne disease across the eastern United States and in the emergence of mosquito-borne chikungunya virus in temperate Italy. Urban regions are often a focus for arrivals and pathogens transmitted by biting arthropods have been increasingly reported in urban areas across the temperate zone., This paper reviews how urban climate and habitat conditions influence population density, biting behaviour, and vector-pathogen interactions across a range of arthropod-pathogen systems. Predictive capacity needed to manage transmission risk is often limited to broad spatial and temporal scales, yet disease incidence in urban regions is fundamentally patchy. Urban landscapes represent unique mosaics of habitat. The persistence and quality of vector habitat can vary significantly across socio-economic boundaries to influence vector species composition and abundance. The changes in the environmental temperature and moisture regimes observed in urban systems can dramatically influence predictions for vector population growth and transmission potential. Synthesis of research highlights the heterogeneity in transmission potential across urban landscapes, created in part by socio-economic conditions that can influence both vector species composition and fitness to generate distinct gradients of risk across neighborhoods., There remain persistent gaps in understanding of vital rates and drivers in even the most studied mosquito-vectored disease systems, and vast holes in understanding for other arthropod vectored diseases. Empirical studies are needed to better understand the physiological constraints and socio-ecological processes that generate landscape heterogeneity in transmission. Likewise, laboratory experiments and transmission models must evaluate vector response to realistic field conditions, including variability in sociological and environmental conditions.","container-title":"Functional ecology","ISSN":"0269-8463","journalAbbreviation":"Funct Ecol","note":"PMID: 26549921\nPMCID: PMC4631442","page":"889-901","source":"PubMed Central","title":"The ecological foundations of transmission potential and vector-borne disease in urban landscapes","volume":"29","author":[{"family":"LaDeau","given":"Shannon L."},{"family":"Allan","given":"Brian F."},{"family":"Leisnham","given":"Paul T."},{"family":"Levy","given":"Michael Z."}],"issued":{"date-parts":[["2015",7]]}}}],"schema":"https://github.com/citation-style-language/schema/raw/master/csl-citation.json"} </w:instrText>
      </w:r>
      <w:r w:rsidRPr="00AA3319">
        <w:rPr>
          <w:rFonts w:cs="Times New Roman"/>
        </w:rPr>
        <w:fldChar w:fldCharType="separate"/>
      </w:r>
      <w:r w:rsidR="002B37C7" w:rsidRPr="00AA3319">
        <w:rPr>
          <w:rFonts w:cs="Times New Roman"/>
        </w:rPr>
        <w:t>(Hamer et al., 2011; LaDeau et al., 2015)</w:t>
      </w:r>
      <w:r w:rsidRPr="00AA3319">
        <w:rPr>
          <w:rFonts w:cs="Times New Roman"/>
        </w:rPr>
        <w:fldChar w:fldCharType="end"/>
      </w:r>
      <w:r w:rsidRPr="00AA3319">
        <w:rPr>
          <w:rFonts w:cs="Times New Roman"/>
        </w:rPr>
        <w:t>. Hence, it is crucial to study aspects of the transmission cycle that are meaningful for species occurrence</w:t>
      </w:r>
      <w:r w:rsidR="00F60934" w:rsidRPr="00F60934">
        <w:rPr>
          <w:rFonts w:cs="Times New Roman"/>
        </w:rPr>
        <w:t xml:space="preserve"> </w:t>
      </w:r>
      <w:r w:rsidR="00F60934" w:rsidRPr="00AA3319">
        <w:rPr>
          <w:rFonts w:cs="Times New Roman"/>
        </w:rPr>
        <w:t>at the relevant scale</w:t>
      </w:r>
      <w:r w:rsidRPr="00AA3319">
        <w:rPr>
          <w:rFonts w:cs="Times New Roman"/>
        </w:rPr>
        <w:t>. Detailed microclimate</w:t>
      </w:r>
      <w:r w:rsidRPr="00AA3319">
        <w:rPr>
          <w:rFonts w:cs="Times New Roman"/>
          <w:i/>
        </w:rPr>
        <w:t xml:space="preserve"> </w:t>
      </w:r>
      <w:r w:rsidRPr="00AA3319">
        <w:rPr>
          <w:rFonts w:cs="Times New Roman"/>
        </w:rPr>
        <w:t xml:space="preserve">measurements can provide comprehensive information at specific sampling sites. However, such studies may fail to capture the full range of microhabitats within a heterogeneous urban landscape. </w:t>
      </w:r>
    </w:p>
    <w:p w14:paraId="1DA06D02" w14:textId="30FD6193" w:rsidR="0060075D" w:rsidRPr="00AA3319" w:rsidRDefault="0060075D" w:rsidP="0060075D">
      <w:pPr>
        <w:rPr>
          <w:rFonts w:cs="Times New Roman"/>
        </w:rPr>
      </w:pPr>
      <w:r w:rsidRPr="00AA3319">
        <w:rPr>
          <w:rFonts w:cs="Times New Roman"/>
        </w:rPr>
        <w:t xml:space="preserve">Entomological surveys that include detailed microclimate data are collected at a limited number of sampling sites and times within a study period. Remote sensing data offers an alternative, since satellites provide environmental measurements across large landscapes at consistent time intervals, and over longer time frames. Satellite sensors have drastically improved over the last decades, and long-term data archives of high-quality satellite imagery are increasingly expanding </w:t>
      </w:r>
      <w:r w:rsidRPr="00AA3319">
        <w:rPr>
          <w:rFonts w:cs="Times New Roman"/>
        </w:rPr>
        <w:fldChar w:fldCharType="begin"/>
      </w:r>
      <w:r w:rsidR="00FF3DA9" w:rsidRPr="00AA3319">
        <w:rPr>
          <w:rFonts w:cs="Times New Roman"/>
        </w:rPr>
        <w:instrText xml:space="preserve"> ADDIN ZOTERO_ITEM CSL_CITATION {"citationID":"smp6zY7Y","properties":{"formattedCitation":"(Wulder et al., 2016)","plainCitation":"(Wulder et al., 2016)","noteIndex":0},"citationItems":[{"id":1456,"uris":["http://zotero.org/users/5456909/items/V8J8K2RI"],"uri":["http://zotero.org/users/5456909/items/V8J8K2RI"],"itemData":{"id":1456,"type":"article-journal","abstract":"a b s t r a c t New and previously unimaginable Landsat applications have been fostered by a policy change in 2008 that made analysis-ready Landsat data free and open access. Since 1972, Landsat has been collecting images of the Earth, with the early years of the program constrained by onboard satellite and ground systems, as well as limitations across the range of required computing, networking, and storage capabilities. Rather than robust on-satellite storage for transmission via high bandwidth downlink to a centralized storage and distribution facility as with Landsat-8, a network of receiving stations, one operated by the U.S. government, the other operated by a commu-nity of International Cooperators (ICs), were utilized. ICs paid a fee for the right to receive and distribute Landsat data and over time, more Landsat data was held outside the archive of the United State Geological Survey (USGS) than was held inside, much of it unique. Recognizing the critical value of these data, the USGS began a Landsat Global Archive Consolidation (LGAC) initiative in 2010 to bring these data into a single, universally accessible, centralized global archive, housed at the Earth Resources Observation and Science (EROS) Center in Sioux Falls, South Dakota. The primary LGAC goals are to inventory the data held by ICs, acquire the data, and ingest and apply standard ground station processing to generate an L1T analysis-ready product. As of January 1, 2015 there were 5,532,454 images in the USGS archive. LGAC has contributed approximately 3.2 million of those im-ages, more than doubling the original USGS archive holdings. Moreover, an additional 2.3 million images have been identified to date through the LGAC initiative and are in the process of being added to the archive. The im-pact of LGAC is significant and, in terms of images in the collection, analogous to that of having had two additional Landsat-5 missions. As a result of LGAC, there are regions of the globe that now have markedly improved Landsat data coverage, resulting in an enhanced capacity for mapping, monitoring change, and capturing historic condi-tions. Although future missions can be planned and implemented, the past cannot be revisited, underscoring the value and enhanced significance of historical Landsat data and the LGAC initiative. The aim of this paper is to re-port the current status of the global USGS Landsat archive, document the existing and anticipated contributions of LGAC to the archive, and characterize the current acquisitions of Landsat-7 and Landsat-8. Landsat-8 is adding data to the archive at an unprecedented rate as nearly all terrestrial images are now collected. We also offer key lessons learned so far from the LGAC initiative, plus insights regarding other critical elements of the Landsat program looking forward, such as acquisition, continuity, temporal revisit, and the importance of continuing to operationalize the Landsat program.","container-title":"Remote Sensing of Environment","page":"271-283","title":"The global Landsat archive: Status, consolidation, and direction","volume":"185","author":[{"family":"Wulder","given":"Michael A"},{"family":"White","given":"Joanne C"},{"family":"Loveland","given":"Thomas R"},{"family":"Woodcock","given":"Curtis E"},{"family":"Belward","given":"Alan S"},{"family":"Cohen","given":"Warren B"},{"family":"Fosnight","given":"Eugene A"},{"family":"Shaw","given":"Jerad"},{"family":"Masek","given":"Jeffrey G"},{"family":"Roy","given":"David P"}],"issued":{"date-parts":[["2016"]]}}}],"schema":"https://github.com/citation-style-language/schema/raw/master/csl-citation.json"} </w:instrText>
      </w:r>
      <w:r w:rsidRPr="00AA3319">
        <w:rPr>
          <w:rFonts w:cs="Times New Roman"/>
        </w:rPr>
        <w:fldChar w:fldCharType="separate"/>
      </w:r>
      <w:r w:rsidR="002B37C7" w:rsidRPr="00AA3319">
        <w:rPr>
          <w:rFonts w:cs="Times New Roman"/>
        </w:rPr>
        <w:t>(Wulder et al., 2016)</w:t>
      </w:r>
      <w:r w:rsidRPr="00AA3319">
        <w:rPr>
          <w:rFonts w:cs="Times New Roman"/>
        </w:rPr>
        <w:fldChar w:fldCharType="end"/>
      </w:r>
      <w:r w:rsidRPr="00AA3319">
        <w:rPr>
          <w:rFonts w:cs="Times New Roman"/>
        </w:rPr>
        <w:t xml:space="preserve">. These improvements have led </w:t>
      </w:r>
      <w:r w:rsidRPr="00AA3319">
        <w:rPr>
          <w:rFonts w:cs="Times New Roman"/>
        </w:rPr>
        <w:lastRenderedPageBreak/>
        <w:t xml:space="preserve">to the common use of satellite data as a source to study spatiotemporal risk factors of a variety of vector borne diseases </w:t>
      </w:r>
      <w:r w:rsidRPr="00AA3319">
        <w:rPr>
          <w:rFonts w:cs="Times New Roman"/>
        </w:rPr>
        <w:fldChar w:fldCharType="begin"/>
      </w:r>
      <w:r w:rsidR="00FF3DA9" w:rsidRPr="00AA3319">
        <w:rPr>
          <w:rFonts w:cs="Times New Roman"/>
        </w:rPr>
        <w:instrText xml:space="preserve"> ADDIN ZOTERO_ITEM CSL_CITATION {"citationID":"SMO8x76w","properties":{"formattedCitation":"(Dlamini et al., 2019; Malone et al., 2019; Wimberly et al., 2021)","plainCitation":"(Dlamini et al., 2019; Malone et al., 2019; Wimberly et al., 2021)","noteIndex":0},"citationItems":[{"id":2825,"uris":["http://zotero.org/users/5456909/items/VFMDKCK9"],"uri":["http://zotero.org/users/5456909/items/VFMDKCK9"],"itemData":{"id":2825,"type":"article-journal","abstract":"High resolution remotely sensed (RS) data products remain of interest in disease mapping studies. However, previous usage of such satellite-derived products had been limited by high costs. There is also unprecedented space activity characterized by prolific satellite launches for various purposes, the chief of which being land cover observation. Therefore, there is need for information availability on the type of data products obtainable from the captured satellite images in order to facilitate access and utilization. Clearly, the remote sensing landscape is changing with the advent of Unmanned Aerial Vehicle/drones and spatially explicit images being captured at relatively low costs. We conducted a review to find out which RS data products were accessible for disease mapping and epidemiology. Our aim was to document RS data products for disease mapping and to propose other such products that could be incorporated in disease mapping and epidemiology studies. In view of the fact that RS data products are rapidly evolving, image data of higher spatial and temporal resolutions in near-real are already available to aid disease mapping. We presented a catalogue of indices from ecological studies that could be used as variables in disease mapping and epidemiology. Remotely sensed data products related to climate, meteorology, land use/cover, cartography and urban mapping are explored as potential indices for disease mapping. There remains a substantial amount of work to be conducted on the evaluation and validation of some of the indices presented in this study. Conversely, synergies between remote sensing experts and epidemiologists could be useful in the uptake and testing of some of the proposed RS data products presented in this work.","container-title":"Remote Sensing Applications: Society and Environment","journalAbbreviation":"Remote Sensing Applications: Society and Environment","source":"ScienceDirect","title":"Review of remotely sensed data products for disease mapping and epidemiology","author":[{"family":"Dlamini","given":"Sabelo Nick"},{"family":"Beloconi","given":"Anton"},{"family":"Mabaso","given":"Sizwe"},{"family":"Vounatsou","given":"Penelope"},{"family":"Impouma","given":"Benido"},{"family":"Fall","given":"Ibrahima Socé"}],"accessed":{"date-parts":[["2019",2,23]]},"issued":{"date-parts":[["2019",2,15]]}}},{"id":25,"uris":["http://zotero.org/users/5456909/items/CSYZW2S6"],"uri":["http://zotero.org/users/5456909/items/CSYZW2S6"],"itemData":{"id":25,"type":"article-journal","abstract":"The distribution of diseases caused by vector-borne viruses and parasites are restricted by the environmental requirements of their vectors, but also by the ambient temperature inside the host as it influences the speed of maturation of the infectious agent transferred. The launch of the Soil Moisture Active Passive (SMAP) satellite in 2015, and the new ECOSTRESS instrument onboard the International Space Station (ISS) in 2018, established the leadership of the National Aeronautics Space Administration (NASA) in ecology and climate research by allowing the structural and functional classification of ecosystems that govern vector sustainability. These advances, and the availability of sub-meter resolution data from commercial satellites, contribute to seamless mapping and modelling of diseases, not only at continental scales (1 km2) and local community or agricultural field scales (15&amp;ndash;30 m2), but for the first time, also at the habitat&amp;ndash;household scale (&amp;lt;1 m2). This communication presents current capabilities that are related to data collection by Earth-observing satellites, and draws attention to the usefulness of geographical information systems (GIS) and modelling for the study of important parasitic diseases.","container-title":"Tropical Medicine and Infectious Disease","issue":"1","language":"en","page":"15","source":"www.mdpi.com","title":"Use of Geospatial Surveillance and Response Systems for Vector-Borne Diseases in the Elimination Phase","volume":"4","author":[{"family":"Malone","given":"John B."},{"family":"Bergquist","given":"Robert"},{"family":"Martins","given":"Moara"},{"family":"Luvall","given":"Jeffrey C."}],"issued":{"date-parts":[["2019",3]]}}},{"id":4327,"uris":["http://zotero.org/users/5456909/items/LH9PZX6B"],"uri":["http://zotero.org/users/5456909/items/LH9PZX6B"],"itemData":{"id":4327,"type":"article-journal","abstract":"Satellite remote sensing provides a wealth of information about environmental factors that influence malaria transmission cycles and human populations at risk. Long-term observations facilitate analysis of climate-malaria relationships, and high-resolution data can be used to assess the effects of agriculture, urbanization, deforestation, and water management on malaria. New sources of very-high-resolution satellite imagery and synthetic aperture radar data will increase the precision and frequency of observations. Cloud computing platforms for remote sensing data combined with analysis-ready datasets and high-level data products have made satellite remote sensing more accessible to nonspecialists. Further collaboration between the malaria and remote sensing communities is needed to develop and implement useful geospatial data products that will support global efforts toward malaria control, elimination, and eradication.","container-title":"Trends in Parasitology","ISSN":"1471-5007","journalAbbreviation":"Trends Parasitol","language":"eng","note":"PMID: 33775559","source":"PubMed","title":"Satellite Observations and Malaria: New Opportunities for Research and Applications","title-short":"Satellite Observations and Malaria","author":[{"family":"Wimberly","given":"Michael C."},{"family":"Beurs","given":"Kirsten M.","non-dropping-particle":"de"},{"family":"Loboda","given":"Tatiana V."},{"family":"Pan","given":"William K."}],"issued":{"date-parts":[["2021",3,25]]}}}],"schema":"https://github.com/citation-style-language/schema/raw/master/csl-citation.json"} </w:instrText>
      </w:r>
      <w:r w:rsidRPr="00AA3319">
        <w:rPr>
          <w:rFonts w:cs="Times New Roman"/>
        </w:rPr>
        <w:fldChar w:fldCharType="separate"/>
      </w:r>
      <w:r w:rsidR="00FF3DA9" w:rsidRPr="00AA3319">
        <w:rPr>
          <w:rFonts w:cs="Times New Roman"/>
        </w:rPr>
        <w:t>(Dlamini et al., 2019; Malone et al., 2019; Wimberly et al., 2021)</w:t>
      </w:r>
      <w:r w:rsidRPr="00AA3319">
        <w:rPr>
          <w:rFonts w:cs="Times New Roman"/>
        </w:rPr>
        <w:fldChar w:fldCharType="end"/>
      </w:r>
      <w:r w:rsidRPr="00AA3319">
        <w:rPr>
          <w:rFonts w:cs="Times New Roman"/>
        </w:rPr>
        <w:t xml:space="preserve">. Additionally, earth observation data from satellites provide standardized measurements that can be converted into ecologically meaningful variables that are relevant for mosquito ecology including land cover, land surface temperature, and rainfall. However, </w:t>
      </w:r>
      <w:r w:rsidR="00F60934">
        <w:rPr>
          <w:rFonts w:cs="Times New Roman"/>
        </w:rPr>
        <w:t xml:space="preserve">there </w:t>
      </w:r>
      <w:r w:rsidR="00912B3C">
        <w:rPr>
          <w:rFonts w:cs="Times New Roman"/>
        </w:rPr>
        <w:t>is often</w:t>
      </w:r>
      <w:r w:rsidRPr="00AA3319">
        <w:rPr>
          <w:rFonts w:cs="Times New Roman"/>
        </w:rPr>
        <w:t xml:space="preserve"> a mismatch between the scale</w:t>
      </w:r>
      <w:r w:rsidR="00F60934">
        <w:rPr>
          <w:rFonts w:cs="Times New Roman"/>
        </w:rPr>
        <w:t>s</w:t>
      </w:r>
      <w:r w:rsidRPr="00AA3319">
        <w:rPr>
          <w:rFonts w:cs="Times New Roman"/>
        </w:rPr>
        <w:t xml:space="preserve"> at which satellite data are retrieved and the scale</w:t>
      </w:r>
      <w:r w:rsidR="00F60934">
        <w:rPr>
          <w:rFonts w:cs="Times New Roman"/>
        </w:rPr>
        <w:t>s</w:t>
      </w:r>
      <w:r w:rsidRPr="00AA3319">
        <w:rPr>
          <w:rFonts w:cs="Times New Roman"/>
        </w:rPr>
        <w:t xml:space="preserve"> at which entomological surveys are performed. Previous research addressed this issue by combining remotely-sensed data with </w:t>
      </w:r>
      <w:r w:rsidRPr="00AA3319">
        <w:rPr>
          <w:rFonts w:cs="Times New Roman"/>
          <w:i/>
          <w:iCs/>
        </w:rPr>
        <w:t>in-situ</w:t>
      </w:r>
      <w:r w:rsidRPr="00AA3319">
        <w:rPr>
          <w:rFonts w:cs="Times New Roman"/>
        </w:rPr>
        <w:t xml:space="preserve"> microclimatic measurements </w:t>
      </w:r>
      <w:r w:rsidRPr="00AA3319">
        <w:rPr>
          <w:rFonts w:cs="Times New Roman"/>
        </w:rPr>
        <w:fldChar w:fldCharType="begin"/>
      </w:r>
      <w:r w:rsidR="00FF3DA9" w:rsidRPr="00AA3319">
        <w:rPr>
          <w:rFonts w:cs="Times New Roman"/>
        </w:rPr>
        <w:instrText xml:space="preserve"> ADDIN ZOTERO_ITEM CSL_CITATION {"citationID":"nXTyCtug","properties":{"formattedCitation":"(Wimberly et al., 2020)","plainCitation":"(Wimberly et al., 2020)","noteIndex":0},"citationItems":[{"id":4310,"uris":["http://zotero.org/users/5456909/items/SPVC8ASG"],"uri":["http://zotero.org/users/5456909/items/SPVC8ASG"],"itemData":{"id":4310,"type":"article-journal","abstract":"The emergence of mosquito-transmitted viruses poses a global threat to human health. Combining mechanistic epidemiological models based on temperature-trait relationships with climatological data is a powerful technique for environmental risk assessment. However, a limitation of this approach is that the local microclimates experienced by mosquitoes can differ substantially from macroclimate measurements, particularly in heterogeneous urban environments. To address this scaling mismatch, we modeled spatial variation in microclimate temperatures and the thermal potential for dengue transmission by Aedes albopictus across an urban-to-rural gradient in Athens-Clarke County GA. Microclimate data were collected across gradients of tree cover and impervious surface cover. We developed statistical models to predict daily minimum and maximum microclimate temperatures using coarse-resolution gridded macroclimate data (4000 m) and high-resolution land cover data (30 m). The resulting high-resolution microclimate maps were integrated with temperature-dependent mosquito abundance and vectorial capacity models to generate monthly predictions for the summer and early fall of 2018. The highest vectorial capacities were predicted for patches of trees in urban areas with high cover of impervious surfaces. Vectorial capacity was most sensitive to tree cover during the summer and became more sensitive to impervious surfaces in the early fall. Predictions from the same models using temperature data from a local meteorological station consistently over-predicted vectorial capacity compared to the microclimate-based estimates. This work demonstrates that it is feasible to model variation in mosquito microenvironments across an urban-to-rural gradient using satellite Earth observations. Epidemiological models applied to the microclimate maps revealed localized patterns of temperature suitability for disease transmission that would not be detectable using macroclimate data. Incorporating microclimate data into disease transmission models has the potential to yield more spatially precise and ecologically interpretable metrics of mosquito-borne disease transmission risk in urban landscapes.","container-title":"PLOS Neglected Tropical Diseases","ISSN":"1935-2735","issue":"9","journalAbbreviation":"PLOS Neglected Tropical Diseases","language":"en","note":"publisher: Public Library of Science","page":"e0008614","source":"PLoS Journals","title":"Land cover affects microclimate and temperature suitability for arbovirus transmission in an urban landscape","volume":"14","author":[{"family":"Wimberly","given":"Michael C."},{"family":"Davis","given":"Justin K."},{"family":"Evans","given":"Michelle V."},{"family":"Hess","given":"Andrea"},{"family":"Newberry","given":"Philip M."},{"family":"Solano-Asamoah","given":"Nicole"},{"family":"Murdock","given":"Courtney C."}],"issued":{"date-parts":[["2020",9,21]]}}}],"schema":"https://github.com/citation-style-language/schema/raw/master/csl-citation.json"} </w:instrText>
      </w:r>
      <w:r w:rsidRPr="00AA3319">
        <w:rPr>
          <w:rFonts w:cs="Times New Roman"/>
        </w:rPr>
        <w:fldChar w:fldCharType="separate"/>
      </w:r>
      <w:r w:rsidR="002B37C7" w:rsidRPr="00AA3319">
        <w:rPr>
          <w:rFonts w:cs="Times New Roman"/>
        </w:rPr>
        <w:t>(Wimberly et al., 2020)</w:t>
      </w:r>
      <w:r w:rsidRPr="00AA3319">
        <w:rPr>
          <w:rFonts w:cs="Times New Roman"/>
        </w:rPr>
        <w:fldChar w:fldCharType="end"/>
      </w:r>
      <w:r w:rsidRPr="00AA3319">
        <w:rPr>
          <w:rFonts w:cs="Times New Roman"/>
        </w:rPr>
        <w:t>. Here, we compare different environmental datasets to determine if satellite data can be an adequate substitute for climate loggers or weather station data in hard to access locations.</w:t>
      </w:r>
    </w:p>
    <w:p w14:paraId="2E82AAD0" w14:textId="039522F7" w:rsidR="0060075D" w:rsidRPr="00AA3319" w:rsidRDefault="0060075D" w:rsidP="0060075D">
      <w:pPr>
        <w:rPr>
          <w:rFonts w:cs="Times New Roman"/>
        </w:rPr>
      </w:pPr>
      <w:r w:rsidRPr="00AA3319">
        <w:rPr>
          <w:rFonts w:cs="Times New Roman"/>
        </w:rPr>
        <w:t xml:space="preserve">The goal of this study is to compare different sources of environmental data to examine vector mosquito distribution in an urban environment. Our study objectives were to: 1) identify environmental factors that influence abundance of the vector species </w:t>
      </w:r>
      <w:r w:rsidRPr="00AA3319">
        <w:rPr>
          <w:rFonts w:cs="Times New Roman"/>
          <w:i/>
        </w:rPr>
        <w:t>Cx. quinquefasciatus</w:t>
      </w:r>
      <w:r w:rsidRPr="00AA3319">
        <w:rPr>
          <w:rFonts w:cs="Times New Roman"/>
        </w:rPr>
        <w:t xml:space="preserve"> and </w:t>
      </w:r>
      <w:r w:rsidRPr="00AA3319">
        <w:rPr>
          <w:rFonts w:cs="Times New Roman"/>
          <w:i/>
        </w:rPr>
        <w:t>Ae. albopictus,</w:t>
      </w:r>
      <w:r w:rsidRPr="00AA3319">
        <w:rPr>
          <w:rFonts w:cs="Times New Roman"/>
        </w:rPr>
        <w:t xml:space="preserve"> and 2) evaluate how remotely-sensed environmental data compares to </w:t>
      </w:r>
      <w:r w:rsidRPr="00AA3319">
        <w:rPr>
          <w:rFonts w:cs="Times New Roman"/>
          <w:i/>
          <w:iCs/>
        </w:rPr>
        <w:t>in-situ</w:t>
      </w:r>
      <w:r w:rsidRPr="00AA3319">
        <w:rPr>
          <w:rFonts w:cs="Times New Roman"/>
        </w:rPr>
        <w:t xml:space="preserve"> measurements in studying mosquito abundance. We achieved this </w:t>
      </w:r>
      <w:r w:rsidR="002D53AE">
        <w:rPr>
          <w:rFonts w:cs="Times New Roman"/>
        </w:rPr>
        <w:t xml:space="preserve">goal </w:t>
      </w:r>
      <w:r w:rsidRPr="00AA3319">
        <w:rPr>
          <w:rFonts w:cs="Times New Roman"/>
        </w:rPr>
        <w:t xml:space="preserve">by comparing </w:t>
      </w:r>
      <w:r w:rsidR="00734A3A">
        <w:rPr>
          <w:rFonts w:cs="Times New Roman"/>
        </w:rPr>
        <w:t xml:space="preserve">models of mosquito abundance based on </w:t>
      </w:r>
      <w:r w:rsidRPr="00AA3319">
        <w:rPr>
          <w:rFonts w:cs="Times New Roman"/>
        </w:rPr>
        <w:t xml:space="preserve">environmental data from microclimate loggers, local weather station data, </w:t>
      </w:r>
      <w:r w:rsidR="00734A3A">
        <w:rPr>
          <w:rFonts w:cs="Times New Roman"/>
        </w:rPr>
        <w:t xml:space="preserve">and </w:t>
      </w:r>
      <w:r w:rsidRPr="00AA3319">
        <w:rPr>
          <w:rFonts w:cs="Times New Roman"/>
        </w:rPr>
        <w:t>variables derived from satellite data.</w:t>
      </w:r>
    </w:p>
    <w:p w14:paraId="65DFB32B" w14:textId="77777777" w:rsidR="0060075D" w:rsidRPr="00AA3319" w:rsidRDefault="0060075D" w:rsidP="000855F4">
      <w:pPr>
        <w:pStyle w:val="Heading2"/>
        <w:rPr>
          <w:rFonts w:cs="Times New Roman"/>
        </w:rPr>
      </w:pPr>
      <w:bookmarkStart w:id="117" w:name="_Toc78889212"/>
      <w:r w:rsidRPr="00AA3319">
        <w:rPr>
          <w:rFonts w:cs="Times New Roman"/>
        </w:rPr>
        <w:t>Materials and Methods</w:t>
      </w:r>
      <w:bookmarkEnd w:id="117"/>
    </w:p>
    <w:p w14:paraId="51E96F02" w14:textId="77777777" w:rsidR="0060075D" w:rsidRPr="00AA3319" w:rsidRDefault="0060075D" w:rsidP="00562673">
      <w:pPr>
        <w:pStyle w:val="Heading3"/>
        <w:rPr>
          <w:rFonts w:cs="Times New Roman"/>
        </w:rPr>
      </w:pPr>
      <w:bookmarkStart w:id="118" w:name="_Toc70010366"/>
      <w:bookmarkStart w:id="119" w:name="_Toc78889213"/>
      <w:r w:rsidRPr="00AA3319">
        <w:rPr>
          <w:rFonts w:cs="Times New Roman"/>
        </w:rPr>
        <w:t>Study area</w:t>
      </w:r>
      <w:bookmarkEnd w:id="118"/>
      <w:bookmarkEnd w:id="119"/>
    </w:p>
    <w:p w14:paraId="03547945" w14:textId="318AC9C7" w:rsidR="0060075D" w:rsidRPr="00AA3319" w:rsidRDefault="0060075D" w:rsidP="0060075D">
      <w:pPr>
        <w:rPr>
          <w:rFonts w:cs="Times New Roman"/>
        </w:rPr>
      </w:pPr>
      <w:r w:rsidRPr="00AA3319">
        <w:rPr>
          <w:rFonts w:cs="Times New Roman"/>
        </w:rPr>
        <w:t>The study area consisted of urban and rural areas within the city of Norman, OK. Norman has a population of 122,837 and a total area of approximately 460 km</w:t>
      </w:r>
      <w:r w:rsidRPr="00AA3319">
        <w:rPr>
          <w:rFonts w:cs="Times New Roman"/>
          <w:vertAlign w:val="superscript"/>
        </w:rPr>
        <w:t xml:space="preserve">2 </w:t>
      </w:r>
      <w:r w:rsidRPr="00AA3319">
        <w:rPr>
          <w:rFonts w:cs="Times New Roman"/>
          <w:vertAlign w:val="superscript"/>
        </w:rPr>
        <w:fldChar w:fldCharType="begin"/>
      </w:r>
      <w:r w:rsidR="001B184A" w:rsidRPr="00AA3319">
        <w:rPr>
          <w:rFonts w:cs="Times New Roman"/>
          <w:vertAlign w:val="superscript"/>
        </w:rPr>
        <w:instrText xml:space="preserve"> ADDIN ZOTERO_ITEM CSL_CITATION {"citationID":"KzOvwXX2","properties":{"formattedCitation":"(U.S. Census Bureau, 2019)","plainCitation":"(U.S. Census Bureau, 2019)","noteIndex":0},"citationItems":[{"id":4382,"uris":["http://zotero.org/users/5456909/items/SX4YTLUT"],"uri":["http://zotero.org/users/5456909/items/SX4YTLUT"],"itemData":{"id":4382,"type":"webpage","title":"Census - Geography Profile","URL":"https://data.census.gov/cedsci/profile?g=1600000US4052500","author":[{"family":"U.S. Census Bureau","given":""}],"accessed":{"date-parts":[["2021",4,22]]},"issued":{"date-parts":[["2019"]]}}}],"schema":"https://github.com/citation-style-language/schema/raw/master/csl-citation.json"} </w:instrText>
      </w:r>
      <w:r w:rsidRPr="00AA3319">
        <w:rPr>
          <w:rFonts w:cs="Times New Roman"/>
          <w:vertAlign w:val="superscript"/>
        </w:rPr>
        <w:fldChar w:fldCharType="separate"/>
      </w:r>
      <w:r w:rsidR="002B37C7" w:rsidRPr="00AA3319">
        <w:rPr>
          <w:rFonts w:cs="Times New Roman"/>
        </w:rPr>
        <w:t xml:space="preserve">(U.S. Census </w:t>
      </w:r>
      <w:r w:rsidR="002B37C7" w:rsidRPr="00AA3319">
        <w:rPr>
          <w:rFonts w:cs="Times New Roman"/>
        </w:rPr>
        <w:lastRenderedPageBreak/>
        <w:t>Bureau, 2019)</w:t>
      </w:r>
      <w:r w:rsidRPr="00AA3319">
        <w:rPr>
          <w:rFonts w:cs="Times New Roman"/>
          <w:vertAlign w:val="superscript"/>
        </w:rPr>
        <w:fldChar w:fldCharType="end"/>
      </w:r>
      <w:r w:rsidRPr="00AA3319">
        <w:rPr>
          <w:rFonts w:cs="Times New Roman"/>
        </w:rPr>
        <w:t xml:space="preserve">. The municipal boundary encompasses two Level III Ecoregions. The densely populated western part is within the Central Great Plains ecoregion, which is dominated by mixed grass prairie and riparian woodlands. The less populated eastern part is located within the Cross Timbers ecoregion, which consists of dense oak forests with open woodland areas </w:t>
      </w:r>
      <w:r w:rsidRPr="00AA3319">
        <w:rPr>
          <w:rFonts w:cs="Times New Roman"/>
        </w:rPr>
        <w:fldChar w:fldCharType="begin"/>
      </w:r>
      <w:r w:rsidR="001B184A" w:rsidRPr="00AA3319">
        <w:rPr>
          <w:rFonts w:cs="Times New Roman"/>
        </w:rPr>
        <w:instrText xml:space="preserve"> ADDIN ZOTERO_ITEM CSL_CITATION {"citationID":"EaPEvOPk","properties":{"formattedCitation":"(Woods et al., 2016)","plainCitation":"(Woods et al., 2016)","noteIndex":0},"citationItems":[{"id":4388,"uris":["http://zotero.org/users/5456909/items/CVC8MFYH"],"uri":["http://zotero.org/users/5456909/items/CVC8MFYH"],"itemData":{"id":4388,"type":"map","abstract":"Downloadable maps and datasets for Level III and IV ecoregions, listed by state. Ecoregions are areas of general similarity in the type, quality, and quantity of environmental resources.","genre":"Data and Tools","language":"en","title":"Ecoregions of Oklahoma: Reston, Virginia, U.S. Geological Survey, map scale 1:1,250,000","URL":"https://www.epa.gov/eco-research/ecoregion-download-files-state-region-6","author":[{"family":"Woods","given":"A. J."},{"family":"Omernik","given":"J. M."},{"family":"Butler","given":"D. R."},{"family":"Ford","given":"J. G."},{"family":"Henley","given":"J. G."},{"family":"Hoagland","given":"B. W."},{"family":"Arndt","given":"D. S"}],"accessed":{"date-parts":[["2021",4,22]]},"issued":{"date-parts":[["2016",3,9]]}}}],"schema":"https://github.com/citation-style-language/schema/raw/master/csl-citation.json"} </w:instrText>
      </w:r>
      <w:r w:rsidRPr="00AA3319">
        <w:rPr>
          <w:rFonts w:cs="Times New Roman"/>
        </w:rPr>
        <w:fldChar w:fldCharType="separate"/>
      </w:r>
      <w:r w:rsidR="002B37C7" w:rsidRPr="00AA3319">
        <w:rPr>
          <w:rFonts w:cs="Times New Roman"/>
        </w:rPr>
        <w:t>(Woods et al., 2016)</w:t>
      </w:r>
      <w:r w:rsidRPr="00AA3319">
        <w:rPr>
          <w:rFonts w:cs="Times New Roman"/>
        </w:rPr>
        <w:fldChar w:fldCharType="end"/>
      </w:r>
      <w:r w:rsidRPr="00AA3319">
        <w:rPr>
          <w:rFonts w:cs="Times New Roman"/>
        </w:rPr>
        <w:t xml:space="preserve">. Norman, OK has a subtropical, semi-arid climate with average annual minimum temperature of 9.5 ° C, average annual maximum temperature of 21.8 ° C, and annual average precipitation of 987 mm </w:t>
      </w:r>
      <w:r w:rsidRPr="00AA3319">
        <w:rPr>
          <w:rFonts w:cs="Times New Roman"/>
        </w:rPr>
        <w:fldChar w:fldCharType="begin"/>
      </w:r>
      <w:r w:rsidR="001B184A" w:rsidRPr="00AA3319">
        <w:rPr>
          <w:rFonts w:cs="Times New Roman"/>
        </w:rPr>
        <w:instrText xml:space="preserve"> ADDIN ZOTERO_ITEM CSL_CITATION {"citationID":"bhrN7X1g","properties":{"formattedCitation":"(Oklahoma Climatological Survey, 2021)","plainCitation":"(Oklahoma Climatological Survey, 2021)","noteIndex":0},"citationItems":[{"id":4495,"uris":["http://zotero.org/users/5456909/items/9F7B237P"],"uri":["http://zotero.org/users/5456909/items/9F7B237P"],"itemData":{"id":4495,"type":"webpage","title":"Oklahoma climate - Long term averages and extremes","URL":"http://climate.ok.gov/index.php/climate","author":[{"family":"Oklahoma Climatological Survey","given":""}],"accessed":{"date-parts":[["2021",5,23]]},"issued":{"date-parts":[["2021"]]}}}],"schema":"https://github.com/citation-style-language/schema/raw/master/csl-citation.json"} </w:instrText>
      </w:r>
      <w:r w:rsidRPr="00AA3319">
        <w:rPr>
          <w:rFonts w:cs="Times New Roman"/>
        </w:rPr>
        <w:fldChar w:fldCharType="separate"/>
      </w:r>
      <w:r w:rsidR="002B37C7" w:rsidRPr="00AA3319">
        <w:rPr>
          <w:rFonts w:cs="Times New Roman"/>
        </w:rPr>
        <w:t>(Oklahoma Climatological Survey, 2021)</w:t>
      </w:r>
      <w:r w:rsidRPr="00AA3319">
        <w:rPr>
          <w:rFonts w:cs="Times New Roman"/>
        </w:rPr>
        <w:fldChar w:fldCharType="end"/>
      </w:r>
      <w:r w:rsidRPr="00AA3319">
        <w:rPr>
          <w:rFonts w:cs="Times New Roman"/>
        </w:rPr>
        <w:t xml:space="preserve">. </w:t>
      </w:r>
    </w:p>
    <w:p w14:paraId="587A508F" w14:textId="77777777" w:rsidR="00D50155" w:rsidRDefault="0060075D" w:rsidP="00D50155">
      <w:pPr>
        <w:keepNext/>
      </w:pPr>
      <w:r w:rsidRPr="00AA3319">
        <w:rPr>
          <w:rFonts w:cs="Times New Roman"/>
          <w:noProof/>
        </w:rPr>
        <w:drawing>
          <wp:inline distT="0" distB="0" distL="0" distR="0" wp14:anchorId="4309EB50" wp14:editId="3BA93096">
            <wp:extent cx="5497157" cy="3870831"/>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97157" cy="3870831"/>
                    </a:xfrm>
                    <a:prstGeom prst="rect">
                      <a:avLst/>
                    </a:prstGeom>
                  </pic:spPr>
                </pic:pic>
              </a:graphicData>
            </a:graphic>
          </wp:inline>
        </w:drawing>
      </w:r>
    </w:p>
    <w:p w14:paraId="5ABD01DD" w14:textId="72FDC344" w:rsidR="0060075D" w:rsidRPr="00AA3319" w:rsidRDefault="00D50155" w:rsidP="00D50155">
      <w:pPr>
        <w:pStyle w:val="Caption"/>
        <w:ind w:firstLine="0"/>
        <w:rPr>
          <w:rFonts w:cs="Times New Roman"/>
        </w:rPr>
      </w:pPr>
      <w:bookmarkStart w:id="120" w:name="_Toc78881298"/>
      <w:r>
        <w:t xml:space="preserve">Figure </w:t>
      </w:r>
      <w:r w:rsidR="00E61F20">
        <w:fldChar w:fldCharType="begin"/>
      </w:r>
      <w:r w:rsidR="00E61F20">
        <w:instrText xml:space="preserve"> STYLEREF 1 \s </w:instrText>
      </w:r>
      <w:r w:rsidR="00E61F20">
        <w:fldChar w:fldCharType="separate"/>
      </w:r>
      <w:r w:rsidR="00F243F7">
        <w:rPr>
          <w:noProof/>
        </w:rPr>
        <w:t>4</w:t>
      </w:r>
      <w:r w:rsidR="00E61F20">
        <w:rPr>
          <w:noProof/>
        </w:rPr>
        <w:fldChar w:fldCharType="end"/>
      </w:r>
      <w:r w:rsidR="004C1B0D">
        <w:noBreakHyphen/>
      </w:r>
      <w:r w:rsidR="00E61F20">
        <w:fldChar w:fldCharType="begin"/>
      </w:r>
      <w:r w:rsidR="00E61F20">
        <w:instrText xml:space="preserve"> SEQ Figure \* ARABIC \s 1 </w:instrText>
      </w:r>
      <w:r w:rsidR="00E61F20">
        <w:fldChar w:fldCharType="separate"/>
      </w:r>
      <w:r w:rsidR="00F243F7">
        <w:rPr>
          <w:noProof/>
        </w:rPr>
        <w:t>1</w:t>
      </w:r>
      <w:r w:rsidR="00E61F20">
        <w:rPr>
          <w:noProof/>
        </w:rPr>
        <w:fldChar w:fldCharType="end"/>
      </w:r>
      <w:r>
        <w:t xml:space="preserve">: </w:t>
      </w:r>
      <w:r w:rsidRPr="00AA3319">
        <w:rPr>
          <w:rFonts w:cs="Times New Roman"/>
        </w:rPr>
        <w:t>Land cover and location of trap sites within the study area with the Mesonet weather station (triangle), as well as the proportion of mosquito species collected at each trap site (pie charts).</w:t>
      </w:r>
      <w:r w:rsidR="002D53AE">
        <w:rPr>
          <w:rFonts w:cs="Times New Roman"/>
        </w:rPr>
        <w:t xml:space="preserve"> The size of each circle is proportional to the total mosquito abundance. </w:t>
      </w:r>
      <w:r w:rsidRPr="00AA3319">
        <w:rPr>
          <w:rFonts w:cs="Times New Roman"/>
        </w:rPr>
        <w:t xml:space="preserve">Land cover data </w:t>
      </w:r>
      <w:r w:rsidR="002D53AE">
        <w:rPr>
          <w:rFonts w:cs="Times New Roman"/>
        </w:rPr>
        <w:t>are</w:t>
      </w:r>
      <w:r w:rsidR="002D53AE" w:rsidRPr="00AA3319">
        <w:rPr>
          <w:rFonts w:cs="Times New Roman"/>
        </w:rPr>
        <w:t xml:space="preserve"> </w:t>
      </w:r>
      <w:r w:rsidRPr="00AA3319">
        <w:rPr>
          <w:rFonts w:cs="Times New Roman"/>
        </w:rPr>
        <w:t>derived from the 2016 NLCD dataset.</w:t>
      </w:r>
      <w:bookmarkEnd w:id="120"/>
    </w:p>
    <w:p w14:paraId="571EB99F" w14:textId="77777777" w:rsidR="0060075D" w:rsidRPr="00AA3319" w:rsidRDefault="0060075D" w:rsidP="000855F4">
      <w:pPr>
        <w:pStyle w:val="Heading3"/>
        <w:rPr>
          <w:rFonts w:cs="Times New Roman"/>
        </w:rPr>
      </w:pPr>
      <w:bookmarkStart w:id="121" w:name="_Toc78889214"/>
      <w:r w:rsidRPr="00AA3319">
        <w:rPr>
          <w:rFonts w:cs="Times New Roman"/>
        </w:rPr>
        <w:lastRenderedPageBreak/>
        <w:t>Mosquito trapping and processing</w:t>
      </w:r>
      <w:bookmarkEnd w:id="121"/>
    </w:p>
    <w:p w14:paraId="50C3FFE6" w14:textId="5C36978C" w:rsidR="0060075D" w:rsidRPr="00AA3319" w:rsidRDefault="0060075D" w:rsidP="0060075D">
      <w:pPr>
        <w:rPr>
          <w:rFonts w:cs="Times New Roman"/>
        </w:rPr>
      </w:pPr>
      <w:r w:rsidRPr="00AA3319">
        <w:rPr>
          <w:rFonts w:cs="Times New Roman"/>
        </w:rPr>
        <w:t>Mosquitoes were sampled between June – October in 2019, and May – November in 2020. We sampled at 11 consistent trap sites in both years, with a 12</w:t>
      </w:r>
      <w:r w:rsidRPr="00AA3319">
        <w:rPr>
          <w:rFonts w:cs="Times New Roman"/>
          <w:vertAlign w:val="superscript"/>
        </w:rPr>
        <w:t>th</w:t>
      </w:r>
      <w:r w:rsidRPr="00AA3319">
        <w:rPr>
          <w:rFonts w:cs="Times New Roman"/>
        </w:rPr>
        <w:t xml:space="preserve"> site added in 2020. Trap locations were chosen to span a gradient from urban locations dominated by impervious surfaces to rural locations dominated by natural vegetation. Sites were located in public parks, on residential property, and on the campus of the University of Oklahoma. Trapping was performed with BG Sentinel 2 traps (Biogents AG, Regensburg, Germany). Because the octenol based lure has been shown to underestimate mosquito species richness when compared to CO</w:t>
      </w:r>
      <w:r w:rsidRPr="00AA3319">
        <w:rPr>
          <w:rFonts w:cs="Times New Roman"/>
          <w:vertAlign w:val="subscript"/>
        </w:rPr>
        <w:t>2</w:t>
      </w:r>
      <w:r w:rsidRPr="00AA3319">
        <w:rPr>
          <w:rFonts w:cs="Times New Roman"/>
        </w:rPr>
        <w:t xml:space="preserve">- baited traps </w:t>
      </w:r>
      <w:r w:rsidRPr="00AA3319">
        <w:rPr>
          <w:rFonts w:cs="Times New Roman"/>
        </w:rPr>
        <w:fldChar w:fldCharType="begin"/>
      </w:r>
      <w:r w:rsidR="00FF3DA9" w:rsidRPr="00AA3319">
        <w:rPr>
          <w:rFonts w:cs="Times New Roman"/>
        </w:rPr>
        <w:instrText xml:space="preserve"> ADDIN ZOTERO_ITEM CSL_CITATION {"citationID":"kwC2CX9s","properties":{"formattedCitation":"(Giordano et al., 2021; Wilke et al., 2019)","plainCitation":"(Giordano et al., 2021; Wilke et al., 2019)","noteIndex":0},"citationItems":[{"id":4250,"uris":["http://zotero.org/users/5456909/items/46LMCIGF"],"uri":["http://zotero.org/users/5456909/items/46LMCIGF"],"itemData":{"id":4250,"type":"article-journal","abstract":"A thorough understanding of the local mosquito fauna is required to develop effective mosquito abatement programs and assess risk of arbovirus transmission in an area. Although many mosquito control districts routinely survey adult populations of mosquitoes, few studies address trap bias, attractant bias, and the sampling effort needed to fully describe mosquito community diversity. Quantifying and visualizing differences in mosquito community composition and abundance, collected in adjacent mosquito control districts that use different attractants, provides a first step toward understanding and communicating cross-district arbovirus risk in continuous geographic areas. We obtained female mosquito collection data from CDC (Centres for Disease Control and Prevention) suction light traps from St. Johns County (baited with octenol) and Duval County (baited with dry ice) in Florida, USA, presenting a unique opportunity to summarize and compare collections across 2 attractants in adjacent Florida mosquito control programs. In the current work, we describe the seasonal distribution of mosquito species, highlight proportions of vector species of importance, quantify and assess diversity, and summarize the variation explained by attractant type using partial redundancy analysis. Numerous actual and potential vector species of importance were abundant throughout the sampling period that included Aedes atlanticus (Dyar &amp; Knab), Anopheles crucians Weidemann, Culex erraticus (Dyar &amp; Knab), and Culex nigripalpus Theobald (all Diptera: Culicidae). Dry ice collections yielded the greatest diversity of species with the least trapping effort. Traps baited with octenol yielded the greatest number of mosquitoes with a greater proportion of vector species. The results of the partial redundancy analysis revealed that attractant explained a significant proportion of the variance in the data set. But a significant linear trend also was present indicating that additional spatially structured variables were responsible for a large proportion of the variance in the data. It is necessary to know the differences between mosquito species and trap numbers when varying collection methods and attractants are used to assess arbovirus transmission risk across mosquito control district administrative boundaries. This information can be used to provide more robust and comprehensive surveillance information capable of identifying new challenges to public health safety.","container-title":"Florida Entomologist","ISSN":"0015-4040, 1938-5102","issue":"4","journalAbbreviation":"flen","note":"publisher: Florida Entomological Society","page":"499-504","source":"bioone.org","title":"Light Trap Collections of Mosquitoes (Diptera: Culicidae) Using Dry Ice and Octenol Attractants in Adjacent Mosquito Control Programs","title-short":"Light Trap Collections of Mosquitoes (Diptera","volume":"103","author":[{"family":"Giordano","given":"Bryan V."},{"family":"Allen","given":"Benjamin T."},{"family":"Wishard","given":"Randy"},{"family":"Xue","given":"Rui-De"},{"family":"Campbell","given":"Lindsay P."}],"issued":{"date-parts":[["2021",1]]}}},{"id":3546,"uris":["http://zotero.org/users/5456909/items/J6YG9E2I"],"uri":["http://zotero.org/users/5456909/items/J6YG9E2I"],"itemData":{"id":3546,"type":"article-journal","abstract":"Vector-borne diseases are an increasing issue to public health, endangering billions of people worldwide. Controlling vector mosquitoes is widely accepted as the most effective way to prevent vector-borne disease outbreaks. Mosquito surveillance is critical for the development of control strategies under the integrated vector management framework. We hypothesize that the effectiveness and reliability of using BG-Sentinel traps for the surveillance strongly depend on the bait used to attract mosquitoes. The objective of this study was to compare the effectiveness of BG-Sentinel traps baited with CO2 and BG-Lure. A total of 72 traps were deployed for 48 hours once a week for four weeks. For the initial 24-hour period, the traps were baited with CO2, and then for an additional 24 hours using the BG-Lure. Collected mosquitoes were analyzed using the Generalized Estimating Equation for repeated measures analysis. Biodiversity was assessed by the Shannon and Simpson indices and by individual rarefaction curves and SHE profiles. A total of 5,154 mosquitoes were collected, from which 3,514 by traps baited with CO2 and 1,640 mosquitoes by traps baited with BG-Lure. Aedes aegypti and Culex quinquefasciatus were the most abundant and dominant species. Results from the Generalized Estimating Equation models indicated that more than twice as many mosquitoes were attracted CO2 than to the BG-Lure. The comparison of attractiveness of CO2 and BG-Lure to Ae. aegypti and Cx. quinquefasciatus was non-significant, suggesting that both species were equally attracted by the baits. The individual rarefaction curves for Ae. aegypti and Cx. quinquefasciatus imply that traps baited with BG-Lure underestimated mosquito species richness compared to those baited with CO2. BG-Lure were less effective in attracting mosquitoes with low abundances and failed to collect Cx. coronator and Cx. nigripalpus, which were consistently collected by traps baited with CO2. According to our results, CO2 significantly (P&lt;0.05) attracted more mosquitoes (2.67 adjusted odds ratios) than the BG-Lure when adjusted for time and species, being more effective in assessing the relative abundance of vector mosquitoes and yielding more trustworthy results. Traps baited with CO2 collected not only more specimens, but also more species in a more consistent pattern.","container-title":"PLOS ONE","ISSN":"1932-6203","issue":"2","journalAbbreviation":"PLOS ONE","language":"en","page":"e0212688","source":"PLoS Journals","title":"Assessment of the effectiveness of BG-Sentinel traps baited with CO2 and BG-Lure for the surveillance of vector mosquitoes in Miami-Dade County, Florida","volume":"14","author":[{"family":"Wilke","given":"André B. B."},{"family":"Carvajal","given":"Augusto"},{"family":"Medina","given":"Johana"},{"family":"Anderson","given":"Melissa"},{"family":"Nieves","given":"Veronica J."},{"family":"Ramirez","given":"Monica"},{"family":"Vasquez","given":"Chalmers"},{"family":"Petrie","given":"William"},{"family":"Cardenas","given":"Gabriel"},{"family":"Beier","given":"John C."}],"issued":{"date-parts":[["2019",2,22]]}}}],"schema":"https://github.com/citation-style-language/schema/raw/master/csl-citation.json"} </w:instrText>
      </w:r>
      <w:r w:rsidRPr="00AA3319">
        <w:rPr>
          <w:rFonts w:cs="Times New Roman"/>
        </w:rPr>
        <w:fldChar w:fldCharType="separate"/>
      </w:r>
      <w:r w:rsidR="002B37C7" w:rsidRPr="00AA3319">
        <w:rPr>
          <w:rFonts w:cs="Times New Roman"/>
        </w:rPr>
        <w:t>(Giordano et al., 2021; Wilke et al., 2019)</w:t>
      </w:r>
      <w:r w:rsidRPr="00AA3319">
        <w:rPr>
          <w:rFonts w:cs="Times New Roman"/>
        </w:rPr>
        <w:fldChar w:fldCharType="end"/>
      </w:r>
      <w:r w:rsidRPr="00AA3319">
        <w:rPr>
          <w:rFonts w:cs="Times New Roman"/>
        </w:rPr>
        <w:t>, we added dry ice as a CO</w:t>
      </w:r>
      <w:r w:rsidRPr="00AA3319">
        <w:rPr>
          <w:rFonts w:cs="Times New Roman"/>
          <w:vertAlign w:val="subscript"/>
        </w:rPr>
        <w:t xml:space="preserve">2 </w:t>
      </w:r>
      <w:r w:rsidRPr="00AA3319">
        <w:rPr>
          <w:rFonts w:cs="Times New Roman"/>
        </w:rPr>
        <w:t>source to attract more mosquitoes. Mosquitoes were sampled bi-weekly, with traps deployed between 8 am and 11 am and collected 24 hours later. Mosquitoes were collected, immobilized, transported on dry ice, and stored at -80 °C. Adult female mosquitoes were examined under a dissecting microscope and morphologically identified using the taxonomic keys from Darsie and Ward (2005).</w:t>
      </w:r>
    </w:p>
    <w:p w14:paraId="0A3CED0E" w14:textId="77777777" w:rsidR="0060075D" w:rsidRPr="00AA3319" w:rsidRDefault="0060075D" w:rsidP="000855F4">
      <w:pPr>
        <w:pStyle w:val="Heading3"/>
        <w:rPr>
          <w:rFonts w:cs="Times New Roman"/>
        </w:rPr>
      </w:pPr>
      <w:bookmarkStart w:id="122" w:name="_Toc78889215"/>
      <w:r w:rsidRPr="00AA3319">
        <w:rPr>
          <w:rFonts w:cs="Times New Roman"/>
        </w:rPr>
        <w:t>Environmental data collection</w:t>
      </w:r>
      <w:bookmarkEnd w:id="122"/>
    </w:p>
    <w:p w14:paraId="73F0CC01" w14:textId="37E773CD" w:rsidR="007A54B9" w:rsidRDefault="00C54C7A" w:rsidP="007A54B9">
      <w:pPr>
        <w:rPr>
          <w:rFonts w:cs="Times New Roman"/>
        </w:rPr>
      </w:pPr>
      <w:r>
        <w:rPr>
          <w:rFonts w:cs="Times New Roman"/>
        </w:rPr>
        <w:t xml:space="preserve">We obtained static land cover data and dynamic data on relative humidity, </w:t>
      </w:r>
      <w:r w:rsidR="004F687E">
        <w:rPr>
          <w:rFonts w:cs="Times New Roman"/>
        </w:rPr>
        <w:t>precipitation,</w:t>
      </w:r>
      <w:r>
        <w:rPr>
          <w:rFonts w:cs="Times New Roman"/>
        </w:rPr>
        <w:t xml:space="preserve"> and temperature. </w:t>
      </w:r>
      <w:r w:rsidR="00541541">
        <w:rPr>
          <w:rFonts w:cs="Times New Roman"/>
        </w:rPr>
        <w:t>L</w:t>
      </w:r>
      <w:r w:rsidR="00FF2D70">
        <w:rPr>
          <w:rFonts w:cs="Times New Roman"/>
        </w:rPr>
        <w:t>and cover data was retrieved from the National Land Cover Database (</w:t>
      </w:r>
      <w:r w:rsidR="00B9298A">
        <w:rPr>
          <w:rFonts w:cs="Times New Roman"/>
        </w:rPr>
        <w:t>N</w:t>
      </w:r>
      <w:r w:rsidR="00FF2D70">
        <w:rPr>
          <w:rFonts w:cs="Times New Roman"/>
        </w:rPr>
        <w:t xml:space="preserve">LCD). </w:t>
      </w:r>
      <w:r w:rsidR="007A54B9" w:rsidRPr="00AA3319">
        <w:rPr>
          <w:rFonts w:cs="Times New Roman"/>
        </w:rPr>
        <w:t xml:space="preserve">Data sources for </w:t>
      </w:r>
      <w:r>
        <w:rPr>
          <w:rFonts w:cs="Times New Roman"/>
        </w:rPr>
        <w:t>dynamic</w:t>
      </w:r>
      <w:r w:rsidR="007A54B9" w:rsidRPr="00AA3319">
        <w:rPr>
          <w:rFonts w:cs="Times New Roman"/>
        </w:rPr>
        <w:t xml:space="preserve"> climate variables included microclimate loggers that were deployed in the field next to mosquito traps, satellite data from different sensors, and local weather station data from the Mesonet network (Table </w:t>
      </w:r>
      <w:r w:rsidR="007A54B9">
        <w:rPr>
          <w:rFonts w:cs="Times New Roman"/>
        </w:rPr>
        <w:t>4-</w:t>
      </w:r>
      <w:r w:rsidR="007A54B9" w:rsidRPr="00AA3319">
        <w:rPr>
          <w:rFonts w:cs="Times New Roman"/>
        </w:rPr>
        <w:t xml:space="preserve">1). </w:t>
      </w:r>
    </w:p>
    <w:p w14:paraId="2D97AE3F" w14:textId="50D3BFA7" w:rsidR="000A1AE5" w:rsidRPr="00AA3319" w:rsidRDefault="000A1AE5" w:rsidP="000A1AE5">
      <w:pPr>
        <w:rPr>
          <w:rFonts w:cs="Times New Roman"/>
          <w:i/>
          <w:iCs/>
        </w:rPr>
      </w:pPr>
      <w:r>
        <w:rPr>
          <w:rFonts w:cs="Times New Roman"/>
          <w:i/>
          <w:iCs/>
        </w:rPr>
        <w:t>Landcover data</w:t>
      </w:r>
    </w:p>
    <w:p w14:paraId="2456B62D" w14:textId="26887E54" w:rsidR="000A1AE5" w:rsidRPr="00FD17C2" w:rsidRDefault="000A1AE5" w:rsidP="007A54B9">
      <w:r w:rsidRPr="00AA3319">
        <w:rPr>
          <w:rFonts w:cs="Times New Roman"/>
        </w:rPr>
        <w:lastRenderedPageBreak/>
        <w:t xml:space="preserve">We retrieved land cover data on urban imperviousness and canopy </w:t>
      </w:r>
      <w:r w:rsidR="00B91B60">
        <w:rPr>
          <w:rFonts w:cs="Times New Roman"/>
        </w:rPr>
        <w:t xml:space="preserve">cover </w:t>
      </w:r>
      <w:r w:rsidRPr="00AA3319">
        <w:rPr>
          <w:rFonts w:cs="Times New Roman"/>
        </w:rPr>
        <w:t xml:space="preserve">from the 2016 National Land Cover Database (NLCD) </w:t>
      </w:r>
      <w:r w:rsidRPr="00AA3319">
        <w:rPr>
          <w:rFonts w:cs="Times New Roman"/>
        </w:rPr>
        <w:fldChar w:fldCharType="begin"/>
      </w:r>
      <w:r w:rsidRPr="00AA3319">
        <w:rPr>
          <w:rFonts w:cs="Times New Roman"/>
        </w:rPr>
        <w:instrText xml:space="preserve"> ADDIN ZOTERO_ITEM CSL_CITATION {"citationID":"ESDtKZRC","properties":{"formattedCitation":"(Jin et al., 2019; Yang et al., 2018, 2003)","plainCitation":"(Jin et al., 2019; Yang et al., 2018, 2003)","noteIndex":0},"citationItems":[{"id":3801,"uris":["http://zotero.org/users/5456909/items/PMATP2S8"],"uri":["http://zotero.org/users/5456909/items/PMATP2S8"],"itemData":{"id":3801,"type":"article-journal","abstract":"The National Land Cover Database (NLCD) 2016 provides a suite of data products, including land cover and land cover change of the conterminous United States from 2001 to 2016, at two- to three-year intervals. The development of this product is part of an effort to meet the growing demand for longer temporal duration and more frequent, accurate, and consistent land cover and change information. To accomplish this, we designed a new land cover strategy and developed comprehensive methods, models, and procedures for NLCD 2016 implementation. Major steps in the new procedures consist of data preparation, land cover change detection and classification, theme-based postprocessing, and final integration. Data preparation includes Landsat imagery selection, cloud detection, and cloud filling, as well as compilation and creation of more than 30 national-scale ancillary datasets. Land cover change detection includes single-date water and snow/ice detection algorithms and models, two-date multi-index integrated change detection models, and long-term multi-date change algorithms and models. The land cover classification includes seven-date training data creation and 14-run classifications. Pools of training data for change and no-change areas were created before classification based on integrated information from ancillary data, change-detection results, Landsat spectral and temporal information, and knowledge-based trajectory analysis. In postprocessing, comprehensive models for each land cover theme were developed in a hierarchical order to ensure the spatial and temporal coherence of land cover and land cover changes over 15 years. An initial accuracy assessment on four selected Landsat path/rows classified with this method indicates an overall accuracy of 82.0% at an Anderson Level II classification and 86.6% at the Anderson Level I classification after combining the primary and alternate reference labels. This methodology was used for the operational production of NLCD 2016 for the Conterminous United States, with final produced products available for free download.","container-title":"Remote Sensing","issue":"24","language":"en","page":"2971","source":"www.mdpi.com","title":"Overall Methodology Design for the United States National Land Cover Database 2016 Products","volume":"11","author":[{"family":"Jin","given":"Suming"},{"family":"Homer","given":"Collin"},{"family":"Yang","given":"Limin"},{"family":"Danielson","given":"Patrick"},{"family":"Dewitz","given":"Jon"},{"family":"Li","given":"Congcong"},{"family":"Zhu","given":"Zhe"},{"family":"Xian","given":"George"},{"family":"Howard","given":"Danny"}],"issued":{"date-parts":[["2019",1]]}}},{"id":4408,"uris":["http://zotero.org/users/5456909/items/XL7DCA2C"],"uri":["http://zotero.org/users/5456909/items/XL7DCA2C"],"itemData":{"id":4408,"type":"article-journal","abstract":"The U.S. Geological Survey (USGS), in partnership with several federal agencies, has developed and released four National Land Cover Database (NLCD) products over the past two decades: NLCD 1992, 2001, 2006, and 2011. These products provide spatially explicit and reliable information on the Nation’s land cover and land cover change. To continue the legacy of NLCD and further establish a long-term monitoring capability for the Nation’s land resources, the USGS has designed a new generation of NLCD products named NLCD 2016. The NLCD 2016 design aims to provide innovative, consistent, and robust methodologies for production of a multi-temporal land cover and land cover change database from 2001 to 2016 at 2–3-year intervals. Comprehensive research was conducted and resulted in developed strategies for NLCD 2016: a streamlined process for assembling and preprocessing Landsat imagery and geospatial ancillary datasets; a multi-source integrated training data development and decision-tree based land cover classifications; a temporally, spectrally, and spatially integrated land cover change analysis strategy; a hierarchical theme-based post-classification and integration protocol for generating land cover and change products; a continuous fields biophysical parameters modeling method; and an automated scripted operational system for the NLCD 2016 production. The performance of the developed strategies and methods were tested in twenty World Reference System-2 path/row throughout the conterminous U.S. An overall agreement ranging from 71% to 97% between land cover classification and reference data was achieved for all tested area and all years. Results from this study confirm the robustness of this comprehensive and highly automated procedure for NLCD 2016 operational mapping.","container-title":"ISPRS Journal of Photogrammetry and Remote Sensing","journalAbbreviation":"ISPRS Journal of Photogrammetry and Remote Sensing","language":"en","page":"108-123","source":"ScienceDirect","title":"A new generation of the United States National Land Cover Database: Requirements, research priorities, design, and implementation strategies","title-short":"A new generation of the United States National Land Cover Database","volume":"146","author":[{"family":"Yang","given":"Limin"},{"family":"Jin","given":"Suming"},{"family":"Danielson","given":"Patrick"},{"family":"Homer","given":"Collin"},{"family":"Gass","given":"Leila"},{"family":"Bender","given":"Stacie M."},{"family":"Case","given":"Adam"},{"family":"Costello","given":"Catherine"},{"family":"Dewitz","given":"Jon"},{"family":"Fry","given":"Joyce"},{"family":"Funk","given":"Michelle"},{"family":"Granneman","given":"Brian"},{"family":"Liknes","given":"Greg C."},{"family":"Rigge","given":"Matthew"},{"family":"Xian","given":"George"}],"issued":{"date-parts":[["2018",12,1]]}}},{"id":4410,"uris":["http://zotero.org/users/5456909/items/AWRDCXLB"],"uri":["http://zotero.org/users/5456909/items/AWRDCXLB"],"itemData":{"id":4410,"type":"article-journal","abstract":"A wide range of urban ecosystem studies, including urban hydrology, urban climate, land use planning, and resource management, require current and accurate geospatial data of urban impervious surfaces. We developed an approach to quantify urban impervious surfaces as a continuous variable by using multisensor and multisource datasets. Subpixel percent impervious surfaces at 30-m resolution were mapped using a regression tree model. The utility, practicality, and affordability of the proposed method for large-area imperviousness mapping were tested over three spatial scales (Sioux Falls, South Dakota, Richmond, Virginia, and the Chesapeake Bay areas of the United States). Average error of predicted versus actual percent impervious surface ranged from 8.8 to 11.4%, with correlation coefficients from 0.82 to 0.91. The approach is being implemented to map impervious surfaces for the entire United States as one of the major components of the circa 2000 national land cover database.","container-title":"Canadian Journal of Remote Sensing","ISSN":"0703-8992","issue":"2","note":"publisher: Taylor &amp; Francis\n_eprint: https://doi.org/10.5589/m02-098","page":"230-240","source":"Taylor and Francis+NEJM","title":"An approach for mapping large-area impervious surfaces: synergistic use of Landsat-7 ETM+ and high spatial resolution imagery","title-short":"An approach for mapping large-area impervious surfaces","volume":"29","author":[{"family":"Yang","given":"Limin"},{"family":"Huang","given":"Chengquan"},{"family":"Homer","given":"Collin G."},{"family":"Wylie","given":"Bruce K."},{"family":"Coan","given":"Michael J."}],"issued":{"date-parts":[["2003",1,1]]}}}],"schema":"https://github.com/citation-style-language/schema/raw/master/csl-citation.json"} </w:instrText>
      </w:r>
      <w:r w:rsidRPr="00AA3319">
        <w:rPr>
          <w:rFonts w:cs="Times New Roman"/>
        </w:rPr>
        <w:fldChar w:fldCharType="separate"/>
      </w:r>
      <w:r w:rsidRPr="00AA3319">
        <w:rPr>
          <w:rFonts w:cs="Times New Roman"/>
        </w:rPr>
        <w:t>(Jin et al., 2019; Yang et al., 2018, 2003)</w:t>
      </w:r>
      <w:r w:rsidRPr="00AA3319">
        <w:rPr>
          <w:rFonts w:cs="Times New Roman"/>
        </w:rPr>
        <w:fldChar w:fldCharType="end"/>
      </w:r>
      <w:r w:rsidRPr="00AA3319">
        <w:rPr>
          <w:rFonts w:cs="Times New Roman"/>
        </w:rPr>
        <w:t>.</w:t>
      </w:r>
      <w:r w:rsidR="00B91B60">
        <w:rPr>
          <w:rFonts w:cs="Times New Roman"/>
        </w:rPr>
        <w:t xml:space="preserve"> Urban imperviousness and canopy </w:t>
      </w:r>
      <w:r w:rsidR="00B91B60" w:rsidRPr="00AA3319">
        <w:rPr>
          <w:rFonts w:cs="Times New Roman"/>
        </w:rPr>
        <w:t xml:space="preserve">cover </w:t>
      </w:r>
      <w:r w:rsidR="00B91B60">
        <w:rPr>
          <w:rFonts w:cs="Times New Roman"/>
        </w:rPr>
        <w:t xml:space="preserve">are measured </w:t>
      </w:r>
      <w:r w:rsidR="00B91B60" w:rsidRPr="00AA3319">
        <w:rPr>
          <w:rFonts w:cs="Times New Roman"/>
        </w:rPr>
        <w:t>as a percentage of every 30-meter pixel</w:t>
      </w:r>
      <w:r w:rsidR="00B91B60">
        <w:rPr>
          <w:rFonts w:cs="Times New Roman"/>
        </w:rPr>
        <w:t xml:space="preserve">. </w:t>
      </w:r>
      <w:r w:rsidR="00B41534">
        <w:rPr>
          <w:rFonts w:cs="Times New Roman"/>
        </w:rPr>
        <w:t>The two</w:t>
      </w:r>
      <w:r w:rsidR="00EC6C69">
        <w:rPr>
          <w:rFonts w:cs="Times New Roman"/>
        </w:rPr>
        <w:t xml:space="preserve"> </w:t>
      </w:r>
      <w:r w:rsidR="00B41534">
        <w:rPr>
          <w:rFonts w:cs="Times New Roman"/>
        </w:rPr>
        <w:t>l</w:t>
      </w:r>
      <w:r w:rsidR="00242998">
        <w:rPr>
          <w:rFonts w:cs="Times New Roman"/>
        </w:rPr>
        <w:t>and cover variables were</w:t>
      </w:r>
      <w:r w:rsidR="00462FBA">
        <w:rPr>
          <w:rFonts w:cs="Times New Roman"/>
        </w:rPr>
        <w:t xml:space="preserve"> summarized as </w:t>
      </w:r>
      <w:r w:rsidR="00462FBA" w:rsidRPr="00AA3319">
        <w:rPr>
          <w:rFonts w:cs="Times New Roman"/>
        </w:rPr>
        <w:t>focal means within a 1 km buffer around each trap site</w:t>
      </w:r>
      <w:r w:rsidR="00462FBA">
        <w:rPr>
          <w:rFonts w:cs="Times New Roman"/>
        </w:rPr>
        <w:t>.</w:t>
      </w:r>
    </w:p>
    <w:p w14:paraId="30238DD4" w14:textId="77777777" w:rsidR="0083346B" w:rsidRDefault="0083346B">
      <w:pPr>
        <w:spacing w:line="259" w:lineRule="auto"/>
        <w:jc w:val="left"/>
        <w:rPr>
          <w:rFonts w:cs="Times New Roman"/>
          <w:i/>
          <w:iCs/>
        </w:rPr>
      </w:pPr>
      <w:r>
        <w:rPr>
          <w:rFonts w:cs="Times New Roman"/>
          <w:i/>
          <w:iCs/>
        </w:rPr>
        <w:br w:type="page"/>
      </w:r>
    </w:p>
    <w:p w14:paraId="5E5EE509" w14:textId="3FBF7CCD" w:rsidR="0060075D" w:rsidRPr="00AA3319" w:rsidRDefault="0060075D" w:rsidP="00562673">
      <w:pPr>
        <w:rPr>
          <w:rFonts w:cs="Times New Roman"/>
          <w:i/>
          <w:iCs/>
        </w:rPr>
      </w:pPr>
      <w:r w:rsidRPr="00AA3319">
        <w:rPr>
          <w:rFonts w:cs="Times New Roman"/>
          <w:i/>
          <w:iCs/>
        </w:rPr>
        <w:lastRenderedPageBreak/>
        <w:t>Microclimate Data Loggers</w:t>
      </w:r>
    </w:p>
    <w:p w14:paraId="1FE738D0" w14:textId="7B63A1B7" w:rsidR="00BC1366" w:rsidRPr="00BC1366" w:rsidRDefault="00BC1366" w:rsidP="00BC1366">
      <w:pPr>
        <w:pStyle w:val="Caption"/>
        <w:keepNext/>
        <w:ind w:firstLine="0"/>
        <w:rPr>
          <w:rFonts w:cs="Times New Roman"/>
        </w:rPr>
      </w:pPr>
      <w:bookmarkStart w:id="123" w:name="_Toc78879973"/>
      <w:r>
        <w:t xml:space="preserve">Table </w:t>
      </w:r>
      <w:r w:rsidR="00E61F20">
        <w:fldChar w:fldCharType="begin"/>
      </w:r>
      <w:r w:rsidR="00E61F20">
        <w:instrText xml:space="preserve"> STYLEREF 1 \s </w:instrText>
      </w:r>
      <w:r w:rsidR="00E61F20">
        <w:fldChar w:fldCharType="separate"/>
      </w:r>
      <w:r w:rsidR="00F243F7">
        <w:rPr>
          <w:noProof/>
        </w:rPr>
        <w:t>4</w:t>
      </w:r>
      <w:r w:rsidR="00E61F20">
        <w:rPr>
          <w:noProof/>
        </w:rPr>
        <w:fldChar w:fldCharType="end"/>
      </w:r>
      <w:r>
        <w:noBreakHyphen/>
      </w:r>
      <w:r w:rsidR="00E61F20">
        <w:fldChar w:fldCharType="begin"/>
      </w:r>
      <w:r w:rsidR="00E61F20">
        <w:instrText xml:space="preserve"> SEQ Table \* ARABIC \s 1 </w:instrText>
      </w:r>
      <w:r w:rsidR="00E61F20">
        <w:fldChar w:fldCharType="separate"/>
      </w:r>
      <w:r w:rsidR="00F243F7">
        <w:rPr>
          <w:noProof/>
        </w:rPr>
        <w:t>1</w:t>
      </w:r>
      <w:r w:rsidR="00E61F20">
        <w:rPr>
          <w:noProof/>
        </w:rPr>
        <w:fldChar w:fldCharType="end"/>
      </w:r>
      <w:r>
        <w:t xml:space="preserve">: </w:t>
      </w:r>
      <w:r w:rsidR="00E5163E">
        <w:rPr>
          <w:rFonts w:cs="Times New Roman"/>
        </w:rPr>
        <w:t>Dynamic</w:t>
      </w:r>
      <w:r w:rsidRPr="00AA3319">
        <w:rPr>
          <w:rFonts w:cs="Times New Roman"/>
        </w:rPr>
        <w:t xml:space="preserve"> variables summarized for the three temporal data sources: microclimate data, weather station data, satellite data</w:t>
      </w:r>
      <w:bookmarkEnd w:id="123"/>
    </w:p>
    <w:p w14:paraId="584A3543" w14:textId="640EB7F6" w:rsidR="00A45A4F" w:rsidRPr="00AA3319" w:rsidRDefault="00A45A4F" w:rsidP="00A45A4F">
      <w:pPr>
        <w:rPr>
          <w:rFonts w:cs="Times New Roman"/>
        </w:rPr>
      </w:pPr>
      <w:r w:rsidRPr="00AA3319">
        <w:rPr>
          <w:rFonts w:cs="Times New Roman"/>
          <w:noProof/>
        </w:rPr>
        <w:drawing>
          <wp:inline distT="0" distB="0" distL="0" distR="0" wp14:anchorId="531DD45B" wp14:editId="0084070A">
            <wp:extent cx="5261610" cy="539559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61610" cy="5395595"/>
                    </a:xfrm>
                    <a:prstGeom prst="rect">
                      <a:avLst/>
                    </a:prstGeom>
                    <a:noFill/>
                  </pic:spPr>
                </pic:pic>
              </a:graphicData>
            </a:graphic>
          </wp:inline>
        </w:drawing>
      </w:r>
    </w:p>
    <w:p w14:paraId="60183174" w14:textId="435AF1FD" w:rsidR="0060075D" w:rsidRPr="00AA3319" w:rsidRDefault="0060075D" w:rsidP="0060075D">
      <w:pPr>
        <w:rPr>
          <w:rFonts w:cs="Times New Roman"/>
        </w:rPr>
      </w:pPr>
      <w:r w:rsidRPr="00AA3319">
        <w:rPr>
          <w:rFonts w:cs="Times New Roman"/>
        </w:rPr>
        <w:t xml:space="preserve">Microclimate loggers (RFID Track-it, Monarch Instruments) were deployed in close proximity to trap sites to measure temperature and relative humidity. The loggers were equipped with radiation shields to reduce measurement errors </w:t>
      </w:r>
      <w:r w:rsidRPr="00AA3319">
        <w:rPr>
          <w:rFonts w:cs="Times New Roman"/>
        </w:rPr>
        <w:fldChar w:fldCharType="begin"/>
      </w:r>
      <w:r w:rsidR="00701ADA" w:rsidRPr="00AA3319">
        <w:rPr>
          <w:rFonts w:cs="Times New Roman"/>
        </w:rPr>
        <w:instrText xml:space="preserve"> ADDIN ZOTERO_ITEM CSL_CITATION {"citationID":"6ul2pTca","properties":{"formattedCitation":"(Tarara and Hoheisel, 2007)","plainCitation":"(Tarara and Hoheisel, 2007)","noteIndex":0},"citationItems":[{"id":4121,"uris":["http://zotero.org/users/5456909/items/7FNT82TZ"],"uri":["http://zotero.org/users/5456909/items/7FNT82TZ"],"itemData":{"id":4121,"type":"article-journal","abstract":"&lt;section class=\"abstract\"&gt;&lt;p&gt;The importance of shielding temperature sensors from solar radiation is understood, but there is a lack of prescriptive advice for plant scientists to build inexpensive and effective shields for replicated field experiments. Using the general physical principles that govern radiation shielding, a number of low-cost, passively ventilated radiation shields built in-house was assessed for the measurement of air temperature against the same type of sensor in a meteorological “standard” Gill radiation shield. The base shield material had high albedo (≈0.9) and low emissivity (0.03). Aspirated shields were included for simultaneous measurements of temperature and relative humidity. Differences in air temperature (ΔT) between low-cost shields and the standard Gill were greatest for shields with open bottoms (up to +7.4 °C) and for those with poorly perforated sidewalls. Open-bottomed shields were prone to heating from reflected radiation. Tube-shaped shields appeared to require more than 30% sidewall perforation for convection by ambient wind (up to 4 m·s&lt;sup&gt;−1&lt;/sup&gt;) to offset the midday radiation load of the shield. The smallest daytime ΔT were between aspirated shields and the standard Gill, averaging less than ±0.5 °C. Among passively ventilated shields, the smallest daytime ΔT consistently were produced by a shield that emulated the stacked plate design of the standard Gill for a total of U.S. $4.00 in materials and 45 min construction time. Eighty-nine percent of all daytime ΔT for the “homemade Gill” shield was 1.5 °C or less. The combination of low ambient wind speed (less than 1 m·s&lt;sup&gt;−1&lt;/sup&gt;) and high global irradiance (greater than 600 W·m&lt;sup&gt;−2&lt;/sup&gt;) produced the largest ΔT for all passively ventilated shields, the magnitude of which varied with shield design; stacked plate configurations were more effective shields than were tube-based configurations. Nighttime ΔT were inconsequential for all shields. Cost-effective radiation shielding can be achieved by selecting shield materials and a configuration that minimize daytime radiation loading on the shield while maximizing the potential for convective transfer of that radiation load away from the shield and the sensor it houses.&lt;/p&gt;&lt;/section&gt;","container-title":"HortScience","ISSN":"0018-5345, 2327-9834","issue":"6","language":"en_US","note":"publisher: American Society for Horticultural Science\nsection: HortScience","page":"1372-1379","source":"journals.ashs.org","title":"Low-cost Shielding to Minimize Radiation Errors of Temperature Sensors in the Field","volume":"42","author":[{"family":"Tarara","given":"Julie M."},{"family":"Hoheisel","given":"Gwen-Alyn"}],"issued":{"date-parts":[["2007",10,1]]}}}],"schema":"https://github.com/citation-style-language/schema/raw/master/csl-citation.json"} </w:instrText>
      </w:r>
      <w:r w:rsidRPr="00AA3319">
        <w:rPr>
          <w:rFonts w:cs="Times New Roman"/>
        </w:rPr>
        <w:fldChar w:fldCharType="separate"/>
      </w:r>
      <w:r w:rsidR="002B37C7" w:rsidRPr="00AA3319">
        <w:rPr>
          <w:rFonts w:cs="Times New Roman"/>
        </w:rPr>
        <w:t>(Tarara and Hoheisel, 2007)</w:t>
      </w:r>
      <w:r w:rsidRPr="00AA3319">
        <w:rPr>
          <w:rFonts w:cs="Times New Roman"/>
        </w:rPr>
        <w:fldChar w:fldCharType="end"/>
      </w:r>
      <w:r w:rsidRPr="00AA3319">
        <w:rPr>
          <w:rFonts w:cs="Times New Roman"/>
        </w:rPr>
        <w:t xml:space="preserve">. We deployed two microclimate loggers at each residential trap site to measure conditions </w:t>
      </w:r>
      <w:r w:rsidRPr="00AA3319">
        <w:rPr>
          <w:rFonts w:cs="Times New Roman"/>
        </w:rPr>
        <w:lastRenderedPageBreak/>
        <w:t>in the front and back yards. We deployed between 4 and 6 loggers within a radius of 100 m at each trap site on the university campus and in public parks. Loggers were placed at heights between 1 m and 1.5 m above ground and were located in areas with an</w:t>
      </w:r>
      <w:r w:rsidR="002D65D1">
        <w:rPr>
          <w:rFonts w:cs="Times New Roman"/>
        </w:rPr>
        <w:t>d</w:t>
      </w:r>
      <w:r w:rsidRPr="00AA3319">
        <w:rPr>
          <w:rFonts w:cs="Times New Roman"/>
        </w:rPr>
        <w:t xml:space="preserve"> without tree canopies to capture small-scale variability in microclimate. The loggers recorded data every 10 minutes from mid-May to the end-November for 2019 and 2020. O</w:t>
      </w:r>
      <w:r w:rsidR="00141C47">
        <w:rPr>
          <w:rFonts w:cs="Times New Roman"/>
        </w:rPr>
        <w:t>f</w:t>
      </w:r>
      <w:r w:rsidRPr="00AA3319">
        <w:rPr>
          <w:rFonts w:cs="Times New Roman"/>
        </w:rPr>
        <w:t xml:space="preserve"> the 41 loggers used in this study, ten malfunctioned and had to be replaced. In four instances this led to missing data for the 4-week period prior to the malfunction date. For each trap location, we calculated the daily minimum, mean, and maximum temperature and relative humidity. Values from all loggers around each trap site were interpolated via inverse distance weighting </w:t>
      </w:r>
      <w:r w:rsidRPr="00AA3319">
        <w:rPr>
          <w:rFonts w:cs="Times New Roman"/>
        </w:rPr>
        <w:fldChar w:fldCharType="begin"/>
      </w:r>
      <w:r w:rsidR="000D258D" w:rsidRPr="00AA3319">
        <w:rPr>
          <w:rFonts w:cs="Times New Roman"/>
        </w:rPr>
        <w:instrText xml:space="preserve"> ADDIN ZOTERO_ITEM CSL_CITATION {"citationID":"RS7YM88s","properties":{"formattedCitation":"(Pebesma, 2004)","plainCitation":"(Pebesma, 2004)","noteIndex":0},"citationItems":[{"id":4390,"uris":["http://zotero.org/users/5456909/items/IX5QXGXW"],"uri":["http://zotero.org/users/5456909/items/IX5QXGXW"],"itemData":{"id":4390,"type":"article-journal","abstract":"This paper discusses advantages and shortcomings of the S environment for multivariable geostatistics, in particular when extended with the gstat package, an extension package for the S environments (R, S-Plus). The gstat S package provides multivariable geostatistical modelling, prediction and simulation, as well as several visualisation functions. In particular, it makes the calculation, simultaneous fitting, and visualisation of a large number of direct and cross (residual) variograms very easy. Gstat was started 10 years ago and was released under the GPL in 1996; gstat.org was started in 1998. Gstat was not initially written for teaching purposes, but for research purposes, emphasising flexibility, scalability and portability. It can deal with a large number of practical issues in geostatistics, including change of support (block kriging), simple/ordinary/universal (co)kriging, fast local neighbourhood selection, flexible trend modelling, variables with different sampling configurations, and efficient simulation of large spatially correlated random fields, indicator kriging and simulation, and (directional) variogram and cross variogram modelling. The formula/models interface of the S language is used to define multivariable geostatistical models. This paper introduces the gstat S package, and discusses a number of design and implementation issues. It also draws attention to a number of papers on integration of spatial statistics software, GIS and the S environment that were presented on the spatial statistics workshop and sessions during the conference Distributed Statistical Computing 2003.","container-title":"Computers &amp; Geosciences","issue":"7","journalAbbreviation":"Computers &amp; Geosciences","language":"en","page":"683-691","source":"ScienceDirect","title":"Multivariable geostatistics in S: the gstat package","title-short":"Multivariable geostatistics in S","volume":"30","author":[{"family":"Pebesma","given":"Edzer J"}],"issued":{"date-parts":[["2004",8,1]]}}}],"schema":"https://github.com/citation-style-language/schema/raw/master/csl-citation.json"} </w:instrText>
      </w:r>
      <w:r w:rsidRPr="00AA3319">
        <w:rPr>
          <w:rFonts w:cs="Times New Roman"/>
        </w:rPr>
        <w:fldChar w:fldCharType="separate"/>
      </w:r>
      <w:r w:rsidR="002B37C7" w:rsidRPr="00AA3319">
        <w:rPr>
          <w:rFonts w:cs="Times New Roman"/>
        </w:rPr>
        <w:t>(Pebesma, 2004)</w:t>
      </w:r>
      <w:r w:rsidRPr="00AA3319">
        <w:rPr>
          <w:rFonts w:cs="Times New Roman"/>
        </w:rPr>
        <w:fldChar w:fldCharType="end"/>
      </w:r>
      <w:r w:rsidRPr="00AA3319">
        <w:rPr>
          <w:rFonts w:cs="Times New Roman"/>
        </w:rPr>
        <w:t xml:space="preserve">. Daily values for all environmental data sources are displayed in Figure </w:t>
      </w:r>
      <w:r w:rsidR="00B17053" w:rsidRPr="00AA3319">
        <w:rPr>
          <w:rFonts w:cs="Times New Roman"/>
        </w:rPr>
        <w:t>4-</w:t>
      </w:r>
      <w:r w:rsidRPr="00AA3319">
        <w:rPr>
          <w:rFonts w:cs="Times New Roman"/>
        </w:rPr>
        <w:t xml:space="preserve">2. </w:t>
      </w:r>
    </w:p>
    <w:p w14:paraId="1B2E1AF7" w14:textId="77777777" w:rsidR="0060075D" w:rsidRPr="00AA3319" w:rsidRDefault="0060075D" w:rsidP="00562673">
      <w:pPr>
        <w:rPr>
          <w:rFonts w:cs="Times New Roman"/>
          <w:i/>
          <w:iCs/>
        </w:rPr>
      </w:pPr>
      <w:r w:rsidRPr="00AA3319">
        <w:rPr>
          <w:rFonts w:cs="Times New Roman"/>
          <w:i/>
          <w:iCs/>
        </w:rPr>
        <w:t>Remote-sensing data</w:t>
      </w:r>
    </w:p>
    <w:p w14:paraId="52CD37D1" w14:textId="6491F18F" w:rsidR="0060075D" w:rsidRPr="00AA3319" w:rsidRDefault="0053602B" w:rsidP="0060075D">
      <w:pPr>
        <w:rPr>
          <w:rFonts w:cs="Times New Roman"/>
        </w:rPr>
      </w:pPr>
      <w:r>
        <w:rPr>
          <w:rFonts w:cs="Times New Roman"/>
        </w:rPr>
        <w:t xml:space="preserve">To </w:t>
      </w:r>
      <w:r w:rsidR="004824F2">
        <w:rPr>
          <w:rFonts w:cs="Times New Roman"/>
        </w:rPr>
        <w:t xml:space="preserve">assess </w:t>
      </w:r>
      <w:r>
        <w:rPr>
          <w:rFonts w:cs="Times New Roman"/>
        </w:rPr>
        <w:t xml:space="preserve">the value of satellite data for </w:t>
      </w:r>
      <w:r w:rsidR="004824F2">
        <w:rPr>
          <w:rFonts w:cs="Times New Roman"/>
        </w:rPr>
        <w:t xml:space="preserve">mosquito-borne </w:t>
      </w:r>
      <w:r>
        <w:rPr>
          <w:rFonts w:cs="Times New Roman"/>
        </w:rPr>
        <w:t xml:space="preserve">disease applications, we gathered data from products </w:t>
      </w:r>
      <w:r w:rsidR="004824F2">
        <w:rPr>
          <w:rFonts w:cs="Times New Roman"/>
        </w:rPr>
        <w:t>derived from</w:t>
      </w:r>
      <w:r>
        <w:rPr>
          <w:rFonts w:cs="Times New Roman"/>
        </w:rPr>
        <w:t xml:space="preserve"> satellite observations. </w:t>
      </w:r>
      <w:r w:rsidR="0060075D" w:rsidRPr="00AA3319">
        <w:rPr>
          <w:rFonts w:cs="Times New Roman"/>
        </w:rPr>
        <w:t xml:space="preserve">We </w:t>
      </w:r>
      <w:r>
        <w:rPr>
          <w:rFonts w:cs="Times New Roman"/>
        </w:rPr>
        <w:t>used</w:t>
      </w:r>
      <w:r w:rsidR="0060075D" w:rsidRPr="00AA3319">
        <w:rPr>
          <w:rFonts w:cs="Times New Roman"/>
        </w:rPr>
        <w:t xml:space="preserve"> data from different satellite sensors to be able to compare </w:t>
      </w:r>
      <w:r>
        <w:rPr>
          <w:rFonts w:cs="Times New Roman"/>
        </w:rPr>
        <w:t xml:space="preserve">remote sensing variables with </w:t>
      </w:r>
      <w:r w:rsidR="0060075D" w:rsidRPr="00AA3319">
        <w:rPr>
          <w:rFonts w:cs="Times New Roman"/>
        </w:rPr>
        <w:t>weather station</w:t>
      </w:r>
      <w:r w:rsidR="003A68A6">
        <w:rPr>
          <w:rFonts w:cs="Times New Roman"/>
        </w:rPr>
        <w:t xml:space="preserve"> data</w:t>
      </w:r>
      <w:r w:rsidR="0060075D" w:rsidRPr="00AA3319">
        <w:rPr>
          <w:rFonts w:cs="Times New Roman"/>
        </w:rPr>
        <w:t xml:space="preserve"> and microclimate logger measurements</w:t>
      </w:r>
      <w:r w:rsidR="0060075D" w:rsidRPr="00AA3319">
        <w:rPr>
          <w:rFonts w:cs="Times New Roman"/>
          <w:b/>
          <w:bCs/>
        </w:rPr>
        <w:t>.</w:t>
      </w:r>
      <w:r w:rsidR="0060075D" w:rsidRPr="00AA3319">
        <w:rPr>
          <w:rFonts w:cs="Times New Roman"/>
        </w:rPr>
        <w:t xml:space="preserve"> Daily rainfall measurements were derived from the Climate Hazards group Infrared Precipitation with Stations (CHIRPS) dataset </w:t>
      </w:r>
      <w:r w:rsidR="0060075D" w:rsidRPr="00AA3319">
        <w:rPr>
          <w:rFonts w:cs="Times New Roman"/>
        </w:rPr>
        <w:fldChar w:fldCharType="begin"/>
      </w:r>
      <w:r w:rsidR="00164EEB" w:rsidRPr="00AA3319">
        <w:rPr>
          <w:rFonts w:cs="Times New Roman"/>
        </w:rPr>
        <w:instrText xml:space="preserve"> ADDIN ZOTERO_ITEM CSL_CITATION {"citationID":"r8WF71Kb","properties":{"formattedCitation":"(Funk et al., 2015)","plainCitation":"(Funk et al., 2015)","noteIndex":0},"citationItems":[{"id":4395,"uris":["http://zotero.org/users/5456909/items/TQEXKYTF"],"uri":["http://zotero.org/users/5456909/items/TQEXKYTF"],"itemData":{"id":4395,"type":"article-journal","abstract":"The Climate Hazards group Infrared Precipitation with Stations (CHIRPS) dataset builds on previous approaches to ‘smart’ interpolation techniques and high resolution, long period of record precipitation estimates based on infrared Cold Cloud Duration (CCD) observations. The algorithm i) is built around a 0.05° climatology that incorporates satellite information to represent sparsely gauged locations, ii) incorporates daily, pentadal, and monthly 1981-present 0.05° CCD-based precipitation estimates, iii) blends station data to produce a preliminary information product with a latency of about 2 days and a final product with an average latency of about 3 weeks, and iv) uses a novel blending procedure incorporating the spatial correlation structure of CCD-estimates to assign interpolation weights. We present the CHIRPS algorithm, global and regional validation results, and show how CHIRPS can be used to quantify the hydrologic impacts of decreasing precipitation and rising air temperatures in the Greater Horn of Africa. Using the Variable Infiltration Capacity model, we show that CHIRPS can support effective hydrologic forecasts and trend analyses in southeastern Ethiopia.","container-title":"Scientific Data","ISSN":"2052-4463","issue":"1","language":"en","note":"number: 1\npublisher: Nature Publishing Group","page":"150066","source":"www.nature.com","title":"The climate hazards infrared precipitation with stations—a new environmental record for monitoring extremes","volume":"2","author":[{"family":"Funk","given":"Chris"},{"family":"Peterson","given":"Pete"},{"family":"Landsfeld","given":"Martin"},{"family":"Pedreros","given":"Diego"},{"family":"Verdin","given":"James"},{"family":"Shukla","given":"Shraddhanand"},{"family":"Husak","given":"Gregory"},{"family":"Rowland","given":"James"},{"family":"Harrison","given":"Laura"},{"family":"Hoell","given":"Andrew"},{"family":"Michaelsen","given":"Joel"}],"issued":{"date-parts":[["2015",12,8]]}}}],"schema":"https://github.com/citation-style-language/schema/raw/master/csl-citation.json"} </w:instrText>
      </w:r>
      <w:r w:rsidR="0060075D" w:rsidRPr="00AA3319">
        <w:rPr>
          <w:rFonts w:cs="Times New Roman"/>
        </w:rPr>
        <w:fldChar w:fldCharType="separate"/>
      </w:r>
      <w:r w:rsidR="002B37C7" w:rsidRPr="00AA3319">
        <w:rPr>
          <w:rFonts w:cs="Times New Roman"/>
        </w:rPr>
        <w:t>(Funk et al., 2015)</w:t>
      </w:r>
      <w:r w:rsidR="0060075D" w:rsidRPr="00AA3319">
        <w:rPr>
          <w:rFonts w:cs="Times New Roman"/>
        </w:rPr>
        <w:fldChar w:fldCharType="end"/>
      </w:r>
      <w:r w:rsidR="0060075D" w:rsidRPr="00AA3319">
        <w:rPr>
          <w:rFonts w:cs="Times New Roman"/>
        </w:rPr>
        <w:t>. This product provides daily disaggregated rainfall data at a spatial resolution of 0.05° × 0.05° (4.5 km at a Latitude of 35</w:t>
      </w:r>
      <w:r w:rsidR="0060075D" w:rsidRPr="00AA3319">
        <w:rPr>
          <w:rFonts w:cs="Times New Roman"/>
          <w:color w:val="000000"/>
          <w:sz w:val="20"/>
          <w:szCs w:val="20"/>
          <w:shd w:val="clear" w:color="auto" w:fill="FFFFFF"/>
        </w:rPr>
        <w:t>°</w:t>
      </w:r>
      <w:r w:rsidR="0060075D" w:rsidRPr="00AA3319">
        <w:rPr>
          <w:rFonts w:cs="Times New Roman"/>
        </w:rPr>
        <w:t xml:space="preserve"> N). Land surface temperature data were obtained from the Visible Infrared Imaging Radiometer Suite sensor (VIIRS) </w:t>
      </w:r>
      <w:r w:rsidR="0060075D" w:rsidRPr="00AA3319">
        <w:rPr>
          <w:rFonts w:cs="Times New Roman"/>
        </w:rPr>
        <w:fldChar w:fldCharType="begin"/>
      </w:r>
      <w:r w:rsidR="002B37C7" w:rsidRPr="00AA3319">
        <w:rPr>
          <w:rFonts w:cs="Times New Roman"/>
        </w:rPr>
        <w:instrText xml:space="preserve"> ADDIN ZOTERO_ITEM CSL_CITATION {"citationID":"uIweXpHd","properties":{"formattedCitation":"(Hulley and Hook, 2018)","plainCitation":"(Hulley and Hook, 2018)","noteIndex":0},"citationItems":[{"id":4394,"uris":["http://zotero.org/users/5456909/items/GZ9P7QB6"],"uri":["http://zotero.org/users/5456909/items/GZ9P7QB6"],"itemData":{"id":4394,"type":"article","publisher":"NASA EOSDIS Land Processes DAAC","title":"VIIRS/NPP Land Surface Temperature 6-Min L2 Swath 750m V001","author":[{"family":"Hulley","given":"Glynn"},{"family":"Hook","given":"Simon"}],"accessed":{"date-parts":[["2021",4,27]]},"issued":{"date-parts":[["2018"]]}}}],"schema":"https://github.com/citation-style-language/schema/raw/master/csl-citation.json"} </w:instrText>
      </w:r>
      <w:r w:rsidR="0060075D" w:rsidRPr="00AA3319">
        <w:rPr>
          <w:rFonts w:cs="Times New Roman"/>
        </w:rPr>
        <w:fldChar w:fldCharType="separate"/>
      </w:r>
      <w:r w:rsidR="002B37C7" w:rsidRPr="00AA3319">
        <w:rPr>
          <w:rFonts w:cs="Times New Roman"/>
        </w:rPr>
        <w:t>(Hulley and Hook, 2018)</w:t>
      </w:r>
      <w:r w:rsidR="0060075D" w:rsidRPr="00AA3319">
        <w:rPr>
          <w:rFonts w:cs="Times New Roman"/>
        </w:rPr>
        <w:fldChar w:fldCharType="end"/>
      </w:r>
      <w:r w:rsidR="0060075D" w:rsidRPr="00AA3319">
        <w:rPr>
          <w:rFonts w:cs="Times New Roman"/>
        </w:rPr>
        <w:t xml:space="preserve">. We downloaded the VNP21A1D data product for daytime temperatures with observations at 1:30 pm local solar time and VNP21A2N for nighttime temperatures with observations at 1:30 am local solar time. Daytime and nighttime land surface temperature </w:t>
      </w:r>
      <w:r w:rsidR="0060075D" w:rsidRPr="00AA3319">
        <w:rPr>
          <w:rFonts w:cs="Times New Roman"/>
        </w:rPr>
        <w:lastRenderedPageBreak/>
        <w:t xml:space="preserve">data are available at daily intervals at a spatial resolution of 1km. We converted temperature values from Kelvin to Celsius. Data tiles were masked via the products’ internal quality control layers to exclude cloud contaminated pixels. Vegetation and moisture indices were calculated from harmonized Landsat and Sentinel-2 (HLS) data </w:t>
      </w:r>
      <w:r w:rsidR="0060075D" w:rsidRPr="00AA3319">
        <w:rPr>
          <w:rFonts w:cs="Times New Roman"/>
        </w:rPr>
        <w:fldChar w:fldCharType="begin"/>
      </w:r>
      <w:r w:rsidR="00531D94" w:rsidRPr="00AA3319">
        <w:rPr>
          <w:rFonts w:cs="Times New Roman"/>
        </w:rPr>
        <w:instrText xml:space="preserve"> ADDIN ZOTERO_ITEM CSL_CITATION {"citationID":"5WCavdF7","properties":{"formattedCitation":"(Claverie et al., 2018)","plainCitation":"(Claverie et al., 2018)","noteIndex":0},"citationItems":[{"id":4200,"uris":["http://zotero.org/users/5456909/items/58GGC7AD"],"uri":["http://zotero.org/users/5456909/items/58GGC7AD"],"itemData":{"id":4200,"type":"article-journal","abstract":"The Harmonized Landsat and Sentinel-2 (HLS) project is a NASA initiative aiming to produce a Virtual Constellation (VC) of surface reflectance (SR) data acquired by the Operational Land Imager (OLI) and Multi-Spectral Instrument (MSI) aboard Landsat 8 and Sentinel-2 remote sensing satellites, respectively. The HLS products are based on a set of algorithms to obtain seamless products from both sensors (OLI and MSI): atmospheric correction, cloud and cloud-shadow masking, spatial co-registration and common gridding, bidirectional reflectance distribution function normalization and spectral bandpass adjustment. Three products are derived from the HLS processing chain: (i) S10: full resolution MSI SR at 10 m, 20 m and 60 m spatial resolutions; (ii) S30: a 30 m MSI Nadir BRDF (Bidirectional Reflectance Distribution Function)-Adjusted Reflectance (NBAR); (iii) L30: a 30 m OLI NBAR. All three products are processed for every Level-1 input products from Landsat 8/OLI (L1T) and Sentinel-2/MSI (L1C). As of version 1.3, the HLS data set covers 10.35 million km2 and spans from first Landsat 8 data (2013); Sentinel-2 data spans from October 2015. The L30 and S30 show a good consistency with coarse spatial resolution products, in particular MODIS Collection 6 MCD09CMG products (overall deviations do not exceed 11%) that are used as a reference for quality assurance. The spatial co-registration of the HLS is improved compared to original Landsat 8 L1T and Sentinel-2A L1C products, for which misregistration issues between multi-temporal data are known. In particular, the resulting computed circular errors at 90% for the HLS product are 6.2 m and 18.8 m, for S10 and L30 products, respectively. The main known issue of the current data set remains the Sentinel-2 cloud mask with many cloud detection omissions. The cross-comparison with MODIS was used to flag products with most evident non-detected clouds. A time series outlier filtering approach is suggested to detect remaining clouds. Finally, several time series are presented to highlight the high potential of the HLS data set for crop monitoring.","container-title":"Remote Sensing of Environment","ISSN":"0034-4257","journalAbbreviation":"Remote Sensing of Environment","language":"en","page":"145-161","source":"ScienceDirect","title":"The Harmonized Landsat and Sentinel-2 surface reflectance data set","volume":"219","author":[{"family":"Claverie","given":"Martin"},{"family":"Ju","given":"Junchang"},{"family":"Masek","given":"Jeffrey G."},{"family":"Dungan","given":"Jennifer L."},{"family":"Vermote","given":"Eric F."},{"family":"Roger","given":"Jean-Claude"},{"family":"Skakun","given":"Sergii V."},{"family":"Justice","given":"Christopher"}],"issued":{"date-parts":[["2018",12,15]]}}}],"schema":"https://github.com/citation-style-language/schema/raw/master/csl-citation.json"} </w:instrText>
      </w:r>
      <w:r w:rsidR="0060075D" w:rsidRPr="00AA3319">
        <w:rPr>
          <w:rFonts w:cs="Times New Roman"/>
        </w:rPr>
        <w:fldChar w:fldCharType="separate"/>
      </w:r>
      <w:r w:rsidR="002B37C7" w:rsidRPr="00AA3319">
        <w:rPr>
          <w:rFonts w:cs="Times New Roman"/>
        </w:rPr>
        <w:t>(Claverie et al., 2018)</w:t>
      </w:r>
      <w:r w:rsidR="0060075D" w:rsidRPr="00AA3319">
        <w:rPr>
          <w:rFonts w:cs="Times New Roman"/>
        </w:rPr>
        <w:fldChar w:fldCharType="end"/>
      </w:r>
      <w:r w:rsidR="0060075D" w:rsidRPr="00AA3319">
        <w:rPr>
          <w:rFonts w:cs="Times New Roman"/>
        </w:rPr>
        <w:t xml:space="preserve">. The dataset consists of Landsat 8, Sentinel 2A and Sentinel 2B imagery, which are combined into a harmonized, analysis-ready surface reflectance dataset. Sentinel images are resampled to match the 30m spatial resolution of Landsat 8 images. With observations from all satellites combined, the HLS dataset has a return interval of two to three days. From these HLS observations, we calculated a Normalized Difference Vegetation Index (NDVI) using the red and near infrared reflectance bands </w:t>
      </w:r>
      <w:r w:rsidR="0060075D" w:rsidRPr="00AA3319">
        <w:rPr>
          <w:rFonts w:cs="Times New Roman"/>
        </w:rPr>
        <w:fldChar w:fldCharType="begin"/>
      </w:r>
      <w:r w:rsidR="00FF3DA9" w:rsidRPr="00AA3319">
        <w:rPr>
          <w:rFonts w:cs="Times New Roman"/>
        </w:rPr>
        <w:instrText xml:space="preserve"> ADDIN ZOTERO_ITEM CSL_CITATION {"citationID":"BgpyWOms","properties":{"formattedCitation":"(Tucker, 1979)","plainCitation":"(Tucker, 1979)","noteIndex":0},"citationItems":[{"id":663,"uris":["http://zotero.org/users/5456909/items/2G52PXE8"],"uri":["http://zotero.org/users/5456909/items/2G52PXE8"],"itemData":{"id":663,"type":"article-journal","abstract":"In situ collected spectrometer data were used to evaluate and quantify the relationships between various linear combinations of red and photographic infrared radiances and experimental plot biomass, leaf water content, and chlorophyll content. The radiance variables evaluated included the red and photographic infrared (IR) radiance and the linear combinations of the IR/red ratio, the square root of the IR/red ratio, the IR-red difference, the vegetation index, and the transformed vegetation index. In addition, the corresponding green and red linear combinations were evaluated for comparative purposes. Three data sets were used from June, September, and October sampling periods. Regression analysis showed the increased utility of the IR and red linear combinations vis-à-vis the same green and red linear combinations. The red and IR linear combinations had 7% and 14% greater regression significance than the green and red linear combinations for the June and September sampling periods, respectively. The vegetation index, transformed vegetation index, and square root of the IR/red ratio were the most significant, followed closely by the IR/red ratio. Less than a 6% difference separated the highest and lowest of these four ER and red linear combinations. The use of these linear combinations was shown to be sensitive primarily to the green leaf area or green leaf biomass. As such, these linear combinations of the red and photographic IR radiances can be employed to monitor the photosynthetically active biomass of plant canopies.","container-title":"Remote Sensing of Environment","issue":"2","page":"127-150","title":"Red and photographic infrared linear combinations for monitoring vegetation","volume":"8","author":[{"family":"Tucker","given":"Compton J."}],"issued":{"date-parts":[["1979",5]]}}}],"schema":"https://github.com/citation-style-language/schema/raw/master/csl-citation.json"} </w:instrText>
      </w:r>
      <w:r w:rsidR="0060075D" w:rsidRPr="00AA3319">
        <w:rPr>
          <w:rFonts w:cs="Times New Roman"/>
        </w:rPr>
        <w:fldChar w:fldCharType="separate"/>
      </w:r>
      <w:r w:rsidR="002B37C7" w:rsidRPr="00AA3319">
        <w:rPr>
          <w:rFonts w:cs="Times New Roman"/>
        </w:rPr>
        <w:t>(Tucker, 1979)</w:t>
      </w:r>
      <w:r w:rsidR="0060075D" w:rsidRPr="00AA3319">
        <w:rPr>
          <w:rFonts w:cs="Times New Roman"/>
        </w:rPr>
        <w:fldChar w:fldCharType="end"/>
      </w:r>
      <w:r w:rsidR="0060075D" w:rsidRPr="00AA3319">
        <w:rPr>
          <w:rFonts w:cs="Times New Roman"/>
        </w:rPr>
        <w:t xml:space="preserve">, as well as the Normalized Difference Moisture Index (NDMI), using the near infrared and the shortwave infrared reflectance bands </w:t>
      </w:r>
      <w:r w:rsidR="0060075D" w:rsidRPr="00AA3319">
        <w:rPr>
          <w:rFonts w:cs="Times New Roman"/>
        </w:rPr>
        <w:fldChar w:fldCharType="begin"/>
      </w:r>
      <w:r w:rsidR="00D5378A" w:rsidRPr="00AA3319">
        <w:rPr>
          <w:rFonts w:cs="Times New Roman"/>
        </w:rPr>
        <w:instrText xml:space="preserve"> ADDIN ZOTERO_ITEM CSL_CITATION {"citationID":"ZEfKLBDp","properties":{"formattedCitation":"(Gao, 1996)","plainCitation":"(Gao, 1996)","noteIndex":0},"citationItems":[{"id":1686,"uris":["http://zotero.org/users/5456909/items/Y594I9NP"],"uri":["http://zotero.org/users/5456909/items/Y594I9NP"],"itemData":{"id":1686,"type":"article-journal","abstract":"The normalized difference vegetation index (NDVI) has been widely used for remote sensing of vegetation for many years. This index uses radiances or reflectances from a red channel around 0.66 μm and a near-IR channel around 0.86 μm. The red channel is located in the strong chlorophyll absorption region, while the near-IR channel is located in the high reflectance plateau of vegetation canopies. The two channels sense very different depths through vegetation canopies. In this article, another index, namely the normalized difference water index (NDWI), is proposed for remote sensing of vegetation liquid water from space. NDWI is defined as (p(0.86 μm) - ρ(1.24 μm))/(ρ(0.86 μm) + ρ(1.24 μm)), where ρ represents the radiance in reflectance units. Both the 0.86-μm and the 1.24-μm channels are located in the high reflectance plateau of vegetation canopies. They sense similar depths through vegetation canopies. They sense similar depths through vegetation canopies. Absorption by vegetation liquid water near 0.86 μm is negligible. Weak liquid absorption at 1.24 μm is present. Canopy scattering enhances the water absorption. As a result, NDWI is sensitive to changes in liquid water content of vegetation canopies. Atmospheric aerosol scattering effects in the 0.86-1.24 μm region are weak. NDWI is less sensitive to atmospheric effects than NDVI. NDWI does not remove completely the background soil reflectance effects, similar to NDVI. Because the information about vegetation canopies contained in the 1.24-μm channel is very different from that contained in the red channel near 0.66 μm. NDWI should be considered as an independent vegetation index. It is complementary to, not a substitute for NDVI. Laboratory-measured reflectance of stacked green leaves, and spectral imaging data acquired with Airborne Visible Infrared Imaging Spectrometer (AVIRIS) over Jasper Ridge in California and the High Plains in northern Colorado, are used to demonstrate the usefulness of NDWI. Comparisons between NDWI and NDVI images are also given.","container-title":"Remote Sensing of Environment","ISSN":"0034-4257","issue":"3","page":"257-266","title":"NDWI - A normalized difference water index for remote sensing of vegetation liquid water from space","volume":"58","author":[{"family":"Gao","given":"Bo Cai"}],"issued":{"date-parts":[["1996"]]}}}],"schema":"https://github.com/citation-style-language/schema/raw/master/csl-citation.json"} </w:instrText>
      </w:r>
      <w:r w:rsidR="0060075D" w:rsidRPr="00AA3319">
        <w:rPr>
          <w:rFonts w:cs="Times New Roman"/>
        </w:rPr>
        <w:fldChar w:fldCharType="separate"/>
      </w:r>
      <w:r w:rsidR="002B37C7" w:rsidRPr="00AA3319">
        <w:rPr>
          <w:rFonts w:cs="Times New Roman"/>
        </w:rPr>
        <w:t>(Gao, 1996)</w:t>
      </w:r>
      <w:r w:rsidR="0060075D" w:rsidRPr="00AA3319">
        <w:rPr>
          <w:rFonts w:cs="Times New Roman"/>
        </w:rPr>
        <w:fldChar w:fldCharType="end"/>
      </w:r>
      <w:r w:rsidR="0060075D" w:rsidRPr="00AA3319">
        <w:rPr>
          <w:rFonts w:cs="Times New Roman"/>
        </w:rPr>
        <w:t>.</w:t>
      </w:r>
    </w:p>
    <w:p w14:paraId="1783B12B" w14:textId="517ECA4F" w:rsidR="0060075D" w:rsidRPr="00AA3319" w:rsidRDefault="0060075D" w:rsidP="0060075D">
      <w:pPr>
        <w:rPr>
          <w:rFonts w:cs="Times New Roman"/>
        </w:rPr>
      </w:pPr>
      <w:r w:rsidRPr="00AA3319">
        <w:rPr>
          <w:rFonts w:cs="Times New Roman"/>
        </w:rPr>
        <w:t xml:space="preserve">Data were summarized in a standardized way for all the satellite variables. For days with missing data, we used a linear regression model to impute those missing values for each of the satellite time series. We fit a linear model by robust regression using cyclical splines </w:t>
      </w:r>
      <w:r w:rsidRPr="00AA3319">
        <w:rPr>
          <w:rFonts w:cs="Times New Roman"/>
        </w:rPr>
        <w:fldChar w:fldCharType="begin"/>
      </w:r>
      <w:r w:rsidR="002B37C7" w:rsidRPr="00AA3319">
        <w:rPr>
          <w:rFonts w:cs="Times New Roman"/>
        </w:rPr>
        <w:instrText xml:space="preserve"> ADDIN ZOTERO_ITEM CSL_CITATION {"citationID":"POOzvOcg","properties":{"formattedCitation":"(Venables and Ripley, 2002)","plainCitation":"(Venables and Ripley, 2002)","noteIndex":0},"citationItems":[{"id":3928,"uris":["http://zotero.org/users/5456909/items/9V5BV4AC"],"uri":["http://zotero.org/users/5456909/items/9V5BV4AC"],"itemData":{"id":3928,"type":"book","edition":"4","event-place":"New York","ISBN":"0-387-95457-0","publisher":"Springer","publisher-place":"New York","title":"Modern Applied Statistics with S","author":[{"family":"Venables","given":"WM"},{"family":"Ripley","given":"BD"}],"issued":{"date-parts":[["2002"]]}}}],"schema":"https://github.com/citation-style-language/schema/raw/master/csl-citation.json"} </w:instrText>
      </w:r>
      <w:r w:rsidRPr="00AA3319">
        <w:rPr>
          <w:rFonts w:cs="Times New Roman"/>
        </w:rPr>
        <w:fldChar w:fldCharType="separate"/>
      </w:r>
      <w:r w:rsidR="002B37C7" w:rsidRPr="00AA3319">
        <w:rPr>
          <w:rFonts w:cs="Times New Roman"/>
        </w:rPr>
        <w:t>(Venables and Ripley, 2002)</w:t>
      </w:r>
      <w:r w:rsidRPr="00AA3319">
        <w:rPr>
          <w:rFonts w:cs="Times New Roman"/>
        </w:rPr>
        <w:fldChar w:fldCharType="end"/>
      </w:r>
      <w:r w:rsidRPr="00AA3319">
        <w:rPr>
          <w:rFonts w:cs="Times New Roman"/>
        </w:rPr>
        <w:t xml:space="preserve">. We then replaced missing values with predicted values from the regression model. For each of the satellite variables, we summarized the values as focal means within a 1 km buffer around each trap site to have a standardized measure across all satellite products. This 1 km buffer reflects the maximum flight range of adult mosquitoes of the two target species, reported at approximately 700 m and 1 km for </w:t>
      </w:r>
      <w:r w:rsidRPr="00AA3319">
        <w:rPr>
          <w:rFonts w:cs="Times New Roman"/>
          <w:i/>
          <w:iCs/>
        </w:rPr>
        <w:t>Ae. albopictus</w:t>
      </w:r>
      <w:r w:rsidRPr="00AA3319">
        <w:rPr>
          <w:rFonts w:cs="Times New Roman"/>
        </w:rPr>
        <w:t xml:space="preserve"> and </w:t>
      </w:r>
      <w:r w:rsidRPr="00AA3319">
        <w:rPr>
          <w:rFonts w:cs="Times New Roman"/>
          <w:i/>
          <w:iCs/>
        </w:rPr>
        <w:t>Cx. quinquefasciatus</w:t>
      </w:r>
      <w:r w:rsidRPr="00AA3319">
        <w:rPr>
          <w:rFonts w:cs="Times New Roman"/>
        </w:rPr>
        <w:t xml:space="preserve">, respectively </w:t>
      </w:r>
      <w:r w:rsidRPr="00AA3319">
        <w:rPr>
          <w:rFonts w:cs="Times New Roman"/>
        </w:rPr>
        <w:fldChar w:fldCharType="begin"/>
      </w:r>
      <w:r w:rsidR="00FF3DA9" w:rsidRPr="00AA3319">
        <w:rPr>
          <w:rFonts w:cs="Times New Roman"/>
        </w:rPr>
        <w:instrText xml:space="preserve"> ADDIN ZOTERO_ITEM CSL_CITATION {"citationID":"TuPHA3XT","properties":{"formattedCitation":"(Verdonschot and Besse-Lototskaya, 2014)","plainCitation":"(Verdonschot and Besse-Lototskaya, 2014)","noteIndex":0},"citationItems":[{"id":4283,"uris":["http://zotero.org/users/5456909/items/QKU9ABIS"],"uri":["http://zotero.org/users/5456909/items/QKU9ABIS"],"itemData":{"id":4283,"type":"article-journal","abstract":"Society responds to changes in climate and land use via mitigation measures, including rainwater retention and storage in rewetted and newly constructed wetlands. Humans living close to these wetlands express concerns about future mosquito nuisance situations, and request the necessary distance between human occupation and wetlands to avoid such problems. Wetland managers need to know the distance required, as well as the type of management needed for such buffer or barrier zones. Here we performed an extensive literature survey to collect quantitative information on mosquito flight distance and the relevant environmental conditions. Mosquitoes have an average maximum flight distance of between 50m and 50km, depending on the species. Long-distance or migratory flights are strongly related to species ecological preferences and physiology, are survived by few specimens, and do not relate to nuisance situations. Nuisance-related or non-oriented flights are also species-specific and cover much shorter distances-between 25m and 6km for the 23 species analyzed. Based on these results, we made regression-based estimations of the percentages of the population that cross certain distances. A 90% reduction in breeding site population density would require minimal distances of 56m for Anopheles saperoi and 8.6km for Anopheles sinensis, and much greater distances for Aedes vexans, Culex quinquefasciatus, and Culiseta morsitans. Little useful information was available regarding the environmental conditions under which non-oriented flights took place. Qualitatively, the review showed that flight capacity was influenced by landscape structure, meteorological conditions (temperature, humidity, and illumination), and species physiology (energy available for flight). Overall, our findings suggest that predictions regarding the construction of barrier zones around breeding sites can be made based on mosquito and host density and human nuisance perception, and that barrier zone usefulness strongly depends on the mosquito species involved. Additional quantitative research is needed to better document the non-oriented dispersal patterns of the mosquitoes that populate rewetted and newly constructed wetlands, and the effects of vegetation types in barrier zones on mosquito densities.","container-title":"Limnologica","ISSN":"0075-9511","journalAbbreviation":"Limnologica","language":"en","page":"69-79","source":"ScienceDirect","title":"Flight distance of mosquitoes (Culicidae): A metadata analysis to support the management of barrier zones around rewetted and newly constructed wetlands","title-short":"Flight distance of mosquitoes (Culicidae)","volume":"45","author":[{"family":"Verdonschot","given":"Piet F. M."},{"family":"Besse-Lototskaya","given":"Anna A."}],"issued":{"date-parts":[["2014",3,1]]}}}],"schema":"https://github.com/citation-style-language/schema/raw/master/csl-citation.json"} </w:instrText>
      </w:r>
      <w:r w:rsidRPr="00AA3319">
        <w:rPr>
          <w:rFonts w:cs="Times New Roman"/>
        </w:rPr>
        <w:fldChar w:fldCharType="separate"/>
      </w:r>
      <w:r w:rsidR="002B37C7" w:rsidRPr="00AA3319">
        <w:rPr>
          <w:rFonts w:cs="Times New Roman"/>
        </w:rPr>
        <w:t>(Verdonschot and Besse-Lototskaya, 2014)</w:t>
      </w:r>
      <w:r w:rsidRPr="00AA3319">
        <w:rPr>
          <w:rFonts w:cs="Times New Roman"/>
        </w:rPr>
        <w:fldChar w:fldCharType="end"/>
      </w:r>
      <w:r w:rsidRPr="00AA3319">
        <w:rPr>
          <w:rFonts w:cs="Times New Roman"/>
        </w:rPr>
        <w:t xml:space="preserve">. </w:t>
      </w:r>
    </w:p>
    <w:p w14:paraId="3230892D" w14:textId="77777777" w:rsidR="0060075D" w:rsidRPr="00AA3319" w:rsidRDefault="0060075D" w:rsidP="00562673">
      <w:pPr>
        <w:rPr>
          <w:rFonts w:cs="Times New Roman"/>
          <w:i/>
          <w:iCs/>
        </w:rPr>
      </w:pPr>
      <w:r w:rsidRPr="00AA3319">
        <w:rPr>
          <w:rFonts w:cs="Times New Roman"/>
          <w:i/>
          <w:iCs/>
        </w:rPr>
        <w:t>Meteorological data</w:t>
      </w:r>
    </w:p>
    <w:p w14:paraId="0B0B52ED" w14:textId="671DF355" w:rsidR="0060075D" w:rsidRPr="00AA3319" w:rsidRDefault="0060075D" w:rsidP="0060075D">
      <w:pPr>
        <w:rPr>
          <w:rFonts w:cs="Times New Roman"/>
        </w:rPr>
      </w:pPr>
      <w:r w:rsidRPr="00AA3319">
        <w:rPr>
          <w:rFonts w:cs="Times New Roman"/>
        </w:rPr>
        <w:lastRenderedPageBreak/>
        <w:t xml:space="preserve">We obtained local meteorological data from the local weather station operated by the Oklahoma Mesonet network </w:t>
      </w:r>
      <w:r w:rsidRPr="00AA3319">
        <w:rPr>
          <w:rFonts w:cs="Times New Roman"/>
        </w:rPr>
        <w:fldChar w:fldCharType="begin"/>
      </w:r>
      <w:r w:rsidR="00D5378A" w:rsidRPr="00AA3319">
        <w:rPr>
          <w:rFonts w:cs="Times New Roman"/>
        </w:rPr>
        <w:instrText xml:space="preserve"> ADDIN ZOTERO_ITEM CSL_CITATION {"citationID":"3d6QrhUg","properties":{"formattedCitation":"(Brock et al., 1995; McPherson et al., 2007)","plainCitation":"(Brock et al., 1995; McPherson et al., 2007)","noteIndex":0},"citationItems":[{"id":4404,"uris":["http://zotero.org/users/5456909/items/QABYFTVU"],"uri":["http://zotero.org/users/5456909/items/QABYFTVU"],"itemData":{"id":4404,"type":"article-journal","abstract":"&lt;section class=\"abstract\"&gt;&lt;h2 class=\"abstractTitle text-title my-1\" id=\"d156850204e86\"&gt;Abstract&lt;/h2&gt;&lt;p&gt;The Oklahoma mesonet is a joint project of Oklahoma State University and the University of Oklahoma. It is an automated network of 108 stations covering the state of Oklahoma. Each station measures air temperature, humidity, barometric pressure, wind speed and direction, rainfall, solar radiation, and soil temperatures. Each station transmits a data message every 15 min via a radio link to the nearest terminal of the Oklahoma Law Enforcement Telecommunications System that relays it to a central site in Norman, Oklahoma. The data message comprises three 5-min averages of most data (and one 15-min average of soil temperatures). The central site ingests the data, runs some quality assurance tests, archives the data, and disseminates it in real time to a broad community of users, primarily through a computerized bulletin board system. This manuscript provides a technical description of the Oklahoma mesonet including a complete description of the instrumentation. Sensor inaccuracy, resolution, height with respect to ground level, and method of exposure are discussed.&lt;/p&gt;&lt;/section&gt;","container-title":"Journal of Atmospheric and Oceanic Technology","ISSN":"0739-0572, 1520-0426","issue":"1","language":"EN","note":"publisher: American Meteorological Society\nsection: Journal of Atmospheric and Oceanic Technology","page":"5-19","source":"journals.ametsoc.org","title":"The Oklahoma Mesonet: A Technical Overview","title-short":"The Oklahoma Mesonet","volume":"12","author":[{"family":"Brock","given":"Fred V."},{"family":"Crawford","given":"Kenneth C."},{"family":"Elliott","given":"Ronald L."},{"family":"Cuperus","given":"Gerrit W."},{"family":"Stadler","given":"Steven J."},{"family":"Johnson","given":"Howard L."},{"family":"Eilts","given":"Michael D."}],"issued":{"date-parts":[["1995",2,1]]}}},{"id":4399,"uris":["http://zotero.org/users/5456909/items/JLW2HWTC"],"uri":["http://zotero.org/users/5456909/items/JLW2HWTC"],"itemData":{"id":4399,"type":"article-journal","container-title":"J. Atmos. Oceanic Technol.,","note":"type: dataset","page":"301-321","source":"DOI.org (Crossref)","title":"Statewide monitoring of the mesoscale environment: A technical update on the Oklahoma Mesonet","volume":"24","author":[{"family":"McPherson","given":"R. A."},{"family":"Fiebrich","given":"C."},{"family":"Crawford","given":"K. C."},{"family":"Elliott","given":"R. L."},{"family":"Kilby","given":"J. R."},{"family":"Grimsley","given":"D. L."},{"family":"Basara","given":""},{"family":"Illston","given":"B. G."},{"family":"Morris","given":""},{"family":"Kloesel","given":"K. A."},{"family":"Stadler","given":"S. J."},{"family":"Melvin","given":"A. D."},{"family":"Sutherland","given":"A. J."},{"family":"Shrivastava","given":"H."}],"issued":{"date-parts":[["2007"]]}}}],"schema":"https://github.com/citation-style-language/schema/raw/master/csl-citation.json"} </w:instrText>
      </w:r>
      <w:r w:rsidRPr="00AA3319">
        <w:rPr>
          <w:rFonts w:cs="Times New Roman"/>
        </w:rPr>
        <w:fldChar w:fldCharType="separate"/>
      </w:r>
      <w:r w:rsidR="002B37C7" w:rsidRPr="00AA3319">
        <w:rPr>
          <w:rFonts w:cs="Times New Roman"/>
        </w:rPr>
        <w:t>(Brock et al., 1995; McPherson et al., 2007)</w:t>
      </w:r>
      <w:r w:rsidRPr="00AA3319">
        <w:rPr>
          <w:rFonts w:cs="Times New Roman"/>
        </w:rPr>
        <w:fldChar w:fldCharType="end"/>
      </w:r>
      <w:r w:rsidRPr="00AA3319">
        <w:rPr>
          <w:rFonts w:cs="Times New Roman"/>
        </w:rPr>
        <w:t xml:space="preserve">. Variables included daily minimum, mean, and maximum values for temperature and relative humidity, as well as daily rainfall. The weather station is located at 35.2556° N, 97.4836° W in the north-western part of Norman (Figure </w:t>
      </w:r>
      <w:r w:rsidR="00B17053" w:rsidRPr="00AA3319">
        <w:rPr>
          <w:rFonts w:cs="Times New Roman"/>
        </w:rPr>
        <w:t>4-</w:t>
      </w:r>
      <w:r w:rsidRPr="00AA3319">
        <w:rPr>
          <w:rFonts w:cs="Times New Roman"/>
        </w:rPr>
        <w:t xml:space="preserve">1). The distances between the weather station and the mosquito traps were between 2 and 20 km. Analyses based on weather station data assigned the same time series of meteorological variables to each trap site. </w:t>
      </w:r>
    </w:p>
    <w:p w14:paraId="19033EE0" w14:textId="77777777" w:rsidR="00D50155" w:rsidRDefault="0060075D" w:rsidP="00D50155">
      <w:pPr>
        <w:keepNext/>
      </w:pPr>
      <w:r w:rsidRPr="00AA3319">
        <w:rPr>
          <w:rFonts w:cs="Times New Roman"/>
          <w:noProof/>
        </w:rPr>
        <w:lastRenderedPageBreak/>
        <w:drawing>
          <wp:inline distT="0" distB="0" distL="0" distR="0" wp14:anchorId="6C1C7DC7" wp14:editId="52C61C7B">
            <wp:extent cx="5486400" cy="6454474"/>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91730" cy="6460744"/>
                    </a:xfrm>
                    <a:prstGeom prst="rect">
                      <a:avLst/>
                    </a:prstGeom>
                  </pic:spPr>
                </pic:pic>
              </a:graphicData>
            </a:graphic>
          </wp:inline>
        </w:drawing>
      </w:r>
    </w:p>
    <w:p w14:paraId="4C78FDD4" w14:textId="298C0A16" w:rsidR="0060075D" w:rsidRPr="00AA3319" w:rsidRDefault="00D50155" w:rsidP="00D50155">
      <w:pPr>
        <w:pStyle w:val="Caption"/>
        <w:ind w:firstLine="0"/>
        <w:rPr>
          <w:rFonts w:cs="Times New Roman"/>
        </w:rPr>
      </w:pPr>
      <w:bookmarkStart w:id="124" w:name="_Toc78881299"/>
      <w:r>
        <w:t xml:space="preserve">Figure </w:t>
      </w:r>
      <w:r w:rsidR="00E61F20">
        <w:fldChar w:fldCharType="begin"/>
      </w:r>
      <w:r w:rsidR="00E61F20">
        <w:instrText xml:space="preserve"> STYLEREF 1 \s </w:instrText>
      </w:r>
      <w:r w:rsidR="00E61F20">
        <w:fldChar w:fldCharType="separate"/>
      </w:r>
      <w:r w:rsidR="00F243F7">
        <w:rPr>
          <w:noProof/>
        </w:rPr>
        <w:t>4</w:t>
      </w:r>
      <w:r w:rsidR="00E61F20">
        <w:rPr>
          <w:noProof/>
        </w:rPr>
        <w:fldChar w:fldCharType="end"/>
      </w:r>
      <w:r w:rsidR="004C1B0D">
        <w:noBreakHyphen/>
      </w:r>
      <w:r w:rsidR="00E61F20">
        <w:fldChar w:fldCharType="begin"/>
      </w:r>
      <w:r w:rsidR="00E61F20">
        <w:instrText xml:space="preserve"> SEQ Figure \* ARABIC \s 1 </w:instrText>
      </w:r>
      <w:r w:rsidR="00E61F20">
        <w:fldChar w:fldCharType="separate"/>
      </w:r>
      <w:r w:rsidR="00F243F7">
        <w:rPr>
          <w:noProof/>
        </w:rPr>
        <w:t>2</w:t>
      </w:r>
      <w:r w:rsidR="00E61F20">
        <w:rPr>
          <w:noProof/>
        </w:rPr>
        <w:fldChar w:fldCharType="end"/>
      </w:r>
      <w:r>
        <w:t xml:space="preserve">: </w:t>
      </w:r>
      <w:r w:rsidRPr="00AA3319">
        <w:rPr>
          <w:rFonts w:cs="Times New Roman"/>
        </w:rPr>
        <w:t>Environmental variables for temperature, spectral indices, precipitation, and relative humidity from microclimate loggers</w:t>
      </w:r>
      <w:r w:rsidR="004824F2">
        <w:rPr>
          <w:rFonts w:cs="Times New Roman"/>
        </w:rPr>
        <w:t xml:space="preserve"> (top row)</w:t>
      </w:r>
      <w:r w:rsidRPr="00AA3319">
        <w:rPr>
          <w:rFonts w:cs="Times New Roman"/>
        </w:rPr>
        <w:t>, satellite</w:t>
      </w:r>
      <w:r w:rsidR="004824F2">
        <w:rPr>
          <w:rFonts w:cs="Times New Roman"/>
        </w:rPr>
        <w:t xml:space="preserve"> remote sensing (middle row)</w:t>
      </w:r>
      <w:r w:rsidRPr="00AA3319">
        <w:rPr>
          <w:rFonts w:cs="Times New Roman"/>
        </w:rPr>
        <w:t>, and weather station data</w:t>
      </w:r>
      <w:r w:rsidR="004824F2">
        <w:rPr>
          <w:rFonts w:cs="Times New Roman"/>
        </w:rPr>
        <w:t xml:space="preserve"> (bottom row)</w:t>
      </w:r>
      <w:r w:rsidRPr="00AA3319">
        <w:rPr>
          <w:rFonts w:cs="Times New Roman"/>
        </w:rPr>
        <w:t xml:space="preserve">. </w:t>
      </w:r>
      <w:r w:rsidR="004824F2">
        <w:rPr>
          <w:rFonts w:cs="Times New Roman"/>
        </w:rPr>
        <w:t xml:space="preserve">For microclimate data, the solid lines represent the median value </w:t>
      </w:r>
      <w:r w:rsidR="009250F1">
        <w:rPr>
          <w:rFonts w:cs="Times New Roman"/>
        </w:rPr>
        <w:t xml:space="preserve">and ribbons the minimum and maximum across all sites. </w:t>
      </w:r>
      <w:r w:rsidRPr="00AA3319">
        <w:rPr>
          <w:rFonts w:cs="Times New Roman"/>
        </w:rPr>
        <w:t xml:space="preserve">For satellite </w:t>
      </w:r>
      <w:r w:rsidR="009250F1" w:rsidRPr="00AA3319">
        <w:rPr>
          <w:rFonts w:cs="Times New Roman"/>
        </w:rPr>
        <w:t>data,</w:t>
      </w:r>
      <w:r w:rsidRPr="00AA3319">
        <w:rPr>
          <w:rFonts w:cs="Times New Roman"/>
        </w:rPr>
        <w:t xml:space="preserve"> the graphs show daily interpolated value for a 1km buffer zone around all trap sites with the solid lines representing the median value and the ribbons the minimum and maximum </w:t>
      </w:r>
      <w:r w:rsidR="009250F1">
        <w:rPr>
          <w:rFonts w:cs="Times New Roman"/>
        </w:rPr>
        <w:t>across all sites</w:t>
      </w:r>
      <w:r w:rsidRPr="00AA3319">
        <w:rPr>
          <w:rFonts w:cs="Times New Roman"/>
        </w:rPr>
        <w:t>. For weather station data, the solid lines show the daily values measured at the location of the weather station.</w:t>
      </w:r>
      <w:bookmarkEnd w:id="124"/>
    </w:p>
    <w:p w14:paraId="38ECA1C2" w14:textId="77777777" w:rsidR="0060075D" w:rsidRPr="00AA3319" w:rsidRDefault="0060075D" w:rsidP="00562673">
      <w:pPr>
        <w:pStyle w:val="Heading3"/>
        <w:rPr>
          <w:rFonts w:cs="Times New Roman"/>
        </w:rPr>
      </w:pPr>
      <w:bookmarkStart w:id="125" w:name="_Toc70010370"/>
      <w:bookmarkStart w:id="126" w:name="_Toc78889216"/>
      <w:r w:rsidRPr="00AA3319">
        <w:rPr>
          <w:rFonts w:cs="Times New Roman"/>
        </w:rPr>
        <w:lastRenderedPageBreak/>
        <w:t>Analysis</w:t>
      </w:r>
      <w:bookmarkEnd w:id="125"/>
      <w:bookmarkEnd w:id="126"/>
    </w:p>
    <w:p w14:paraId="69067155" w14:textId="5EB08B7B" w:rsidR="0060075D" w:rsidRPr="00AA3319" w:rsidRDefault="0060075D" w:rsidP="0060075D">
      <w:pPr>
        <w:rPr>
          <w:rFonts w:cs="Times New Roman"/>
        </w:rPr>
      </w:pPr>
      <w:r w:rsidRPr="00AA3319">
        <w:rPr>
          <w:rFonts w:cs="Times New Roman"/>
        </w:rPr>
        <w:t xml:space="preserve">To study the relationships between mosquito abundance and environmental variables, we </w:t>
      </w:r>
      <w:r w:rsidR="000D61AE">
        <w:rPr>
          <w:rFonts w:cs="Times New Roman"/>
        </w:rPr>
        <w:t xml:space="preserve">first </w:t>
      </w:r>
      <w:r w:rsidRPr="00AA3319">
        <w:rPr>
          <w:rFonts w:cs="Times New Roman"/>
        </w:rPr>
        <w:t xml:space="preserve">used linear models to select the most important predictors for each type of variable and species. We then trained models with selected variables to compare the explanatory power of data from the different sources. </w:t>
      </w:r>
    </w:p>
    <w:p w14:paraId="3736AC43" w14:textId="256FA12A" w:rsidR="0060075D" w:rsidRPr="00AA3319" w:rsidRDefault="0060075D" w:rsidP="0060075D">
      <w:pPr>
        <w:rPr>
          <w:rFonts w:cs="Times New Roman"/>
        </w:rPr>
      </w:pPr>
      <w:r w:rsidRPr="00AA3319">
        <w:rPr>
          <w:rFonts w:cs="Times New Roman"/>
        </w:rPr>
        <w:t xml:space="preserve">All environmental variables were summarized for each trap day as well as for the one, two, three and four weeks leading up to the trapping day. We then fitted linear models using maximum likelihood estimation </w:t>
      </w:r>
      <w:r w:rsidRPr="00AA3319">
        <w:rPr>
          <w:rFonts w:cs="Times New Roman"/>
        </w:rPr>
        <w:fldChar w:fldCharType="begin"/>
      </w:r>
      <w:r w:rsidR="001B184A" w:rsidRPr="00AA3319">
        <w:rPr>
          <w:rFonts w:cs="Times New Roman"/>
        </w:rPr>
        <w:instrText xml:space="preserve"> ADDIN ZOTERO_ITEM CSL_CITATION {"citationID":"1rfFEOvM","properties":{"formattedCitation":"(Ripley et al., 2021)","plainCitation":"(Ripley et al., 2021)","noteIndex":0},"citationItems":[{"id":4494,"uris":["http://zotero.org/users/5456909/items/GUNLV83L"],"uri":["http://zotero.org/users/5456909/items/GUNLV83L"],"itemData":{"id":4494,"type":"book","title":"Package \"MASS\"","URL":"https://cran.r-project.org/web/packages/MASS/MASS.pdf","author":[{"family":"Ripley","given":"Brian"},{"family":"Venables","given":"Bill"},{"family":"Bates","given":"Douglas M."},{"family":"Hornik","given":"Kurt"},{"family":"Gebhardt","given":"Albrecht"},{"family":"Firth","given":"David"}],"accessed":{"date-parts":[["2021",5,23]]},"issued":{"date-parts":[["2021"]]}}}],"schema":"https://github.com/citation-style-language/schema/raw/master/csl-citation.json"} </w:instrText>
      </w:r>
      <w:r w:rsidRPr="00AA3319">
        <w:rPr>
          <w:rFonts w:cs="Times New Roman"/>
        </w:rPr>
        <w:fldChar w:fldCharType="separate"/>
      </w:r>
      <w:r w:rsidR="002B37C7" w:rsidRPr="00AA3319">
        <w:rPr>
          <w:rFonts w:cs="Times New Roman"/>
        </w:rPr>
        <w:t>(Ripley et al., 2021)</w:t>
      </w:r>
      <w:r w:rsidRPr="00AA3319">
        <w:rPr>
          <w:rFonts w:cs="Times New Roman"/>
        </w:rPr>
        <w:fldChar w:fldCharType="end"/>
      </w:r>
      <w:r w:rsidRPr="00AA3319">
        <w:rPr>
          <w:rFonts w:cs="Times New Roman"/>
        </w:rPr>
        <w:t xml:space="preserve">. To correct for overdispersion, all models were fit using a negative binomial distribution on untransformed count data </w:t>
      </w:r>
      <w:r w:rsidRPr="00AA3319">
        <w:rPr>
          <w:rFonts w:cs="Times New Roman"/>
        </w:rPr>
        <w:fldChar w:fldCharType="begin"/>
      </w:r>
      <w:r w:rsidR="002B37C7" w:rsidRPr="00AA3319">
        <w:rPr>
          <w:rFonts w:cs="Times New Roman"/>
        </w:rPr>
        <w:instrText xml:space="preserve"> ADDIN ZOTERO_ITEM CSL_CITATION {"citationID":"0E7Upl75","properties":{"formattedCitation":"(O\\uc0\\u8217{}Hara and Kotze, 2010)","plainCitation":"(O’Hara and Kotze, 2010)","noteIndex":0},"citationItems":[{"id":4275,"uris":["http://zotero.org/users/5456909/items/V2459F3G"],"uri":["http://zotero.org/users/5456909/items/V2459F3G"],"itemData":{"id":4275,"type":"article-journal","abstract":"1. Ecological count data (e.g. number of individuals or species) are often log-transformed to satisfy parametric test assumptions. 2. Apart from the fact that generalized linear models are better suited in dealing with count data, a log-transformation of counts has the additional quandary in how to deal with zero observations. With just one zero observation (if this observation represents a sampling unit), the whole data set needs to be fudged by adding a value (usually 1) before transformation. 3. Simulating data from a negative binomial distribution, we compared the outcome of fitting models that were transformed in various ways (log, square root) with results from fitting models using quasi-Poisson and negative binomial models to untransformed count data. 4. We found that the transformations performed poorly, except when the dispersion was small and the mean counts were large. The quasi-Poisson and negative binomial models consistently performed well, with little bias. 5. We recommend that count data should not be analysed by log-transforming it, but instead models based on Poisson and negative binomial distributions should be used.","container-title":"Methods in Ecology and Evolution","ISSN":"2041-210X","issue":"2","page":"118-122","source":"Wiley Online Library","title":"Do not log-transform count data","volume":"1","author":[{"family":"O’Hara","given":"Robert B."},{"family":"Kotze","given":"D. Johan"}],"issued":{"date-parts":[["2010"]]}}}],"schema":"https://github.com/citation-style-language/schema/raw/master/csl-citation.json"} </w:instrText>
      </w:r>
      <w:r w:rsidRPr="00AA3319">
        <w:rPr>
          <w:rFonts w:cs="Times New Roman"/>
        </w:rPr>
        <w:fldChar w:fldCharType="separate"/>
      </w:r>
      <w:r w:rsidR="002B37C7" w:rsidRPr="00AA3319">
        <w:rPr>
          <w:rFonts w:cs="Times New Roman"/>
          <w:szCs w:val="24"/>
        </w:rPr>
        <w:t>(O’Hara and Kotze, 2010)</w:t>
      </w:r>
      <w:r w:rsidRPr="00AA3319">
        <w:rPr>
          <w:rFonts w:cs="Times New Roman"/>
        </w:rPr>
        <w:fldChar w:fldCharType="end"/>
      </w:r>
      <w:r w:rsidRPr="00AA3319">
        <w:rPr>
          <w:rFonts w:cs="Times New Roman"/>
        </w:rPr>
        <w:t xml:space="preserve">. Variable selection was done via univariate linear models that were fitted for </w:t>
      </w:r>
      <w:r w:rsidR="00BC415F">
        <w:rPr>
          <w:rFonts w:cs="Times New Roman"/>
        </w:rPr>
        <w:t>every</w:t>
      </w:r>
      <w:r w:rsidRPr="00AA3319">
        <w:rPr>
          <w:rFonts w:cs="Times New Roman"/>
        </w:rPr>
        <w:t xml:space="preserve"> combination of variable type (temperature, humidity, precipitation, spectral index) and temporal summary (1-day, 1 week, 2 weeks, 3 weeks, 4 weeks). For each data source (Microclimate, Weather Station, Satellite), we ranked these models by their Akaike information criterion (AIC) value. The AIC is a </w:t>
      </w:r>
      <w:r w:rsidR="00E5163E">
        <w:rPr>
          <w:rFonts w:cs="Times New Roman"/>
        </w:rPr>
        <w:t>commonly used</w:t>
      </w:r>
      <w:r w:rsidRPr="00AA3319">
        <w:rPr>
          <w:rFonts w:cs="Times New Roman"/>
        </w:rPr>
        <w:t xml:space="preserve"> information criterion for model selection, </w:t>
      </w:r>
      <w:r w:rsidR="00E5163E">
        <w:rPr>
          <w:rFonts w:cs="Times New Roman"/>
        </w:rPr>
        <w:t>that</w:t>
      </w:r>
      <w:r w:rsidRPr="00AA3319">
        <w:rPr>
          <w:rFonts w:cs="Times New Roman"/>
        </w:rPr>
        <w:t xml:space="preserve"> penalizes overparameterization to pick the simplest of the best fitting models </w:t>
      </w:r>
      <w:r w:rsidRPr="00AA3319">
        <w:rPr>
          <w:rFonts w:cs="Times New Roman"/>
        </w:rPr>
        <w:fldChar w:fldCharType="begin"/>
      </w:r>
      <w:r w:rsidR="000B7BAA" w:rsidRPr="00AA3319">
        <w:rPr>
          <w:rFonts w:cs="Times New Roman"/>
        </w:rPr>
        <w:instrText xml:space="preserve"> ADDIN ZOTERO_ITEM CSL_CITATION {"citationID":"vpD9kXiq","properties":{"formattedCitation":"(Akaike, 1998; Bozdogan, 1987)","plainCitation":"(Akaike, 1998; Bozdogan, 1987)","noteIndex":0},"citationItems":[{"id":4558,"uris":["http://zotero.org/users/5456909/items/N4SJ4Y2G"],"uri":["http://zotero.org/users/5456909/items/N4SJ4Y2G"],"itemData":{"id":4558,"type":"chapter","abstract":"In this paper it is shown that the classical maximum likelihood principle can be considered to be a method of asymptotic realization of an optimum estimate with respect to a very general information theoretic criterion. This observation shows an extension of the principle to provide answers to many practical problems of statistical model fitting.","collection-title":"Springer Series in Statistics","container-title":"Selected Papers of Hirotugu Akaike","event-place":"New York, NY","language":"en","page":"199-213","publisher":"Springer","publisher-place":"New York, NY","source":"Springer Link","title":"Information Theory and an Extension of the Maximum Likelihood Principle","author":[{"family":"Akaike","given":"Hirotogu"}],"editor":[{"family":"Parzen","given":"Emanuel"},{"family":"Tanabe","given":"Kunio"},{"family":"Kitagawa","given":"Genshiro"}],"issued":{"date-parts":[["1998"]]}}},{"id":4557,"uris":["http://zotero.org/users/5456909/items/MBV7K22K"],"uri":["http://zotero.org/users/5456909/items/MBV7K22K"],"itemData":{"id":4557,"type":"article-journal","abstract":"During the last fifteen years, Akaike's entropy-based Information Criterion (AIC) has had a fundamental impact in statistical model evaluation problems. This paper studies the general theory of the AIC procedure and provides its analytical extensions in two ways without violating Akaike's main principles. These extensions make AIC asymptotically consistent and penalize overparameterization more stringently to pick only the simplest of the \"true\" models. These selection criteria are called CAIC and CAICF. Asymptotic properties of AIC and its extensions are investigated, and empirical performances of these criteria are studied in choosing the correct degree of a polynomial model in two different Monte Carlo experiments under different conditions.","container-title":"Psychometrika","ISSN":"0033-3123, 1860-0980","issue":"3","journalAbbreviation":"Psychometrika","language":"en","page":"345-370","source":"DOI.org (Crossref)","title":"Model selection and Akaike's Information Criterion (AIC): The general theory and its analytical extensions","title-short":"Model selection and Akaike's Information Criterion (AIC)","volume":"52","author":[{"family":"Bozdogan","given":"Hamparsum"}],"issued":{"date-parts":[["1987",9]]}}}],"schema":"https://github.com/citation-style-language/schema/raw/master/csl-citation.json"} </w:instrText>
      </w:r>
      <w:r w:rsidRPr="00AA3319">
        <w:rPr>
          <w:rFonts w:cs="Times New Roman"/>
        </w:rPr>
        <w:fldChar w:fldCharType="separate"/>
      </w:r>
      <w:r w:rsidR="002B37C7" w:rsidRPr="00AA3319">
        <w:rPr>
          <w:rFonts w:cs="Times New Roman"/>
        </w:rPr>
        <w:t>(Akaike, 1998; Bozdogan, 1987)</w:t>
      </w:r>
      <w:r w:rsidRPr="00AA3319">
        <w:rPr>
          <w:rFonts w:cs="Times New Roman"/>
        </w:rPr>
        <w:fldChar w:fldCharType="end"/>
      </w:r>
      <w:r w:rsidRPr="00AA3319">
        <w:rPr>
          <w:rFonts w:cs="Times New Roman"/>
        </w:rPr>
        <w:t xml:space="preserve">. We selected the top four variables that were either a daily or weekly summary from each variable type. </w:t>
      </w:r>
    </w:p>
    <w:p w14:paraId="477B4CC6" w14:textId="698E77D9" w:rsidR="0060075D" w:rsidRPr="00AA3319" w:rsidRDefault="0060075D" w:rsidP="0060075D">
      <w:pPr>
        <w:rPr>
          <w:rFonts w:cs="Times New Roman"/>
        </w:rPr>
      </w:pPr>
      <w:r w:rsidRPr="00AA3319">
        <w:rPr>
          <w:rFonts w:cs="Times New Roman"/>
        </w:rPr>
        <w:t xml:space="preserve">We then fitted three multi-variable models with the best four predictors from the microclimate data, weather station data, and the satellite data, as well as an additional multivariate model with only land cover variables. Three additional models were fitted where we added the land cover variables to account for purely spatial differences between trap sites. To compare the effect sizes of the variables, we standardized them by rescaling to a mean of zero and a standard deviation of one. Lastly, we calculated AIC statistics and </w:t>
      </w:r>
      <w:r w:rsidRPr="00AA3319">
        <w:rPr>
          <w:rFonts w:cs="Times New Roman"/>
        </w:rPr>
        <w:lastRenderedPageBreak/>
        <w:t xml:space="preserve">Akaike weights </w:t>
      </w:r>
      <w:r w:rsidRPr="00AA3319">
        <w:rPr>
          <w:rFonts w:cs="Times New Roman"/>
        </w:rPr>
        <w:fldChar w:fldCharType="begin"/>
      </w:r>
      <w:r w:rsidR="002B37C7" w:rsidRPr="00AA3319">
        <w:rPr>
          <w:rFonts w:cs="Times New Roman"/>
        </w:rPr>
        <w:instrText xml:space="preserve"> ADDIN ZOTERO_ITEM CSL_CITATION {"citationID":"NScvs09e","properties":{"formattedCitation":"(Wagenmakers and Farrell, 2004)","plainCitation":"(Wagenmakers and Farrell, 2004)","noteIndex":0},"citationItems":[{"id":4516,"uris":["http://zotero.org/users/5456909/items/4PL59W7E"],"uri":["http://zotero.org/users/5456909/items/4PL59W7E"],"itemData":{"id":4516,"type":"article-journal","abstract":"The Akaike information criterion (AIC; Akaike, 1973) is a popular method for comparing the adequacy of multiple, possibly nonnested models. Current practice in cognitive psychology is to accept a single model on the basis of only the “raw” AIC values, making it difficult to unambiguously interpret the observed AIC differences in terms of a continuous measure such as probability. Here we demonstrate that AIC values can be easily transformed to so-called Akaike weights (e.g., Akaike, 1978, 1979; Bozdogan, 1987; Burnham &amp; Anderson, 2002), which can be directly interpreted as conditional probabilities for each model. We show by example how these Akaike weights can greatly facilitate the interpretation of the results of AIC model comparison procedures.","container-title":"Psychonomic Bulletin &amp; Review","issue":"1","journalAbbreviation":"Psychonomic Bulletin &amp; Review","language":"en","page":"192-196","source":"Springer Link","title":"AIC model selection using Akaike weights","volume":"11","author":[{"family":"Wagenmakers","given":"Eric-Jan"},{"family":"Farrell","given":"Simon"}],"issued":{"date-parts":[["2004",2,1]]}}}],"schema":"https://github.com/citation-style-language/schema/raw/master/csl-citation.json"} </w:instrText>
      </w:r>
      <w:r w:rsidRPr="00AA3319">
        <w:rPr>
          <w:rFonts w:cs="Times New Roman"/>
        </w:rPr>
        <w:fldChar w:fldCharType="separate"/>
      </w:r>
      <w:r w:rsidR="002B37C7" w:rsidRPr="00AA3319">
        <w:rPr>
          <w:rFonts w:cs="Times New Roman"/>
        </w:rPr>
        <w:t>(Wagenmakers and Farrell, 2004)</w:t>
      </w:r>
      <w:r w:rsidRPr="00AA3319">
        <w:rPr>
          <w:rFonts w:cs="Times New Roman"/>
        </w:rPr>
        <w:fldChar w:fldCharType="end"/>
      </w:r>
      <w:r w:rsidRPr="00AA3319">
        <w:rPr>
          <w:rFonts w:cs="Times New Roman"/>
        </w:rPr>
        <w:t xml:space="preserve"> to compare the multivariate models for each mosquito species. Furthermore, the Nagelkerke pseudo-R</w:t>
      </w:r>
      <w:r w:rsidRPr="00AA3319">
        <w:rPr>
          <w:rFonts w:cs="Times New Roman"/>
          <w:vertAlign w:val="superscript"/>
        </w:rPr>
        <w:t>2</w:t>
      </w:r>
      <w:r w:rsidRPr="00AA3319">
        <w:rPr>
          <w:rFonts w:cs="Times New Roman"/>
        </w:rPr>
        <w:t xml:space="preserve"> </w:t>
      </w:r>
      <w:r w:rsidRPr="00AA3319">
        <w:rPr>
          <w:rFonts w:cs="Times New Roman"/>
        </w:rPr>
        <w:fldChar w:fldCharType="begin"/>
      </w:r>
      <w:r w:rsidR="001B184A" w:rsidRPr="00AA3319">
        <w:rPr>
          <w:rFonts w:cs="Times New Roman"/>
        </w:rPr>
        <w:instrText xml:space="preserve"> ADDIN ZOTERO_ITEM CSL_CITATION {"citationID":"qQpUpzMv","properties":{"formattedCitation":"(Nagelkerke, 1991)","plainCitation":"(Nagelkerke, 1991)","noteIndex":0},"citationItems":[{"id":4473,"uris":["http://zotero.org/users/5456909/items/8GGG6VHG"],"uri":["http://zotero.org/users/5456909/items/8GGG6VHG"],"itemData":{"id":4473,"type":"article-journal","issue":"3","journalAbbreviation":"Biometrika","language":"en","page":"691-692","source":"Zotero","title":"A note on a general definition of the coefficient of determination","volume":"78","author":[{"family":"Nagelkerke","given":"N J D"}],"issued":{"date-parts":[["1991"]]}}}],"schema":"https://github.com/citation-style-language/schema/raw/master/csl-citation.json"} </w:instrText>
      </w:r>
      <w:r w:rsidRPr="00AA3319">
        <w:rPr>
          <w:rFonts w:cs="Times New Roman"/>
        </w:rPr>
        <w:fldChar w:fldCharType="separate"/>
      </w:r>
      <w:r w:rsidR="002B37C7" w:rsidRPr="00AA3319">
        <w:rPr>
          <w:rFonts w:cs="Times New Roman"/>
        </w:rPr>
        <w:t>(Nagelkerke, 1991)</w:t>
      </w:r>
      <w:r w:rsidRPr="00AA3319">
        <w:rPr>
          <w:rFonts w:cs="Times New Roman"/>
        </w:rPr>
        <w:fldChar w:fldCharType="end"/>
      </w:r>
      <w:r w:rsidRPr="00AA3319">
        <w:rPr>
          <w:rFonts w:cs="Times New Roman"/>
        </w:rPr>
        <w:t xml:space="preserve"> was calculated to allow comparison of models for different species. </w:t>
      </w:r>
    </w:p>
    <w:p w14:paraId="603D17E0" w14:textId="77777777" w:rsidR="0060075D" w:rsidRPr="00AA3319" w:rsidRDefault="0060075D" w:rsidP="00562673">
      <w:pPr>
        <w:pStyle w:val="Heading2"/>
        <w:rPr>
          <w:rFonts w:cs="Times New Roman"/>
        </w:rPr>
      </w:pPr>
      <w:bookmarkStart w:id="127" w:name="_Toc70010371"/>
      <w:bookmarkStart w:id="128" w:name="_Toc78889217"/>
      <w:r w:rsidRPr="00AA3319">
        <w:rPr>
          <w:rFonts w:cs="Times New Roman"/>
        </w:rPr>
        <w:t>Results</w:t>
      </w:r>
      <w:bookmarkEnd w:id="127"/>
      <w:bookmarkEnd w:id="128"/>
    </w:p>
    <w:p w14:paraId="22C9E550" w14:textId="31D53AFE" w:rsidR="0060075D" w:rsidRPr="00AA3319" w:rsidRDefault="0060075D" w:rsidP="0060075D">
      <w:pPr>
        <w:rPr>
          <w:rFonts w:cs="Times New Roman"/>
        </w:rPr>
      </w:pPr>
      <w:r w:rsidRPr="00AA3319">
        <w:rPr>
          <w:rFonts w:cs="Times New Roman"/>
        </w:rPr>
        <w:t xml:space="preserve">We collected a total of 8,368 adult female mosquitoes across 12 trap sites in 2019 and 2020 (Table </w:t>
      </w:r>
      <w:r w:rsidR="00B17053" w:rsidRPr="00AA3319">
        <w:rPr>
          <w:rFonts w:cs="Times New Roman"/>
        </w:rPr>
        <w:t>4-</w:t>
      </w:r>
      <w:r w:rsidRPr="00AA3319">
        <w:rPr>
          <w:rFonts w:cs="Times New Roman"/>
        </w:rPr>
        <w:t xml:space="preserve">1). </w:t>
      </w:r>
      <w:r w:rsidRPr="00AA3319">
        <w:rPr>
          <w:rFonts w:cs="Times New Roman"/>
          <w:i/>
        </w:rPr>
        <w:t xml:space="preserve">Ae. albopictus </w:t>
      </w:r>
      <w:r w:rsidRPr="00AA3319">
        <w:rPr>
          <w:rFonts w:cs="Times New Roman"/>
        </w:rPr>
        <w:t xml:space="preserve">was the most abundant species over the entire time frame, with 3,592 adult female mosquitoes (42.9% of total counts). </w:t>
      </w:r>
      <w:r w:rsidRPr="00AA3319">
        <w:rPr>
          <w:rFonts w:cs="Times New Roman"/>
          <w:i/>
        </w:rPr>
        <w:t xml:space="preserve">Cx. quinquefasciatus </w:t>
      </w:r>
      <w:r w:rsidRPr="00AA3319">
        <w:rPr>
          <w:rFonts w:cs="Times New Roman"/>
        </w:rPr>
        <w:t xml:space="preserve">was the second most abundant species with 3,256 adult female mosquitoes (38.9% of total counts). </w:t>
      </w:r>
      <w:r w:rsidRPr="00AA3319">
        <w:rPr>
          <w:rFonts w:cs="Times New Roman"/>
          <w:i/>
        </w:rPr>
        <w:t xml:space="preserve">Ps. ferox </w:t>
      </w:r>
      <w:r w:rsidRPr="00AA3319">
        <w:rPr>
          <w:rFonts w:cs="Times New Roman"/>
        </w:rPr>
        <w:t xml:space="preserve">made up 3.7% of total abundance for both years, and </w:t>
      </w:r>
      <w:r w:rsidRPr="00AA3319">
        <w:rPr>
          <w:rFonts w:cs="Times New Roman"/>
          <w:i/>
        </w:rPr>
        <w:t xml:space="preserve">Ae. trivittatus </w:t>
      </w:r>
      <w:r w:rsidRPr="00AA3319">
        <w:rPr>
          <w:rFonts w:cs="Times New Roman"/>
        </w:rPr>
        <w:t xml:space="preserve">2.72%. All other species combined made up less than 2% of the total mosquito abundance. When broken down by year, </w:t>
      </w:r>
      <w:r w:rsidRPr="00AA3319">
        <w:rPr>
          <w:rFonts w:cs="Times New Roman"/>
          <w:i/>
        </w:rPr>
        <w:t xml:space="preserve">Ae. albopictus </w:t>
      </w:r>
      <w:r w:rsidRPr="00AA3319">
        <w:rPr>
          <w:rFonts w:cs="Times New Roman"/>
        </w:rPr>
        <w:t xml:space="preserve">was most abundant in 2019 with 1,534 mosquitoes (46.5% of 2019 counts). </w:t>
      </w:r>
      <w:r w:rsidRPr="00AA3319">
        <w:rPr>
          <w:rFonts w:cs="Times New Roman"/>
          <w:i/>
        </w:rPr>
        <w:t xml:space="preserve">Cx. quinquefasciatus </w:t>
      </w:r>
      <w:r w:rsidRPr="00AA3319">
        <w:rPr>
          <w:rFonts w:cs="Times New Roman"/>
        </w:rPr>
        <w:t xml:space="preserve">was most abundant </w:t>
      </w:r>
      <w:r w:rsidR="00AA4E30">
        <w:rPr>
          <w:rFonts w:cs="Times New Roman"/>
        </w:rPr>
        <w:t xml:space="preserve">in 2020 </w:t>
      </w:r>
      <w:r w:rsidRPr="00AA3319">
        <w:rPr>
          <w:rFonts w:cs="Times New Roman"/>
        </w:rPr>
        <w:t xml:space="preserve">with 2,438 mosquitoes collected (48.1% of 2020 counts). </w:t>
      </w:r>
    </w:p>
    <w:p w14:paraId="2444CE9D" w14:textId="4AE4A847" w:rsidR="00BC1366" w:rsidRDefault="00BC1366" w:rsidP="00BC1366">
      <w:pPr>
        <w:pStyle w:val="Caption"/>
        <w:keepNext/>
        <w:ind w:firstLine="0"/>
      </w:pPr>
      <w:bookmarkStart w:id="129" w:name="_Toc78879974"/>
      <w:r>
        <w:lastRenderedPageBreak/>
        <w:t xml:space="preserve">Table </w:t>
      </w:r>
      <w:r w:rsidR="00E61F20">
        <w:fldChar w:fldCharType="begin"/>
      </w:r>
      <w:r w:rsidR="00E61F20">
        <w:instrText xml:space="preserve"> STYLEREF 1 \s </w:instrText>
      </w:r>
      <w:r w:rsidR="00E61F20">
        <w:fldChar w:fldCharType="separate"/>
      </w:r>
      <w:r w:rsidR="00F243F7">
        <w:rPr>
          <w:noProof/>
        </w:rPr>
        <w:t>4</w:t>
      </w:r>
      <w:r w:rsidR="00E61F20">
        <w:rPr>
          <w:noProof/>
        </w:rPr>
        <w:fldChar w:fldCharType="end"/>
      </w:r>
      <w:r>
        <w:noBreakHyphen/>
      </w:r>
      <w:r w:rsidR="00E61F20">
        <w:fldChar w:fldCharType="begin"/>
      </w:r>
      <w:r w:rsidR="00E61F20">
        <w:instrText xml:space="preserve"> SEQ Table \* ARABIC \s 1 </w:instrText>
      </w:r>
      <w:r w:rsidR="00E61F20">
        <w:fldChar w:fldCharType="separate"/>
      </w:r>
      <w:r w:rsidR="00F243F7">
        <w:rPr>
          <w:noProof/>
        </w:rPr>
        <w:t>2</w:t>
      </w:r>
      <w:r w:rsidR="00E61F20">
        <w:rPr>
          <w:noProof/>
        </w:rPr>
        <w:fldChar w:fldCharType="end"/>
      </w:r>
      <w:r>
        <w:t xml:space="preserve">: </w:t>
      </w:r>
      <w:r w:rsidRPr="00AA3319">
        <w:rPr>
          <w:rFonts w:cs="Times New Roman"/>
        </w:rPr>
        <w:t>Mosquito abundances by species for 2019 and 2020. Displayed are abundances for all species, as well as their relative abundance.</w:t>
      </w:r>
      <w:bookmarkEnd w:id="129"/>
    </w:p>
    <w:p w14:paraId="31BFD4B6" w14:textId="7C30A8F4" w:rsidR="0060075D" w:rsidRPr="00AA3319" w:rsidRDefault="00D31F9E" w:rsidP="0060075D">
      <w:pPr>
        <w:rPr>
          <w:rFonts w:cs="Times New Roman"/>
        </w:rPr>
      </w:pPr>
      <w:r w:rsidRPr="00AA3319">
        <w:rPr>
          <w:rFonts w:cs="Times New Roman"/>
          <w:noProof/>
        </w:rPr>
        <w:drawing>
          <wp:inline distT="0" distB="0" distL="0" distR="0" wp14:anchorId="76E76763" wp14:editId="179A320F">
            <wp:extent cx="5372100" cy="700177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76845" cy="7007962"/>
                    </a:xfrm>
                    <a:prstGeom prst="rect">
                      <a:avLst/>
                    </a:prstGeom>
                    <a:noFill/>
                  </pic:spPr>
                </pic:pic>
              </a:graphicData>
            </a:graphic>
          </wp:inline>
        </w:drawing>
      </w:r>
    </w:p>
    <w:p w14:paraId="275017BF" w14:textId="6A268892" w:rsidR="0060075D" w:rsidRPr="00AA3319" w:rsidRDefault="0060075D" w:rsidP="0060075D">
      <w:pPr>
        <w:rPr>
          <w:rFonts w:cs="Times New Roman"/>
        </w:rPr>
      </w:pPr>
      <w:r w:rsidRPr="00AA3319">
        <w:rPr>
          <w:rFonts w:cs="Times New Roman"/>
        </w:rPr>
        <w:lastRenderedPageBreak/>
        <w:t xml:space="preserve">Species composition varied considerably by trap site and throughout the season (Figure </w:t>
      </w:r>
      <w:r w:rsidR="00B17053" w:rsidRPr="00AA3319">
        <w:rPr>
          <w:rFonts w:cs="Times New Roman"/>
        </w:rPr>
        <w:t>4-</w:t>
      </w:r>
      <w:r w:rsidRPr="00AA3319">
        <w:rPr>
          <w:rFonts w:cs="Times New Roman"/>
        </w:rPr>
        <w:t xml:space="preserve">3). </w:t>
      </w:r>
      <w:r w:rsidRPr="00AA3319">
        <w:rPr>
          <w:rFonts w:cs="Times New Roman"/>
          <w:i/>
        </w:rPr>
        <w:t xml:space="preserve">Ae. albopictus </w:t>
      </w:r>
      <w:r w:rsidRPr="00AA3319">
        <w:rPr>
          <w:rFonts w:cs="Times New Roman"/>
        </w:rPr>
        <w:t xml:space="preserve">had higher counts per trap week for almost the entire study period except for June 2019, August 2020, and October and November 2020, when we observed higher </w:t>
      </w:r>
      <w:r w:rsidRPr="00AA3319">
        <w:rPr>
          <w:rFonts w:cs="Times New Roman"/>
          <w:i/>
        </w:rPr>
        <w:t xml:space="preserve">Cx. quinquefasciatus </w:t>
      </w:r>
      <w:r w:rsidRPr="00AA3319">
        <w:rPr>
          <w:rFonts w:cs="Times New Roman"/>
        </w:rPr>
        <w:t xml:space="preserve">counts. Particularly in 2020, one trap site had consistently high counts of </w:t>
      </w:r>
      <w:r w:rsidRPr="00AA3319">
        <w:rPr>
          <w:rFonts w:cs="Times New Roman"/>
          <w:i/>
        </w:rPr>
        <w:t xml:space="preserve">Cx. quinquefasciatus, </w:t>
      </w:r>
      <w:r w:rsidRPr="00AA3319">
        <w:rPr>
          <w:rFonts w:cs="Times New Roman"/>
        </w:rPr>
        <w:t xml:space="preserve">that outnumbered </w:t>
      </w:r>
      <w:r w:rsidRPr="00AA3319">
        <w:rPr>
          <w:rFonts w:cs="Times New Roman"/>
          <w:i/>
        </w:rPr>
        <w:t>Ae. albopictus</w:t>
      </w:r>
      <w:r w:rsidRPr="00AA3319">
        <w:rPr>
          <w:rFonts w:cs="Times New Roman"/>
        </w:rPr>
        <w:t xml:space="preserve"> even in the warmer summer months. However, the average counts of </w:t>
      </w:r>
      <w:r w:rsidRPr="00AA3319">
        <w:rPr>
          <w:rFonts w:cs="Times New Roman"/>
          <w:i/>
        </w:rPr>
        <w:t xml:space="preserve">Cx. quinquefasciatus </w:t>
      </w:r>
      <w:r w:rsidRPr="00AA3319">
        <w:rPr>
          <w:rFonts w:cs="Times New Roman"/>
        </w:rPr>
        <w:t xml:space="preserve">across all sites </w:t>
      </w:r>
      <w:r w:rsidR="00E5163E">
        <w:rPr>
          <w:rFonts w:cs="Times New Roman"/>
        </w:rPr>
        <w:t>were</w:t>
      </w:r>
      <w:r w:rsidRPr="00AA3319">
        <w:rPr>
          <w:rFonts w:cs="Times New Roman"/>
        </w:rPr>
        <w:t xml:space="preserve"> lower than those of </w:t>
      </w:r>
      <w:r w:rsidRPr="00AA3319">
        <w:rPr>
          <w:rFonts w:cs="Times New Roman"/>
          <w:i/>
        </w:rPr>
        <w:t>Ae. albopictus</w:t>
      </w:r>
      <w:r w:rsidRPr="00AA3319">
        <w:rPr>
          <w:rFonts w:cs="Times New Roman"/>
        </w:rPr>
        <w:t xml:space="preserve"> </w:t>
      </w:r>
      <w:r w:rsidR="00E5163E">
        <w:rPr>
          <w:rFonts w:cs="Times New Roman"/>
        </w:rPr>
        <w:t>in</w:t>
      </w:r>
      <w:r w:rsidRPr="00AA3319">
        <w:rPr>
          <w:rFonts w:cs="Times New Roman"/>
        </w:rPr>
        <w:t xml:space="preserve"> most months. Seasonal patterns were different in the two years studied. In 2019, </w:t>
      </w:r>
      <w:r w:rsidRPr="00AA3319">
        <w:rPr>
          <w:rFonts w:cs="Times New Roman"/>
          <w:i/>
          <w:iCs/>
        </w:rPr>
        <w:t>Cx. quinquefasciatus</w:t>
      </w:r>
      <w:r w:rsidRPr="00AA3319">
        <w:rPr>
          <w:rFonts w:cs="Times New Roman"/>
        </w:rPr>
        <w:t xml:space="preserve"> had the highest count in June, followed lower numbers later in the summer and a spike in numbers in September. In 2020, </w:t>
      </w:r>
      <w:r w:rsidRPr="00AA3319">
        <w:rPr>
          <w:rFonts w:cs="Times New Roman"/>
          <w:i/>
          <w:iCs/>
        </w:rPr>
        <w:t>Cx. quinquefasciatus</w:t>
      </w:r>
      <w:r w:rsidRPr="00AA3319">
        <w:rPr>
          <w:rFonts w:cs="Times New Roman"/>
        </w:rPr>
        <w:t xml:space="preserve"> numbers increased steadily between June and August, decreased in September, and increased again in October. </w:t>
      </w:r>
      <w:r w:rsidRPr="00AA3319">
        <w:rPr>
          <w:rFonts w:cs="Times New Roman"/>
          <w:i/>
          <w:iCs/>
        </w:rPr>
        <w:t>Ae. albopictus</w:t>
      </w:r>
      <w:r w:rsidRPr="00AA3319">
        <w:rPr>
          <w:rFonts w:cs="Times New Roman"/>
        </w:rPr>
        <w:t xml:space="preserve"> counts had a comparable pattern in 2019, with highest case numbers in September, and in 2020 with rising case numbers between May and August and lower numbers in September followed by a late peak in early October. </w:t>
      </w:r>
    </w:p>
    <w:p w14:paraId="2DFD0E52" w14:textId="77777777" w:rsidR="00D50155" w:rsidRDefault="0060075D" w:rsidP="00D50155">
      <w:pPr>
        <w:keepNext/>
        <w:jc w:val="center"/>
      </w:pPr>
      <w:r w:rsidRPr="00AA3319">
        <w:rPr>
          <w:rFonts w:cs="Times New Roman"/>
          <w:noProof/>
        </w:rPr>
        <w:lastRenderedPageBreak/>
        <w:drawing>
          <wp:inline distT="0" distB="0" distL="0" distR="0" wp14:anchorId="0230CC82" wp14:editId="74DB07CF">
            <wp:extent cx="5486400" cy="2584582"/>
            <wp:effectExtent l="0" t="0" r="0" b="6350"/>
            <wp:docPr id="14" name="Picture 14" descr="W:\Dropbox (Univ. of Oklahoma)\work\hessa\Norman_Mosquitoes\docs\graphs\Pub_ready\Species_Boxplots_By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Dropbox (Univ. of Oklahoma)\work\hessa\Norman_Mosquitoes\docs\graphs\Pub_ready\Species_Boxplots_ByDate.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91694" cy="2587076"/>
                    </a:xfrm>
                    <a:prstGeom prst="rect">
                      <a:avLst/>
                    </a:prstGeom>
                    <a:noFill/>
                    <a:ln>
                      <a:noFill/>
                    </a:ln>
                  </pic:spPr>
                </pic:pic>
              </a:graphicData>
            </a:graphic>
          </wp:inline>
        </w:drawing>
      </w:r>
    </w:p>
    <w:p w14:paraId="46ABB4C1" w14:textId="70DC1AA9" w:rsidR="0060075D" w:rsidRPr="00AA3319" w:rsidRDefault="00D50155" w:rsidP="00D50155">
      <w:pPr>
        <w:pStyle w:val="Caption"/>
        <w:ind w:firstLine="0"/>
        <w:rPr>
          <w:rFonts w:cs="Times New Roman"/>
        </w:rPr>
      </w:pPr>
      <w:bookmarkStart w:id="130" w:name="_Toc78881300"/>
      <w:r>
        <w:t xml:space="preserve">Figure </w:t>
      </w:r>
      <w:r w:rsidR="00E61F20">
        <w:fldChar w:fldCharType="begin"/>
      </w:r>
      <w:r w:rsidR="00E61F20">
        <w:instrText xml:space="preserve"> STYLEREF 1 \s </w:instrText>
      </w:r>
      <w:r w:rsidR="00E61F20">
        <w:fldChar w:fldCharType="separate"/>
      </w:r>
      <w:r w:rsidR="00F243F7">
        <w:rPr>
          <w:noProof/>
        </w:rPr>
        <w:t>4</w:t>
      </w:r>
      <w:r w:rsidR="00E61F20">
        <w:rPr>
          <w:noProof/>
        </w:rPr>
        <w:fldChar w:fldCharType="end"/>
      </w:r>
      <w:r w:rsidR="004C1B0D">
        <w:noBreakHyphen/>
      </w:r>
      <w:r w:rsidR="00E61F20">
        <w:fldChar w:fldCharType="begin"/>
      </w:r>
      <w:r w:rsidR="00E61F20">
        <w:instrText xml:space="preserve"> </w:instrText>
      </w:r>
      <w:r w:rsidR="00E61F20">
        <w:instrText xml:space="preserve">SEQ Figure \* ARABIC \s 1 </w:instrText>
      </w:r>
      <w:r w:rsidR="00E61F20">
        <w:fldChar w:fldCharType="separate"/>
      </w:r>
      <w:r w:rsidR="00F243F7">
        <w:rPr>
          <w:noProof/>
        </w:rPr>
        <w:t>3</w:t>
      </w:r>
      <w:r w:rsidR="00E61F20">
        <w:rPr>
          <w:noProof/>
        </w:rPr>
        <w:fldChar w:fldCharType="end"/>
      </w:r>
      <w:r>
        <w:t xml:space="preserve">: </w:t>
      </w:r>
      <w:r w:rsidRPr="00AA3319">
        <w:rPr>
          <w:rFonts w:cs="Times New Roman"/>
        </w:rPr>
        <w:t xml:space="preserve">Mosquito counts per trap date for </w:t>
      </w:r>
      <w:r w:rsidRPr="00E5163E">
        <w:rPr>
          <w:rFonts w:cs="Times New Roman"/>
          <w:i/>
        </w:rPr>
        <w:t>Ae. albopictus</w:t>
      </w:r>
      <w:r w:rsidRPr="00AA3319">
        <w:rPr>
          <w:rFonts w:cs="Times New Roman"/>
        </w:rPr>
        <w:t xml:space="preserve"> and </w:t>
      </w:r>
      <w:r w:rsidRPr="00E5163E">
        <w:rPr>
          <w:rFonts w:cs="Times New Roman"/>
          <w:i/>
        </w:rPr>
        <w:t>Cx. quinquefasciatus</w:t>
      </w:r>
      <w:r w:rsidRPr="00AA3319">
        <w:rPr>
          <w:rFonts w:cs="Times New Roman"/>
        </w:rPr>
        <w:t>. Box plots display the distribution of counts across trap sites for each trap date.</w:t>
      </w:r>
      <w:bookmarkEnd w:id="130"/>
    </w:p>
    <w:p w14:paraId="3C2D4656" w14:textId="6A4EF66B" w:rsidR="0060075D" w:rsidRPr="00AA3319" w:rsidRDefault="0060075D" w:rsidP="0060075D">
      <w:pPr>
        <w:rPr>
          <w:rFonts w:cs="Times New Roman"/>
        </w:rPr>
      </w:pPr>
      <w:r w:rsidRPr="00AA3319">
        <w:rPr>
          <w:rFonts w:cs="Times New Roman"/>
        </w:rPr>
        <w:t xml:space="preserve">Temperature and relative humidity from microclimate and weather station measurements on the trap day had a positive effect on mosquito abundances (Figure </w:t>
      </w:r>
      <w:r w:rsidR="00B17053" w:rsidRPr="00AA3319">
        <w:rPr>
          <w:rFonts w:cs="Times New Roman"/>
        </w:rPr>
        <w:t>4-</w:t>
      </w:r>
      <w:r w:rsidR="004630AE">
        <w:rPr>
          <w:rFonts w:cs="Times New Roman"/>
        </w:rPr>
        <w:t>4</w:t>
      </w:r>
      <w:r w:rsidRPr="00AA3319">
        <w:rPr>
          <w:rFonts w:cs="Times New Roman"/>
        </w:rPr>
        <w:t xml:space="preserve">). However, weekly relative humidity had a negative association with mosquito abundance with </w:t>
      </w:r>
      <w:r w:rsidRPr="00AA3319">
        <w:rPr>
          <w:rFonts w:cs="Times New Roman"/>
          <w:i/>
          <w:iCs/>
        </w:rPr>
        <w:t>Ae albopictus</w:t>
      </w:r>
      <w:r w:rsidRPr="00AA3319">
        <w:rPr>
          <w:rFonts w:cs="Times New Roman"/>
        </w:rPr>
        <w:t xml:space="preserve"> responding to relative humidity a week prior to trap date and </w:t>
      </w:r>
      <w:r w:rsidRPr="00AA3319">
        <w:rPr>
          <w:rFonts w:cs="Times New Roman"/>
          <w:i/>
          <w:iCs/>
        </w:rPr>
        <w:t>Cx quinquefasciatus</w:t>
      </w:r>
      <w:r w:rsidRPr="00AA3319">
        <w:rPr>
          <w:rFonts w:cs="Times New Roman"/>
        </w:rPr>
        <w:t xml:space="preserve"> responding to humidity three weeks prior to the trap date. Additionally, both species had higher mosquito counts when NDMI values in the preceding week were high and when precipitation was low two weeks prior to the trapping date. For both species, counts were positively associated with % impervious surface. </w:t>
      </w:r>
      <w:r w:rsidRPr="00AA3319">
        <w:rPr>
          <w:rFonts w:cs="Times New Roman"/>
          <w:i/>
        </w:rPr>
        <w:t xml:space="preserve">Ae. albopictus </w:t>
      </w:r>
      <w:r w:rsidRPr="00AA3319">
        <w:rPr>
          <w:rFonts w:cs="Times New Roman"/>
        </w:rPr>
        <w:t xml:space="preserve">counts were also negatively associated with % canopy cover, whereas </w:t>
      </w:r>
      <w:r w:rsidRPr="00AA3319">
        <w:rPr>
          <w:rFonts w:cs="Times New Roman"/>
          <w:i/>
        </w:rPr>
        <w:t xml:space="preserve">Cx. quinquefasciatus </w:t>
      </w:r>
      <w:r w:rsidRPr="00AA3319">
        <w:rPr>
          <w:rFonts w:cs="Times New Roman"/>
        </w:rPr>
        <w:t>counts were positively associated with % canopy cover.</w:t>
      </w:r>
    </w:p>
    <w:p w14:paraId="02C824B7" w14:textId="77777777" w:rsidR="004C1B0D" w:rsidRDefault="0060075D" w:rsidP="004C1B0D">
      <w:pPr>
        <w:keepNext/>
        <w:jc w:val="center"/>
      </w:pPr>
      <w:r w:rsidRPr="00AA3319">
        <w:rPr>
          <w:rFonts w:cs="Times New Roman"/>
          <w:noProof/>
        </w:rPr>
        <w:lastRenderedPageBreak/>
        <w:drawing>
          <wp:inline distT="0" distB="0" distL="0" distR="0" wp14:anchorId="309E414C" wp14:editId="16409E7B">
            <wp:extent cx="5486400" cy="29718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486986" cy="2972117"/>
                    </a:xfrm>
                    <a:prstGeom prst="rect">
                      <a:avLst/>
                    </a:prstGeom>
                    <a:noFill/>
                    <a:ln>
                      <a:noFill/>
                    </a:ln>
                  </pic:spPr>
                </pic:pic>
              </a:graphicData>
            </a:graphic>
          </wp:inline>
        </w:drawing>
      </w:r>
    </w:p>
    <w:p w14:paraId="2FF01B93" w14:textId="79F11705" w:rsidR="0060075D" w:rsidRPr="00AA3319" w:rsidRDefault="004C1B0D" w:rsidP="004C1B0D">
      <w:pPr>
        <w:pStyle w:val="Caption"/>
        <w:ind w:firstLine="0"/>
        <w:rPr>
          <w:rFonts w:cs="Times New Roman"/>
        </w:rPr>
      </w:pPr>
      <w:bookmarkStart w:id="131" w:name="_Toc78881301"/>
      <w:r>
        <w:t xml:space="preserve">Figure </w:t>
      </w:r>
      <w:r w:rsidR="00E61F20">
        <w:fldChar w:fldCharType="begin"/>
      </w:r>
      <w:r w:rsidR="00E61F20">
        <w:instrText xml:space="preserve"> STYLEREF </w:instrText>
      </w:r>
      <w:r w:rsidR="00E61F20">
        <w:instrText xml:space="preserve">1 \s </w:instrText>
      </w:r>
      <w:r w:rsidR="00E61F20">
        <w:fldChar w:fldCharType="separate"/>
      </w:r>
      <w:r w:rsidR="00F243F7">
        <w:rPr>
          <w:noProof/>
        </w:rPr>
        <w:t>4</w:t>
      </w:r>
      <w:r w:rsidR="00E61F20">
        <w:rPr>
          <w:noProof/>
        </w:rPr>
        <w:fldChar w:fldCharType="end"/>
      </w:r>
      <w:r>
        <w:noBreakHyphen/>
      </w:r>
      <w:r w:rsidR="00E61F20">
        <w:fldChar w:fldCharType="begin"/>
      </w:r>
      <w:r w:rsidR="00E61F20">
        <w:instrText xml:space="preserve"> SEQ Figure \* ARABIC \s 1 </w:instrText>
      </w:r>
      <w:r w:rsidR="00E61F20">
        <w:fldChar w:fldCharType="separate"/>
      </w:r>
      <w:r w:rsidR="00F243F7">
        <w:rPr>
          <w:noProof/>
        </w:rPr>
        <w:t>4</w:t>
      </w:r>
      <w:r w:rsidR="00E61F20">
        <w:rPr>
          <w:noProof/>
        </w:rPr>
        <w:fldChar w:fldCharType="end"/>
      </w:r>
      <w:r>
        <w:t xml:space="preserve">: </w:t>
      </w:r>
      <w:r w:rsidRPr="00AA3319">
        <w:rPr>
          <w:rFonts w:cs="Times New Roman"/>
        </w:rPr>
        <w:t>Coefficient estimates of multivariate models for each data type (spectral indices, landcover, precipitation, relative humidity, temperature), and species (Ae.albopictus and Cx. quinquefasciatus)</w:t>
      </w:r>
      <w:bookmarkEnd w:id="131"/>
    </w:p>
    <w:p w14:paraId="3B20A10A" w14:textId="5F6916D9" w:rsidR="0060075D" w:rsidRPr="00AA3319" w:rsidRDefault="0060075D" w:rsidP="0060075D">
      <w:pPr>
        <w:rPr>
          <w:rFonts w:cs="Times New Roman"/>
        </w:rPr>
      </w:pPr>
      <w:r w:rsidRPr="00AA3319">
        <w:rPr>
          <w:rFonts w:cs="Times New Roman"/>
        </w:rPr>
        <w:t>When comparing models based on different data sources, the land cover model was the most parsimonious models with lowest AIC and highest pseudo R</w:t>
      </w:r>
      <w:r w:rsidRPr="00AA3319">
        <w:rPr>
          <w:rFonts w:cs="Times New Roman"/>
          <w:vertAlign w:val="superscript"/>
        </w:rPr>
        <w:t xml:space="preserve">2 </w:t>
      </w:r>
      <w:r w:rsidRPr="00AA3319">
        <w:rPr>
          <w:rFonts w:cs="Times New Roman"/>
        </w:rPr>
        <w:t xml:space="preserve">values for each species (Table </w:t>
      </w:r>
      <w:r w:rsidR="00B17053" w:rsidRPr="00AA3319">
        <w:rPr>
          <w:rFonts w:cs="Times New Roman"/>
        </w:rPr>
        <w:t>4-</w:t>
      </w:r>
      <w:r w:rsidRPr="00AA3319">
        <w:rPr>
          <w:rFonts w:cs="Times New Roman"/>
        </w:rPr>
        <w:t xml:space="preserve">2). For </w:t>
      </w:r>
      <w:r w:rsidRPr="00AA3319">
        <w:rPr>
          <w:rFonts w:cs="Times New Roman"/>
          <w:i/>
        </w:rPr>
        <w:t>Ae. albopictus</w:t>
      </w:r>
      <w:r w:rsidRPr="00AA3319">
        <w:rPr>
          <w:rFonts w:cs="Times New Roman"/>
          <w:iCs/>
        </w:rPr>
        <w:t xml:space="preserve"> this model yielded an Akaike weight of close to one and a pseudo R</w:t>
      </w:r>
      <w:r w:rsidRPr="00AA3319">
        <w:rPr>
          <w:rFonts w:cs="Times New Roman"/>
          <w:iCs/>
          <w:vertAlign w:val="superscript"/>
        </w:rPr>
        <w:t>2</w:t>
      </w:r>
      <w:r w:rsidRPr="00AA3319">
        <w:rPr>
          <w:rFonts w:cs="Times New Roman"/>
          <w:iCs/>
        </w:rPr>
        <w:t xml:space="preserve"> of 0.49. For </w:t>
      </w:r>
      <w:r w:rsidRPr="00AA3319">
        <w:rPr>
          <w:rFonts w:cs="Times New Roman"/>
          <w:i/>
        </w:rPr>
        <w:t>Cx. quinquefasciatus</w:t>
      </w:r>
      <w:r w:rsidRPr="00AA3319">
        <w:rPr>
          <w:rFonts w:cs="Times New Roman"/>
          <w:iCs/>
        </w:rPr>
        <w:t>, this model also yielded an Akaike weight of close to one and a pseudo R</w:t>
      </w:r>
      <w:r w:rsidRPr="00AA3319">
        <w:rPr>
          <w:rFonts w:cs="Times New Roman"/>
          <w:iCs/>
          <w:vertAlign w:val="superscript"/>
        </w:rPr>
        <w:t>2</w:t>
      </w:r>
      <w:r w:rsidRPr="00AA3319">
        <w:rPr>
          <w:rFonts w:cs="Times New Roman"/>
          <w:iCs/>
        </w:rPr>
        <w:t xml:space="preserve"> of 0.41.</w:t>
      </w:r>
      <w:r w:rsidRPr="00AA3319">
        <w:rPr>
          <w:rFonts w:cs="Times New Roman"/>
        </w:rPr>
        <w:t xml:space="preserve"> Satellite time series data yielded the second-best model for both species with an Akaike weight of 9.69e-08 and a pseudo-R</w:t>
      </w:r>
      <w:r w:rsidRPr="00AA3319">
        <w:rPr>
          <w:rFonts w:cs="Times New Roman"/>
          <w:vertAlign w:val="superscript"/>
        </w:rPr>
        <w:t>2</w:t>
      </w:r>
      <w:r w:rsidRPr="00AA3319">
        <w:rPr>
          <w:rFonts w:cs="Times New Roman"/>
        </w:rPr>
        <w:t xml:space="preserve"> of 0.37 for </w:t>
      </w:r>
      <w:r w:rsidRPr="00AA3319">
        <w:rPr>
          <w:rFonts w:cs="Times New Roman"/>
          <w:i/>
          <w:iCs/>
        </w:rPr>
        <w:t>Ae. albopictus</w:t>
      </w:r>
      <w:r w:rsidRPr="00AA3319">
        <w:rPr>
          <w:rFonts w:cs="Times New Roman"/>
        </w:rPr>
        <w:t>, and an Akaike weight of 1.46e-11 and a pseudo-R</w:t>
      </w:r>
      <w:r w:rsidRPr="00AA3319">
        <w:rPr>
          <w:rFonts w:cs="Times New Roman"/>
          <w:vertAlign w:val="superscript"/>
        </w:rPr>
        <w:t>2</w:t>
      </w:r>
      <w:r w:rsidRPr="00AA3319">
        <w:rPr>
          <w:rFonts w:cs="Times New Roman"/>
        </w:rPr>
        <w:t xml:space="preserve"> of 0.22 for </w:t>
      </w:r>
      <w:r w:rsidRPr="00AA3319">
        <w:rPr>
          <w:rFonts w:cs="Times New Roman"/>
          <w:i/>
          <w:iCs/>
        </w:rPr>
        <w:t>Cx. quinquefasciatus</w:t>
      </w:r>
      <w:r w:rsidRPr="00AA3319">
        <w:rPr>
          <w:rFonts w:cs="Times New Roman"/>
        </w:rPr>
        <w:t xml:space="preserve">. For </w:t>
      </w:r>
      <w:r w:rsidRPr="00AA3319">
        <w:rPr>
          <w:rFonts w:cs="Times New Roman"/>
          <w:i/>
          <w:iCs/>
        </w:rPr>
        <w:t>Ae. albopictus</w:t>
      </w:r>
      <w:r w:rsidRPr="00AA3319">
        <w:rPr>
          <w:rFonts w:cs="Times New Roman"/>
        </w:rPr>
        <w:t xml:space="preserve">, the third best model was from Mesonet weather station data, leaving the microclimate logger data as the worst model. For </w:t>
      </w:r>
      <w:r w:rsidRPr="00AA3319">
        <w:rPr>
          <w:rFonts w:cs="Times New Roman"/>
          <w:i/>
          <w:iCs/>
        </w:rPr>
        <w:t>Cx. quinquefasciatus</w:t>
      </w:r>
      <w:r w:rsidRPr="00AA3319">
        <w:rPr>
          <w:rFonts w:cs="Times New Roman"/>
        </w:rPr>
        <w:t xml:space="preserve">, the opposite was observed with microclimate logger data yielding a better fitting model than Mesonet weather station data. </w:t>
      </w:r>
    </w:p>
    <w:p w14:paraId="716D6149" w14:textId="4BDAC102" w:rsidR="00BC1366" w:rsidRPr="00BC1366" w:rsidRDefault="00BC1366" w:rsidP="00BC1366">
      <w:pPr>
        <w:pStyle w:val="Caption"/>
        <w:keepNext/>
        <w:ind w:firstLine="0"/>
        <w:rPr>
          <w:rFonts w:cs="Times New Roman"/>
        </w:rPr>
      </w:pPr>
      <w:bookmarkStart w:id="132" w:name="_Toc78879975"/>
      <w:r>
        <w:lastRenderedPageBreak/>
        <w:t xml:space="preserve">Table </w:t>
      </w:r>
      <w:r w:rsidR="00E61F20">
        <w:fldChar w:fldCharType="begin"/>
      </w:r>
      <w:r w:rsidR="00E61F20">
        <w:instrText xml:space="preserve"> STYLEREF 1 \s </w:instrText>
      </w:r>
      <w:r w:rsidR="00E61F20">
        <w:fldChar w:fldCharType="separate"/>
      </w:r>
      <w:r w:rsidR="00F243F7">
        <w:rPr>
          <w:noProof/>
        </w:rPr>
        <w:t>4</w:t>
      </w:r>
      <w:r w:rsidR="00E61F20">
        <w:rPr>
          <w:noProof/>
        </w:rPr>
        <w:fldChar w:fldCharType="end"/>
      </w:r>
      <w:r>
        <w:noBreakHyphen/>
      </w:r>
      <w:r w:rsidR="00E61F20">
        <w:fldChar w:fldCharType="begin"/>
      </w:r>
      <w:r w:rsidR="00E61F20">
        <w:instrText xml:space="preserve"> SEQ Table \* ARABIC \s 1 </w:instrText>
      </w:r>
      <w:r w:rsidR="00E61F20">
        <w:fldChar w:fldCharType="separate"/>
      </w:r>
      <w:r w:rsidR="00F243F7">
        <w:rPr>
          <w:noProof/>
        </w:rPr>
        <w:t>3</w:t>
      </w:r>
      <w:r w:rsidR="00E61F20">
        <w:rPr>
          <w:noProof/>
        </w:rPr>
        <w:fldChar w:fldCharType="end"/>
      </w:r>
      <w:r>
        <w:t xml:space="preserve">: </w:t>
      </w:r>
      <w:r w:rsidRPr="00AA3319">
        <w:rPr>
          <w:rFonts w:cs="Times New Roman"/>
        </w:rPr>
        <w:t>Comparison of negative binomial fixed effect models for each variable type individually: Landcover data from NLCD data set, microclimate loggers, Mesonet weather station data, and satellite time series data.</w:t>
      </w:r>
      <w:bookmarkEnd w:id="132"/>
    </w:p>
    <w:p w14:paraId="1E3CE194" w14:textId="3EB9745B" w:rsidR="0060075D" w:rsidRPr="00AA3319" w:rsidRDefault="000B33FD" w:rsidP="0060075D">
      <w:pPr>
        <w:rPr>
          <w:rFonts w:cs="Times New Roman"/>
        </w:rPr>
      </w:pPr>
      <w:r w:rsidRPr="00AA3319">
        <w:rPr>
          <w:rFonts w:cs="Times New Roman"/>
          <w:noProof/>
        </w:rPr>
        <w:drawing>
          <wp:inline distT="0" distB="0" distL="0" distR="0" wp14:anchorId="3E31E560" wp14:editId="20F6B9DF">
            <wp:extent cx="5457046" cy="5404757"/>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60418" cy="5408097"/>
                    </a:xfrm>
                    <a:prstGeom prst="rect">
                      <a:avLst/>
                    </a:prstGeom>
                    <a:noFill/>
                  </pic:spPr>
                </pic:pic>
              </a:graphicData>
            </a:graphic>
          </wp:inline>
        </w:drawing>
      </w:r>
    </w:p>
    <w:p w14:paraId="20A6A31D" w14:textId="5DDC1274" w:rsidR="0060075D" w:rsidRPr="00AA3319" w:rsidRDefault="0060075D" w:rsidP="0060075D">
      <w:pPr>
        <w:rPr>
          <w:rFonts w:cs="Times New Roman"/>
        </w:rPr>
      </w:pPr>
      <w:r w:rsidRPr="00AA3319">
        <w:rPr>
          <w:rFonts w:cs="Times New Roman"/>
        </w:rPr>
        <w:t>Adding land cover data on canopy cover and impervious surface cover to the time series summary models led to lower AIC values and higher pseudo R</w:t>
      </w:r>
      <w:r w:rsidRPr="00AA3319">
        <w:rPr>
          <w:rFonts w:cs="Times New Roman"/>
          <w:vertAlign w:val="superscript"/>
        </w:rPr>
        <w:t>2</w:t>
      </w:r>
      <w:r w:rsidRPr="00AA3319">
        <w:rPr>
          <w:rFonts w:cs="Times New Roman"/>
        </w:rPr>
        <w:t xml:space="preserve"> values for all models. Satellite time series data in combination with land cover data yielded an Akaike weight of close to one and the highest R</w:t>
      </w:r>
      <w:r w:rsidRPr="00AA3319">
        <w:rPr>
          <w:rFonts w:cs="Times New Roman"/>
          <w:vertAlign w:val="superscript"/>
        </w:rPr>
        <w:t xml:space="preserve">2 </w:t>
      </w:r>
      <w:r w:rsidRPr="00AA3319">
        <w:rPr>
          <w:rFonts w:cs="Times New Roman"/>
        </w:rPr>
        <w:t xml:space="preserve">for both species. However, the difference between the best model and the second-best model was much larger for </w:t>
      </w:r>
      <w:r w:rsidRPr="00AA3319">
        <w:rPr>
          <w:rFonts w:cs="Times New Roman"/>
          <w:i/>
          <w:iCs/>
        </w:rPr>
        <w:t>Ae. albopictus</w:t>
      </w:r>
      <w:r w:rsidRPr="00AA3319">
        <w:rPr>
          <w:rFonts w:cs="Times New Roman"/>
        </w:rPr>
        <w:t xml:space="preserve"> than for </w:t>
      </w:r>
      <w:r w:rsidRPr="00AA3319">
        <w:rPr>
          <w:rFonts w:cs="Times New Roman"/>
          <w:i/>
          <w:iCs/>
        </w:rPr>
        <w:t xml:space="preserve">Cx. </w:t>
      </w:r>
      <w:r w:rsidRPr="00AA3319">
        <w:rPr>
          <w:rFonts w:cs="Times New Roman"/>
          <w:i/>
          <w:iCs/>
        </w:rPr>
        <w:lastRenderedPageBreak/>
        <w:t>quinquefasciatus</w:t>
      </w:r>
      <w:r w:rsidRPr="00AA3319">
        <w:rPr>
          <w:rFonts w:cs="Times New Roman"/>
        </w:rPr>
        <w:t>. The over-all highest pseudo-R</w:t>
      </w:r>
      <w:r w:rsidRPr="00AA3319">
        <w:rPr>
          <w:rFonts w:cs="Times New Roman"/>
          <w:vertAlign w:val="superscript"/>
        </w:rPr>
        <w:t xml:space="preserve">2 </w:t>
      </w:r>
      <w:r w:rsidRPr="00AA3319">
        <w:rPr>
          <w:rFonts w:cs="Times New Roman"/>
        </w:rPr>
        <w:t xml:space="preserve">values </w:t>
      </w:r>
      <w:r w:rsidR="00AA4E30">
        <w:rPr>
          <w:rFonts w:cs="Times New Roman"/>
        </w:rPr>
        <w:t>were</w:t>
      </w:r>
      <w:r w:rsidR="00AA4E30" w:rsidRPr="00AA3319">
        <w:rPr>
          <w:rFonts w:cs="Times New Roman"/>
        </w:rPr>
        <w:t xml:space="preserve"> </w:t>
      </w:r>
      <w:r w:rsidRPr="00AA3319">
        <w:rPr>
          <w:rFonts w:cs="Times New Roman"/>
        </w:rPr>
        <w:t xml:space="preserve">reached by models with </w:t>
      </w:r>
      <w:r w:rsidRPr="00AA3319">
        <w:rPr>
          <w:rFonts w:cs="Times New Roman"/>
          <w:i/>
          <w:iCs/>
        </w:rPr>
        <w:t>Ae. albopictus</w:t>
      </w:r>
      <w:r w:rsidRPr="00AA3319">
        <w:rPr>
          <w:rFonts w:cs="Times New Roman"/>
        </w:rPr>
        <w:t xml:space="preserve"> as response variable. </w:t>
      </w:r>
    </w:p>
    <w:p w14:paraId="63833045" w14:textId="2B2C842D" w:rsidR="00BC1366" w:rsidRDefault="00BC1366" w:rsidP="00BC1366">
      <w:pPr>
        <w:pStyle w:val="Caption"/>
        <w:keepNext/>
        <w:ind w:firstLine="0"/>
      </w:pPr>
      <w:bookmarkStart w:id="133" w:name="_Toc78879976"/>
      <w:r>
        <w:t xml:space="preserve">Table </w:t>
      </w:r>
      <w:r w:rsidR="00E61F20">
        <w:fldChar w:fldCharType="begin"/>
      </w:r>
      <w:r w:rsidR="00E61F20">
        <w:instrText xml:space="preserve"> STYLEREF 1 \s </w:instrText>
      </w:r>
      <w:r w:rsidR="00E61F20">
        <w:fldChar w:fldCharType="separate"/>
      </w:r>
      <w:r w:rsidR="00F243F7">
        <w:rPr>
          <w:noProof/>
        </w:rPr>
        <w:t>4</w:t>
      </w:r>
      <w:r w:rsidR="00E61F20">
        <w:rPr>
          <w:noProof/>
        </w:rPr>
        <w:fldChar w:fldCharType="end"/>
      </w:r>
      <w:r>
        <w:noBreakHyphen/>
      </w:r>
      <w:r w:rsidR="00E61F20">
        <w:fldChar w:fldCharType="begin"/>
      </w:r>
      <w:r w:rsidR="00E61F20">
        <w:instrText xml:space="preserve"> SEQ Table \* ARABIC \s 1 </w:instrText>
      </w:r>
      <w:r w:rsidR="00E61F20">
        <w:fldChar w:fldCharType="separate"/>
      </w:r>
      <w:r w:rsidR="00F243F7">
        <w:rPr>
          <w:noProof/>
        </w:rPr>
        <w:t>4</w:t>
      </w:r>
      <w:r w:rsidR="00E61F20">
        <w:rPr>
          <w:noProof/>
        </w:rPr>
        <w:fldChar w:fldCharType="end"/>
      </w:r>
      <w:r>
        <w:t xml:space="preserve">: </w:t>
      </w:r>
      <w:r w:rsidRPr="00AA3319">
        <w:rPr>
          <w:rFonts w:cs="Times New Roman"/>
        </w:rPr>
        <w:t>Comparison of negative binomial fixed effect models for each temporal variable type in combination with land cover data</w:t>
      </w:r>
      <w:bookmarkEnd w:id="133"/>
    </w:p>
    <w:p w14:paraId="10004986" w14:textId="345D1BC8" w:rsidR="008D5FE7" w:rsidRPr="00AA3319" w:rsidRDefault="001B4A0A" w:rsidP="008D5FE7">
      <w:pPr>
        <w:rPr>
          <w:rFonts w:cs="Times New Roman"/>
        </w:rPr>
      </w:pPr>
      <w:r>
        <w:rPr>
          <w:rFonts w:cs="Times New Roman"/>
          <w:noProof/>
        </w:rPr>
        <w:drawing>
          <wp:inline distT="0" distB="0" distL="0" distR="0" wp14:anchorId="4A261098" wp14:editId="19E47183">
            <wp:extent cx="5465618" cy="6322302"/>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71236" cy="6328800"/>
                    </a:xfrm>
                    <a:prstGeom prst="rect">
                      <a:avLst/>
                    </a:prstGeom>
                    <a:noFill/>
                  </pic:spPr>
                </pic:pic>
              </a:graphicData>
            </a:graphic>
          </wp:inline>
        </w:drawing>
      </w:r>
    </w:p>
    <w:p w14:paraId="56F9B020" w14:textId="5EBCE779" w:rsidR="0060075D" w:rsidRPr="00AA3319" w:rsidRDefault="0060075D" w:rsidP="0060075D">
      <w:pPr>
        <w:rPr>
          <w:rFonts w:cs="Times New Roman"/>
        </w:rPr>
      </w:pPr>
      <w:r w:rsidRPr="00AA3319">
        <w:rPr>
          <w:rFonts w:cs="Times New Roman"/>
        </w:rPr>
        <w:lastRenderedPageBreak/>
        <w:t xml:space="preserve">Land cover data captured spatial variability of both mosquito species, but no temporal variation. Microclimate logger data captured almost no spatial variability of </w:t>
      </w:r>
      <w:r w:rsidRPr="00BC415F">
        <w:rPr>
          <w:rFonts w:cs="Times New Roman"/>
          <w:i/>
          <w:iCs/>
        </w:rPr>
        <w:t>Ae. albopictus</w:t>
      </w:r>
      <w:r w:rsidRPr="00AA3319">
        <w:rPr>
          <w:rFonts w:cs="Times New Roman"/>
        </w:rPr>
        <w:t xml:space="preserve"> counts but did capture spatial variability in </w:t>
      </w:r>
      <w:r w:rsidRPr="00BC415F">
        <w:rPr>
          <w:rFonts w:cs="Times New Roman"/>
          <w:i/>
          <w:iCs/>
        </w:rPr>
        <w:t>Cx. quinquefasciatus</w:t>
      </w:r>
      <w:r w:rsidRPr="00AA3319">
        <w:rPr>
          <w:rFonts w:cs="Times New Roman"/>
        </w:rPr>
        <w:t xml:space="preserve"> counts (Figure </w:t>
      </w:r>
      <w:r w:rsidR="00B17053" w:rsidRPr="00AA3319">
        <w:rPr>
          <w:rFonts w:cs="Times New Roman"/>
        </w:rPr>
        <w:t>4-</w:t>
      </w:r>
      <w:r w:rsidR="004630AE">
        <w:rPr>
          <w:rFonts w:cs="Times New Roman"/>
        </w:rPr>
        <w:t>5</w:t>
      </w:r>
      <w:r w:rsidRPr="00AA3319">
        <w:rPr>
          <w:rFonts w:cs="Times New Roman"/>
        </w:rPr>
        <w:t xml:space="preserve">). Mesonet variables, having been measured at a single location, captured temporal variability, but no spatial variability. Variables included in the </w:t>
      </w:r>
      <w:r w:rsidR="003C57E7">
        <w:rPr>
          <w:rFonts w:cs="Times New Roman"/>
        </w:rPr>
        <w:t>s</w:t>
      </w:r>
      <w:r w:rsidRPr="00AA3319">
        <w:rPr>
          <w:rFonts w:cs="Times New Roman"/>
        </w:rPr>
        <w:t xml:space="preserve">atellite time series model were able to capture temporal, as well as spatial variability for both species. When land cover </w:t>
      </w:r>
      <w:r w:rsidR="00AA4E30">
        <w:rPr>
          <w:rFonts w:cs="Times New Roman"/>
        </w:rPr>
        <w:t>variables</w:t>
      </w:r>
      <w:r w:rsidR="00AA4E30" w:rsidRPr="00AA3319">
        <w:rPr>
          <w:rFonts w:cs="Times New Roman"/>
        </w:rPr>
        <w:t xml:space="preserve"> </w:t>
      </w:r>
      <w:r w:rsidRPr="00AA3319">
        <w:rPr>
          <w:rFonts w:cs="Times New Roman"/>
        </w:rPr>
        <w:t>were added to each model, all models were able to capture more spatial variability</w:t>
      </w:r>
      <w:r w:rsidR="00AA4E30">
        <w:rPr>
          <w:rFonts w:cs="Times New Roman"/>
        </w:rPr>
        <w:t xml:space="preserve"> than comparable models without land cover variables</w:t>
      </w:r>
      <w:r w:rsidRPr="00AA3319">
        <w:rPr>
          <w:rFonts w:cs="Times New Roman"/>
        </w:rPr>
        <w:t xml:space="preserve">. </w:t>
      </w:r>
    </w:p>
    <w:p w14:paraId="1B358DD1" w14:textId="77777777" w:rsidR="004C1B0D" w:rsidRDefault="0060075D" w:rsidP="004C1B0D">
      <w:pPr>
        <w:keepNext/>
      </w:pPr>
      <w:r w:rsidRPr="00AA3319">
        <w:rPr>
          <w:rFonts w:cs="Times New Roman"/>
          <w:noProof/>
        </w:rPr>
        <w:lastRenderedPageBreak/>
        <w:drawing>
          <wp:inline distT="0" distB="0" distL="0" distR="0" wp14:anchorId="0C244BDE" wp14:editId="49FE30FF">
            <wp:extent cx="5486400" cy="59436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86986" cy="5944235"/>
                    </a:xfrm>
                    <a:prstGeom prst="rect">
                      <a:avLst/>
                    </a:prstGeom>
                  </pic:spPr>
                </pic:pic>
              </a:graphicData>
            </a:graphic>
          </wp:inline>
        </w:drawing>
      </w:r>
    </w:p>
    <w:p w14:paraId="43E6AE44" w14:textId="60954FCC" w:rsidR="0060075D" w:rsidRPr="004C1B0D" w:rsidRDefault="004C1B0D" w:rsidP="004C1B0D">
      <w:pPr>
        <w:pStyle w:val="Caption"/>
        <w:ind w:firstLine="0"/>
        <w:rPr>
          <w:rFonts w:cs="Times New Roman"/>
          <w:caps/>
        </w:rPr>
      </w:pPr>
      <w:bookmarkStart w:id="134" w:name="_Toc78881302"/>
      <w:r>
        <w:t xml:space="preserve">Figure </w:t>
      </w:r>
      <w:r w:rsidR="00E61F20">
        <w:fldChar w:fldCharType="begin"/>
      </w:r>
      <w:r w:rsidR="00E61F20">
        <w:instrText xml:space="preserve"> STYLEREF 1 \s </w:instrText>
      </w:r>
      <w:r w:rsidR="00E61F20">
        <w:fldChar w:fldCharType="separate"/>
      </w:r>
      <w:r w:rsidR="00F243F7">
        <w:rPr>
          <w:noProof/>
        </w:rPr>
        <w:t>4</w:t>
      </w:r>
      <w:r w:rsidR="00E61F20">
        <w:rPr>
          <w:noProof/>
        </w:rPr>
        <w:fldChar w:fldCharType="end"/>
      </w:r>
      <w:r>
        <w:noBreakHyphen/>
      </w:r>
      <w:r w:rsidR="00E61F20">
        <w:fldChar w:fldCharType="begin"/>
      </w:r>
      <w:r w:rsidR="00E61F20">
        <w:instrText xml:space="preserve"> SEQ Figure \* ARABIC \s 1 </w:instrText>
      </w:r>
      <w:r w:rsidR="00E61F20">
        <w:fldChar w:fldCharType="separate"/>
      </w:r>
      <w:r w:rsidR="00F243F7">
        <w:rPr>
          <w:noProof/>
        </w:rPr>
        <w:t>5</w:t>
      </w:r>
      <w:r w:rsidR="00E61F20">
        <w:rPr>
          <w:noProof/>
        </w:rPr>
        <w:fldChar w:fldCharType="end"/>
      </w:r>
      <w:r>
        <w:t xml:space="preserve">: </w:t>
      </w:r>
      <w:r w:rsidRPr="00AA3319">
        <w:rPr>
          <w:rFonts w:cs="Times New Roman"/>
        </w:rPr>
        <w:t>Fitted values for all models</w:t>
      </w:r>
      <w:r w:rsidR="00E5163E">
        <w:rPr>
          <w:rFonts w:cs="Times New Roman"/>
        </w:rPr>
        <w:t xml:space="preserve"> </w:t>
      </w:r>
      <w:r w:rsidRPr="00AA3319">
        <w:rPr>
          <w:rFonts w:cs="Times New Roman"/>
        </w:rPr>
        <w:t xml:space="preserve">including models based on land cover data, microclimate, satellite, and weather station data for </w:t>
      </w:r>
      <w:r w:rsidRPr="00E5163E">
        <w:rPr>
          <w:rFonts w:cs="Times New Roman"/>
          <w:i/>
          <w:iCs w:val="0"/>
        </w:rPr>
        <w:t>Ae. albopictus</w:t>
      </w:r>
      <w:r w:rsidRPr="00AA3319">
        <w:rPr>
          <w:rFonts w:cs="Times New Roman"/>
        </w:rPr>
        <w:t xml:space="preserve"> and </w:t>
      </w:r>
      <w:r w:rsidRPr="00E5163E">
        <w:rPr>
          <w:rFonts w:cs="Times New Roman"/>
          <w:i/>
          <w:iCs w:val="0"/>
        </w:rPr>
        <w:t>Cx. quinquefasciatus</w:t>
      </w:r>
      <w:r w:rsidRPr="00AA3319">
        <w:rPr>
          <w:rFonts w:cs="Times New Roman"/>
        </w:rPr>
        <w:t>. Model based on microclimate, satellite, and weather station data were fitted with land cover data (with LC) and without land cover data (no LC). Different lines represent spatial variation among trap sites and each line represents variation through time. Blue lines represent fitted values for 2020, green lines for 2019. The grey shaded areas represent the range of mosquito counts across all traps for each year.</w:t>
      </w:r>
      <w:bookmarkEnd w:id="134"/>
    </w:p>
    <w:p w14:paraId="4E0CAC1E" w14:textId="77777777" w:rsidR="0060075D" w:rsidRPr="00AA3319" w:rsidRDefault="0060075D" w:rsidP="0060075D">
      <w:pPr>
        <w:rPr>
          <w:rFonts w:cs="Times New Roman"/>
        </w:rPr>
      </w:pPr>
    </w:p>
    <w:p w14:paraId="5733D20A" w14:textId="77777777" w:rsidR="0060075D" w:rsidRPr="00AA3319" w:rsidRDefault="0060075D" w:rsidP="00562673">
      <w:pPr>
        <w:pStyle w:val="Heading2"/>
        <w:rPr>
          <w:rFonts w:cs="Times New Roman"/>
        </w:rPr>
      </w:pPr>
      <w:bookmarkStart w:id="135" w:name="_Toc70010372"/>
      <w:bookmarkStart w:id="136" w:name="_Toc78889218"/>
      <w:r w:rsidRPr="00AA3319">
        <w:rPr>
          <w:rFonts w:cs="Times New Roman"/>
        </w:rPr>
        <w:lastRenderedPageBreak/>
        <w:t>Discussion</w:t>
      </w:r>
      <w:bookmarkEnd w:id="135"/>
      <w:bookmarkEnd w:id="136"/>
    </w:p>
    <w:p w14:paraId="7A0DACFC" w14:textId="479412E3" w:rsidR="0060075D" w:rsidRPr="00AA3319" w:rsidRDefault="0060075D" w:rsidP="0060075D">
      <w:pPr>
        <w:rPr>
          <w:rFonts w:cs="Times New Roman"/>
        </w:rPr>
      </w:pPr>
      <w:r w:rsidRPr="00AA3319">
        <w:rPr>
          <w:rFonts w:cs="Times New Roman"/>
        </w:rPr>
        <w:t xml:space="preserve">This study aimed </w:t>
      </w:r>
      <w:r w:rsidR="00E5163E">
        <w:rPr>
          <w:rFonts w:cs="Times New Roman"/>
        </w:rPr>
        <w:t>to understand</w:t>
      </w:r>
      <w:r w:rsidRPr="00AA3319">
        <w:rPr>
          <w:rFonts w:cs="Times New Roman"/>
        </w:rPr>
        <w:t xml:space="preserve"> mosquito abundances for the two primary arboviral vector mosquitoes (</w:t>
      </w:r>
      <w:r w:rsidRPr="00AA3319">
        <w:rPr>
          <w:rFonts w:cs="Times New Roman"/>
          <w:i/>
          <w:iCs/>
        </w:rPr>
        <w:t>Ae. albopictus</w:t>
      </w:r>
      <w:r w:rsidRPr="00AA3319">
        <w:rPr>
          <w:rFonts w:cs="Times New Roman"/>
        </w:rPr>
        <w:t xml:space="preserve"> and </w:t>
      </w:r>
      <w:r w:rsidRPr="00AA3319">
        <w:rPr>
          <w:rFonts w:cs="Times New Roman"/>
          <w:i/>
          <w:iCs/>
        </w:rPr>
        <w:t>Cx. quinquefasciatus</w:t>
      </w:r>
      <w:r w:rsidRPr="00AA3319">
        <w:rPr>
          <w:rFonts w:cs="Times New Roman"/>
        </w:rPr>
        <w:t xml:space="preserve">) in an urban area in central Oklahoma. Our models </w:t>
      </w:r>
      <w:r w:rsidR="00E5163E">
        <w:rPr>
          <w:rFonts w:cs="Times New Roman"/>
        </w:rPr>
        <w:t>based on</w:t>
      </w:r>
      <w:r w:rsidRPr="00AA3319">
        <w:rPr>
          <w:rFonts w:cs="Times New Roman"/>
        </w:rPr>
        <w:t xml:space="preserve"> </w:t>
      </w:r>
      <w:r w:rsidRPr="00AA3319">
        <w:rPr>
          <w:rFonts w:cs="Times New Roman"/>
          <w:i/>
          <w:iCs/>
        </w:rPr>
        <w:t>in-situ</w:t>
      </w:r>
      <w:r w:rsidRPr="00AA3319">
        <w:rPr>
          <w:rFonts w:cs="Times New Roman"/>
        </w:rPr>
        <w:t xml:space="preserve"> and satellite derived environmental variables and mosquito abundances for </w:t>
      </w:r>
      <w:r w:rsidRPr="00AA3319">
        <w:rPr>
          <w:rFonts w:cs="Times New Roman"/>
          <w:i/>
        </w:rPr>
        <w:t xml:space="preserve">Ae. albopictus </w:t>
      </w:r>
      <w:r w:rsidRPr="00AA3319">
        <w:rPr>
          <w:rFonts w:cs="Times New Roman"/>
        </w:rPr>
        <w:t xml:space="preserve">and </w:t>
      </w:r>
      <w:r w:rsidRPr="00AA3319">
        <w:rPr>
          <w:rFonts w:cs="Times New Roman"/>
          <w:i/>
        </w:rPr>
        <w:t xml:space="preserve">Cx. quinquefasciatus </w:t>
      </w:r>
      <w:r w:rsidRPr="00AA3319">
        <w:rPr>
          <w:rFonts w:cs="Times New Roman"/>
        </w:rPr>
        <w:t xml:space="preserve">showed that the two species have similar habitat requirements in our study area. Both species showed a positive association with temperature and relative humidity on the trap day. We attribute this relationship to influences of temperature </w:t>
      </w:r>
      <w:r w:rsidRPr="00AA3319">
        <w:rPr>
          <w:rFonts w:cs="Times New Roman"/>
        </w:rPr>
        <w:fldChar w:fldCharType="begin"/>
      </w:r>
      <w:r w:rsidR="00FF3DA9" w:rsidRPr="00AA3319">
        <w:rPr>
          <w:rFonts w:cs="Times New Roman"/>
        </w:rPr>
        <w:instrText xml:space="preserve"> ADDIN ZOTERO_ITEM CSL_CITATION {"citationID":"glTTc06Q","properties":{"formattedCitation":"(Nance et al., 2018; Veronesi et al., 2012)","plainCitation":"(Nance et al., 2018; Veronesi et al., 2012)","noteIndex":0},"citationItems":[{"id":4481,"uris":["http://zotero.org/users/5456909/items/HLPZLGDD"],"uri":["http://zotero.org/users/5456909/items/HLPZLGDD"],"itemData":{"id":4481,"type":"article-journal","abstract":"In the southern Appalachia of the U.S., Aedes mosquitoes maintain and transmit La Crosse virus (LACV) which causes La Crosse encephalitis, a neuroinvasive disease of children. In response to mosquito outbreaks, communities organize prevention, detection, and response measures that are dependent on local characteristics of the mosquito population and the community. Knowing Ae. albopictus is an accessory vector of LACV and a nuisance biter, our objective was to build a system of ordinary differential equations to model dynamics in a single season using our data and readily available environmental variables that can reflect the abundance and activity of Ae. albopictus. Consequently, we built an Ae. albopictus single-season mathematical model for eastern Tennessee to fit our 2013 mosquito collection data in order to understand the population fluctuations. We included precipitation, temperature, and rate of change of temperature in the model because Aedes mosquitoes oviposit desiccant tolerant eggs with peak activity occurring over 26° C and those data are readily available and used frequently as forecast predictors. Our ordinary differential equation model accurately fits the data and facilitates predictions and better understanding of Ae. albopictus populations in southern Appalachia.","container-title":"Journal of Vector Ecology","ISSN":"1948-7134","issue":"1","language":"en","page":"138-147","source":"Wiley Online Library","title":"Modeling a single season of Aedes albopictus populations based on host-seeking data in response to temperature and precipitation in eastern Tennessee","volume":"43","author":[{"family":"Nance","given":"James"},{"family":"Fryxell","given":"Rebecca Trout"},{"family":"Lenhart","given":"Suzanne"}],"issued":{"date-parts":[["2018"]]}}},{"id":4485,"uris":["http://zotero.org/users/5456909/items/2DG39BIZ"],"uri":["http://zotero.org/users/5456909/items/2DG39BIZ"],"itemData":{"id":4485,"type":"article-journal","abstract":"ABSTRACT: The increasing concern about vector-borne diseases such as West Nile disease in northern Italy motivated our analysis of data on the mosquito fauna and the seasonal and daily flight patterns collected in 1998 in the Po Valley. Collections were performed once a week from May to November, with human landing collections and CO2 traps. Culex pipiens was present from July to October and showed a clearly unimodal nocturnal flight habit. Culex modestus appeared in July–August and showed a bimodal flight pattern, (main peak during the evening and a minor one in the morning). Aedes caspius was present from May to November (highest densities in July–August) and showed a bimodal flight pattern with a major crepuscular peak and a minor dawn peak in the morning. Aedes detritus was the most abundant species in May, with a crepuscular sharply bimodal flight pattern, particularly according to human landing collections. Sunset and sunrise time, in combination with the solar phase (that determines daylight duration and its trend of changing) were the main factors affecting flight behavior. Temperature, relative humidity, and wind speed differently affected the flight behavior of mosquito females according to the species.","container-title":"Journal of Vector Ecology","ISSN":"1948-7134","issue":"1","language":"en","note":"_eprint: https://onlinelibrary.wiley.com/doi/pdf/10.1111/j.1948-7134.2012.00199.x","page":"49-61","source":"Wiley Online Library","title":"Seasonal pattern of daily activity of Aedes caspius, Aedes detritus, Culex modestus, and Culex pipiens in the Po Delta of northern Italy and significance for vector-borne disease risk assessment","volume":"37","author":[{"family":"Veronesi","given":"Rodolfo"},{"family":"Gentile","given":"Gregorio"},{"family":"Carrieri","given":"Marco"},{"family":"Maccagnani","given":"Bettina"},{"family":"Stermieri","given":"Luisa"},{"family":"Bellini","given":"Romeo"}],"issued":{"date-parts":[["2012"]]}}}],"schema":"https://github.com/citation-style-language/schema/raw/master/csl-citation.json"} </w:instrText>
      </w:r>
      <w:r w:rsidRPr="00AA3319">
        <w:rPr>
          <w:rFonts w:cs="Times New Roman"/>
        </w:rPr>
        <w:fldChar w:fldCharType="separate"/>
      </w:r>
      <w:r w:rsidR="002B37C7" w:rsidRPr="00AA3319">
        <w:rPr>
          <w:rFonts w:cs="Times New Roman"/>
        </w:rPr>
        <w:t>(Nance et al., 2018; Veronesi et al., 2012)</w:t>
      </w:r>
      <w:r w:rsidRPr="00AA3319">
        <w:rPr>
          <w:rFonts w:cs="Times New Roman"/>
        </w:rPr>
        <w:fldChar w:fldCharType="end"/>
      </w:r>
      <w:r w:rsidRPr="00AA3319">
        <w:rPr>
          <w:rFonts w:cs="Times New Roman"/>
        </w:rPr>
        <w:t xml:space="preserve"> and humidity </w:t>
      </w:r>
      <w:r w:rsidRPr="00AA3319">
        <w:rPr>
          <w:rFonts w:cs="Times New Roman"/>
        </w:rPr>
        <w:fldChar w:fldCharType="begin"/>
      </w:r>
      <w:r w:rsidR="00FF3DA9" w:rsidRPr="00AA3319">
        <w:rPr>
          <w:rFonts w:cs="Times New Roman"/>
        </w:rPr>
        <w:instrText xml:space="preserve"> ADDIN ZOTERO_ITEM CSL_CITATION {"citationID":"mXLHcprJ","properties":{"formattedCitation":"(Veronesi et al., 2012)","plainCitation":"(Veronesi et al., 2012)","noteIndex":0},"citationItems":[{"id":4485,"uris":["http://zotero.org/users/5456909/items/2DG39BIZ"],"uri":["http://zotero.org/users/5456909/items/2DG39BIZ"],"itemData":{"id":4485,"type":"article-journal","abstract":"ABSTRACT: The increasing concern about vector-borne diseases such as West Nile disease in northern Italy motivated our analysis of data on the mosquito fauna and the seasonal and daily flight patterns collected in 1998 in the Po Valley. Collections were performed once a week from May to November, with human landing collections and CO2 traps. Culex pipiens was present from July to October and showed a clearly unimodal nocturnal flight habit. Culex modestus appeared in July–August and showed a bimodal flight pattern, (main peak during the evening and a minor one in the morning). Aedes caspius was present from May to November (highest densities in July–August) and showed a bimodal flight pattern with a major crepuscular peak and a minor dawn peak in the morning. Aedes detritus was the most abundant species in May, with a crepuscular sharply bimodal flight pattern, particularly according to human landing collections. Sunset and sunrise time, in combination with the solar phase (that determines daylight duration and its trend of changing) were the main factors affecting flight behavior. Temperature, relative humidity, and wind speed differently affected the flight behavior of mosquito females according to the species.","container-title":"Journal of Vector Ecology","ISSN":"1948-7134","issue":"1","language":"en","note":"_eprint: https://onlinelibrary.wiley.com/doi/pdf/10.1111/j.1948-7134.2012.00199.x","page":"49-61","source":"Wiley Online Library","title":"Seasonal pattern of daily activity of Aedes caspius, Aedes detritus, Culex modestus, and Culex pipiens in the Po Delta of northern Italy and significance for vector-borne disease risk assessment","volume":"37","author":[{"family":"Veronesi","given":"Rodolfo"},{"family":"Gentile","given":"Gregorio"},{"family":"Carrieri","given":"Marco"},{"family":"Maccagnani","given":"Bettina"},{"family":"Stermieri","given":"Luisa"},{"family":"Bellini","given":"Romeo"}],"issued":{"date-parts":[["2012"]]}}}],"schema":"https://github.com/citation-style-language/schema/raw/master/csl-citation.json"} </w:instrText>
      </w:r>
      <w:r w:rsidRPr="00AA3319">
        <w:rPr>
          <w:rFonts w:cs="Times New Roman"/>
        </w:rPr>
        <w:fldChar w:fldCharType="separate"/>
      </w:r>
      <w:r w:rsidR="002B37C7" w:rsidRPr="00AA3319">
        <w:rPr>
          <w:rFonts w:cs="Times New Roman"/>
        </w:rPr>
        <w:t>(Veronesi et al., 2012)</w:t>
      </w:r>
      <w:r w:rsidRPr="00AA3319">
        <w:rPr>
          <w:rFonts w:cs="Times New Roman"/>
        </w:rPr>
        <w:fldChar w:fldCharType="end"/>
      </w:r>
      <w:r w:rsidRPr="00AA3319">
        <w:rPr>
          <w:rFonts w:cs="Times New Roman"/>
        </w:rPr>
        <w:t xml:space="preserve"> on host seeking behavior. Both species also had stronger relationships with </w:t>
      </w:r>
      <w:r w:rsidR="00E5163E">
        <w:rPr>
          <w:rFonts w:cs="Times New Roman"/>
        </w:rPr>
        <w:t>summaries of daily</w:t>
      </w:r>
      <w:r w:rsidRPr="00AA3319">
        <w:rPr>
          <w:rFonts w:cs="Times New Roman"/>
        </w:rPr>
        <w:t xml:space="preserve"> minimum and maximum temperatures than </w:t>
      </w:r>
      <w:r w:rsidR="00E5163E">
        <w:rPr>
          <w:rFonts w:cs="Times New Roman"/>
        </w:rPr>
        <w:t xml:space="preserve">with summaries of </w:t>
      </w:r>
      <w:r w:rsidRPr="00AA3319">
        <w:rPr>
          <w:rFonts w:cs="Times New Roman"/>
        </w:rPr>
        <w:t xml:space="preserve">mean temperatures. This result is in accordance with previous findings that show how mosquito species react to ranges between minimum and maximum temperatures, as opposed to mean values </w:t>
      </w:r>
      <w:r w:rsidRPr="00AA3319">
        <w:rPr>
          <w:rFonts w:cs="Times New Roman"/>
        </w:rPr>
        <w:fldChar w:fldCharType="begin"/>
      </w:r>
      <w:r w:rsidR="00D5378A" w:rsidRPr="00AA3319">
        <w:rPr>
          <w:rFonts w:cs="Times New Roman"/>
        </w:rPr>
        <w:instrText xml:space="preserve"> ADDIN ZOTERO_ITEM CSL_CITATION {"citationID":"BlWPtLOX","properties":{"formattedCitation":"(Carrington et al., 2013; Metelmann et al., 2019)","plainCitation":"(Carrington et al., 2013; Metelmann et al., 2019)","noteIndex":0},"citationItems":[{"id":4159,"uris":["http://zotero.org/users/5456909/items/GSLWQ39F"],"uri":["http://zotero.org/users/5456909/items/GSLWQ39F"],"itemData":{"id":4159,"type":"article-journal","abstract":"Seasonal variation in dengue virus transmission in northwestern Thailand is inversely related to the magnitude of diurnal temperature fluctuations, although mean temperature does not vary significantly across seasons. We tested the hypothesis that diurnal temperature fluctuations negatively influence epidemiologically important life-history traits of the primary dengue vector, Aedes aegypti (L.), compared with a constant 26 degrees C temperature. A large diurnal temperature range (DTR) (approximately equals 18 degrees C daily swing) extended immature development time (&gt;1 d), lowered larval survival (approximately equals 6%), and reduced adult female reproductive output by 25% 14 d after blood feeding, relative to the constant 26 degreesC temperature. A small DTR (approximately equal 8 degrees C daily swing) led to a negligible or slightly positive effect on the life history traits tested. Our results indicate that there is a negative impact of large DTR on mosquito biology and are consistent with the hypothesis that, in at least some locations, large temperature fluctuations contribute to seasonal reduction in dengue virus transmission.","container-title":"Journal of Medical Entomology","ISSN":"0022-2585","issue":"1","journalAbbreviation":"J Med Entomol","language":"eng","note":"PMID: 23427651","page":"43-51","source":"PubMed","title":"Large diurnal temperature fluctuations negatively influence Aedes aegypti (Diptera: Culicidae) life-history traits","title-short":"Large diurnal temperature fluctuations negatively influence Aedes aegypti (Diptera","volume":"50","author":[{"family":"Carrington","given":"Lauren B."},{"family":"Seifert","given":"Stephanie N."},{"family":"Willits","given":"Neil H."},{"family":"Lambrechts","given":"Louis"},{"family":"Scott","given":"Thomas W."}],"issued":{"date-parts":[["2013",1]]}}},{"id":3275,"uris":["http://zotero.org/users/5456909/items/NBSDHJ3V"],"uri":["http://zotero.org/users/5456909/items/NBSDHJ3V"],"itemData":{"id":3275,"type":"article-journal","container-title":"Journal of The Royal Society Interface","ISSN":"1742-5689, 1742-5662","issue":"152","language":"en","page":"20180761","source":"Crossref","title":"The UK’s suitability for &lt;i&gt;Aedes albopictus&lt;/i&gt; in current and future climates","volume":"16","author":[{"family":"Metelmann","given":"S."},{"family":"Caminade","given":"C."},{"family":"Jones","given":"A. E."},{"family":"Medlock","given":"J. M."},{"family":"Baylis","given":"M."},{"family":"Morse","given":"A. P."}],"issued":{"date-parts":[["2019",3,29]]}}}],"schema":"https://github.com/citation-style-language/schema/raw/master/csl-citation.json"} </w:instrText>
      </w:r>
      <w:r w:rsidRPr="00AA3319">
        <w:rPr>
          <w:rFonts w:cs="Times New Roman"/>
        </w:rPr>
        <w:fldChar w:fldCharType="separate"/>
      </w:r>
      <w:r w:rsidR="002B37C7" w:rsidRPr="00AA3319">
        <w:rPr>
          <w:rFonts w:cs="Times New Roman"/>
        </w:rPr>
        <w:t>(Carrington et al., 2013; Metelmann et al., 2019)</w:t>
      </w:r>
      <w:r w:rsidRPr="00AA3319">
        <w:rPr>
          <w:rFonts w:cs="Times New Roman"/>
        </w:rPr>
        <w:fldChar w:fldCharType="end"/>
      </w:r>
      <w:r w:rsidRPr="00AA3319">
        <w:rPr>
          <w:rFonts w:cs="Times New Roman"/>
        </w:rPr>
        <w:t xml:space="preserve">. </w:t>
      </w:r>
    </w:p>
    <w:p w14:paraId="79B23A34" w14:textId="114A26BF" w:rsidR="0060075D" w:rsidRPr="00AA3319" w:rsidRDefault="0060075D" w:rsidP="0060075D">
      <w:pPr>
        <w:rPr>
          <w:rFonts w:cs="Times New Roman"/>
        </w:rPr>
      </w:pPr>
      <w:r w:rsidRPr="00AA3319">
        <w:rPr>
          <w:rFonts w:cs="Times New Roman"/>
        </w:rPr>
        <w:t xml:space="preserve">Both species had negative associations between species abundance and precipitation at a 2-week time lag. This 2-week time lag is possibly driven by the effect of breeding site flushing and ovipositional repellency from heavy rainfall events </w:t>
      </w:r>
      <w:r w:rsidRPr="00AA3319">
        <w:rPr>
          <w:rFonts w:cs="Times New Roman"/>
        </w:rPr>
        <w:fldChar w:fldCharType="begin"/>
      </w:r>
      <w:r w:rsidR="00531D94" w:rsidRPr="00AA3319">
        <w:rPr>
          <w:rFonts w:cs="Times New Roman"/>
        </w:rPr>
        <w:instrText xml:space="preserve"> ADDIN ZOTERO_ITEM CSL_CITATION {"citationID":"zb1EoiFg","properties":{"formattedCitation":"(Dieng et al., 2012)","plainCitation":"(Dieng et al., 2012)","noteIndex":0},"citationItems":[{"id":4505,"uris":["http://zotero.org/users/5456909/items/BKMSFYKT"],"uri":["http://zotero.org/users/5456909/items/BKMSFYKT"],"itemData":{"id":4505,"type":"article-journal","abstract":"Larvae of Aedes albopictus Skuse typically inhabit natural and artificial containers. Since these larval habitats are replenished by rainfall, Ae. albopictus may experience increased loss of immature stages in areas with high levels of rainfall. In this study, we investigated the effects of rainfall and container water level on population density, and oviposition activity of Ae. albopictus. In field and laboratory experiments, we found that rainfall resulted in the flushing of breeding habitats. Excess rain negatively impacted larval and pupal retention, especially in small habitats. When filled with water to overflowing, container habitats were significantly repellent to ovipositing females. Taken together, these data suggest that rainfall triggers population loss of Ae. albopictus and related species through a direct detrimental effect (flushing out) and an indirect effect (ovipositional repellency).","container-title":"International Journal of Biometeorology","ISSN":"1432-1254","issue":"1","journalAbbreviation":"Int J Biometeorol","language":"en","page":"113-120","source":"Springer Link","title":"The effects of simulated rainfall on immature population dynamics of Aedes albopictus and female oviposition","volume":"56","author":[{"family":"Dieng","given":"Hamady"},{"family":"Rahman","given":"G. M. Saifur"},{"family":"Abu Hassan","given":"A."},{"family":"Che Salmah","given":"M. R."},{"family":"Satho","given":"Tomomitsu"},{"family":"Miake","given":"Fumio"},{"family":"Boots","given":"Michael"},{"family":"Sazaly","given":"AbuBakar"}],"issued":{"date-parts":[["2012",1,1]]}}}],"schema":"https://github.com/citation-style-language/schema/raw/master/csl-citation.json"} </w:instrText>
      </w:r>
      <w:r w:rsidRPr="00AA3319">
        <w:rPr>
          <w:rFonts w:cs="Times New Roman"/>
        </w:rPr>
        <w:fldChar w:fldCharType="separate"/>
      </w:r>
      <w:r w:rsidR="002B37C7" w:rsidRPr="00AA3319">
        <w:rPr>
          <w:rFonts w:cs="Times New Roman"/>
        </w:rPr>
        <w:t>(Dieng et al., 2012)</w:t>
      </w:r>
      <w:r w:rsidRPr="00AA3319">
        <w:rPr>
          <w:rFonts w:cs="Times New Roman"/>
        </w:rPr>
        <w:fldChar w:fldCharType="end"/>
      </w:r>
      <w:r w:rsidRPr="00AA3319">
        <w:rPr>
          <w:rFonts w:cs="Times New Roman"/>
        </w:rPr>
        <w:t xml:space="preserve">. The flushing effect of breeding sites of anthropophilic urban mosquitoes was found to be stronger in cities with more build-up area, </w:t>
      </w:r>
      <w:r w:rsidRPr="00AA3319">
        <w:rPr>
          <w:rFonts w:cs="Times New Roman"/>
        </w:rPr>
        <w:fldChar w:fldCharType="begin"/>
      </w:r>
      <w:r w:rsidR="006B043F" w:rsidRPr="00AA3319">
        <w:rPr>
          <w:rFonts w:cs="Times New Roman"/>
        </w:rPr>
        <w:instrText xml:space="preserve"> ADDIN ZOTERO_ITEM CSL_CITATION {"citationID":"JFCLdmyD","properties":{"formattedCitation":"(Rydzanicz et al., 2016)","plainCitation":"(Rydzanicz et al., 2016)","noteIndex":0},"citationItems":[{"id":4474,"uris":["http://zotero.org/users/5456909/items/JCYX33GH"],"uri":["http://zotero.org/users/5456909/items/JCYX33GH"],"itemData":{"id":4474,"type":"article-journal","abstract":"In urban environments, catch basins serve as major developmental and resting sites for anthropophilic and zoophilic mosquitoes. However, the use of this habitat is inconsistent, with abundance of larvae varying significantly across catch basins at a fine spatial scale. During seasonal summer investigations on mosquito species composition, their spatial and temporal distribution and the environmental characteristic of the breeding sites in the underground storm drain systems of the Wrocław urban area (SW Poland) were assessed from May to September in 2012–2013. The study was conducted in order to develop a rational strategy to control mosquito populations and prevent the potential human exposure to mosquito-transmitted pathogens. Mosquito larvae and pupae were collected and identified weekly from 100 regularly inspected street catch basins located in the town center. All existing and potential breeding habitats in the study area were recorded using a GPS receiver (Magellan MobileMapper CX) and transferred to the computer database. Collected data on the geographical location of inspected breeding places, water quality parameters in inspected catch basins, daily temperature, and precipitation were imposed on orthophotomap in ArcGIS (ESRI, USA). Water quality parameters including pH, electrical conductivity, and water temperature were measured by standard methods. Chemical water analysis of cations (Na+, NH4+, K+, Mg2+, Ca2+) and anions (Cl−, NO2−, NO3−, SO42−) were carried out using Waters Alliance high-performance liquid chromatograph (HPLC) 2695 with 432 Conductivity Detector and 2998 Photodiode Array Detector, an IC-Pak Anion HR column (glauconate/borate eluent) and IC-Pak Cation M/D column (EDTA/HNO3 eluent). Over two seasonal studies and 3739 samplings in total, 3669 mosquito larvae and 274 pupae/1 dip (from 0 to 110 individuals/dip) were collected by dipper. Culex pipiens s.l. (L.) and Cx. torrentium (Martini) prevailed at all catch basins of the study area as the predominant species. In all examined catch basins, autogenous individuals dominated by far. Breeding activity was first detected in early May. Peak abundance of Culex spp. population in many catch basins was observed in June 2012 and August 2013 when average daily temperatures were increasing and rainfall had declined. Dry periods between rainfalls varied during 2 years of the study period and were noted on June 2012 as well as on July and August 2013. Organically enriched catch basins with significant higher concentrations of Na+ and NO3− were found to be more productive breeding habitats. Differences in the Culex immature stage density based on the variables of habitat type, temperature, and precipitation support the need for ongoing surveillance in communities to guide public health officials in planning for and prioritizing mosquito control efforts.","container-title":"Parasitology Research","ISSN":"1432-1955","issue":"4","journalAbbreviation":"Parasitol Res","language":"en","page":"1711-1720","source":"Springer Link","title":"Assessment of productivity of Culex spp. larvae (Diptera: Culicidae) in urban storm water catch basin system in Wrocław (SW Poland)","title-short":"Assessment of productivity of Culex spp. larvae (Diptera","volume":"115","author":[{"family":"Rydzanicz","given":"Katarzyna"},{"family":"Jawień","given":"Piotr"},{"family":"Lonc","given":"Elżbieta"},{"family":"Modelska","given":"Magdalena"}],"issued":{"date-parts":[["2016",4,1]]}}}],"schema":"https://github.com/citation-style-language/schema/raw/master/csl-citation.json"} </w:instrText>
      </w:r>
      <w:r w:rsidRPr="00AA3319">
        <w:rPr>
          <w:rFonts w:cs="Times New Roman"/>
        </w:rPr>
        <w:fldChar w:fldCharType="separate"/>
      </w:r>
      <w:r w:rsidR="002B37C7" w:rsidRPr="00AA3319">
        <w:rPr>
          <w:rFonts w:cs="Times New Roman"/>
        </w:rPr>
        <w:t>(Rydzanicz et al., 2016)</w:t>
      </w:r>
      <w:r w:rsidRPr="00AA3319">
        <w:rPr>
          <w:rFonts w:cs="Times New Roman"/>
        </w:rPr>
        <w:fldChar w:fldCharType="end"/>
      </w:r>
      <w:r w:rsidRPr="00AA3319">
        <w:rPr>
          <w:rFonts w:cs="Times New Roman"/>
        </w:rPr>
        <w:t xml:space="preserve">, as these tend to be areas where there is less infiltration and runoff is more extreme </w:t>
      </w:r>
      <w:r w:rsidRPr="00AA3319">
        <w:rPr>
          <w:rFonts w:cs="Times New Roman"/>
        </w:rPr>
        <w:fldChar w:fldCharType="begin"/>
      </w:r>
      <w:r w:rsidR="00FF3DA9" w:rsidRPr="00AA3319">
        <w:rPr>
          <w:rFonts w:cs="Times New Roman"/>
        </w:rPr>
        <w:instrText xml:space="preserve"> ADDIN ZOTERO_ITEM CSL_CITATION {"citationID":"DO0Yfdu8","properties":{"formattedCitation":"(Walsh et al., 2012)","plainCitation":"(Walsh et al., 2012)","noteIndex":0},"citationItems":[{"id":4512,"uris":["http://zotero.org/users/5456909/items/MYS3B2LQ"],"uri":["http://zotero.org/users/5456909/items/MYS3B2LQ"],"itemData":{"id":4512,"type":"article-journal","abstract":"Environmental flow assessment frameworks have begun to consider changes to flow regimes resulting from land-use change. Urban stormwater runoff, which degrades streams through altered volume, pattern and quality of flow, presents a problem that challenges dominant approaches to stormwater and water resource management, and to environmental flow assessment. We used evidence of ecological response to different stormwater drainage systems to develop methods for input to environmental flow assessment. We identified the nature of hydrologic change resulting from conventional urban stormwater runoff, and the mechanisms by which such hydrologic change is prevented in streams where ecological condition has been protected. We also quantified the increase in total volume resulting from urban stormwater runoff, by comparing annual streamflow volumes from undeveloped catchments with the volumes that would run off impervious surfaces under the same rainfall regimes. In catchments with as little as 5-10% total imperviousness, conventional stormwater drainage, associated with poor in-stream ecological condition, reduces contributions to baseflows and increases the frequency and magnitude of storm flows, but in similarly impervious catchments in which streams retain good ecological condition, informal drainage to forested hillslopes, without a direct piped discharge to the stream, results in little such hydrologic change. In urbanized catchments, dispersed urban stormwater retention measures can potentially protect urban stream ecosystems by mimicking the hydrologic effects of informal drainage, if sufficient water is harvested and kept out of the stream, and if discharged water is treated to a suitable quality. Urban stormwater is a new class of environmental flow problem: one that requires reduction of a large excess volume of water to maintain riverine ecological integrity. It is the best type of problem, because solving it provides an opportunity to solve other problems such as the provision of water for human use.","container-title":"PloS One","ISSN":"1932-6203","issue":"9","journalAbbreviation":"PLoS One","language":"eng","note":"PMID: 23029257\nPMCID: PMC3446928","page":"e45814","source":"PubMed","title":"Urban stormwater runoff: a new class of environmental flow problem","title-short":"Urban stormwater runoff","volume":"7","author":[{"family":"Walsh","given":"Christopher J."},{"family":"Fletcher","given":"Tim D."},{"family":"Burns","given":"Matthew J."}],"issued":{"date-parts":[["2012"]]}}}],"schema":"https://github.com/citation-style-language/schema/raw/master/csl-citation.json"} </w:instrText>
      </w:r>
      <w:r w:rsidRPr="00AA3319">
        <w:rPr>
          <w:rFonts w:cs="Times New Roman"/>
        </w:rPr>
        <w:fldChar w:fldCharType="separate"/>
      </w:r>
      <w:r w:rsidR="002B37C7" w:rsidRPr="00AA3319">
        <w:rPr>
          <w:rFonts w:cs="Times New Roman"/>
        </w:rPr>
        <w:t>(Walsh et al., 2012)</w:t>
      </w:r>
      <w:r w:rsidRPr="00AA3319">
        <w:rPr>
          <w:rFonts w:cs="Times New Roman"/>
        </w:rPr>
        <w:fldChar w:fldCharType="end"/>
      </w:r>
      <w:r w:rsidRPr="00AA3319">
        <w:rPr>
          <w:rFonts w:cs="Times New Roman"/>
        </w:rPr>
        <w:t xml:space="preserve">. Particularly in central Oklahoma, where rainfall often occurs in extreme weather events, this effect may be exacerbated so that mosquito populations breeding is interrupted by flooding events, which may lead to decreased numbers of adult mosquitoes two weeks after a heavy rainfall event. However, both species are however positively associated with impervious surfaces. </w:t>
      </w:r>
      <w:r w:rsidRPr="00AA3319">
        <w:rPr>
          <w:rFonts w:cs="Times New Roman"/>
        </w:rPr>
        <w:lastRenderedPageBreak/>
        <w:t xml:space="preserve">This effect has been previously observed for both, </w:t>
      </w:r>
      <w:r w:rsidRPr="00AA3319">
        <w:rPr>
          <w:rFonts w:cs="Times New Roman"/>
          <w:i/>
          <w:iCs/>
        </w:rPr>
        <w:t>Cx quinquefasciatus</w:t>
      </w:r>
      <w:r w:rsidRPr="00AA3319">
        <w:rPr>
          <w:rFonts w:cs="Times New Roman"/>
        </w:rPr>
        <w:t xml:space="preserve"> </w:t>
      </w:r>
      <w:r w:rsidRPr="00AA3319">
        <w:rPr>
          <w:rFonts w:cs="Times New Roman"/>
        </w:rPr>
        <w:fldChar w:fldCharType="begin"/>
      </w:r>
      <w:r w:rsidR="002B37C7" w:rsidRPr="00AA3319">
        <w:rPr>
          <w:rFonts w:cs="Times New Roman"/>
        </w:rPr>
        <w:instrText xml:space="preserve"> ADDIN ZOTERO_ITEM CSL_CITATION {"citationID":"u3GYoylU","properties":{"formattedCitation":"(Landau and van Leeuwen, 2012)","plainCitation":"(Landau and van Leeuwen, 2012)","noteIndex":0},"citationItems":[{"id":4119,"uris":["http://zotero.org/users/5456909/items/MKLAEVHG"],"uri":["http://zotero.org/users/5456909/items/MKLAEVHG"],"itemData":{"id":4119,"type":"article-journal","abstract":"It is currently unclear what role microhabitat land cover plays in determining the seasonal spatial distribution of Aedes aegypti and Culex quinquefasciatus, disease vectors of dengue and West Nile Virus, respectively, in Tucson, AZ. We compared mosquito abundance to sixteen land cover variables derived from 2010 NAIP multispectral data and 2008 LiDAR height data. Mosquitoes were trapped with 30-9 traps from May to October of 2010 and 2011. Variables were extracted for five buffer zones (10-50 m radii at 10 m intervals) around trapping sites. Stepwise regression was performed to determine the best scale for observation and the influential land cover variables. The 30 m radius buffer was determined to be the best for observing the land cover-mosquito abundance relationship. Ae. aegypti presence was positively associated with structure and medium height trees and negatively associated with bare earth; Cx. quinquefasciatus presence was positively associated with pavement and medium height trees and negatively associated with shrubs. These findings emphasize vegetation, impervious surfaces, and soil influences on mosquito presence in an urban setting. Lastly, the land cover-mosquito abundance relationships were used to produce risk maps of seasonal presence that highlight high risk areas in Tucson, which may be useful for focusing mosquito control program actions.","container-title":"Journal of Vector Ecology: Journal of the Society for Vector Ecology","ISSN":"1948-7134","issue":"2","journalAbbreviation":"J Vector Ecol","language":"eng","note":"PMID: 23181866","page":"407-418","source":"PubMed","title":"Fine scale spatial urban land cover factors associated with adult mosquito abundance and risk in Tucson, Arizona","volume":"37","author":[{"family":"Landau","given":"Katheryn I."},{"family":"Leeuwen","given":"Willem J. D.","non-dropping-particle":"van"}],"issued":{"date-parts":[["2012",12]]}}}],"schema":"https://github.com/citation-style-language/schema/raw/master/csl-citation.json"} </w:instrText>
      </w:r>
      <w:r w:rsidRPr="00AA3319">
        <w:rPr>
          <w:rFonts w:cs="Times New Roman"/>
        </w:rPr>
        <w:fldChar w:fldCharType="separate"/>
      </w:r>
      <w:r w:rsidR="002B37C7" w:rsidRPr="00AA3319">
        <w:rPr>
          <w:rFonts w:cs="Times New Roman"/>
        </w:rPr>
        <w:t>(Landau and van Leeuwen, 2012)</w:t>
      </w:r>
      <w:r w:rsidRPr="00AA3319">
        <w:rPr>
          <w:rFonts w:cs="Times New Roman"/>
        </w:rPr>
        <w:fldChar w:fldCharType="end"/>
      </w:r>
      <w:r w:rsidRPr="00AA3319">
        <w:rPr>
          <w:rFonts w:cs="Times New Roman"/>
        </w:rPr>
        <w:t xml:space="preserve">, and for </w:t>
      </w:r>
      <w:r w:rsidRPr="00AA3319">
        <w:rPr>
          <w:rFonts w:cs="Times New Roman"/>
          <w:i/>
          <w:iCs/>
        </w:rPr>
        <w:t>Ae albopictus</w:t>
      </w:r>
      <w:r w:rsidRPr="00AA3319">
        <w:rPr>
          <w:rFonts w:cs="Times New Roman"/>
        </w:rPr>
        <w:t xml:space="preserve"> </w:t>
      </w:r>
      <w:r w:rsidRPr="00AA3319">
        <w:rPr>
          <w:rFonts w:cs="Times New Roman"/>
        </w:rPr>
        <w:fldChar w:fldCharType="begin"/>
      </w:r>
      <w:r w:rsidR="002B37C7" w:rsidRPr="00AA3319">
        <w:rPr>
          <w:rFonts w:cs="Times New Roman"/>
        </w:rPr>
        <w:instrText xml:space="preserve"> ADDIN ZOTERO_ITEM CSL_CITATION {"citationID":"92ixAHAj","properties":{"formattedCitation":"(Shragai and Harrington, 2019)","plainCitation":"(Shragai and Harrington, 2019)","noteIndex":0},"citationItems":[{"id":4489,"uris":["http://zotero.org/users/5456909/items/PKYKE8P5"],"uri":["http://zotero.org/users/5456909/items/PKYKE8P5"],"itemData":{"id":4489,"type":"article-journal","abstract":"The Asian tiger mosquito [Aedes albopictus (Skuse)] is an invasive species of public health importance that is currently expanding its range in the Northeast United States. Effective Ae. albopictus control depends on a thorough understanding of factors influencing their abundance, spatial distribution, and habitat preference. We conducted a series of container surveys for Ae. albopictus larvae/pupae over 2 yr across nine sites in neighborhoods along its invasive range in southern New York. Selected sites represented a gradient of percent impervious surface and median household income. Two hypotheses were tested: 1) Ae. albopictus larval/pupal abundance increases and spatial distribution becomes less clustered as site-level median income decreases and percent impervious surface increases because of increased larval habitat quality and availability; and 2) container-level characteristics are predictive of Ae. albopictus larval/pupal infestation across a range of sites. In 2016, neither median household income nor impervious surface predicted Ae. albopictus abundance. In 2017, sites with greater impervious surface were more heavily infested by some measures. In both years, Ae. albopictus larval/pupal spatial distribution as measured by K-function was more clustered in with greater median household income. Most container characteristics were either not predictive of Ae. albopictus or varied between years. Based on the variability of predictive container characteristics, we conclude that identification of key containers is not useful in this region. However, Ae. albopictus can be nonhomogenously distributed or abundant based on income level and impervious surface. Improved control of immatures should consider these regional predictors of Ae. albopictus populations.","container-title":"Journal of Medical Entomology","issue":"2","journalAbbreviation":"Journal of Medical Entomology","page":"472-482","source":"Silverchair","title":"Aedes albopictus (Diptera: Culicidae) on an Invasive Edge: Abundance, Spatial Distribution, and Habitat Usage of Larvae and Pupae Across Urban and Socioeconomic Environmental Gradients","title-short":"Aedes albopictus (Diptera","volume":"56","author":[{"family":"Shragai","given":"Talya"},{"family":"Harrington","given":"Laura C"}],"issued":{"date-parts":[["2019"]]}}}],"schema":"https://github.com/citation-style-language/schema/raw/master/csl-citation.json"} </w:instrText>
      </w:r>
      <w:r w:rsidRPr="00AA3319">
        <w:rPr>
          <w:rFonts w:cs="Times New Roman"/>
        </w:rPr>
        <w:fldChar w:fldCharType="separate"/>
      </w:r>
      <w:r w:rsidR="002B37C7" w:rsidRPr="00AA3319">
        <w:rPr>
          <w:rFonts w:cs="Times New Roman"/>
        </w:rPr>
        <w:t>(Shragai and Harrington, 2019)</w:t>
      </w:r>
      <w:r w:rsidRPr="00AA3319">
        <w:rPr>
          <w:rFonts w:cs="Times New Roman"/>
        </w:rPr>
        <w:fldChar w:fldCharType="end"/>
      </w:r>
      <w:r w:rsidRPr="00AA3319">
        <w:rPr>
          <w:rFonts w:cs="Times New Roman"/>
        </w:rPr>
        <w:t xml:space="preserve">. The main difference in microhabitats between the two species was </w:t>
      </w:r>
      <w:r w:rsidRPr="00AA3319">
        <w:rPr>
          <w:rFonts w:cs="Times New Roman"/>
          <w:i/>
          <w:iCs/>
        </w:rPr>
        <w:t>Ae. albopictus</w:t>
      </w:r>
      <w:r w:rsidRPr="00AA3319">
        <w:rPr>
          <w:rFonts w:cs="Times New Roman"/>
        </w:rPr>
        <w:t xml:space="preserve">’ negative association with tree cover, and </w:t>
      </w:r>
      <w:r w:rsidRPr="00AA3319">
        <w:rPr>
          <w:rFonts w:cs="Times New Roman"/>
          <w:i/>
          <w:iCs/>
        </w:rPr>
        <w:t>Cx. quinquefasciatus</w:t>
      </w:r>
      <w:r w:rsidRPr="00AA3319">
        <w:rPr>
          <w:rFonts w:cs="Times New Roman"/>
        </w:rPr>
        <w:t>’ positive association with tree cover.</w:t>
      </w:r>
    </w:p>
    <w:p w14:paraId="456FC411" w14:textId="77777777" w:rsidR="0060075D" w:rsidRPr="00AA3319" w:rsidRDefault="0060075D" w:rsidP="0060075D">
      <w:pPr>
        <w:rPr>
          <w:rFonts w:cs="Times New Roman"/>
        </w:rPr>
      </w:pPr>
      <w:r w:rsidRPr="00AA3319">
        <w:rPr>
          <w:rFonts w:cs="Times New Roman"/>
        </w:rPr>
        <w:t>We were also able to compare different sources of environmental data commonly used in entomological surveys. All four data source types vary in what variables they measure, how much spatial and/or temporal variation they measure, and how much spatial information they provide.</w:t>
      </w:r>
    </w:p>
    <w:p w14:paraId="6BC19EA8" w14:textId="69AC658D" w:rsidR="0060075D" w:rsidRPr="00AA3319" w:rsidRDefault="0060075D" w:rsidP="0060075D">
      <w:pPr>
        <w:rPr>
          <w:rFonts w:cs="Times New Roman"/>
        </w:rPr>
      </w:pPr>
      <w:r w:rsidRPr="00AA3319">
        <w:rPr>
          <w:rFonts w:cs="Times New Roman"/>
        </w:rPr>
        <w:t xml:space="preserve">All three </w:t>
      </w:r>
      <w:r w:rsidR="00E5163E">
        <w:rPr>
          <w:rFonts w:cs="Times New Roman"/>
        </w:rPr>
        <w:t>dynamic</w:t>
      </w:r>
      <w:r w:rsidRPr="00AA3319">
        <w:rPr>
          <w:rFonts w:cs="Times New Roman"/>
        </w:rPr>
        <w:t xml:space="preserve"> data source types provide very comparable results once paired with land cover data on impervious surface and canopy cover. We found this common effect, despite all data sources varying in what environmental variables they measure. Satellite time series data performed best, likely because spectral indices like NDVI and NDMI capture aspects of land cover that have</w:t>
      </w:r>
      <w:r w:rsidR="00E5163E">
        <w:rPr>
          <w:rFonts w:cs="Times New Roman"/>
        </w:rPr>
        <w:t xml:space="preserve"> been</w:t>
      </w:r>
      <w:r w:rsidRPr="00AA3319">
        <w:rPr>
          <w:rFonts w:cs="Times New Roman"/>
        </w:rPr>
        <w:t xml:space="preserve"> shown to drive site-to-site variation</w:t>
      </w:r>
      <w:r w:rsidR="00C91CA3">
        <w:rPr>
          <w:rFonts w:cs="Times New Roman"/>
        </w:rPr>
        <w:t xml:space="preserve"> and are additionally able to capture temporal variation</w:t>
      </w:r>
      <w:r w:rsidRPr="00AA3319">
        <w:rPr>
          <w:rFonts w:cs="Times New Roman"/>
        </w:rPr>
        <w:t xml:space="preserve">. The NDVI </w:t>
      </w:r>
      <w:r w:rsidR="00801840">
        <w:rPr>
          <w:rFonts w:cs="Times New Roman"/>
        </w:rPr>
        <w:t>measures</w:t>
      </w:r>
      <w:r w:rsidR="00801840" w:rsidRPr="00AA3319">
        <w:rPr>
          <w:rFonts w:cs="Times New Roman"/>
        </w:rPr>
        <w:t xml:space="preserve"> </w:t>
      </w:r>
      <w:r w:rsidRPr="00AA3319">
        <w:rPr>
          <w:rFonts w:cs="Times New Roman"/>
        </w:rPr>
        <w:t xml:space="preserve">vegetation greenness, and the NDMI </w:t>
      </w:r>
      <w:r w:rsidR="00801840">
        <w:rPr>
          <w:rFonts w:cs="Times New Roman"/>
        </w:rPr>
        <w:t>measures</w:t>
      </w:r>
      <w:r w:rsidRPr="00AA3319">
        <w:rPr>
          <w:rFonts w:cs="Times New Roman"/>
        </w:rPr>
        <w:t xml:space="preserve"> vegetation moisture, both of which are positively correlated with canopy cover and negatively associated with impervious surfaces. However, even with spectral indices present in the satellite model, adding additional land cover variables was still </w:t>
      </w:r>
      <w:r w:rsidR="00801840">
        <w:rPr>
          <w:rFonts w:cs="Times New Roman"/>
        </w:rPr>
        <w:t>beneficial</w:t>
      </w:r>
      <w:r w:rsidRPr="00AA3319">
        <w:rPr>
          <w:rFonts w:cs="Times New Roman"/>
        </w:rPr>
        <w:t xml:space="preserve">. Additionally, both satellite time series data and the weather station provided information on precipitation, which revealed that precipitation </w:t>
      </w:r>
      <w:r w:rsidR="008C0693">
        <w:rPr>
          <w:rFonts w:cs="Times New Roman"/>
        </w:rPr>
        <w:t>two</w:t>
      </w:r>
      <w:r w:rsidRPr="00AA3319">
        <w:rPr>
          <w:rFonts w:cs="Times New Roman"/>
        </w:rPr>
        <w:t xml:space="preserve"> weeks prior to the trap date negatively influenced mosquito abundance. For </w:t>
      </w:r>
      <w:r w:rsidR="00C91CA3">
        <w:rPr>
          <w:rFonts w:cs="Times New Roman"/>
        </w:rPr>
        <w:t xml:space="preserve">models based on </w:t>
      </w:r>
      <w:r w:rsidRPr="00AA3319">
        <w:rPr>
          <w:rFonts w:cs="Times New Roman"/>
        </w:rPr>
        <w:t xml:space="preserve">microclimate logger data, this </w:t>
      </w:r>
      <w:r w:rsidR="00801840">
        <w:rPr>
          <w:rFonts w:cs="Times New Roman"/>
        </w:rPr>
        <w:t>relationship</w:t>
      </w:r>
      <w:r w:rsidR="00801840" w:rsidRPr="00AA3319">
        <w:rPr>
          <w:rFonts w:cs="Times New Roman"/>
        </w:rPr>
        <w:t xml:space="preserve"> </w:t>
      </w:r>
      <w:r w:rsidRPr="00AA3319">
        <w:rPr>
          <w:rFonts w:cs="Times New Roman"/>
        </w:rPr>
        <w:t xml:space="preserve">was reflected in a negative association between relative humidity one week and three weeks prior to the trap date. </w:t>
      </w:r>
    </w:p>
    <w:p w14:paraId="32574942" w14:textId="5EE752AD" w:rsidR="00BF214B" w:rsidRDefault="0060075D" w:rsidP="0060075D">
      <w:pPr>
        <w:rPr>
          <w:rFonts w:cs="Times New Roman"/>
        </w:rPr>
      </w:pPr>
      <w:r w:rsidRPr="00AA3319">
        <w:rPr>
          <w:rFonts w:cs="Times New Roman"/>
        </w:rPr>
        <w:lastRenderedPageBreak/>
        <w:t xml:space="preserve">The second major difference between the data types (land cover, microclimate, satellite, and weather station data), was the varying degree of spatial versus temporal information they provided. This ultimately determines how well they capture spatial and temporal variability in species abundance. Even though land cover data on canopy cover and impervious surfaces only captured spatial variability in species abundance it did so comparatively well for both species, making them the best stand-alone models. </w:t>
      </w:r>
      <w:r w:rsidR="00D422F4">
        <w:rPr>
          <w:rFonts w:cs="Times New Roman"/>
        </w:rPr>
        <w:t xml:space="preserve">This shows the strong importance of </w:t>
      </w:r>
      <w:r w:rsidR="00D422F4" w:rsidRPr="00D422F4">
        <w:rPr>
          <w:rFonts w:cs="Times New Roman"/>
        </w:rPr>
        <w:t xml:space="preserve">land cover variables </w:t>
      </w:r>
      <w:r w:rsidR="00D422F4">
        <w:rPr>
          <w:rFonts w:cs="Times New Roman"/>
        </w:rPr>
        <w:t xml:space="preserve">as </w:t>
      </w:r>
      <w:r w:rsidR="00D422F4" w:rsidRPr="00D422F4">
        <w:rPr>
          <w:rFonts w:cs="Times New Roman"/>
        </w:rPr>
        <w:t>predictors of the geographic pattern of mosquito abundance.</w:t>
      </w:r>
      <w:r w:rsidRPr="00AA3319">
        <w:rPr>
          <w:rFonts w:cs="Times New Roman"/>
        </w:rPr>
        <w:t xml:space="preserve"> </w:t>
      </w:r>
      <w:r w:rsidR="007604B8" w:rsidRPr="00AA3319">
        <w:rPr>
          <w:rFonts w:cs="Times New Roman"/>
        </w:rPr>
        <w:t>Satellite data were able to capture spatial, as well as temporal variation in species abundance for both species.</w:t>
      </w:r>
      <w:r w:rsidR="007604B8">
        <w:rPr>
          <w:rFonts w:cs="Times New Roman"/>
        </w:rPr>
        <w:t xml:space="preserve"> </w:t>
      </w:r>
      <w:r w:rsidR="00B044D9">
        <w:rPr>
          <w:rFonts w:cs="Times New Roman"/>
        </w:rPr>
        <w:t>This did not come as a surprise, as satellite variables capture spatially explicit information of multiple variables</w:t>
      </w:r>
      <w:r w:rsidR="002556BC">
        <w:rPr>
          <w:rFonts w:cs="Times New Roman"/>
        </w:rPr>
        <w:t xml:space="preserve"> for </w:t>
      </w:r>
      <w:r w:rsidR="00017FAC">
        <w:rPr>
          <w:rFonts w:cs="Times New Roman"/>
        </w:rPr>
        <w:t>areas</w:t>
      </w:r>
      <w:r w:rsidR="002556BC">
        <w:rPr>
          <w:rFonts w:cs="Times New Roman"/>
        </w:rPr>
        <w:t xml:space="preserve"> around trap sites</w:t>
      </w:r>
      <w:r w:rsidR="00381986">
        <w:rPr>
          <w:rFonts w:cs="Times New Roman"/>
        </w:rPr>
        <w:t xml:space="preserve"> represent</w:t>
      </w:r>
      <w:r w:rsidR="00017FAC">
        <w:rPr>
          <w:rFonts w:cs="Times New Roman"/>
        </w:rPr>
        <w:t>ing</w:t>
      </w:r>
      <w:r w:rsidR="00381986">
        <w:rPr>
          <w:rFonts w:cs="Times New Roman"/>
        </w:rPr>
        <w:t xml:space="preserve"> mosquito activity ranges</w:t>
      </w:r>
      <w:r w:rsidR="00B044D9">
        <w:rPr>
          <w:rFonts w:cs="Times New Roman"/>
        </w:rPr>
        <w:t xml:space="preserve">. </w:t>
      </w:r>
      <w:r w:rsidRPr="00AA3319">
        <w:rPr>
          <w:rFonts w:cs="Times New Roman"/>
        </w:rPr>
        <w:t xml:space="preserve">Microclimate loggers captured some spatial variability for </w:t>
      </w:r>
      <w:r w:rsidRPr="00AA3319">
        <w:rPr>
          <w:rFonts w:cs="Times New Roman"/>
          <w:i/>
          <w:iCs/>
        </w:rPr>
        <w:t>Cx. quinquefasciatus</w:t>
      </w:r>
      <w:r w:rsidRPr="00AA3319">
        <w:rPr>
          <w:rFonts w:cs="Times New Roman"/>
        </w:rPr>
        <w:t xml:space="preserve">, but not for </w:t>
      </w:r>
      <w:r w:rsidRPr="00AA3319">
        <w:rPr>
          <w:rFonts w:cs="Times New Roman"/>
          <w:i/>
          <w:iCs/>
        </w:rPr>
        <w:t>Ae. albopictus</w:t>
      </w:r>
      <w:r w:rsidRPr="00AA3319">
        <w:rPr>
          <w:rFonts w:cs="Times New Roman"/>
        </w:rPr>
        <w:t xml:space="preserve">. This means that there was a spatial component of temperature and relative humidity that influenced </w:t>
      </w:r>
      <w:r w:rsidRPr="00AA3319">
        <w:rPr>
          <w:rFonts w:cs="Times New Roman"/>
          <w:i/>
          <w:iCs/>
        </w:rPr>
        <w:t>Cx. quinquefasciatus</w:t>
      </w:r>
      <w:r w:rsidRPr="00AA3319">
        <w:rPr>
          <w:rFonts w:cs="Times New Roman"/>
        </w:rPr>
        <w:t xml:space="preserve">, but not </w:t>
      </w:r>
      <w:r w:rsidRPr="00AA3319">
        <w:rPr>
          <w:rFonts w:cs="Times New Roman"/>
          <w:i/>
          <w:iCs/>
        </w:rPr>
        <w:t>Ae. albopictus</w:t>
      </w:r>
      <w:r w:rsidRPr="00AA3319">
        <w:rPr>
          <w:rFonts w:cs="Times New Roman"/>
        </w:rPr>
        <w:t xml:space="preserve">. Since </w:t>
      </w:r>
      <w:r w:rsidRPr="00AA3319">
        <w:rPr>
          <w:rFonts w:cs="Times New Roman"/>
          <w:i/>
        </w:rPr>
        <w:t xml:space="preserve">Cx. quinquefasciatus </w:t>
      </w:r>
      <w:r w:rsidRPr="00AA3319">
        <w:rPr>
          <w:rFonts w:cs="Times New Roman"/>
        </w:rPr>
        <w:t>was positively related to canopy cover</w:t>
      </w:r>
      <w:r w:rsidR="00EA4C9E">
        <w:rPr>
          <w:rFonts w:cs="Times New Roman"/>
        </w:rPr>
        <w:t>, which</w:t>
      </w:r>
      <w:r w:rsidRPr="00AA3319">
        <w:rPr>
          <w:rFonts w:cs="Times New Roman"/>
        </w:rPr>
        <w:t xml:space="preserve"> is known to affect microclimatic conditions </w:t>
      </w:r>
      <w:r w:rsidRPr="00AA3319">
        <w:rPr>
          <w:rFonts w:cs="Times New Roman"/>
        </w:rPr>
        <w:fldChar w:fldCharType="begin"/>
      </w:r>
      <w:r w:rsidR="00F57B21">
        <w:rPr>
          <w:rFonts w:cs="Times New Roman"/>
        </w:rPr>
        <w:instrText xml:space="preserve"> ADDIN ZOTERO_ITEM CSL_CITATION {"citationID":"t3SF3ngZ","properties":{"formattedCitation":"(Howe et al., 2017; Wimberly et al., 2020)","plainCitation":"(Howe et al., 2017; Wimberly et al., 2020)","noteIndex":0},"citationItems":[{"id":4141,"uris":["http://zotero.org/users/5456909/items/XBN95SEN"],"uri":["http://zotero.org/users/5456909/items/XBN95SEN"],"itemData":{"id":4141,"type":"article-journal","abstract":"Recent studies have emphasized the presence of microclimates in urban settings, but most do not have the high resolution observations necessary to understand the interactions taking place at a neighborhood scale. This study used a network of 10 identical weather stations and high resolution land cover data in Knoxville, Tennessee, to analyze the microclimates of a medium-sized city with a temperate climate. Two stations were installed in each of four urban neighborhoods in locations with varying localized tree cover, and two additional stations were installed in the center of downtown and in a nearby urban nature center. The intra-neighborhood results suggested that there is significant temperature variability within a single neighborhood based on the tree canopy density immediately surrounding a given weather station. However, the inter-neighborhood variability (differences between neighborhoods) was similar in magnitude, which suggests that the overall differences in neighborhood characteristics also have an effect on climate. Land cover at the neighborhood scale (in particular tree canopy percentages at the 500-m radii) had the highest correlation with the minimum daily temperature (Tmin) during the summer season. Maximum daily temperature (Tmax) relied most on the distance of each station from Downtown and the amount of impervious area in the 50m surrounding each station. Tmax was also most influenced by surrounding land cover during dry conditions (a Dry Moderate air mass). Overall, highly localized impervious land cover percentages and larger-scale forested canopy were important in explaining temperature fluctuation, pointing to the importance of scale in microclimate assessments. Dry air masses enhanced the relationship between land cover and temperature during the day, while moist air masses did the same overnight. These data can be used to better inform planning strategies to build resiliency to extreme heat into urban environments by considering the influence of tree canopy.","container-title":"Urban Forestry &amp; Urban Greening","ISSN":"1618-8667","journalAbbreviation":"Urban Forestry &amp; Urban Greening","language":"en","page":"109-116","source":"ScienceDirect","title":"Spatial and temporal variability of air temperature across urban neighborhoods with varying amounts of tree canopy","volume":"27","author":[{"family":"Howe","given":"D. A."},{"family":"Hathaway","given":"J. M."},{"family":"Ellis","given":"K. N."},{"family":"Mason","given":"L. R."}],"issued":{"date-parts":[["2017",10,1]]}}},{"id":4310,"uris":["http://zotero.org/users/5456909/items/SPVC8ASG"],"uri":["http://zotero.org/users/5456909/items/SPVC8ASG"],"itemData":{"id":4310,"type":"article-journal","abstract":"The emergence of mosquito-transmitted viruses poses a global threat to human health. Combining mechanistic epidemiological models based on temperature-trait relationships with climatological data is a powerful technique for environmental risk assessment. However, a limitation of this approach is that the local microclimates experienced by mosquitoes can differ substantially from macroclimate measurements, particularly in heterogeneous urban environments. To address this scaling mismatch, we modeled spatial variation in microclimate temperatures and the thermal potential for dengue transmission by Aedes albopictus across an urban-to-rural gradient in Athens-Clarke County GA. Microclimate data were collected across gradients of tree cover and impervious surface cover. We developed statistical models to predict daily minimum and maximum microclimate temperatures using coarse-resolution gridded macroclimate data (4000 m) and high-resolution land cover data (30 m). The resulting high-resolution microclimate maps were integrated with temperature-dependent mosquito abundance and vectorial capacity models to generate monthly predictions for the summer and early fall of 2018. The highest vectorial capacities were predicted for patches of trees in urban areas with high cover of impervious surfaces. Vectorial capacity was most sensitive to tree cover during the summer and became more sensitive to impervious surfaces in the early fall. Predictions from the same models using temperature data from a local meteorological station consistently over-predicted vectorial capacity compared to the microclimate-based estimates. This work demonstrates that it is feasible to model variation in mosquito microenvironments across an urban-to-rural gradient using satellite Earth observations. Epidemiological models applied to the microclimate maps revealed localized patterns of temperature suitability for disease transmission that would not be detectable using macroclimate data. Incorporating microclimate data into disease transmission models has the potential to yield more spatially precise and ecologically interpretable metrics of mosquito-borne disease transmission risk in urban landscapes.","container-title":"PLOS Neglected Tropical Diseases","ISSN":"1935-2735","issue":"9","journalAbbreviation":"PLOS Neglected Tropical Diseases","language":"en","note":"publisher: Public Library of Science","page":"e0008614","source":"PLoS Journals","title":"Land cover affects microclimate and temperature suitability for arbovirus transmission in an urban landscape","volume":"14","author":[{"family":"Wimberly","given":"Michael C."},{"family":"Davis","given":"Justin K."},{"family":"Evans","given":"Michelle V."},{"family":"Hess","given":"Andrea"},{"family":"Newberry","given":"Philip M."},{"family":"Solano-Asamoah","given":"Nicole"},{"family":"Murdock","given":"Courtney C."}],"issued":{"date-parts":[["2020",9,21]]}}}],"schema":"https://github.com/citation-style-language/schema/raw/master/csl-citation.json"} </w:instrText>
      </w:r>
      <w:r w:rsidRPr="00AA3319">
        <w:rPr>
          <w:rFonts w:cs="Times New Roman"/>
        </w:rPr>
        <w:fldChar w:fldCharType="separate"/>
      </w:r>
      <w:r w:rsidR="00F57B21" w:rsidRPr="00F57B21">
        <w:rPr>
          <w:rFonts w:cs="Times New Roman"/>
        </w:rPr>
        <w:t>(Howe et al., 2017; Wimberly et al., 2020)</w:t>
      </w:r>
      <w:r w:rsidRPr="00AA3319">
        <w:rPr>
          <w:rFonts w:cs="Times New Roman"/>
        </w:rPr>
        <w:fldChar w:fldCharType="end"/>
      </w:r>
      <w:r w:rsidRPr="00AA3319">
        <w:rPr>
          <w:rFonts w:cs="Times New Roman"/>
        </w:rPr>
        <w:t xml:space="preserve">, we hypothesize that the spatial component explained by microclimate logger data could be related to land cover. </w:t>
      </w:r>
      <w:r w:rsidR="00BF214B">
        <w:rPr>
          <w:rFonts w:cs="Times New Roman"/>
        </w:rPr>
        <w:t>Unsurprisingly, w</w:t>
      </w:r>
      <w:r w:rsidRPr="00AA3319">
        <w:rPr>
          <w:rFonts w:cs="Times New Roman"/>
        </w:rPr>
        <w:t xml:space="preserve">eather station data by itself, measured at a single location in town, </w:t>
      </w:r>
      <w:r w:rsidR="00801840">
        <w:rPr>
          <w:rFonts w:cs="Times New Roman"/>
        </w:rPr>
        <w:t>could not</w:t>
      </w:r>
      <w:r w:rsidR="00801840" w:rsidRPr="00AA3319">
        <w:rPr>
          <w:rFonts w:cs="Times New Roman"/>
        </w:rPr>
        <w:t xml:space="preserve"> </w:t>
      </w:r>
      <w:r w:rsidRPr="00AA3319">
        <w:rPr>
          <w:rFonts w:cs="Times New Roman"/>
        </w:rPr>
        <w:t xml:space="preserve">explain any of the </w:t>
      </w:r>
      <w:r w:rsidR="00CB66A4">
        <w:rPr>
          <w:rFonts w:cs="Times New Roman"/>
        </w:rPr>
        <w:t xml:space="preserve">spatial </w:t>
      </w:r>
      <w:r w:rsidRPr="00AA3319">
        <w:rPr>
          <w:rFonts w:cs="Times New Roman"/>
        </w:rPr>
        <w:t xml:space="preserve">variability of abundance for either species. </w:t>
      </w:r>
      <w:r w:rsidR="00BF214B">
        <w:rPr>
          <w:rFonts w:cs="Times New Roman"/>
        </w:rPr>
        <w:t xml:space="preserve">However, weather station data for mapping </w:t>
      </w:r>
      <w:r w:rsidR="00801840">
        <w:rPr>
          <w:rFonts w:cs="Times New Roman"/>
        </w:rPr>
        <w:t>variation in mosquito abundance over time can be combined</w:t>
      </w:r>
      <w:r w:rsidR="00BF214B">
        <w:rPr>
          <w:rFonts w:cs="Times New Roman"/>
        </w:rPr>
        <w:t xml:space="preserve"> with land cover data</w:t>
      </w:r>
      <w:r w:rsidR="00801840">
        <w:rPr>
          <w:rFonts w:cs="Times New Roman"/>
        </w:rPr>
        <w:t xml:space="preserve"> to predict variation in both space and time.</w:t>
      </w:r>
    </w:p>
    <w:p w14:paraId="1F0FCA54" w14:textId="551239E6" w:rsidR="0060075D" w:rsidRPr="00AA3319" w:rsidRDefault="0060075D" w:rsidP="0060075D">
      <w:pPr>
        <w:rPr>
          <w:rFonts w:cs="Times New Roman"/>
        </w:rPr>
      </w:pPr>
      <w:r w:rsidRPr="00AA3319">
        <w:rPr>
          <w:rFonts w:cs="Times New Roman"/>
        </w:rPr>
        <w:t xml:space="preserve">All data sources measured a different </w:t>
      </w:r>
      <w:r w:rsidR="003D3320">
        <w:rPr>
          <w:rFonts w:cs="Times New Roman"/>
        </w:rPr>
        <w:t>scale</w:t>
      </w:r>
      <w:r w:rsidRPr="00AA3319">
        <w:rPr>
          <w:rFonts w:cs="Times New Roman"/>
        </w:rPr>
        <w:t xml:space="preserve"> of spatial information. The microclimate measurements were taken directly at the mosquito trap sites and were better predictors than </w:t>
      </w:r>
      <w:r w:rsidRPr="00AA3319">
        <w:rPr>
          <w:rFonts w:cs="Times New Roman"/>
        </w:rPr>
        <w:lastRenderedPageBreak/>
        <w:t xml:space="preserve">weather station data for </w:t>
      </w:r>
      <w:r w:rsidRPr="00AA3319">
        <w:rPr>
          <w:rFonts w:cs="Times New Roman"/>
          <w:i/>
          <w:iCs/>
        </w:rPr>
        <w:t>Culex quinquefasciatus</w:t>
      </w:r>
      <w:r w:rsidRPr="00AA3319">
        <w:rPr>
          <w:rFonts w:cs="Times New Roman"/>
        </w:rPr>
        <w:t xml:space="preserve">, but not </w:t>
      </w:r>
      <w:r w:rsidRPr="00AA3319">
        <w:rPr>
          <w:rFonts w:cs="Times New Roman"/>
          <w:i/>
          <w:iCs/>
        </w:rPr>
        <w:t>Aedes albopictus</w:t>
      </w:r>
      <w:r w:rsidRPr="00AA3319">
        <w:rPr>
          <w:rFonts w:cs="Times New Roman"/>
        </w:rPr>
        <w:t xml:space="preserve">. However, the satellite data always had the best fits for both species even though they were summarized over a radius of 1km. Our results are in accordance with those of Hopperstad et al. (2021) who found that species distribution of </w:t>
      </w:r>
      <w:r w:rsidRPr="00AA3319">
        <w:rPr>
          <w:rFonts w:cs="Times New Roman"/>
          <w:i/>
        </w:rPr>
        <w:t>Ae. albopictus</w:t>
      </w:r>
      <w:r w:rsidRPr="00AA3319">
        <w:rPr>
          <w:rFonts w:cs="Times New Roman"/>
        </w:rPr>
        <w:t xml:space="preserve"> were better predicted by coarser scale remotely sensed land cover variables than by finer scale microclimate data </w:t>
      </w:r>
      <w:r w:rsidRPr="00AA3319">
        <w:rPr>
          <w:rFonts w:cs="Times New Roman"/>
        </w:rPr>
        <w:fldChar w:fldCharType="begin"/>
      </w:r>
      <w:r w:rsidR="00D5378A" w:rsidRPr="00AA3319">
        <w:rPr>
          <w:rFonts w:cs="Times New Roman"/>
        </w:rPr>
        <w:instrText xml:space="preserve"> ADDIN ZOTERO_ITEM CSL_CITATION {"citationID":"mWTy8JVX","properties":{"formattedCitation":"(Hopperstad et al., 2021)","plainCitation":"(Hopperstad et al., 2021)","noteIndex":0},"citationItems":[{"id":4287,"uris":["http://zotero.org/users/5456909/items/TD267IWI"],"uri":["http://zotero.org/users/5456909/items/TD267IWI"],"itemData":{"id":4287,"type":"article-journal","abstract":"Many species distribution maps indicate the ranges of Aedes aegypti (Linnaeus) and Aedes albopictus (Skuse) overlap in Florida despite the well-documented range reduction of Ae. aegypti. Within the last 30 yr, competitive displacement of Ae. aegypti by Ae. albopictus has resulted in partial spatial segregation of the two species, with Ae. aegypti persisting primarily in urban refugia. We modeled fine-scale distributions of both species, with the goal of capturing the outcome of interspecific competition across space by building habitat suitability maps. We empirically parameterized models by sampling 59 sites in south and central Florida over time and incorporated climatic, landscape, and human population data to identify predictors of habitat suitability for both species. Our results show human density, precipitation, and urban land cover drive Ae. aegypti habitat suitability, compared with exclusively climatic variables driving Ae. albopictus habitat suitability. Remotely sensed variables (macrohabitat) were more predictive than locally collected metrics (microhabitat), although recorded minimum daily temperature showed significant, inverse relationships with both species. We detected minor Aedes habitat segregation; some periurban areas that were highly suitable for Ae. albopictus were unsuitable for Ae. aegypti. Fine-scale empirical models like those presented here have the potential for precise risk assessment and the improvement of operational applications to control container-breeding Aedes mosquitoes.","container-title":"Journal of Medical Entomology","ISSN":"0022-2585","issue":"2","journalAbbreviation":"Journal of Medical Entomology","page":"699-707","source":"Silverchair","title":"Estimations of Fine-Scale Species Distributions of Aedes aegypti and Aedes albopictus (Diptera: Culicidae) in Eastern Florida","title-short":"Estimations of Fine-Scale Species Distributions of Aedes aegypti and Aedes albopictus (Diptera","volume":"58","author":[{"family":"Hopperstad","given":"Kristen A"},{"family":"Sallam","given":"Mohamed F"},{"family":"Reiskind","given":"Michael H"}],"issued":{"date-parts":[["2021",3,1]]}}}],"schema":"https://github.com/citation-style-language/schema/raw/master/csl-citation.json"} </w:instrText>
      </w:r>
      <w:r w:rsidRPr="00AA3319">
        <w:rPr>
          <w:rFonts w:cs="Times New Roman"/>
        </w:rPr>
        <w:fldChar w:fldCharType="separate"/>
      </w:r>
      <w:r w:rsidR="002B37C7" w:rsidRPr="00AA3319">
        <w:rPr>
          <w:rFonts w:cs="Times New Roman"/>
        </w:rPr>
        <w:t>(Hopperstad et al., 2021)</w:t>
      </w:r>
      <w:r w:rsidRPr="00AA3319">
        <w:rPr>
          <w:rFonts w:cs="Times New Roman"/>
        </w:rPr>
        <w:fldChar w:fldCharType="end"/>
      </w:r>
      <w:r w:rsidRPr="00AA3319">
        <w:rPr>
          <w:rFonts w:cs="Times New Roman"/>
        </w:rPr>
        <w:t xml:space="preserve">. We hypothesize that microclimate loggers placed in a small radius around mosquito traps may not be capturing the full range of available microhabitats within the activity range of mosquitoes. Satellite data on the other hand provided a coarser-brained view on the landscape, but were able to capture a larger extent that may better reflect the activity range of a mosquito. Considering that </w:t>
      </w:r>
      <w:r w:rsidRPr="00AA3319">
        <w:rPr>
          <w:rFonts w:cs="Times New Roman"/>
          <w:i/>
          <w:iCs/>
        </w:rPr>
        <w:t>Culex</w:t>
      </w:r>
      <w:r w:rsidRPr="00AA3319">
        <w:rPr>
          <w:rFonts w:cs="Times New Roman"/>
        </w:rPr>
        <w:t xml:space="preserve"> species have been found to travel up to 3km during their lifetime </w:t>
      </w:r>
      <w:r w:rsidRPr="00AA3319">
        <w:rPr>
          <w:rFonts w:cs="Times New Roman"/>
        </w:rPr>
        <w:fldChar w:fldCharType="begin"/>
      </w:r>
      <w:r w:rsidR="00D5378A" w:rsidRPr="00AA3319">
        <w:rPr>
          <w:rFonts w:cs="Times New Roman"/>
        </w:rPr>
        <w:instrText xml:space="preserve"> ADDIN ZOTERO_ITEM CSL_CITATION {"citationID":"kZYUpaQL","properties":{"formattedCitation":"(Hamer et al., 2014)","plainCitation":"(Hamer et al., 2014)","noteIndex":0},"citationItems":[{"id":1407,"uris":["http://zotero.org/users/5456909/items/4S3IDJUI"],"uri":["http://zotero.org/users/5456909/items/4S3IDJUI"],"itemData":{"id":1407,"type":"article-journal","container-title":"PLoS Neglected Tropical Diseases","issue":"3","page":"e2768-e2768","title":"Dispersal of Adult Culex Mosquitoes in an Urban West Nile Virus Hotspot: A Mark-Capture Study Incorporating Stable Isotope Enrichment of Natural Larval Habitats","volume":"8","author":[{"family":"Hamer","given":"Gabriel L."},{"family":"Anderson","given":"Tavis K."},{"family":"Donovan","given":"Danielle J."},{"family":"Brawn","given":"Jeffrey D."},{"family":"Krebs","given":"Bethany L."},{"family":"Gardner","given":"Allison M."},{"family":"Ruiz","given":"Marilyn O."},{"family":"Brown","given":"William M."},{"family":"Kitron","given":"Uriel D."},{"family":"Newman","given":"Christina M."},{"family":"Goldberg","given":"Tony L."},{"family":"Walker","given":"Edward D."}],"editor":[{"family":"Kittayapong","given":"Pattamaporn"}],"issued":{"date-parts":[["2014",3]]}}}],"schema":"https://github.com/citation-style-language/schema/raw/master/csl-citation.json"} </w:instrText>
      </w:r>
      <w:r w:rsidRPr="00AA3319">
        <w:rPr>
          <w:rFonts w:cs="Times New Roman"/>
        </w:rPr>
        <w:fldChar w:fldCharType="separate"/>
      </w:r>
      <w:r w:rsidR="002B37C7" w:rsidRPr="00AA3319">
        <w:rPr>
          <w:rFonts w:cs="Times New Roman"/>
        </w:rPr>
        <w:t>(Hamer et al., 2014)</w:t>
      </w:r>
      <w:r w:rsidRPr="00AA3319">
        <w:rPr>
          <w:rFonts w:cs="Times New Roman"/>
        </w:rPr>
        <w:fldChar w:fldCharType="end"/>
      </w:r>
      <w:r w:rsidRPr="00AA3319">
        <w:rPr>
          <w:rFonts w:cs="Times New Roman"/>
        </w:rPr>
        <w:t xml:space="preserve">, and </w:t>
      </w:r>
      <w:r w:rsidRPr="00AA3319">
        <w:rPr>
          <w:rFonts w:cs="Times New Roman"/>
          <w:i/>
          <w:iCs/>
        </w:rPr>
        <w:t>Ae. albopictus</w:t>
      </w:r>
      <w:r w:rsidRPr="00AA3319">
        <w:rPr>
          <w:rFonts w:cs="Times New Roman"/>
        </w:rPr>
        <w:t xml:space="preserve"> up to 1 km </w:t>
      </w:r>
      <w:r w:rsidRPr="00AA3319">
        <w:rPr>
          <w:rFonts w:cs="Times New Roman"/>
        </w:rPr>
        <w:fldChar w:fldCharType="begin"/>
      </w:r>
      <w:r w:rsidR="00FF3DA9" w:rsidRPr="00AA3319">
        <w:rPr>
          <w:rFonts w:cs="Times New Roman"/>
        </w:rPr>
        <w:instrText xml:space="preserve"> ADDIN ZOTERO_ITEM CSL_CITATION {"citationID":"yeMfizrF","properties":{"formattedCitation":"(Vavassori et al., 2019)","plainCitation":"(Vavassori et al., 2019)","noteIndex":0},"citationItems":[{"id":4508,"uris":["http://zotero.org/users/5456909/items/3FIC6XKE"],"uri":["http://zotero.org/users/5456909/items/3FIC6XKE"],"itemData":{"id":4508,"type":"article-journal","abstract":"Understanding the dispersal dynamics of invasive mosquito species is fundamental to improve vector surveillance and to target control efforts. Aedes albopictus has been deemed a poor flyer as its range of active dispersal is generally assumed to be limited to a few hundred metres, while laboratory studies suggest this mosquito could actually fly several kilometres. The discrepancy may be due to differences in the local environment or to the methodological approach. In Switzerland, Ae. albopictus has been present since 2003 and has since then expanded its range. While passive dispersal is a key driver, it remains unclear how far this mosquito spreads through active flight and what the age structure and size of the local population are, all important parameters for vector surveillance and control.","container-title":"Parasites &amp; Vectors","ISSN":"1756-3305","issue":"1","journalAbbreviation":"Parasites &amp; Vectors","page":"583","source":"BioMed Central","title":"Active dispersal of Aedes albopictus: a mark-release-recapture study using self-marking units","title-short":"Active dispersal of Aedes albopictus","volume":"12","author":[{"family":"Vavassori","given":"Laura"},{"family":"Saddler","given":"Adam"},{"family":"Müller","given":"Pie"}],"issued":{"date-parts":[["2019",12,12]]}}}],"schema":"https://github.com/citation-style-language/schema/raw/master/csl-citation.json"} </w:instrText>
      </w:r>
      <w:r w:rsidRPr="00AA3319">
        <w:rPr>
          <w:rFonts w:cs="Times New Roman"/>
        </w:rPr>
        <w:fldChar w:fldCharType="separate"/>
      </w:r>
      <w:r w:rsidR="002B37C7" w:rsidRPr="00AA3319">
        <w:rPr>
          <w:rFonts w:cs="Times New Roman"/>
        </w:rPr>
        <w:t>(Vavassori et al., 2019)</w:t>
      </w:r>
      <w:r w:rsidRPr="00AA3319">
        <w:rPr>
          <w:rFonts w:cs="Times New Roman"/>
        </w:rPr>
        <w:fldChar w:fldCharType="end"/>
      </w:r>
      <w:r w:rsidR="003D3320">
        <w:rPr>
          <w:rFonts w:cs="Times New Roman"/>
        </w:rPr>
        <w:t>,</w:t>
      </w:r>
      <w:r w:rsidRPr="00AA3319">
        <w:rPr>
          <w:rFonts w:cs="Times New Roman"/>
        </w:rPr>
        <w:t xml:space="preserve"> the scale</w:t>
      </w:r>
      <w:r w:rsidR="003D3320">
        <w:rPr>
          <w:rFonts w:cs="Times New Roman"/>
        </w:rPr>
        <w:t>s</w:t>
      </w:r>
      <w:r w:rsidRPr="00AA3319">
        <w:rPr>
          <w:rFonts w:cs="Times New Roman"/>
        </w:rPr>
        <w:t xml:space="preserve"> at which medium resolution satellite missions like VIIRS and MODIS gather data</w:t>
      </w:r>
      <w:r w:rsidR="003D3320">
        <w:rPr>
          <w:rFonts w:cs="Times New Roman"/>
        </w:rPr>
        <w:t xml:space="preserve"> (250-1000m)</w:t>
      </w:r>
      <w:r w:rsidRPr="00AA3319">
        <w:rPr>
          <w:rFonts w:cs="Times New Roman"/>
        </w:rPr>
        <w:t xml:space="preserve">, appear to be suitable for predicting mosquito abundance. </w:t>
      </w:r>
    </w:p>
    <w:p w14:paraId="7A9BEB38" w14:textId="4A9BBBC1" w:rsidR="00BC1C4D" w:rsidRPr="00AA3319" w:rsidRDefault="0060075D" w:rsidP="0060075D">
      <w:pPr>
        <w:rPr>
          <w:rFonts w:cs="Times New Roman"/>
        </w:rPr>
      </w:pPr>
      <w:r w:rsidRPr="00AA3319">
        <w:rPr>
          <w:rFonts w:cs="Times New Roman"/>
        </w:rPr>
        <w:t xml:space="preserve">There are several limitations to this study that we need to take into consideration. Constraints regarding the study design arise from the traps used, the time frame sampled, and the number of traps deployed. We used BG Sentinel traps, which are designed for artificial container breeding </w:t>
      </w:r>
      <w:r w:rsidRPr="00AA3319">
        <w:rPr>
          <w:rFonts w:cs="Times New Roman"/>
          <w:i/>
          <w:iCs/>
        </w:rPr>
        <w:t>Aedes</w:t>
      </w:r>
      <w:r w:rsidRPr="00AA3319">
        <w:rPr>
          <w:rFonts w:cs="Times New Roman"/>
        </w:rPr>
        <w:t xml:space="preserve"> species. However, we added dry ice as additional bait, which has been shown to increase abundance and diversity of mosquitoes caught </w:t>
      </w:r>
      <w:r w:rsidRPr="00AA3319">
        <w:rPr>
          <w:rFonts w:cs="Times New Roman"/>
        </w:rPr>
        <w:fldChar w:fldCharType="begin"/>
      </w:r>
      <w:r w:rsidR="00FF3DA9" w:rsidRPr="00AA3319">
        <w:rPr>
          <w:rFonts w:cs="Times New Roman"/>
        </w:rPr>
        <w:instrText xml:space="preserve"> ADDIN ZOTERO_ITEM CSL_CITATION {"citationID":"6aX9yvid","properties":{"formattedCitation":"(Wilke et al., 2019)","plainCitation":"(Wilke et al., 2019)","noteIndex":0},"citationItems":[{"id":3546,"uris":["http://zotero.org/users/5456909/items/J6YG9E2I"],"uri":["http://zotero.org/users/5456909/items/J6YG9E2I"],"itemData":{"id":3546,"type":"article-journal","abstract":"Vector-borne diseases are an increasing issue to public health, endangering billions of people worldwide. Controlling vector mosquitoes is widely accepted as the most effective way to prevent vector-borne disease outbreaks. Mosquito surveillance is critical for the development of control strategies under the integrated vector management framework. We hypothesize that the effectiveness and reliability of using BG-Sentinel traps for the surveillance strongly depend on the bait used to attract mosquitoes. The objective of this study was to compare the effectiveness of BG-Sentinel traps baited with CO2 and BG-Lure. A total of 72 traps were deployed for 48 hours once a week for four weeks. For the initial 24-hour period, the traps were baited with CO2, and then for an additional 24 hours using the BG-Lure. Collected mosquitoes were analyzed using the Generalized Estimating Equation for repeated measures analysis. Biodiversity was assessed by the Shannon and Simpson indices and by individual rarefaction curves and SHE profiles. A total of 5,154 mosquitoes were collected, from which 3,514 by traps baited with CO2 and 1,640 mosquitoes by traps baited with BG-Lure. Aedes aegypti and Culex quinquefasciatus were the most abundant and dominant species. Results from the Generalized Estimating Equation models indicated that more than twice as many mosquitoes were attracted CO2 than to the BG-Lure. The comparison of attractiveness of CO2 and BG-Lure to Ae. aegypti and Cx. quinquefasciatus was non-significant, suggesting that both species were equally attracted by the baits. The individual rarefaction curves for Ae. aegypti and Cx. quinquefasciatus imply that traps baited with BG-Lure underestimated mosquito species richness compared to those baited with CO2. BG-Lure were less effective in attracting mosquitoes with low abundances and failed to collect Cx. coronator and Cx. nigripalpus, which were consistently collected by traps baited with CO2. According to our results, CO2 significantly (P&lt;0.05) attracted more mosquitoes (2.67 adjusted odds ratios) than the BG-Lure when adjusted for time and species, being more effective in assessing the relative abundance of vector mosquitoes and yielding more trustworthy results. Traps baited with CO2 collected not only more specimens, but also more species in a more consistent pattern.","container-title":"PLOS ONE","ISSN":"1932-6203","issue":"2","journalAbbreviation":"PLOS ONE","language":"en","page":"e0212688","source":"PLoS Journals","title":"Assessment of the effectiveness of BG-Sentinel traps baited with CO2 and BG-Lure for the surveillance of vector mosquitoes in Miami-Dade County, Florida","volume":"14","author":[{"family":"Wilke","given":"André B. B."},{"family":"Carvajal","given":"Augusto"},{"family":"Medina","given":"Johana"},{"family":"Anderson","given":"Melissa"},{"family":"Nieves","given":"Veronica J."},{"family":"Ramirez","given":"Monica"},{"family":"Vasquez","given":"Chalmers"},{"family":"Petrie","given":"William"},{"family":"Cardenas","given":"Gabriel"},{"family":"Beier","given":"John C."}],"issued":{"date-parts":[["2019",2,22]]}}}],"schema":"https://github.com/citation-style-language/schema/raw/master/csl-citation.json"} </w:instrText>
      </w:r>
      <w:r w:rsidRPr="00AA3319">
        <w:rPr>
          <w:rFonts w:cs="Times New Roman"/>
        </w:rPr>
        <w:fldChar w:fldCharType="separate"/>
      </w:r>
      <w:r w:rsidR="002B37C7" w:rsidRPr="00AA3319">
        <w:rPr>
          <w:rFonts w:cs="Times New Roman"/>
        </w:rPr>
        <w:t>(Wilke et al., 2019)</w:t>
      </w:r>
      <w:r w:rsidRPr="00AA3319">
        <w:rPr>
          <w:rFonts w:cs="Times New Roman"/>
        </w:rPr>
        <w:fldChar w:fldCharType="end"/>
      </w:r>
      <w:r w:rsidRPr="00AA3319">
        <w:rPr>
          <w:rFonts w:cs="Times New Roman"/>
        </w:rPr>
        <w:t xml:space="preserve">. Furthermore, our analysis was only conducted over a two-year period. Further research over longer time frame is desirable to confirm our results and to investigate how variation between years affects the results. We also had a limited number of traps, which we placed primarily in state parks and on private properties. A larger number of traps over a wider range of microhabitats would be desirable. The microclimate measurements were </w:t>
      </w:r>
      <w:r w:rsidRPr="00AA3319">
        <w:rPr>
          <w:rFonts w:cs="Times New Roman"/>
        </w:rPr>
        <w:lastRenderedPageBreak/>
        <w:t xml:space="preserve">taken using small, inexpensive data loggers that have an accuracy of up to ± 0.5˚C </w:t>
      </w:r>
      <w:r w:rsidRPr="00AA3319">
        <w:rPr>
          <w:rFonts w:cs="Times New Roman"/>
        </w:rPr>
        <w:fldChar w:fldCharType="begin"/>
      </w:r>
      <w:r w:rsidR="00FF3DA9" w:rsidRPr="00AA3319">
        <w:rPr>
          <w:rFonts w:cs="Times New Roman"/>
        </w:rPr>
        <w:instrText xml:space="preserve"> ADDIN ZOTERO_ITEM CSL_CITATION {"citationID":"Oz3dmfjr","properties":{"formattedCitation":"(Wimberly et al., 2020)","plainCitation":"(Wimberly et al., 2020)","noteIndex":0},"citationItems":[{"id":4310,"uris":["http://zotero.org/users/5456909/items/SPVC8ASG"],"uri":["http://zotero.org/users/5456909/items/SPVC8ASG"],"itemData":{"id":4310,"type":"article-journal","abstract":"The emergence of mosquito-transmitted viruses poses a global threat to human health. Combining mechanistic epidemiological models based on temperature-trait relationships with climatological data is a powerful technique for environmental risk assessment. However, a limitation of this approach is that the local microclimates experienced by mosquitoes can differ substantially from macroclimate measurements, particularly in heterogeneous urban environments. To address this scaling mismatch, we modeled spatial variation in microclimate temperatures and the thermal potential for dengue transmission by Aedes albopictus across an urban-to-rural gradient in Athens-Clarke County GA. Microclimate data were collected across gradients of tree cover and impervious surface cover. We developed statistical models to predict daily minimum and maximum microclimate temperatures using coarse-resolution gridded macroclimate data (4000 m) and high-resolution land cover data (30 m). The resulting high-resolution microclimate maps were integrated with temperature-dependent mosquito abundance and vectorial capacity models to generate monthly predictions for the summer and early fall of 2018. The highest vectorial capacities were predicted for patches of trees in urban areas with high cover of impervious surfaces. Vectorial capacity was most sensitive to tree cover during the summer and became more sensitive to impervious surfaces in the early fall. Predictions from the same models using temperature data from a local meteorological station consistently over-predicted vectorial capacity compared to the microclimate-based estimates. This work demonstrates that it is feasible to model variation in mosquito microenvironments across an urban-to-rural gradient using satellite Earth observations. Epidemiological models applied to the microclimate maps revealed localized patterns of temperature suitability for disease transmission that would not be detectable using macroclimate data. Incorporating microclimate data into disease transmission models has the potential to yield more spatially precise and ecologically interpretable metrics of mosquito-borne disease transmission risk in urban landscapes.","container-title":"PLOS Neglected Tropical Diseases","ISSN":"1935-2735","issue":"9","journalAbbreviation":"PLOS Neglected Tropical Diseases","language":"en","note":"publisher: Public Library of Science","page":"e0008614","source":"PLoS Journals","title":"Land cover affects microclimate and temperature suitability for arbovirus transmission in an urban landscape","volume":"14","author":[{"family":"Wimberly","given":"Michael C."},{"family":"Davis","given":"Justin K."},{"family":"Evans","given":"Michelle V."},{"family":"Hess","given":"Andrea"},{"family":"Newberry","given":"Philip M."},{"family":"Solano-Asamoah","given":"Nicole"},{"family":"Murdock","given":"Courtney C."}],"issued":{"date-parts":[["2020",9,21]]}}}],"schema":"https://github.com/citation-style-language/schema/raw/master/csl-citation.json"} </w:instrText>
      </w:r>
      <w:r w:rsidRPr="00AA3319">
        <w:rPr>
          <w:rFonts w:cs="Times New Roman"/>
        </w:rPr>
        <w:fldChar w:fldCharType="separate"/>
      </w:r>
      <w:r w:rsidR="002B37C7" w:rsidRPr="00AA3319">
        <w:rPr>
          <w:rFonts w:cs="Times New Roman"/>
        </w:rPr>
        <w:t>(Wimberly et al., 2020)</w:t>
      </w:r>
      <w:r w:rsidRPr="00AA3319">
        <w:rPr>
          <w:rFonts w:cs="Times New Roman"/>
        </w:rPr>
        <w:fldChar w:fldCharType="end"/>
      </w:r>
      <w:r w:rsidRPr="00AA3319">
        <w:rPr>
          <w:rFonts w:cs="Times New Roman"/>
        </w:rPr>
        <w:t xml:space="preserve">. Some microclimate loggers failed and had to be replaced mid-season which could have introduce non-random errors into the analysis. </w:t>
      </w:r>
    </w:p>
    <w:p w14:paraId="05452C6B" w14:textId="2AA24EA7" w:rsidR="0060075D" w:rsidRPr="00AA3319" w:rsidRDefault="0060075D" w:rsidP="0060075D">
      <w:pPr>
        <w:rPr>
          <w:rFonts w:cs="Times New Roman"/>
        </w:rPr>
      </w:pPr>
      <w:r w:rsidRPr="00AA3319">
        <w:rPr>
          <w:rFonts w:cs="Times New Roman"/>
        </w:rPr>
        <w:t xml:space="preserve">In addition, we have not considered socio-economic factors that may influence mosquito abundance. It is known that factors such as the age of a neighborhood </w:t>
      </w:r>
      <w:r w:rsidRPr="00AA3319">
        <w:rPr>
          <w:rFonts w:cs="Times New Roman"/>
        </w:rPr>
        <w:fldChar w:fldCharType="begin"/>
      </w:r>
      <w:r w:rsidR="00701ADA" w:rsidRPr="00AA3319">
        <w:rPr>
          <w:rFonts w:cs="Times New Roman"/>
        </w:rPr>
        <w:instrText xml:space="preserve"> ADDIN ZOTERO_ITEM CSL_CITATION {"citationID":"WMguW8Go","properties":{"formattedCitation":"(Spence Beaulieu et al., 2019)","plainCitation":"(Spence Beaulieu et al., 2019)","noteIndex":0},"citationItems":[{"id":3573,"uris":["http://zotero.org/users/5456909/items/PKRNRUUH"],"uri":["http://zotero.org/users/5456909/items/PKRNRUUH"],"itemData":{"id":3573,"type":"article-journal","abstract":"Suburbanization is happening rapidly on a global scale, resulting in changes to the species assemblages present in previously undeveloped areas of land. Community-level changes after anthropogenic land-use change have been studied in a variety of organisms, but the effects on arthropods of medical and veterinary importance remain poorly characterized. Shifts in diversity, abundance, and community composition of such arthropods, like mosquitoes, can significantly impact vector-borne disease dynamics due to varying vectorial capacity between different species. In light of these potential implications for vector-borne diseases, we investigated changes in mosquito species assemblage after suburbanization by sampling mosquitoes in neighborhoods of different ages in Wake County, North Carolina, US. We found that independent of housing density and socioeconomic status, mosquito diversity measures decreased as suburban neighborhoods aged. In the oldest neighborhoods, the mosquito assemblage reached a distinct suburban climax community dominated by the invasive, peridomestic container-breeding Aedes albopictus, the Asian tiger mosquito. Aedes albopictus is a competent vector of many pathogens of human concern, and its dominance in suburban areas places it in close proximity with humans, allowing for heightened potential of host-vector interactions. While further research is necessary to explicitly characterize the effects of mosquito community simplification on vector-borne disease transmission in highly suburbanized areas, the current study demonstrates that suburbanization is disrupting mosquito communities so severely that they do not recover their diversity even 100 years after the initial disturbance. Our understanding of the community-level effects of anthropogenic land-use change on arthropod vectors will become increasingly important as we look to mitigate disease spread in a global landscape that is continually developed and altered by humans.","container-title":"PLOS ONE","ISSN":"1932-6203","issue":"5","language":"en","page":"e0215485","source":"Crossref","title":"Simplification of vector communities during suburban succession","volume":"14","author":[{"family":"Spence Beaulieu","given":"Meredith R."},{"family":"Hopperstad","given":"Kristen"},{"family":"Dunn","given":"Robert R."},{"family":"Reiskind","given":"Michael H."}],"editor":[{"family":"Leisnham","given":"Paul T."}],"issued":{"date-parts":[["2019",5,1]]}}}],"schema":"https://github.com/citation-style-language/schema/raw/master/csl-citation.json"} </w:instrText>
      </w:r>
      <w:r w:rsidRPr="00AA3319">
        <w:rPr>
          <w:rFonts w:cs="Times New Roman"/>
        </w:rPr>
        <w:fldChar w:fldCharType="separate"/>
      </w:r>
      <w:r w:rsidR="002B37C7" w:rsidRPr="00AA3319">
        <w:rPr>
          <w:rFonts w:cs="Times New Roman"/>
        </w:rPr>
        <w:t>(Spence Beaulieu et al., 2019)</w:t>
      </w:r>
      <w:r w:rsidRPr="00AA3319">
        <w:rPr>
          <w:rFonts w:cs="Times New Roman"/>
        </w:rPr>
        <w:fldChar w:fldCharType="end"/>
      </w:r>
      <w:r w:rsidRPr="00AA3319">
        <w:rPr>
          <w:rFonts w:cs="Times New Roman"/>
        </w:rPr>
        <w:t xml:space="preserve">, household income and education level </w:t>
      </w:r>
      <w:r w:rsidRPr="00AA3319">
        <w:rPr>
          <w:rFonts w:cs="Times New Roman"/>
        </w:rPr>
        <w:fldChar w:fldCharType="begin"/>
      </w:r>
      <w:r w:rsidR="00FF3DA9" w:rsidRPr="00AA3319">
        <w:rPr>
          <w:rFonts w:cs="Times New Roman"/>
        </w:rPr>
        <w:instrText xml:space="preserve"> ADDIN ZOTERO_ITEM CSL_CITATION {"citationID":"Vqkk58gS","properties":{"formattedCitation":"(Little et al., 2017; Whiteman et al., 2019)","plainCitation":"(Little et al., 2017; Whiteman et al., 2019)","noteIndex":0},"citationItems":[{"id":3562,"uris":["http://zotero.org/users/5456909/items/QU6MQFQJ"],"uri":["http://zotero.org/users/5456909/items/QU6MQFQJ"],"itemData":{"id":3562,"type":"article-journal","abstract":"Abstract.  Social, ecological, and climatic factors interact creating a heterogeneous matrix that determines the spatiotemporal distribution of mosquitoes and h","container-title":"Journal of Medical Entomology","ISSN":"0022-2585","issue":"5","journalAbbreviation":"J Med Entomol","language":"en","page":"1183-1192","source":"academic.oup.com","title":"Socio-Ecological Mechanisms Supporting High Densities of Aedes albopictus (Diptera: Culicidae) in Baltimore, MD","title-short":"Socio-Ecological Mechanisms Supporting High Densities of Aedes albopictus (Diptera","volume":"54","author":[{"family":"Little","given":"E."},{"family":"Biehler","given":"D."},{"family":"Leisnham","given":"P. T."},{"family":"Jordan","given":"R."},{"family":"Wilson","given":"S."},{"family":"LaDeau","given":"S. L."}],"issued":{"date-parts":[["2017",9,1]]}}},{"id":3552,"uris":["http://zotero.org/users/5456909/items/79AKDKQZ"],"uri":["http://zotero.org/users/5456909/items/79AKDKQZ"],"itemData":{"id":3552,"type":"article-journal","abstract":"The global expansion and proliferation of Aedes aegypti and Aedes albopictus represents a growing public health threat due to their capacity to transmit a variety of arboviruses to humans, including dengue, chikungunya, and Zika. Particularly important in urban regions, where these species have evolved to breed in man-made containers and feed nearly exclusively on human hosts, the threat of vector-borne disease has risen in recent decades due to the growth of cities, progression of climate change, and increase in globalization. While the dynamics of Aedes populations in urban settings have been well studied in relation to ecological features of the landscape, relatively less is known about the relationship between neighborhood socioeconomic status and Aedes infestation. Here, we compare infestation levels of both A. aegypti and A. albopictus in four socioeconomically contrasting neighborhoods of urban Panama City, Panama. Our results indicate that infestation levels for both Aedes species vary between neighborhoods of contrasting socioeconomic status, being higher in neighborhoods having lower percentage of residents with bachelor degrees and lower monthly household income. Additionally, we ﬁnd that proximity between socioeconomically contrasting neighborhoods can predict infestation levels by species, with A. aegypti increasing and A. albopictus decreasing with proximity between neighborhoods. These ﬁndings hold key implications for the control and prevention of dengue, chikungunya, and Zika in Panama, a region with ongoing arbovirus outbreaks and high economic inequity.","container-title":"EcoHealth","ISSN":"1612-9202, 1612-9210","language":"en","source":"Crossref","title":"Aedes Mosquito Infestation in Socioeconomically Contrasting Neighborhoods of Panama City","URL":"http://link.springer.com/10.1007/s10393-019-01417-3","author":[{"family":"Whiteman","given":"Ari"},{"family":"Gomez","given":"Carmelo"},{"family":"Rovira","given":"Jose"},{"family":"Chen","given":"Gang"},{"family":"McMillan","given":"W. Owen"},{"family":"Loaiza","given":"Jose"}],"accessed":{"date-parts":[["2019",5,29]]},"issued":{"date-parts":[["2019",5,21]]}}}],"schema":"https://github.com/citation-style-language/schema/raw/master/csl-citation.json"} </w:instrText>
      </w:r>
      <w:r w:rsidRPr="00AA3319">
        <w:rPr>
          <w:rFonts w:cs="Times New Roman"/>
        </w:rPr>
        <w:fldChar w:fldCharType="separate"/>
      </w:r>
      <w:r w:rsidR="002B37C7" w:rsidRPr="00AA3319">
        <w:rPr>
          <w:rFonts w:cs="Times New Roman"/>
        </w:rPr>
        <w:t>(Little et al., 2017; Whiteman et al., 2019)</w:t>
      </w:r>
      <w:r w:rsidRPr="00AA3319">
        <w:rPr>
          <w:rFonts w:cs="Times New Roman"/>
        </w:rPr>
        <w:fldChar w:fldCharType="end"/>
      </w:r>
      <w:r w:rsidRPr="00AA3319">
        <w:rPr>
          <w:rFonts w:cs="Times New Roman"/>
        </w:rPr>
        <w:t xml:space="preserve">, as well as ownership and use status </w:t>
      </w:r>
      <w:r w:rsidRPr="00AA3319">
        <w:rPr>
          <w:rFonts w:cs="Times New Roman"/>
        </w:rPr>
        <w:fldChar w:fldCharType="begin"/>
      </w:r>
      <w:r w:rsidR="00D5378A" w:rsidRPr="00AA3319">
        <w:rPr>
          <w:rFonts w:cs="Times New Roman"/>
        </w:rPr>
        <w:instrText xml:space="preserve"> ADDIN ZOTERO_ITEM CSL_CITATION {"citationID":"fjoqK5tr","properties":{"formattedCitation":"(Lambin et al., 2010)","plainCitation":"(Lambin et al., 2010)","noteIndex":0},"citationItems":[{"id":40,"uris":["http://zotero.org/users/5456909/items/QFGE8I2C"],"uri":["http://zotero.org/users/5456909/items/QFGE8I2C"],"itemData":{"id":40,"type":"article-journal","abstract":"Landscape attributes influence spatial variations in disease risk or incidence. We present a review of the key findings from eight case studies that we conducted in Europe and West Africa on the impact of land changes on emerging or re-emerging vector-borne diseases and/or zoonoses. The case studies concern West Nile virus transmission in Senegal, tick-borne encephalitis incidence in Latvia, sandfly abundance in the French Pyrenees, Rift Valley Fever in the Ferlo (Senegal), West Nile Fever and the risk of malaria re-emergence in the Camargue, and rodent-borne Puumala hantavirus and Lyme borreliosis in Belgium.","container-title":"International Journal of Health Geographics","ISSN":"1476-072X","issue":"1","journalAbbreviation":"International Journal of Health Geographics","page":"54","source":"BioMed Central","title":"Pathogenic landscapes: Interactions between land, people, disease vectors, and their animal hosts","title-short":"Pathogenic landscapes","volume":"9","author":[{"family":"Lambin","given":"Eric F."},{"family":"Tran","given":"Annelise"},{"family":"Vanwambeke","given":"Sophie O."},{"family":"Linard","given":"Catherine"},{"family":"Soti","given":"Valérie"}],"issued":{"date-parts":[["2010",10,27]]}}}],"schema":"https://github.com/citation-style-language/schema/raw/master/csl-citation.json"} </w:instrText>
      </w:r>
      <w:r w:rsidRPr="00AA3319">
        <w:rPr>
          <w:rFonts w:cs="Times New Roman"/>
        </w:rPr>
        <w:fldChar w:fldCharType="separate"/>
      </w:r>
      <w:r w:rsidR="002B37C7" w:rsidRPr="00AA3319">
        <w:rPr>
          <w:rFonts w:cs="Times New Roman"/>
        </w:rPr>
        <w:t>(Lambin et al., 2010)</w:t>
      </w:r>
      <w:r w:rsidRPr="00AA3319">
        <w:rPr>
          <w:rFonts w:cs="Times New Roman"/>
        </w:rPr>
        <w:fldChar w:fldCharType="end"/>
      </w:r>
      <w:r w:rsidRPr="00AA3319">
        <w:rPr>
          <w:rFonts w:cs="Times New Roman"/>
        </w:rPr>
        <w:t xml:space="preserve"> can influence mosquito distribution. These socio-economic differences are related to persistence and quality of vector habitat within heterogeneous urban areas, which can lead to distinct patterns of species composition and abundance between neighborhoods of differing socio-economic status </w:t>
      </w:r>
      <w:r w:rsidRPr="00AA3319">
        <w:rPr>
          <w:rFonts w:cs="Times New Roman"/>
        </w:rPr>
        <w:fldChar w:fldCharType="begin"/>
      </w:r>
      <w:r w:rsidR="008E5BF5">
        <w:rPr>
          <w:rFonts w:cs="Times New Roman"/>
        </w:rPr>
        <w:instrText xml:space="preserve"> ADDIN ZOTERO_ITEM CSL_CITATION {"citationID":"KMK88Dm1","properties":{"formattedCitation":"(LaDeau et al., 2013)","plainCitation":"(LaDeau et al., 2013)","noteIndex":0},"citationItems":[{"id":4612,"uris":["http://zotero.org/users/5456909/items/34HSHQFE"],"uri":["http://zotero.org/users/5456909/items/34HSHQFE"],"itemData":{"id":4612,"type":"article-journal","abstract":"Mosquito-vectored pathogens are responsible for devastating human diseases and are (re)emerging in many urban environments. Effective mosquito control in urban landscapes relies on improved understanding of the complex interactions between the ecological and social factors that define where mosquito populations can grow. We compared the density of mosquito habitat and pupae production across economically varying neighborhoods in two temperate U.S. cities (Baltimore, MD and Washington, DC). Seven species of mosquito larvae were recorded. The invasive Aedes albopictus was the only species found in all neighborhoods. Culex pipiens, a primary vector of West Nile virus (WNV), was most abundant in Baltimore, which also had more tire habitats. Both Culex and Aedes pupae were more likely to be sampled in neighborhoods categorized as being below median income level in each city and Aedes pupae density was also greater in container habitats found in these lower income neighborhoods. We infer that lower income residents may experience greater exposure to potential disease vectors and Baltimore residents specifically, were at greater risk of exposure to the predominant WNV vector. However, we also found that resident-reported mosquito nuisance was not correlated with our measured risk index, indicating a potentially important mismatch between motivation needed to engage participation in control efforts and the relative importance of control among neighborhoods.","container-title":"International Journal of Environmental Research and Public Health","DOI":"10.3390/ijerph10041505","ISSN":"1661-7827","issue":"4","journalAbbreviation":"Int J Environ Res Public Health","note":"PMID: 23583963\nPMCID: PMC3709331","page":"1505-1526","source":"PubMed Central","title":"Higher Mosquito Production in Low-Income Neighborhoods of Baltimore and Washington, DC: Understanding Ecological Drivers and Mosquito-Borne Disease Risk in Temperate Cities","title-short":"Higher Mosquito Production in Low-Income Neighborhoods of Baltimore and Washington, DC","volume":"10","author":[{"family":"LaDeau","given":"Shannon L."},{"family":"Leisnham","given":"Paul T."},{"family":"Biehler","given":"Dawn"},{"family":"Bodner","given":"Danielle"}],"issued":{"date-parts":[["2013",4]]}}}],"schema":"https://github.com/citation-style-language/schema/raw/master/csl-citation.json"} </w:instrText>
      </w:r>
      <w:r w:rsidRPr="00AA3319">
        <w:rPr>
          <w:rFonts w:cs="Times New Roman"/>
        </w:rPr>
        <w:fldChar w:fldCharType="separate"/>
      </w:r>
      <w:r w:rsidR="008E5BF5" w:rsidRPr="008E5BF5">
        <w:rPr>
          <w:rFonts w:cs="Times New Roman"/>
        </w:rPr>
        <w:t>(LaDeau et al., 2013)</w:t>
      </w:r>
      <w:r w:rsidRPr="00AA3319">
        <w:rPr>
          <w:rFonts w:cs="Times New Roman"/>
        </w:rPr>
        <w:fldChar w:fldCharType="end"/>
      </w:r>
      <w:r w:rsidRPr="00AA3319">
        <w:rPr>
          <w:rFonts w:cs="Times New Roman"/>
        </w:rPr>
        <w:t xml:space="preserve">. </w:t>
      </w:r>
      <w:r w:rsidR="008E5BF5">
        <w:rPr>
          <w:rFonts w:cs="Times New Roman"/>
        </w:rPr>
        <w:t>For example</w:t>
      </w:r>
      <w:r w:rsidR="00ED5256">
        <w:rPr>
          <w:rFonts w:cs="Times New Roman"/>
        </w:rPr>
        <w:t xml:space="preserve">, </w:t>
      </w:r>
      <w:r w:rsidR="007527C5">
        <w:rPr>
          <w:rFonts w:cs="Times New Roman"/>
        </w:rPr>
        <w:t xml:space="preserve">the abundance of uncovered trash containers and old car tires as breeding sites are more likely to be found in low-income areas, whereas containers for recreational use are the main breeding sites in high income areas </w:t>
      </w:r>
      <w:r w:rsidR="007527C5">
        <w:rPr>
          <w:rFonts w:cs="Times New Roman"/>
        </w:rPr>
        <w:fldChar w:fldCharType="begin"/>
      </w:r>
      <w:r w:rsidR="007527C5">
        <w:rPr>
          <w:rFonts w:cs="Times New Roman"/>
        </w:rPr>
        <w:instrText xml:space="preserve"> ADDIN ZOTERO_ITEM CSL_CITATION {"citationID":"Iss1IhI7","properties":{"formattedCitation":"(LaDeau et al., 2013)","plainCitation":"(LaDeau et al., 2013)","noteIndex":0},"citationItems":[{"id":4612,"uris":["http://zotero.org/users/5456909/items/34HSHQFE"],"uri":["http://zotero.org/users/5456909/items/34HSHQFE"],"itemData":{"id":4612,"type":"article-journal","abstract":"Mosquito-vectored pathogens are responsible for devastating human diseases and are (re)emerging in many urban environments. Effective mosquito control in urban landscapes relies on improved understanding of the complex interactions between the ecological and social factors that define where mosquito populations can grow. We compared the density of mosquito habitat and pupae production across economically varying neighborhoods in two temperate U.S. cities (Baltimore, MD and Washington, DC). Seven species of mosquito larvae were recorded. The invasive Aedes albopictus was the only species found in all neighborhoods. Culex pipiens, a primary vector of West Nile virus (WNV), was most abundant in Baltimore, which also had more tire habitats. Both Culex and Aedes pupae were more likely to be sampled in neighborhoods categorized as being below median income level in each city and Aedes pupae density was also greater in container habitats found in these lower income neighborhoods. We infer that lower income residents may experience greater exposure to potential disease vectors and Baltimore residents specifically, were at greater risk of exposure to the predominant WNV vector. However, we also found that resident-reported mosquito nuisance was not correlated with our measured risk index, indicating a potentially important mismatch between motivation needed to engage participation in control efforts and the relative importance of control among neighborhoods.","container-title":"International Journal of Environmental Research and Public Health","DOI":"10.3390/ijerph10041505","ISSN":"1661-7827","issue":"4","journalAbbreviation":"Int J Environ Res Public Health","note":"PMID: 23583963\nPMCID: PMC3709331","page":"1505-1526","source":"PubMed Central","title":"Higher Mosquito Production in Low-Income Neighborhoods of Baltimore and Washington, DC: Understanding Ecological Drivers and Mosquito-Borne Disease Risk in Temperate Cities","title-short":"Higher Mosquito Production in Low-Income Neighborhoods of Baltimore and Washington, DC","volume":"10","author":[{"family":"LaDeau","given":"Shannon L."},{"family":"Leisnham","given":"Paul T."},{"family":"Biehler","given":"Dawn"},{"family":"Bodner","given":"Danielle"}],"issued":{"date-parts":[["2013",4]]}}}],"schema":"https://github.com/citation-style-language/schema/raw/master/csl-citation.json"} </w:instrText>
      </w:r>
      <w:r w:rsidR="007527C5">
        <w:rPr>
          <w:rFonts w:cs="Times New Roman"/>
        </w:rPr>
        <w:fldChar w:fldCharType="separate"/>
      </w:r>
      <w:r w:rsidR="007527C5" w:rsidRPr="007527C5">
        <w:rPr>
          <w:rFonts w:cs="Times New Roman"/>
        </w:rPr>
        <w:t>(LaDeau et al., 2013)</w:t>
      </w:r>
      <w:r w:rsidR="007527C5">
        <w:rPr>
          <w:rFonts w:cs="Times New Roman"/>
        </w:rPr>
        <w:fldChar w:fldCharType="end"/>
      </w:r>
      <w:r w:rsidR="007527C5">
        <w:rPr>
          <w:rFonts w:cs="Times New Roman"/>
        </w:rPr>
        <w:t xml:space="preserve">. Differences in water accumulation in rain-fed unmanaged containers and containers that are purposefully </w:t>
      </w:r>
      <w:r w:rsidR="007B1EB6">
        <w:rPr>
          <w:rFonts w:cs="Times New Roman"/>
        </w:rPr>
        <w:t>wa</w:t>
      </w:r>
      <w:r w:rsidR="007527C5">
        <w:rPr>
          <w:rFonts w:cs="Times New Roman"/>
        </w:rPr>
        <w:t xml:space="preserve">tered can also lead to </w:t>
      </w:r>
      <w:r w:rsidR="007B1EB6">
        <w:rPr>
          <w:rFonts w:cs="Times New Roman"/>
        </w:rPr>
        <w:t xml:space="preserve">seasonal differences in mosquito abundance between neighborhoods of socio-economic status </w:t>
      </w:r>
      <w:r w:rsidR="007B1EB6">
        <w:rPr>
          <w:rFonts w:cs="Times New Roman"/>
        </w:rPr>
        <w:fldChar w:fldCharType="begin"/>
      </w:r>
      <w:r w:rsidR="007B1EB6">
        <w:rPr>
          <w:rFonts w:cs="Times New Roman"/>
        </w:rPr>
        <w:instrText xml:space="preserve"> ADDIN ZOTERO_ITEM CSL_CITATION {"citationID":"RQ8PoGFo","properties":{"formattedCitation":"(Becker et al., 2014)","plainCitation":"(Becker et al., 2014)","noteIndex":0},"citationItems":[{"id":3551,"uris":["http://zotero.org/users/5456909/items/FB6XIVC4"],"uri":["http://zotero.org/users/5456909/items/FB6XIVC4"],"itemData":{"id":3551,"type":"article-journal","abstract":"Infrastructure degradation in many post-industrial cities has increased the availability of potential mosquito habitats, including container habitats that support infestations of invasive disease-vectors. This study is unique in examining both immature and adult mosquito abundance across the fine-scale variability in socio-economic condition that occurs block-to-block in many cities. We hypothesized that abundant garbage associated with infrastructure degradation would support greater mosquito production but instead, found more mosquito larvae and host-seeking adults (86%) in parcels across the higher socio-economic, low-decay block. Aedes albopictus and Culex pipiens were 5.61 (p &lt; 0.001) and 4.60 (p = 0.001) times more abundant, respectively. Most discarded (garbage) containers were dry during peak mosquito production, which occurred during the 5th hottest July on record. Containers associated with human residence were more likely to hold water and contain immature mosquitoes. We propose that mosquito production switches from rain-fed unmanaged containers early in the season to container habitats that are purposefully shaded or watered by mid-season. This study suggests that residents living in higher socioeconomic areas with low urban decay may be at greater risk of mosquito-borne disease during peak mosquito production when local container habitats are effectively decoupled from environmental constraints. [PUBLICATION ABSTRACT]","container-title":"International Journal of Environmental Research and Public Health; Basel","ISSN":"1661-7827","issue":"3","language":"English","page":"3256-70","source":"ProQuest","title":"A Tale of Two City Blocks: Differences in Immature and Adult Mosquito Abundances between Socioeconomically Different Urban Blocks in Baltimore (Maryland, USA)","title-short":"A Tale of Two City Blocks","volume":"11","author":[{"family":"Becker","given":"Brian"},{"family":"Leisnham","given":"Paul T."},{"family":"LaDeau","given":"Shannon L."}],"issued":{"date-parts":[["2014",3]]}}}],"schema":"https://github.com/citation-style-language/schema/raw/master/csl-citation.json"} </w:instrText>
      </w:r>
      <w:r w:rsidR="007B1EB6">
        <w:rPr>
          <w:rFonts w:cs="Times New Roman"/>
        </w:rPr>
        <w:fldChar w:fldCharType="separate"/>
      </w:r>
      <w:r w:rsidR="007B1EB6" w:rsidRPr="007B1EB6">
        <w:rPr>
          <w:rFonts w:cs="Times New Roman"/>
        </w:rPr>
        <w:t>(Becker et al., 2014)</w:t>
      </w:r>
      <w:r w:rsidR="007B1EB6">
        <w:rPr>
          <w:rFonts w:cs="Times New Roman"/>
        </w:rPr>
        <w:fldChar w:fldCharType="end"/>
      </w:r>
      <w:r w:rsidR="007B1EB6">
        <w:rPr>
          <w:rFonts w:cs="Times New Roman"/>
        </w:rPr>
        <w:t>.</w:t>
      </w:r>
      <w:r w:rsidR="000021FE">
        <w:rPr>
          <w:rFonts w:cs="Times New Roman"/>
        </w:rPr>
        <w:t xml:space="preserve"> </w:t>
      </w:r>
      <w:r w:rsidR="00026E11">
        <w:rPr>
          <w:rFonts w:cs="Times New Roman"/>
        </w:rPr>
        <w:t xml:space="preserve">Socio-economic factors may also influence how likely it is that households </w:t>
      </w:r>
      <w:r w:rsidR="00842A7F">
        <w:rPr>
          <w:rFonts w:cs="Times New Roman"/>
        </w:rPr>
        <w:t xml:space="preserve">or neighborhood associations control for mosquito populations. </w:t>
      </w:r>
      <w:r w:rsidR="00801840">
        <w:rPr>
          <w:rFonts w:cs="Times New Roman"/>
        </w:rPr>
        <w:t>Because</w:t>
      </w:r>
      <w:r w:rsidRPr="00AA3319">
        <w:rPr>
          <w:rFonts w:cs="Times New Roman"/>
        </w:rPr>
        <w:t xml:space="preserve"> the scope of this research was to identify environmental drivers, and compare sources of environmental data, we did not </w:t>
      </w:r>
      <w:r w:rsidR="00801840">
        <w:rPr>
          <w:rFonts w:cs="Times New Roman"/>
        </w:rPr>
        <w:t>include</w:t>
      </w:r>
      <w:r w:rsidR="0083279B">
        <w:rPr>
          <w:rFonts w:cs="Times New Roman"/>
        </w:rPr>
        <w:t xml:space="preserve"> </w:t>
      </w:r>
      <w:r w:rsidRPr="00AA3319">
        <w:rPr>
          <w:rFonts w:cs="Times New Roman"/>
        </w:rPr>
        <w:t>socioeconomic data.</w:t>
      </w:r>
      <w:r w:rsidR="00801840">
        <w:rPr>
          <w:rFonts w:cs="Times New Roman"/>
        </w:rPr>
        <w:t xml:space="preserve"> Future studies could include additional data on irrigation, mosquito control practices</w:t>
      </w:r>
      <w:r w:rsidR="00801840" w:rsidRPr="00801840">
        <w:rPr>
          <w:rFonts w:cs="Times New Roman"/>
        </w:rPr>
        <w:t xml:space="preserve">, </w:t>
      </w:r>
      <w:r w:rsidR="00801840">
        <w:rPr>
          <w:rFonts w:cs="Times New Roman"/>
        </w:rPr>
        <w:t>and artificial containers at household and neighborhood levels.</w:t>
      </w:r>
    </w:p>
    <w:p w14:paraId="1D776CEA" w14:textId="0F6B9295" w:rsidR="00F24BCF" w:rsidRPr="007612AE" w:rsidRDefault="0060075D" w:rsidP="0060075D">
      <w:pPr>
        <w:rPr>
          <w:rFonts w:cs="Times New Roman"/>
        </w:rPr>
      </w:pPr>
      <w:r w:rsidRPr="00AA3319">
        <w:rPr>
          <w:rFonts w:cs="Times New Roman"/>
        </w:rPr>
        <w:t xml:space="preserve">In conclusion, this study showed the </w:t>
      </w:r>
      <w:r w:rsidR="00801840">
        <w:rPr>
          <w:rFonts w:cs="Times New Roman"/>
        </w:rPr>
        <w:t>strong</w:t>
      </w:r>
      <w:r w:rsidR="00801840" w:rsidRPr="00AA3319">
        <w:rPr>
          <w:rFonts w:cs="Times New Roman"/>
        </w:rPr>
        <w:t xml:space="preserve"> </w:t>
      </w:r>
      <w:r w:rsidRPr="00AA3319">
        <w:rPr>
          <w:rFonts w:cs="Times New Roman"/>
        </w:rPr>
        <w:t xml:space="preserve">influence </w:t>
      </w:r>
      <w:r w:rsidR="00801840">
        <w:rPr>
          <w:rFonts w:cs="Times New Roman"/>
        </w:rPr>
        <w:t>of</w:t>
      </w:r>
      <w:r w:rsidR="00801840" w:rsidRPr="00AA3319">
        <w:rPr>
          <w:rFonts w:cs="Times New Roman"/>
        </w:rPr>
        <w:t xml:space="preserve"> </w:t>
      </w:r>
      <w:r w:rsidRPr="00AA3319">
        <w:rPr>
          <w:rFonts w:cs="Times New Roman"/>
        </w:rPr>
        <w:t xml:space="preserve">impervious surface and forest cover on species abundance of </w:t>
      </w:r>
      <w:r w:rsidRPr="00AA3319">
        <w:rPr>
          <w:rFonts w:cs="Times New Roman"/>
          <w:i/>
        </w:rPr>
        <w:t xml:space="preserve">Ae. albopictus </w:t>
      </w:r>
      <w:r w:rsidRPr="00AA3319">
        <w:rPr>
          <w:rFonts w:cs="Times New Roman"/>
        </w:rPr>
        <w:t xml:space="preserve">and </w:t>
      </w:r>
      <w:r w:rsidRPr="00AA3319">
        <w:rPr>
          <w:rFonts w:cs="Times New Roman"/>
          <w:i/>
        </w:rPr>
        <w:t xml:space="preserve">Cx. quinquefasciatus </w:t>
      </w:r>
      <w:r w:rsidRPr="00AA3319">
        <w:rPr>
          <w:rFonts w:cs="Times New Roman"/>
        </w:rPr>
        <w:t xml:space="preserve">in Norman, </w:t>
      </w:r>
      <w:r w:rsidRPr="00AA3319">
        <w:rPr>
          <w:rFonts w:cs="Times New Roman"/>
        </w:rPr>
        <w:lastRenderedPageBreak/>
        <w:t xml:space="preserve">Oklahoma. Our results also indicate that satellite-based models produced the best </w:t>
      </w:r>
      <w:r w:rsidR="005C4DF3">
        <w:rPr>
          <w:rFonts w:cs="Times New Roman"/>
        </w:rPr>
        <w:t>fitting models of mosquito abundance</w:t>
      </w:r>
      <w:r w:rsidR="005C4DF3" w:rsidRPr="00AA3319">
        <w:rPr>
          <w:rFonts w:cs="Times New Roman"/>
        </w:rPr>
        <w:t xml:space="preserve"> </w:t>
      </w:r>
      <w:r w:rsidRPr="00AA3319">
        <w:rPr>
          <w:rFonts w:cs="Times New Roman"/>
        </w:rPr>
        <w:t xml:space="preserve">and were able to capture spatial as well as temporal variation. </w:t>
      </w:r>
      <w:r w:rsidR="005C4DF3">
        <w:rPr>
          <w:rFonts w:cs="Times New Roman"/>
        </w:rPr>
        <w:t>The fit of models based on m</w:t>
      </w:r>
      <w:r w:rsidR="005C4DF3" w:rsidRPr="00AA3319">
        <w:rPr>
          <w:rFonts w:cs="Times New Roman"/>
        </w:rPr>
        <w:t xml:space="preserve">icroclimate </w:t>
      </w:r>
      <w:r w:rsidRPr="00AA3319">
        <w:rPr>
          <w:rFonts w:cs="Times New Roman"/>
        </w:rPr>
        <w:t xml:space="preserve">and weather station data </w:t>
      </w:r>
      <w:r w:rsidR="005C4DF3">
        <w:rPr>
          <w:rFonts w:cs="Times New Roman"/>
        </w:rPr>
        <w:t>improved substantially when they were combined</w:t>
      </w:r>
      <w:r w:rsidRPr="00AA3319">
        <w:rPr>
          <w:rFonts w:cs="Times New Roman"/>
        </w:rPr>
        <w:t xml:space="preserve"> with spatially explicit land cover information. </w:t>
      </w:r>
      <w:r w:rsidR="00F24BCF">
        <w:rPr>
          <w:rFonts w:cs="Times New Roman"/>
        </w:rPr>
        <w:t xml:space="preserve">Remotely sensed variables </w:t>
      </w:r>
      <w:r w:rsidR="0031682F">
        <w:rPr>
          <w:rFonts w:cs="Times New Roman"/>
        </w:rPr>
        <w:t>act as useful data source to study species abundance across space and time</w:t>
      </w:r>
      <w:r w:rsidR="007612AE">
        <w:rPr>
          <w:rFonts w:cs="Times New Roman"/>
        </w:rPr>
        <w:t xml:space="preserve">, are important predictors in areas where </w:t>
      </w:r>
      <w:r w:rsidR="007612AE">
        <w:rPr>
          <w:rFonts w:cs="Times New Roman"/>
          <w:i/>
        </w:rPr>
        <w:t xml:space="preserve">in-situ </w:t>
      </w:r>
      <w:r w:rsidR="007612AE">
        <w:rPr>
          <w:rFonts w:cs="Times New Roman"/>
        </w:rPr>
        <w:t xml:space="preserve">climate data are not </w:t>
      </w:r>
      <w:r w:rsidR="003221AB">
        <w:rPr>
          <w:rFonts w:cs="Times New Roman"/>
        </w:rPr>
        <w:t>available</w:t>
      </w:r>
      <w:r w:rsidR="005C4DF3">
        <w:rPr>
          <w:rFonts w:cs="Times New Roman"/>
        </w:rPr>
        <w:t>,</w:t>
      </w:r>
      <w:r w:rsidR="003221AB">
        <w:rPr>
          <w:rFonts w:cs="Times New Roman"/>
        </w:rPr>
        <w:t xml:space="preserve"> and</w:t>
      </w:r>
      <w:r w:rsidR="007612AE">
        <w:rPr>
          <w:rFonts w:cs="Times New Roman"/>
        </w:rPr>
        <w:t xml:space="preserve"> </w:t>
      </w:r>
      <w:r w:rsidR="005C4DF3">
        <w:rPr>
          <w:rFonts w:cs="Times New Roman"/>
        </w:rPr>
        <w:t xml:space="preserve">in some instances </w:t>
      </w:r>
      <w:r w:rsidR="007612AE">
        <w:rPr>
          <w:rFonts w:cs="Times New Roman"/>
        </w:rPr>
        <w:t xml:space="preserve">may even be better predictors than </w:t>
      </w:r>
      <w:r w:rsidR="007612AE">
        <w:rPr>
          <w:rFonts w:cs="Times New Roman"/>
          <w:i/>
        </w:rPr>
        <w:t xml:space="preserve">in-situ </w:t>
      </w:r>
      <w:r w:rsidR="007612AE">
        <w:rPr>
          <w:rFonts w:cs="Times New Roman"/>
        </w:rPr>
        <w:t>environmental variables.</w:t>
      </w:r>
    </w:p>
    <w:p w14:paraId="7B322BB0" w14:textId="7A8E20DF" w:rsidR="00BD0CD5" w:rsidRPr="00AA3319" w:rsidRDefault="00BD0CD5">
      <w:pPr>
        <w:spacing w:line="259" w:lineRule="auto"/>
        <w:jc w:val="left"/>
        <w:rPr>
          <w:rFonts w:cs="Times New Roman"/>
        </w:rPr>
      </w:pPr>
      <w:r w:rsidRPr="00AA3319">
        <w:rPr>
          <w:rFonts w:cs="Times New Roman"/>
        </w:rPr>
        <w:br w:type="page"/>
      </w:r>
    </w:p>
    <w:p w14:paraId="39900BAA" w14:textId="492669F9" w:rsidR="00BD0CD5" w:rsidRPr="00AA3319" w:rsidRDefault="00BD0CD5" w:rsidP="00BD0CD5">
      <w:pPr>
        <w:pStyle w:val="Heading1"/>
        <w:rPr>
          <w:rFonts w:cs="Times New Roman"/>
        </w:rPr>
      </w:pPr>
      <w:bookmarkStart w:id="137" w:name="_Toc78889219"/>
      <w:r w:rsidRPr="00AA3319">
        <w:rPr>
          <w:rFonts w:cs="Times New Roman"/>
        </w:rPr>
        <w:lastRenderedPageBreak/>
        <w:t>Synthesis</w:t>
      </w:r>
      <w:bookmarkEnd w:id="137"/>
    </w:p>
    <w:p w14:paraId="61BC62C7" w14:textId="259170DB" w:rsidR="00E86B53" w:rsidRPr="00AA3319" w:rsidRDefault="00E86B53" w:rsidP="00E86B53">
      <w:pPr>
        <w:pStyle w:val="Heading2"/>
        <w:rPr>
          <w:rFonts w:cs="Times New Roman"/>
        </w:rPr>
      </w:pPr>
      <w:bookmarkStart w:id="138" w:name="_Toc78889220"/>
      <w:r w:rsidRPr="00AA3319">
        <w:rPr>
          <w:rFonts w:cs="Times New Roman"/>
        </w:rPr>
        <w:t>Summary</w:t>
      </w:r>
      <w:bookmarkEnd w:id="138"/>
    </w:p>
    <w:p w14:paraId="7303B6BF" w14:textId="2CE313EE" w:rsidR="00BD0CD5" w:rsidRPr="00AA3319" w:rsidRDefault="00BD0CD5" w:rsidP="00BD0CD5">
      <w:pPr>
        <w:rPr>
          <w:rFonts w:cs="Times New Roman"/>
        </w:rPr>
      </w:pPr>
      <w:r w:rsidRPr="00AA3319">
        <w:rPr>
          <w:rFonts w:cs="Times New Roman"/>
        </w:rPr>
        <w:t xml:space="preserve">When and where humans are at risk of contracting mosquito-borne diseases is influenced by environmental conditions. Climatic aspects, such as rainfall, temperature and humidity, as well as landscape composition including land cover, topography, and hydrology, can </w:t>
      </w:r>
      <w:r w:rsidR="00CA535A">
        <w:rPr>
          <w:rFonts w:cs="Times New Roman"/>
        </w:rPr>
        <w:t xml:space="preserve">all </w:t>
      </w:r>
      <w:r w:rsidRPr="00AA3319">
        <w:rPr>
          <w:rFonts w:cs="Times New Roman"/>
        </w:rPr>
        <w:t xml:space="preserve">influence disease transmission cycles. </w:t>
      </w:r>
      <w:r w:rsidR="00CA535A">
        <w:rPr>
          <w:rFonts w:cs="Times New Roman"/>
        </w:rPr>
        <w:t>However, i</w:t>
      </w:r>
      <w:r w:rsidR="00CA535A" w:rsidRPr="00AA3319">
        <w:rPr>
          <w:rFonts w:cs="Times New Roman"/>
        </w:rPr>
        <w:t xml:space="preserve">nteractions </w:t>
      </w:r>
      <w:r w:rsidRPr="00AA3319">
        <w:rPr>
          <w:rFonts w:cs="Times New Roman"/>
        </w:rPr>
        <w:t xml:space="preserve">between landscape, climate and disease transmission are complex and can be context-dependent. The use of remote sensing technology to study these associations can </w:t>
      </w:r>
      <w:r w:rsidR="00CA535A">
        <w:rPr>
          <w:rFonts w:cs="Times New Roman"/>
        </w:rPr>
        <w:t xml:space="preserve">help to </w:t>
      </w:r>
      <w:r w:rsidRPr="00AA3319">
        <w:rPr>
          <w:rFonts w:cs="Times New Roman"/>
        </w:rPr>
        <w:t xml:space="preserve">disentangle some of these effects in order to predict disease risk across space and time. The research presented in this dissertation aims at utilizing satellite remote sensing technology to explore ways how satellite data can be converted into ecologically meaningful variables that help us understand what drives disease risk spatially and temporally. Within this context, this research aimed at answering three main questions: </w:t>
      </w:r>
    </w:p>
    <w:p w14:paraId="7086A755" w14:textId="77777777" w:rsidR="00BD0CD5" w:rsidRPr="00AA3319" w:rsidRDefault="00BD0CD5" w:rsidP="00693AB0">
      <w:pPr>
        <w:pStyle w:val="ListParagraph"/>
        <w:numPr>
          <w:ilvl w:val="0"/>
          <w:numId w:val="4"/>
        </w:numPr>
        <w:rPr>
          <w:rFonts w:cs="Times New Roman"/>
        </w:rPr>
      </w:pPr>
      <w:r w:rsidRPr="00AA3319">
        <w:rPr>
          <w:rFonts w:cs="Times New Roman"/>
        </w:rPr>
        <w:t>What remotely-sensed variables are most associated with the distribution of mosquito-borne diseases?</w:t>
      </w:r>
    </w:p>
    <w:p w14:paraId="78CE6215" w14:textId="77777777" w:rsidR="00BD0CD5" w:rsidRPr="00AA3319" w:rsidRDefault="00BD0CD5" w:rsidP="00693AB0">
      <w:pPr>
        <w:pStyle w:val="ListParagraph"/>
        <w:numPr>
          <w:ilvl w:val="0"/>
          <w:numId w:val="4"/>
        </w:numPr>
        <w:rPr>
          <w:rFonts w:cs="Times New Roman"/>
        </w:rPr>
      </w:pPr>
      <w:r w:rsidRPr="00AA3319">
        <w:rPr>
          <w:rFonts w:cs="Times New Roman"/>
        </w:rPr>
        <w:t>How do these associations depend on the geographic setting?</w:t>
      </w:r>
    </w:p>
    <w:p w14:paraId="2095C9B9" w14:textId="77777777" w:rsidR="00BD0CD5" w:rsidRPr="00AA3319" w:rsidRDefault="00BD0CD5" w:rsidP="00693AB0">
      <w:pPr>
        <w:pStyle w:val="ListParagraph"/>
        <w:numPr>
          <w:ilvl w:val="0"/>
          <w:numId w:val="4"/>
        </w:numPr>
        <w:rPr>
          <w:rFonts w:cs="Times New Roman"/>
        </w:rPr>
      </w:pPr>
      <w:r w:rsidRPr="00AA3319">
        <w:rPr>
          <w:rFonts w:cs="Times New Roman"/>
        </w:rPr>
        <w:t>How do remotely-sensed environmental variables compare to other environmental data sources in understanding disease transmission patterns?</w:t>
      </w:r>
    </w:p>
    <w:p w14:paraId="2D688F0E" w14:textId="495C61EA" w:rsidR="00BD0CD5" w:rsidRPr="00AA3319" w:rsidRDefault="00BD0CD5" w:rsidP="00BD0CD5">
      <w:pPr>
        <w:rPr>
          <w:rFonts w:cs="Times New Roman"/>
        </w:rPr>
      </w:pPr>
      <w:r w:rsidRPr="00AA3319">
        <w:rPr>
          <w:rFonts w:cs="Times New Roman"/>
        </w:rPr>
        <w:t xml:space="preserve">Chapter 2 integrated the use of static and dynamic remotely sensed variables to investigate associations between malaria cases and environmental factors that drive disease risk in two study areas in Ethiopia. We used multiple geospatial environmental datasets, including products from the satellite missions MODIS, Landsat, GPM, and PlanetScope. All </w:t>
      </w:r>
      <w:r w:rsidRPr="00AA3319">
        <w:rPr>
          <w:rFonts w:cs="Times New Roman"/>
        </w:rPr>
        <w:lastRenderedPageBreak/>
        <w:t xml:space="preserve">environmental data were summarized for each </w:t>
      </w:r>
      <w:r w:rsidRPr="0083279B">
        <w:rPr>
          <w:rFonts w:cs="Times New Roman"/>
          <w:i/>
        </w:rPr>
        <w:t>kebele</w:t>
      </w:r>
      <w:r w:rsidR="00CA535A">
        <w:rPr>
          <w:rFonts w:cs="Times New Roman"/>
        </w:rPr>
        <w:t>,</w:t>
      </w:r>
      <w:r w:rsidRPr="00AA3319">
        <w:rPr>
          <w:rFonts w:cs="Times New Roman"/>
        </w:rPr>
        <w:t xml:space="preserve"> which is the smallest administrative level in Ethiopia at which malaria case data are reported. We also evaluated environmental impact on malaria transmission for two geographically distinct study areas separately. This </w:t>
      </w:r>
      <w:r w:rsidR="00CA535A">
        <w:rPr>
          <w:rFonts w:cs="Times New Roman"/>
        </w:rPr>
        <w:t xml:space="preserve">approach </w:t>
      </w:r>
      <w:r w:rsidRPr="00AA3319">
        <w:rPr>
          <w:rFonts w:cs="Times New Roman"/>
        </w:rPr>
        <w:t xml:space="preserve">allowed us to evaluate the influence of each environmental variable at a scale relevant for public health decision makers, while </w:t>
      </w:r>
      <w:r w:rsidR="00CA535A">
        <w:rPr>
          <w:rFonts w:cs="Times New Roman"/>
        </w:rPr>
        <w:t>elucidating</w:t>
      </w:r>
      <w:r w:rsidR="00CA535A" w:rsidRPr="00AA3319">
        <w:rPr>
          <w:rFonts w:cs="Times New Roman"/>
        </w:rPr>
        <w:t xml:space="preserve"> </w:t>
      </w:r>
      <w:r w:rsidRPr="00AA3319">
        <w:rPr>
          <w:rFonts w:cs="Times New Roman"/>
        </w:rPr>
        <w:t xml:space="preserve">regional differences. </w:t>
      </w:r>
    </w:p>
    <w:p w14:paraId="1F44E58D" w14:textId="78251FAD" w:rsidR="00BD0CD5" w:rsidRPr="00AA3319" w:rsidRDefault="00BD0CD5" w:rsidP="00BD0CD5">
      <w:pPr>
        <w:rPr>
          <w:rFonts w:cs="Times New Roman"/>
        </w:rPr>
      </w:pPr>
      <w:r w:rsidRPr="00AA3319">
        <w:rPr>
          <w:rFonts w:cs="Times New Roman"/>
        </w:rPr>
        <w:t>By using a wide range of environmental data, we identif</w:t>
      </w:r>
      <w:r w:rsidR="00884FF5">
        <w:rPr>
          <w:rFonts w:cs="Times New Roman"/>
        </w:rPr>
        <w:t>ied</w:t>
      </w:r>
      <w:r w:rsidRPr="00AA3319">
        <w:rPr>
          <w:rFonts w:cs="Times New Roman"/>
        </w:rPr>
        <w:t xml:space="preserve"> different variables that influence</w:t>
      </w:r>
      <w:r w:rsidR="00CA535A">
        <w:rPr>
          <w:rFonts w:cs="Times New Roman"/>
        </w:rPr>
        <w:t>d</w:t>
      </w:r>
      <w:r w:rsidRPr="00AA3319">
        <w:rPr>
          <w:rFonts w:cs="Times New Roman"/>
        </w:rPr>
        <w:t xml:space="preserve"> malaria transmission in these two different geographic areas. Malaria cases followed a strong temperature gradient in one study area, and a precipitation gradient in another study area. Additionally, settlement structure influenced malaria cases differently in the two areas, possibly due to the differences in population density and how households and agricultural areas are distributed across the landscape. </w:t>
      </w:r>
      <w:r w:rsidR="00AD2FE0" w:rsidRPr="00AA3319">
        <w:rPr>
          <w:rFonts w:cs="Times New Roman"/>
        </w:rPr>
        <w:t xml:space="preserve">We were </w:t>
      </w:r>
      <w:r w:rsidR="00AD2FE0">
        <w:rPr>
          <w:rFonts w:cs="Times New Roman"/>
        </w:rPr>
        <w:t xml:space="preserve">thus </w:t>
      </w:r>
      <w:r w:rsidR="00AD2FE0" w:rsidRPr="00AA3319">
        <w:rPr>
          <w:rFonts w:cs="Times New Roman"/>
        </w:rPr>
        <w:t>able to identify how spatio-temporal associations between disease and environmental conditions can vary between different geographies.</w:t>
      </w:r>
    </w:p>
    <w:p w14:paraId="461FFB81" w14:textId="433D2F9A" w:rsidR="00BD0CD5" w:rsidRPr="00AA3319" w:rsidRDefault="00BD0CD5" w:rsidP="00BD0CD5">
      <w:pPr>
        <w:rPr>
          <w:rFonts w:cs="Times New Roman"/>
        </w:rPr>
      </w:pPr>
      <w:r w:rsidRPr="00AA3319">
        <w:rPr>
          <w:rFonts w:cs="Times New Roman"/>
        </w:rPr>
        <w:t>Chapter 3 compared the use of three different types of geospatial environmental data in mapping transmission risk of West Nile virus in South Dakota, USA. The data types were grouped as 1) land cover and physiography data including from the National Land Cover Database (NLCD), the National Wetlands Inventory (NWI), the Soil Survey Geographic Database (SSURGO), as well as the National Elevation Dataset (NED), 2) climate data from the North American Land Data Assimilation System atmospheric forcing dataset (NLDAS), and 3) spectral data derived from the MODIS MCD43A4 product.</w:t>
      </w:r>
      <w:r w:rsidR="00AD2FE0">
        <w:rPr>
          <w:rFonts w:cs="Times New Roman"/>
        </w:rPr>
        <w:t xml:space="preserve"> </w:t>
      </w:r>
      <w:r w:rsidRPr="00AA3319">
        <w:rPr>
          <w:rFonts w:cs="Times New Roman"/>
        </w:rPr>
        <w:t xml:space="preserve">Georeferenced human case data </w:t>
      </w:r>
      <w:r w:rsidR="00E92D7D">
        <w:rPr>
          <w:rFonts w:cs="Times New Roman"/>
        </w:rPr>
        <w:t>were</w:t>
      </w:r>
      <w:r w:rsidRPr="00AA3319">
        <w:rPr>
          <w:rFonts w:cs="Times New Roman"/>
        </w:rPr>
        <w:t xml:space="preserve"> available, which allowed us to study disease-environment relationships without having to aggregate over larger areas. Relying on </w:t>
      </w:r>
      <w:r w:rsidRPr="00AA3319">
        <w:rPr>
          <w:rFonts w:cs="Times New Roman"/>
        </w:rPr>
        <w:lastRenderedPageBreak/>
        <w:t xml:space="preserve">remotely-sensed data also allowed us to retrospectively access environmental information within a of 750 m radius of a positive WNV patient’s home. </w:t>
      </w:r>
    </w:p>
    <w:p w14:paraId="54005037" w14:textId="13FFD417" w:rsidR="00BD0CD5" w:rsidRPr="00AA3319" w:rsidRDefault="00BD0CD5" w:rsidP="00BD0CD5">
      <w:pPr>
        <w:rPr>
          <w:rFonts w:cs="Times New Roman"/>
        </w:rPr>
      </w:pPr>
      <w:r w:rsidRPr="00AA3319">
        <w:rPr>
          <w:rFonts w:cs="Times New Roman"/>
        </w:rPr>
        <w:t xml:space="preserve">This research revealed the importance of inter-annual variability of climatic and surface moisture variables for WNV transmission risk. Among the most important variables explaining transmission risk were the inter-annual variability of relative humidity during late transmission season, and of Tasseled Cap wetness and precipitation during early transmission season. Contrary to our expectations, temperature did not drive the spatial pattern of disease risk. This shows how landscape configuration </w:t>
      </w:r>
      <w:r w:rsidR="00AD2FE0">
        <w:rPr>
          <w:rFonts w:cs="Times New Roman"/>
        </w:rPr>
        <w:t xml:space="preserve">and hydrology </w:t>
      </w:r>
      <w:r w:rsidRPr="00AA3319">
        <w:rPr>
          <w:rFonts w:cs="Times New Roman"/>
        </w:rPr>
        <w:t>play vital role</w:t>
      </w:r>
      <w:r w:rsidR="00AD2FE0">
        <w:rPr>
          <w:rFonts w:cs="Times New Roman"/>
        </w:rPr>
        <w:t>s</w:t>
      </w:r>
      <w:r w:rsidRPr="00AA3319">
        <w:rPr>
          <w:rFonts w:cs="Times New Roman"/>
        </w:rPr>
        <w:t xml:space="preserve"> in disease transmission cycles</w:t>
      </w:r>
      <w:r w:rsidR="00AD2FE0">
        <w:rPr>
          <w:rFonts w:cs="Times New Roman"/>
        </w:rPr>
        <w:t>.</w:t>
      </w:r>
      <w:r w:rsidRPr="00AA3319">
        <w:rPr>
          <w:rFonts w:cs="Times New Roman"/>
        </w:rPr>
        <w:t xml:space="preserve"> </w:t>
      </w:r>
      <w:r w:rsidR="00AD2FE0">
        <w:rPr>
          <w:rFonts w:cs="Times New Roman"/>
        </w:rPr>
        <w:t>C</w:t>
      </w:r>
      <w:r w:rsidRPr="00AA3319">
        <w:rPr>
          <w:rFonts w:cs="Times New Roman"/>
        </w:rPr>
        <w:t xml:space="preserve">limatic variables, such as temperature, </w:t>
      </w:r>
      <w:r w:rsidR="00AD2FE0">
        <w:rPr>
          <w:rFonts w:cs="Times New Roman"/>
        </w:rPr>
        <w:t>which</w:t>
      </w:r>
      <w:r w:rsidR="00AD2FE0" w:rsidRPr="00AA3319">
        <w:rPr>
          <w:rFonts w:cs="Times New Roman"/>
        </w:rPr>
        <w:t xml:space="preserve"> </w:t>
      </w:r>
      <w:r w:rsidRPr="00AA3319">
        <w:rPr>
          <w:rFonts w:cs="Times New Roman"/>
        </w:rPr>
        <w:t xml:space="preserve">are known to </w:t>
      </w:r>
      <w:r w:rsidR="00AD2FE0">
        <w:rPr>
          <w:rFonts w:cs="Times New Roman"/>
        </w:rPr>
        <w:t xml:space="preserve">be important drivers of </w:t>
      </w:r>
      <w:r w:rsidRPr="00AA3319">
        <w:rPr>
          <w:rFonts w:cs="Times New Roman"/>
        </w:rPr>
        <w:t xml:space="preserve">drive temporal patterns </w:t>
      </w:r>
      <w:r w:rsidR="00AD2FE0">
        <w:rPr>
          <w:rFonts w:cs="Times New Roman"/>
        </w:rPr>
        <w:t>of WNV risk, do not necessarily</w:t>
      </w:r>
      <w:r w:rsidRPr="00AA3319">
        <w:rPr>
          <w:rFonts w:cs="Times New Roman"/>
        </w:rPr>
        <w:t xml:space="preserve"> influence spatial patterns. </w:t>
      </w:r>
    </w:p>
    <w:p w14:paraId="2B122B58" w14:textId="39E0BAAC" w:rsidR="00BD0CD5" w:rsidRPr="00AA3319" w:rsidRDefault="00BD0CD5" w:rsidP="00BD0CD5">
      <w:pPr>
        <w:rPr>
          <w:rFonts w:cs="Times New Roman"/>
        </w:rPr>
      </w:pPr>
      <w:r w:rsidRPr="00AA3319">
        <w:rPr>
          <w:rFonts w:cs="Times New Roman"/>
        </w:rPr>
        <w:t xml:space="preserve">Our combined </w:t>
      </w:r>
      <w:r w:rsidR="00AD2FE0">
        <w:rPr>
          <w:rFonts w:cs="Times New Roman"/>
        </w:rPr>
        <w:t xml:space="preserve">WNV </w:t>
      </w:r>
      <w:r w:rsidRPr="00AA3319">
        <w:rPr>
          <w:rFonts w:cs="Times New Roman"/>
        </w:rPr>
        <w:t xml:space="preserve">model, which included </w:t>
      </w:r>
      <w:r w:rsidR="002F6C8B">
        <w:rPr>
          <w:rFonts w:cs="Times New Roman"/>
        </w:rPr>
        <w:t xml:space="preserve">gridded climate data, spectral indices from remote sensing data, </w:t>
      </w:r>
      <w:r w:rsidR="00C31FE3">
        <w:rPr>
          <w:rFonts w:cs="Times New Roman"/>
        </w:rPr>
        <w:t xml:space="preserve">as well as </w:t>
      </w:r>
      <w:r w:rsidR="00E323A7">
        <w:rPr>
          <w:rFonts w:cs="Times New Roman"/>
        </w:rPr>
        <w:t>land cover and physiography</w:t>
      </w:r>
      <w:r w:rsidR="00C31FE3">
        <w:rPr>
          <w:rFonts w:cs="Times New Roman"/>
        </w:rPr>
        <w:t xml:space="preserve"> data, </w:t>
      </w:r>
      <w:r w:rsidRPr="00AA3319">
        <w:rPr>
          <w:rFonts w:cs="Times New Roman"/>
        </w:rPr>
        <w:t xml:space="preserve">resulted in a higher cross-validated accuracy than any of the models that were based only one variable type. These findings show that </w:t>
      </w:r>
      <w:r w:rsidR="00AD2FE0">
        <w:rPr>
          <w:rFonts w:cs="Times New Roman"/>
        </w:rPr>
        <w:t>integration</w:t>
      </w:r>
      <w:r w:rsidRPr="00AA3319">
        <w:rPr>
          <w:rFonts w:cs="Times New Roman"/>
        </w:rPr>
        <w:t xml:space="preserve"> different sources of geospatial data can improve predictions, as each of these data sources captures a different aspect of the disease transmission cycle. </w:t>
      </w:r>
    </w:p>
    <w:p w14:paraId="73158EE1" w14:textId="287741D5" w:rsidR="00BD0CD5" w:rsidRPr="00AA3319" w:rsidRDefault="00BD0CD5" w:rsidP="00BD0CD5">
      <w:pPr>
        <w:rPr>
          <w:rFonts w:cs="Times New Roman"/>
        </w:rPr>
      </w:pPr>
      <w:r w:rsidRPr="00AA3319">
        <w:rPr>
          <w:rFonts w:cs="Times New Roman"/>
        </w:rPr>
        <w:t>Chapter 4 examine</w:t>
      </w:r>
      <w:r w:rsidR="00E137B7">
        <w:rPr>
          <w:rFonts w:cs="Times New Roman"/>
        </w:rPr>
        <w:t>d</w:t>
      </w:r>
      <w:r w:rsidRPr="00AA3319">
        <w:rPr>
          <w:rFonts w:cs="Times New Roman"/>
        </w:rPr>
        <w:t xml:space="preserve"> how vector mosquito abundance varies in space and time in an urban environment in central Oklahoma. For this study mosquitos were collected at study sites along an urban-rural gradient between June and October of 2019 and 2020. In contrast to studies based on retrospective reports of human cases, this also allowed us to take </w:t>
      </w:r>
      <w:r w:rsidRPr="00AA3319">
        <w:rPr>
          <w:rFonts w:cs="Times New Roman"/>
          <w:i/>
        </w:rPr>
        <w:t xml:space="preserve">in-situ </w:t>
      </w:r>
      <w:r w:rsidRPr="00AA3319">
        <w:rPr>
          <w:rFonts w:cs="Times New Roman"/>
        </w:rPr>
        <w:t xml:space="preserve">measurements of microclimatic conditions via loggers that were located within a 100 m radius around trap sites and measured temperature and relative humidity every 10 minutes throughout the trapping season. </w:t>
      </w:r>
    </w:p>
    <w:p w14:paraId="1D174B9F" w14:textId="77777777" w:rsidR="00BD0CD5" w:rsidRPr="00AA3319" w:rsidRDefault="00BD0CD5" w:rsidP="00BD0CD5">
      <w:pPr>
        <w:rPr>
          <w:rFonts w:cs="Times New Roman"/>
        </w:rPr>
      </w:pPr>
      <w:r w:rsidRPr="00AA3319">
        <w:rPr>
          <w:rFonts w:cs="Times New Roman"/>
        </w:rPr>
        <w:lastRenderedPageBreak/>
        <w:t xml:space="preserve">This study also shows how satellite remote sensing data compare to </w:t>
      </w:r>
      <w:r w:rsidRPr="00AA3319">
        <w:rPr>
          <w:rFonts w:cs="Times New Roman"/>
          <w:i/>
        </w:rPr>
        <w:t>in-situ</w:t>
      </w:r>
      <w:r w:rsidRPr="00AA3319">
        <w:rPr>
          <w:rFonts w:cs="Times New Roman"/>
        </w:rPr>
        <w:t xml:space="preserve"> microclimate logger data, as well as local weather station data in explaining mosquito abundances. Remotely sensed data on land surface temperature, precipitation and spectral indices were derived from VIIRS, CHIRPS and harmonized Landsat-Sentinel 2 data products respectively. </w:t>
      </w:r>
    </w:p>
    <w:p w14:paraId="21BCCC3C" w14:textId="7C1C0D32" w:rsidR="00BD0CD5" w:rsidRPr="008A2750" w:rsidRDefault="00BD0CD5" w:rsidP="00BD0CD5">
      <w:pPr>
        <w:rPr>
          <w:rFonts w:cs="Times New Roman"/>
        </w:rPr>
      </w:pPr>
      <w:r w:rsidRPr="00AA3319">
        <w:rPr>
          <w:rFonts w:cs="Times New Roman"/>
        </w:rPr>
        <w:t xml:space="preserve">This study revealed a clear spatial pattern in the abundance of the vector mosquitoes </w:t>
      </w:r>
      <w:r w:rsidRPr="00AA3319">
        <w:rPr>
          <w:rFonts w:cs="Times New Roman"/>
          <w:i/>
        </w:rPr>
        <w:t xml:space="preserve">Ae. albopictus </w:t>
      </w:r>
      <w:r w:rsidRPr="00AA3319">
        <w:rPr>
          <w:rFonts w:cs="Times New Roman"/>
        </w:rPr>
        <w:t xml:space="preserve">and </w:t>
      </w:r>
      <w:r w:rsidRPr="00AA3319">
        <w:rPr>
          <w:rFonts w:cs="Times New Roman"/>
          <w:i/>
        </w:rPr>
        <w:t>Cx. quinquefasciatus</w:t>
      </w:r>
      <w:r w:rsidRPr="00AA3319">
        <w:rPr>
          <w:rFonts w:cs="Times New Roman"/>
        </w:rPr>
        <w:t>, which was largely driven by the degree of urbanization and tree cover surrounding the trap sites. Remote sensing data produced models with the highest penalized fit to the historical data</w:t>
      </w:r>
      <w:r w:rsidR="008A2750">
        <w:rPr>
          <w:rFonts w:cs="Times New Roman"/>
        </w:rPr>
        <w:t>. T</w:t>
      </w:r>
      <w:r w:rsidRPr="00AA3319">
        <w:rPr>
          <w:rFonts w:cs="Times New Roman"/>
        </w:rPr>
        <w:t xml:space="preserve">hey provided environmental information that </w:t>
      </w:r>
      <w:r w:rsidR="000F4915">
        <w:rPr>
          <w:rFonts w:cs="Times New Roman"/>
        </w:rPr>
        <w:t xml:space="preserve">explained </w:t>
      </w:r>
      <w:r w:rsidRPr="00AA3319">
        <w:rPr>
          <w:rFonts w:cs="Times New Roman"/>
        </w:rPr>
        <w:t xml:space="preserve">spatial </w:t>
      </w:r>
      <w:r w:rsidR="008A2750">
        <w:rPr>
          <w:rFonts w:cs="Times New Roman"/>
        </w:rPr>
        <w:t>and</w:t>
      </w:r>
      <w:r w:rsidRPr="00AA3319">
        <w:rPr>
          <w:rFonts w:cs="Times New Roman"/>
        </w:rPr>
        <w:t xml:space="preserve"> temporal variation in vector mosquito abundances</w:t>
      </w:r>
      <w:r w:rsidR="008A2750">
        <w:rPr>
          <w:rFonts w:cs="Times New Roman"/>
        </w:rPr>
        <w:t>, measured environmental variables at a broader scale, and measure</w:t>
      </w:r>
      <w:r w:rsidR="00AD2FE0">
        <w:rPr>
          <w:rFonts w:cs="Times New Roman"/>
        </w:rPr>
        <w:t>d</w:t>
      </w:r>
      <w:r w:rsidR="008A2750">
        <w:rPr>
          <w:rFonts w:cs="Times New Roman"/>
        </w:rPr>
        <w:t xml:space="preserve"> variables that can’t easily be obtained </w:t>
      </w:r>
      <w:r w:rsidR="008A2750">
        <w:rPr>
          <w:rFonts w:cs="Times New Roman"/>
          <w:i/>
        </w:rPr>
        <w:t>in situ</w:t>
      </w:r>
      <w:r w:rsidR="008A2750">
        <w:rPr>
          <w:rFonts w:cs="Times New Roman"/>
        </w:rPr>
        <w:t xml:space="preserve">, such as seasonal variation in vegetation water content </w:t>
      </w:r>
      <w:r w:rsidR="00AD2FE0">
        <w:rPr>
          <w:rFonts w:cs="Times New Roman"/>
        </w:rPr>
        <w:t xml:space="preserve">and </w:t>
      </w:r>
      <w:r w:rsidR="008A2750">
        <w:rPr>
          <w:rFonts w:cs="Times New Roman"/>
        </w:rPr>
        <w:t xml:space="preserve">precipitation. </w:t>
      </w:r>
    </w:p>
    <w:p w14:paraId="62F3D97C" w14:textId="77777777" w:rsidR="00BD0CD5" w:rsidRPr="00AA3319" w:rsidRDefault="00BD0CD5" w:rsidP="004727C7">
      <w:pPr>
        <w:pStyle w:val="Heading2"/>
        <w:rPr>
          <w:rFonts w:cs="Times New Roman"/>
        </w:rPr>
      </w:pPr>
      <w:bookmarkStart w:id="139" w:name="_Toc78889221"/>
      <w:r w:rsidRPr="00AA3319">
        <w:rPr>
          <w:rFonts w:cs="Times New Roman"/>
        </w:rPr>
        <w:t>General considerations</w:t>
      </w:r>
      <w:bookmarkEnd w:id="139"/>
    </w:p>
    <w:p w14:paraId="3FEB5306" w14:textId="5B3330FF" w:rsidR="00BD0CD5" w:rsidRPr="00AA3319" w:rsidRDefault="00BD0CD5" w:rsidP="00BD0CD5">
      <w:pPr>
        <w:rPr>
          <w:rFonts w:cs="Times New Roman"/>
        </w:rPr>
      </w:pPr>
      <w:r w:rsidRPr="00AA3319">
        <w:rPr>
          <w:rFonts w:cs="Times New Roman"/>
        </w:rPr>
        <w:t>The research in chapters 2–4 illustrated ways in which remote sensing data can help us understand landscape-scale disease risk and vector mosquito habitat. It show</w:t>
      </w:r>
      <w:r w:rsidR="0029018F">
        <w:rPr>
          <w:rFonts w:cs="Times New Roman"/>
        </w:rPr>
        <w:t>ed</w:t>
      </w:r>
      <w:r w:rsidRPr="00AA3319">
        <w:rPr>
          <w:rFonts w:cs="Times New Roman"/>
        </w:rPr>
        <w:t xml:space="preserve"> how environmental variables derived from satellite data can help us improve our understanding of disease risk in different geographic settings, and how well remote sensing data can predict disease risk and vector mosquito abundance, compared to other data sources. This research adds to the existing body of knowledge surrounding </w:t>
      </w:r>
      <w:r w:rsidR="00AD2FE0">
        <w:rPr>
          <w:rFonts w:cs="Times New Roman"/>
        </w:rPr>
        <w:t>E</w:t>
      </w:r>
      <w:r w:rsidR="00AD2FE0" w:rsidRPr="00AA3319">
        <w:rPr>
          <w:rFonts w:cs="Times New Roman"/>
        </w:rPr>
        <w:t xml:space="preserve">arth </w:t>
      </w:r>
      <w:r w:rsidRPr="00AA3319">
        <w:rPr>
          <w:rFonts w:cs="Times New Roman"/>
        </w:rPr>
        <w:t>observation technology for human health applications and highlights how remotely sensed environmental variables can help us understand the distribution of different diseases in different landscape contexts.</w:t>
      </w:r>
    </w:p>
    <w:p w14:paraId="41DCD303" w14:textId="77777777" w:rsidR="00BD0CD5" w:rsidRPr="00AA3319" w:rsidRDefault="00BD0CD5" w:rsidP="004727C7">
      <w:pPr>
        <w:pStyle w:val="Heading3"/>
        <w:rPr>
          <w:rFonts w:cs="Times New Roman"/>
        </w:rPr>
      </w:pPr>
      <w:bookmarkStart w:id="140" w:name="_Toc78889222"/>
      <w:r w:rsidRPr="00AA3319">
        <w:rPr>
          <w:rFonts w:cs="Times New Roman"/>
        </w:rPr>
        <w:lastRenderedPageBreak/>
        <w:t>Remotely-sensed variables influencing disease risk</w:t>
      </w:r>
      <w:bookmarkEnd w:id="140"/>
    </w:p>
    <w:p w14:paraId="4F97FF05" w14:textId="48B202B7" w:rsidR="00BD0CD5" w:rsidRPr="00AA3319" w:rsidRDefault="00BD0CD5" w:rsidP="00BD0CD5">
      <w:pPr>
        <w:rPr>
          <w:rFonts w:cs="Times New Roman"/>
        </w:rPr>
      </w:pPr>
      <w:r w:rsidRPr="00AA3319">
        <w:rPr>
          <w:rFonts w:cs="Times New Roman"/>
        </w:rPr>
        <w:t xml:space="preserve">One of the major findings in all three case studies </w:t>
      </w:r>
      <w:r w:rsidR="0076737E">
        <w:rPr>
          <w:rFonts w:cs="Times New Roman"/>
        </w:rPr>
        <w:t>was</w:t>
      </w:r>
      <w:r w:rsidR="0076737E" w:rsidRPr="00AA3319">
        <w:rPr>
          <w:rFonts w:cs="Times New Roman"/>
        </w:rPr>
        <w:t xml:space="preserve"> </w:t>
      </w:r>
      <w:r w:rsidRPr="00AA3319">
        <w:rPr>
          <w:rFonts w:cs="Times New Roman"/>
        </w:rPr>
        <w:t xml:space="preserve">the importance of land cover and landscape composition in disease transmission. Each study </w:t>
      </w:r>
      <w:r w:rsidR="0076737E" w:rsidRPr="00AA3319">
        <w:rPr>
          <w:rFonts w:cs="Times New Roman"/>
        </w:rPr>
        <w:t>identifie</w:t>
      </w:r>
      <w:r w:rsidR="0076737E">
        <w:rPr>
          <w:rFonts w:cs="Times New Roman"/>
        </w:rPr>
        <w:t>d</w:t>
      </w:r>
      <w:r w:rsidR="0076737E" w:rsidRPr="00AA3319">
        <w:rPr>
          <w:rFonts w:cs="Times New Roman"/>
        </w:rPr>
        <w:t xml:space="preserve"> </w:t>
      </w:r>
      <w:r w:rsidRPr="00AA3319">
        <w:rPr>
          <w:rFonts w:cs="Times New Roman"/>
        </w:rPr>
        <w:t xml:space="preserve">specific land cover characteristics that provide favorable conditions for disease transmission. In Ethiopia, areas with low vegetation cover or low surface moisture index values were identified as stable malaria hot spots in the two study areas. In South Dakota, low lying pastoral areas with a high inter-annual variability in surface water within the James River valley were identified as high-risk areas for WNV. In Norman, Oklahoma, impervious surface area and canopy cover explained a large portion of the spatial variability of vector mosquito abundances. </w:t>
      </w:r>
    </w:p>
    <w:p w14:paraId="6881008F" w14:textId="1E090EA4" w:rsidR="00BD0CD5" w:rsidRPr="00AA3319" w:rsidRDefault="00BD0CD5" w:rsidP="00BD0CD5">
      <w:pPr>
        <w:rPr>
          <w:rFonts w:cs="Times New Roman"/>
        </w:rPr>
      </w:pPr>
      <w:r w:rsidRPr="00AA3319">
        <w:rPr>
          <w:rFonts w:cs="Times New Roman"/>
        </w:rPr>
        <w:t xml:space="preserve">One of the challenges in working with remote sensing data is that satellites measure a variety of characteristics of the earth surface, but these measurements often do not directly relate to the biology of mosquitoes and the life cycle of mosquito-borne diseases. For example, satellite data can tell us how green an area is, or how much precipitation is recorded. However, these satellite measurements </w:t>
      </w:r>
      <w:r w:rsidR="0076737E">
        <w:rPr>
          <w:rFonts w:cs="Times New Roman"/>
        </w:rPr>
        <w:t>typically do not</w:t>
      </w:r>
      <w:r w:rsidRPr="00AA3319">
        <w:rPr>
          <w:rFonts w:cs="Times New Roman"/>
        </w:rPr>
        <w:t xml:space="preserve"> capture the specific features relevant to mosquitoes, including the exact habitat characteristics such as the extent or quantity of larval habitat within a landscape. </w:t>
      </w:r>
      <w:r w:rsidR="0076737E">
        <w:rPr>
          <w:rFonts w:cs="Times New Roman"/>
        </w:rPr>
        <w:t>Most current</w:t>
      </w:r>
      <w:r w:rsidR="0076737E" w:rsidRPr="00AA3319">
        <w:rPr>
          <w:rFonts w:cs="Times New Roman"/>
        </w:rPr>
        <w:t xml:space="preserve"> </w:t>
      </w:r>
      <w:r w:rsidRPr="00AA3319">
        <w:rPr>
          <w:rFonts w:cs="Times New Roman"/>
        </w:rPr>
        <w:t xml:space="preserve">satellite missions are not able detect </w:t>
      </w:r>
      <w:r w:rsidR="0076737E">
        <w:rPr>
          <w:rFonts w:cs="Times New Roman"/>
        </w:rPr>
        <w:t xml:space="preserve">small </w:t>
      </w:r>
      <w:r w:rsidRPr="00AA3319">
        <w:rPr>
          <w:rFonts w:cs="Times New Roman"/>
        </w:rPr>
        <w:t xml:space="preserve">waterbodies like unconnected semi-permanent </w:t>
      </w:r>
      <w:r w:rsidR="0076737E">
        <w:rPr>
          <w:rFonts w:cs="Times New Roman"/>
        </w:rPr>
        <w:t>ponds,</w:t>
      </w:r>
      <w:r w:rsidR="0076737E" w:rsidRPr="00AA3319">
        <w:rPr>
          <w:rFonts w:cs="Times New Roman"/>
        </w:rPr>
        <w:t xml:space="preserve"> </w:t>
      </w:r>
      <w:r w:rsidRPr="00AA3319">
        <w:rPr>
          <w:rFonts w:cs="Times New Roman"/>
        </w:rPr>
        <w:t xml:space="preserve">which act as breeding sites for the WNV vector mosquito </w:t>
      </w:r>
      <w:r w:rsidRPr="00AA3319">
        <w:rPr>
          <w:rFonts w:cs="Times New Roman"/>
          <w:i/>
        </w:rPr>
        <w:t xml:space="preserve">Cx. tarsalis </w:t>
      </w:r>
      <w:r w:rsidRPr="00AA3319">
        <w:rPr>
          <w:rFonts w:cs="Times New Roman"/>
          <w:i/>
        </w:rPr>
        <w:fldChar w:fldCharType="begin"/>
      </w:r>
      <w:r w:rsidR="006B043F" w:rsidRPr="00AA3319">
        <w:rPr>
          <w:rFonts w:cs="Times New Roman"/>
          <w:i/>
        </w:rPr>
        <w:instrText xml:space="preserve"> ADDIN ZOTERO_ITEM CSL_CITATION {"citationID":"jgTKhY6u","properties":{"formattedCitation":"(Mercer et al., 2005; Skaff et al., 2017)","plainCitation":"(Mercer et al., 2005; Skaff et al., 2017)","noteIndex":0},"citationItems":[{"id":661,"uris":["http://zotero.org/users/5456909/items/ASFXWCN3"],"uri":["http://zotero.org/users/5456909/items/ASFXWCN3"],"itemData":{"id":661,"type":"article-journal","container-title":"Entomological Society of America","issue":"4","page":"685-693","title":"Mosquito (Diptera : Culicidae) development within microhabitats of an Iowa wetland","volume":"42","author":[{"family":"Mercer","given":"David R"},{"family":"Sheeley","given":"Sara L"},{"family":"Brown","given":"Edward J"}],"issued":{"date-parts":[["2005"]]}}},{"id":630,"uris":["http://zotero.org/users/5456909/items/EGGALDFA"],"uri":["http://zotero.org/users/5456909/items/EGGALDFA"],"itemData":{"id":630,"type":"article-journal","abstract":"Eastern equine encephalitis virus (EEEV) is an expanding mosquito-borne threat to humans and domestic animal populations in the northeastern United States. Outbreaks of EEEV are challenging to predict due to spatial and temporal uncertainty in the abundance and viral infection of Cs. melanura, the principal enzootic vector. EEEV activity may be closely linked to wetlands because they provide essential habitat for mosquito vectors and avian reservoir hosts. However, wetlands are not homogeneous and can vary by vegetation, connectivity, size, and inundation patterns. Wetlands may also have different effects on EEEV transmission depending on the assessed spatial scale. We investigated associations between wetland characteristics and Cs. melanura abundance and infection with EEEV at multiple spatial scales in Connecticut, USA. Our findings indicate that wetland vegetative characteristics have strong associations with Cs. melanura abundance. Deciduous and evergreen forested wetlands were associated with higher Cs. melanura abundance, likely because these wetlands provide suitable subterranean habitat for Cs. melanura development. In contrast, Cs. melanura abundance was negatively associated with emergent and scrub/shrub wetlands, and wetland connectivity to streams. These relationships were generally strongest at broad spatial scales. Additionally, the relationships between wetland characteristics and EEEV infection in Cs. melanura were generally weak. However, Cs. melanura abundance was strongly associated with EEEV infection, suggesting that wetland-associated changes in abundance may be indirectly linked to EEEV infection in Cs. melanura. Finally, we found that wet hydrological conditions during the transmission season and during the fall/winter preceding the transmission season were associated with higher Cs. melanura abundance and EEEV infection, indicating that wet conditions are favorable for EEEV transmission. These results expand the broad-scale understanding of the effects of wetlands on EEEV transmission and help to reduce the spatial and temporal uncertainty associated with EEEV outbreaks.","container-title":"Parasites &amp; Vectors","issue":"1","page":"501-501","title":"Wetland characteristics linked to broad-scale patterns in &lt;i&gt;Culiseta melanura&lt;/i&gt;  abundance and eastern equine encephalitis virus infection","volume":"10","author":[{"family":"Skaff","given":"Nicholas K."},{"family":"Armstrong","given":"Philip M."},{"family":"Andreadis","given":"Theodore G."},{"family":"Cheruvelil","given":"Kendra S."}],"issued":{"date-parts":[["2017",12]]}}}],"schema":"https://github.com/citation-style-language/schema/raw/master/csl-citation.json"} </w:instrText>
      </w:r>
      <w:r w:rsidRPr="00AA3319">
        <w:rPr>
          <w:rFonts w:cs="Times New Roman"/>
          <w:i/>
        </w:rPr>
        <w:fldChar w:fldCharType="separate"/>
      </w:r>
      <w:r w:rsidR="002B37C7" w:rsidRPr="00AA3319">
        <w:rPr>
          <w:rFonts w:cs="Times New Roman"/>
        </w:rPr>
        <w:t>(Mercer et al., 2005; Skaff et al., 2017)</w:t>
      </w:r>
      <w:r w:rsidRPr="00AA3319">
        <w:rPr>
          <w:rFonts w:cs="Times New Roman"/>
          <w:i/>
        </w:rPr>
        <w:fldChar w:fldCharType="end"/>
      </w:r>
      <w:r w:rsidRPr="00AA3319">
        <w:rPr>
          <w:rFonts w:cs="Times New Roman"/>
        </w:rPr>
        <w:t xml:space="preserve">, isolated pools that remain in the landscape as surface water recedes after flooding events </w:t>
      </w:r>
      <w:r w:rsidR="0076737E">
        <w:rPr>
          <w:rFonts w:cs="Times New Roman"/>
        </w:rPr>
        <w:t>and</w:t>
      </w:r>
      <w:r w:rsidR="0076737E" w:rsidRPr="00AA3319">
        <w:rPr>
          <w:rFonts w:cs="Times New Roman"/>
        </w:rPr>
        <w:t xml:space="preserve"> </w:t>
      </w:r>
      <w:r w:rsidRPr="00AA3319">
        <w:rPr>
          <w:rFonts w:cs="Times New Roman"/>
        </w:rPr>
        <w:t xml:space="preserve">are preferred breeding sites of the malaria vector mosquito </w:t>
      </w:r>
      <w:r w:rsidRPr="00AA3319">
        <w:rPr>
          <w:rFonts w:cs="Times New Roman"/>
          <w:i/>
        </w:rPr>
        <w:t>An. arabiensis</w:t>
      </w:r>
      <w:r w:rsidRPr="00AA3319">
        <w:rPr>
          <w:rFonts w:cs="Times New Roman"/>
        </w:rPr>
        <w:t xml:space="preserve"> </w:t>
      </w:r>
      <w:r w:rsidRPr="00AA3319">
        <w:rPr>
          <w:rFonts w:cs="Times New Roman"/>
        </w:rPr>
        <w:fldChar w:fldCharType="begin"/>
      </w:r>
      <w:r w:rsidR="002B37C7" w:rsidRPr="00AA3319">
        <w:rPr>
          <w:rFonts w:cs="Times New Roman"/>
        </w:rPr>
        <w:instrText xml:space="preserve"> ADDIN ZOTERO_ITEM CSL_CITATION {"citationID":"xUhand2r","properties":{"formattedCitation":"(Hamza and Rayah, 2016)","plainCitation":"(Hamza and Rayah, 2016)","noteIndex":0},"citationItems":[{"id":4447,"uris":["http://zotero.org/users/5456909/items/HGCS5ARZ"],"uri":["http://zotero.org/users/5456909/items/HGCS5ARZ"],"itemData":{"id":4447,"type":"article-journal","abstract":"Anopheles arabiensis Patton (Diptera: Culicidae) is considered the most efficient malaria vector in eastern Sudan. This study aims to characterize the breeding sites of An. arabiensis throughout the year in and around Kassala town, eastern Sudan. Diverse larval habitat types were visited and characterized based on the habitat type and chemical composition. Mosquito larvae were found in many diverse habitats. During the rainy season, rain pools and water bodies created by the seasonal Gash River serve as the main breeding sites. In the dry season, irrigation canals, seepage from water pipes, neglected wells, artificial containers, and man-made ditches serve as the main breeding sites. Breeding water showed a pH of 7.9 and a low concentration of the total dissolved salts. The results of this study may be considered in planning and implementing larval control programs in the area.","container-title":"International Journal of Insect Science","ISSN":"1179-5433","journalAbbreviation":"Int J Insect Sci","language":"en","note":"publisher: SAGE Publications Ltd STM","page":"IJIS.S40071","source":"SAGE Journals","title":"A Qualitative Evidence of the Breeding Sites of Anopheles arabiensis Patton (Diptera: Culicidae) in and Around Kassala Town, Eastern Sudan","title-short":"A Qualitative Evidence of the Breeding Sites of Anopheles arabiensis Patton (Diptera","volume":"8","author":[{"family":"Hamza","given":"Asma Mahmoud"},{"family":"Rayah","given":"El Amin El"}],"issued":{"date-parts":[["2016",1,1]]}}}],"schema":"https://github.com/citation-style-language/schema/raw/master/csl-citation.json"} </w:instrText>
      </w:r>
      <w:r w:rsidRPr="00AA3319">
        <w:rPr>
          <w:rFonts w:cs="Times New Roman"/>
        </w:rPr>
        <w:fldChar w:fldCharType="separate"/>
      </w:r>
      <w:r w:rsidR="002B37C7" w:rsidRPr="00AA3319">
        <w:rPr>
          <w:rFonts w:cs="Times New Roman"/>
        </w:rPr>
        <w:t>(Hamza and Rayah, 2016)</w:t>
      </w:r>
      <w:r w:rsidRPr="00AA3319">
        <w:rPr>
          <w:rFonts w:cs="Times New Roman"/>
        </w:rPr>
        <w:fldChar w:fldCharType="end"/>
      </w:r>
      <w:r w:rsidRPr="00AA3319">
        <w:rPr>
          <w:rFonts w:cs="Times New Roman"/>
        </w:rPr>
        <w:t xml:space="preserve">, </w:t>
      </w:r>
      <w:r w:rsidR="0076737E">
        <w:rPr>
          <w:rFonts w:cs="Times New Roman"/>
        </w:rPr>
        <w:t>or the artificial</w:t>
      </w:r>
      <w:r w:rsidRPr="00AA3319">
        <w:rPr>
          <w:rFonts w:cs="Times New Roman"/>
        </w:rPr>
        <w:t xml:space="preserve"> breeding sites of container breeders such as </w:t>
      </w:r>
      <w:r w:rsidRPr="00AA3319">
        <w:rPr>
          <w:rFonts w:cs="Times New Roman"/>
          <w:i/>
        </w:rPr>
        <w:t>Ae. albopictus</w:t>
      </w:r>
      <w:r w:rsidRPr="00AA3319">
        <w:rPr>
          <w:rFonts w:cs="Times New Roman"/>
        </w:rPr>
        <w:t xml:space="preserve">. </w:t>
      </w:r>
    </w:p>
    <w:p w14:paraId="37FF4D42" w14:textId="2E5C6C00" w:rsidR="00BD0CD5" w:rsidRPr="00AA3319" w:rsidRDefault="00BD0CD5" w:rsidP="00BD0CD5">
      <w:pPr>
        <w:rPr>
          <w:rFonts w:cs="Times New Roman"/>
        </w:rPr>
      </w:pPr>
      <w:r w:rsidRPr="00AA3319">
        <w:rPr>
          <w:rFonts w:cs="Times New Roman"/>
        </w:rPr>
        <w:lastRenderedPageBreak/>
        <w:t xml:space="preserve">However, satellites provide data on land surface characteristics that can be related to these conditions that directly influence the life cycle of mosquitoes and the diseases they carry. For example, the Normalized Difference Moisture Index (NDMI), sometimes also referred to as the Modified Normalized Water Index (MNDWI), </w:t>
      </w:r>
      <w:r w:rsidR="00B3384F">
        <w:rPr>
          <w:rFonts w:cs="Times New Roman"/>
        </w:rPr>
        <w:t>was</w:t>
      </w:r>
      <w:r w:rsidRPr="00AA3319">
        <w:rPr>
          <w:rFonts w:cs="Times New Roman"/>
        </w:rPr>
        <w:t xml:space="preserve"> </w:t>
      </w:r>
      <w:r w:rsidR="00B3384F">
        <w:rPr>
          <w:rFonts w:cs="Times New Roman"/>
        </w:rPr>
        <w:t>important</w:t>
      </w:r>
      <w:r w:rsidRPr="00AA3319">
        <w:rPr>
          <w:rFonts w:cs="Times New Roman"/>
        </w:rPr>
        <w:t xml:space="preserve"> in all </w:t>
      </w:r>
      <w:r w:rsidR="00B3384F">
        <w:rPr>
          <w:rFonts w:cs="Times New Roman"/>
        </w:rPr>
        <w:t>three studies</w:t>
      </w:r>
      <w:r w:rsidRPr="00AA3319">
        <w:rPr>
          <w:rFonts w:cs="Times New Roman"/>
        </w:rPr>
        <w:t xml:space="preserve">. Calculated from reflectance in the near infrared and short-wave infrared wavelengths, </w:t>
      </w:r>
      <w:r w:rsidR="00B3384F">
        <w:rPr>
          <w:rFonts w:cs="Times New Roman"/>
        </w:rPr>
        <w:t>NDMI</w:t>
      </w:r>
      <w:r w:rsidR="00B3384F" w:rsidRPr="00AA3319">
        <w:rPr>
          <w:rFonts w:cs="Times New Roman"/>
        </w:rPr>
        <w:t xml:space="preserve"> </w:t>
      </w:r>
      <w:r w:rsidRPr="00AA3319">
        <w:rPr>
          <w:rFonts w:cs="Times New Roman"/>
        </w:rPr>
        <w:t xml:space="preserve">is </w:t>
      </w:r>
      <w:r w:rsidR="00B3384F">
        <w:rPr>
          <w:rFonts w:cs="Times New Roman"/>
        </w:rPr>
        <w:t>sensitive to</w:t>
      </w:r>
      <w:r w:rsidRPr="00AA3319">
        <w:rPr>
          <w:rFonts w:cs="Times New Roman"/>
        </w:rPr>
        <w:t xml:space="preserve"> vegetation liquid water </w:t>
      </w:r>
      <w:r w:rsidRPr="00AA3319">
        <w:rPr>
          <w:rFonts w:cs="Times New Roman"/>
        </w:rPr>
        <w:fldChar w:fldCharType="begin"/>
      </w:r>
      <w:r w:rsidR="00D5378A" w:rsidRPr="00AA3319">
        <w:rPr>
          <w:rFonts w:cs="Times New Roman"/>
        </w:rPr>
        <w:instrText xml:space="preserve"> ADDIN ZOTERO_ITEM CSL_CITATION {"citationID":"rmuzcXLt","properties":{"formattedCitation":"(Gao, 1996)","plainCitation":"(Gao, 1996)","noteIndex":0},"citationItems":[{"id":1686,"uris":["http://zotero.org/users/5456909/items/Y594I9NP"],"uri":["http://zotero.org/users/5456909/items/Y594I9NP"],"itemData":{"id":1686,"type":"article-journal","abstract":"The normalized difference vegetation index (NDVI) has been widely used for remote sensing of vegetation for many years. This index uses radiances or reflectances from a red channel around 0.66 μm and a near-IR channel around 0.86 μm. The red channel is located in the strong chlorophyll absorption region, while the near-IR channel is located in the high reflectance plateau of vegetation canopies. The two channels sense very different depths through vegetation canopies. In this article, another index, namely the normalized difference water index (NDWI), is proposed for remote sensing of vegetation liquid water from space. NDWI is defined as (p(0.86 μm) - ρ(1.24 μm))/(ρ(0.86 μm) + ρ(1.24 μm)), where ρ represents the radiance in reflectance units. Both the 0.86-μm and the 1.24-μm channels are located in the high reflectance plateau of vegetation canopies. They sense similar depths through vegetation canopies. They sense similar depths through vegetation canopies. Absorption by vegetation liquid water near 0.86 μm is negligible. Weak liquid absorption at 1.24 μm is present. Canopy scattering enhances the water absorption. As a result, NDWI is sensitive to changes in liquid water content of vegetation canopies. Atmospheric aerosol scattering effects in the 0.86-1.24 μm region are weak. NDWI is less sensitive to atmospheric effects than NDVI. NDWI does not remove completely the background soil reflectance effects, similar to NDVI. Because the information about vegetation canopies contained in the 1.24-μm channel is very different from that contained in the red channel near 0.66 μm. NDWI should be considered as an independent vegetation index. It is complementary to, not a substitute for NDVI. Laboratory-measured reflectance of stacked green leaves, and spectral imaging data acquired with Airborne Visible Infrared Imaging Spectrometer (AVIRIS) over Jasper Ridge in California and the High Plains in northern Colorado, are used to demonstrate the usefulness of NDWI. Comparisons between NDWI and NDVI images are also given.","container-title":"Remote Sensing of Environment","ISSN":"0034-4257","issue":"3","page":"257-266","title":"NDWI - A normalized difference water index for remote sensing of vegetation liquid water from space","volume":"58","author":[{"family":"Gao","given":"Bo Cai"}],"issued":{"date-parts":[["1996"]]}}}],"schema":"https://github.com/citation-style-language/schema/raw/master/csl-citation.json"} </w:instrText>
      </w:r>
      <w:r w:rsidRPr="00AA3319">
        <w:rPr>
          <w:rFonts w:cs="Times New Roman"/>
        </w:rPr>
        <w:fldChar w:fldCharType="separate"/>
      </w:r>
      <w:r w:rsidR="002B37C7" w:rsidRPr="00AA3319">
        <w:rPr>
          <w:rFonts w:cs="Times New Roman"/>
        </w:rPr>
        <w:t>(Gao, 1996)</w:t>
      </w:r>
      <w:r w:rsidRPr="00AA3319">
        <w:rPr>
          <w:rFonts w:cs="Times New Roman"/>
        </w:rPr>
        <w:fldChar w:fldCharType="end"/>
      </w:r>
      <w:r w:rsidR="00B3384F">
        <w:rPr>
          <w:rFonts w:cs="Times New Roman"/>
        </w:rPr>
        <w:t>.</w:t>
      </w:r>
      <w:r w:rsidRPr="00AA3319">
        <w:rPr>
          <w:rFonts w:cs="Times New Roman"/>
        </w:rPr>
        <w:t xml:space="preserve"> </w:t>
      </w:r>
      <w:r w:rsidR="00B3384F">
        <w:rPr>
          <w:rFonts w:cs="Times New Roman"/>
        </w:rPr>
        <w:t>Based on the</w:t>
      </w:r>
      <w:r w:rsidRPr="00AA3319">
        <w:rPr>
          <w:rFonts w:cs="Times New Roman"/>
        </w:rPr>
        <w:t xml:space="preserve"> results presented here, </w:t>
      </w:r>
      <w:r w:rsidR="00B3384F">
        <w:rPr>
          <w:rFonts w:cs="Times New Roman"/>
        </w:rPr>
        <w:t xml:space="preserve">it is </w:t>
      </w:r>
      <w:r w:rsidRPr="00AA3319">
        <w:rPr>
          <w:rFonts w:cs="Times New Roman"/>
        </w:rPr>
        <w:t xml:space="preserve">a useful metric to relate moisture available across landscapes to mosquito-borne diseases. Inter-annual variability of spring-time NDMI predicted WNV cases in South Dakota, NDMI during dry season and transition season was related to malaria in Ethiopia, and NDMI values a week prior to the trap date explained differences in vector mosquito abundances in Norman, Oklahoma. In </w:t>
      </w:r>
      <w:r w:rsidR="00B3384F">
        <w:rPr>
          <w:rFonts w:cs="Times New Roman"/>
        </w:rPr>
        <w:t>all</w:t>
      </w:r>
      <w:r w:rsidR="00B3384F" w:rsidRPr="00AA3319">
        <w:rPr>
          <w:rFonts w:cs="Times New Roman"/>
        </w:rPr>
        <w:t xml:space="preserve"> </w:t>
      </w:r>
      <w:r w:rsidRPr="00AA3319">
        <w:rPr>
          <w:rFonts w:cs="Times New Roman"/>
        </w:rPr>
        <w:t xml:space="preserve">of these </w:t>
      </w:r>
      <w:r w:rsidR="00B3384F">
        <w:rPr>
          <w:rFonts w:cs="Times New Roman"/>
        </w:rPr>
        <w:t>examples</w:t>
      </w:r>
      <w:r w:rsidRPr="00AA3319">
        <w:rPr>
          <w:rFonts w:cs="Times New Roman"/>
        </w:rPr>
        <w:t>, this measure of vegetation moisture was able to explain aspects of the observed patterns, even though it only indirectly captures water availability in the landscape and does not directly provide information on available breeding sites.</w:t>
      </w:r>
    </w:p>
    <w:p w14:paraId="5843B89D" w14:textId="5F619C92" w:rsidR="00BD0CD5" w:rsidRPr="00AA3319" w:rsidRDefault="00BD0CD5" w:rsidP="00BD0CD5">
      <w:pPr>
        <w:rPr>
          <w:rFonts w:cs="Times New Roman"/>
        </w:rPr>
      </w:pPr>
      <w:r w:rsidRPr="00AA3319">
        <w:rPr>
          <w:rFonts w:cs="Times New Roman"/>
        </w:rPr>
        <w:t xml:space="preserve">Also notable were significant difference in the influence of settlement structure or presence of developed urban land between the three case studies. Whether settlements </w:t>
      </w:r>
      <w:r w:rsidR="00B3384F">
        <w:rPr>
          <w:rFonts w:cs="Times New Roman"/>
        </w:rPr>
        <w:t>were</w:t>
      </w:r>
      <w:r w:rsidR="00B3384F" w:rsidRPr="00AA3319">
        <w:rPr>
          <w:rFonts w:cs="Times New Roman"/>
        </w:rPr>
        <w:t xml:space="preserve"> </w:t>
      </w:r>
      <w:r w:rsidRPr="00AA3319">
        <w:rPr>
          <w:rFonts w:cs="Times New Roman"/>
        </w:rPr>
        <w:t>clustered or dispersed across the landscape influenced malaria transmission differently in the two study areas in Ethiopia</w:t>
      </w:r>
      <w:r w:rsidR="00B3384F">
        <w:rPr>
          <w:rFonts w:cs="Times New Roman"/>
        </w:rPr>
        <w:t>.</w:t>
      </w:r>
      <w:r w:rsidR="00B3384F" w:rsidRPr="00AA3319">
        <w:rPr>
          <w:rFonts w:cs="Times New Roman"/>
        </w:rPr>
        <w:t xml:space="preserve"> </w:t>
      </w:r>
      <w:r w:rsidR="00B3384F">
        <w:rPr>
          <w:rFonts w:cs="Times New Roman"/>
        </w:rPr>
        <w:t>T</w:t>
      </w:r>
      <w:r w:rsidRPr="00AA3319">
        <w:rPr>
          <w:rFonts w:cs="Times New Roman"/>
        </w:rPr>
        <w:t>he risk of WNV in South Dakota was higher in rural areas with pastoral land than in urban areas</w:t>
      </w:r>
      <w:r w:rsidR="00B3384F">
        <w:rPr>
          <w:rFonts w:cs="Times New Roman"/>
        </w:rPr>
        <w:t>. In addition,</w:t>
      </w:r>
      <w:r w:rsidR="00B3384F" w:rsidRPr="00AA3319">
        <w:rPr>
          <w:rFonts w:cs="Times New Roman"/>
        </w:rPr>
        <w:t xml:space="preserve"> </w:t>
      </w:r>
      <w:r w:rsidRPr="00AA3319">
        <w:rPr>
          <w:rFonts w:cs="Times New Roman"/>
        </w:rPr>
        <w:t>the coverage of impervious surface</w:t>
      </w:r>
      <w:r w:rsidR="00B3384F">
        <w:rPr>
          <w:rFonts w:cs="Times New Roman"/>
        </w:rPr>
        <w:t>s</w:t>
      </w:r>
      <w:r w:rsidRPr="00AA3319">
        <w:rPr>
          <w:rFonts w:cs="Times New Roman"/>
        </w:rPr>
        <w:t xml:space="preserve"> around mosquito traps had a positive effect on the abundance of the two vector species </w:t>
      </w:r>
      <w:r w:rsidRPr="00AA3319">
        <w:rPr>
          <w:rFonts w:cs="Times New Roman"/>
          <w:i/>
        </w:rPr>
        <w:t xml:space="preserve">Ae. albopictus </w:t>
      </w:r>
      <w:r w:rsidRPr="00AA3319">
        <w:rPr>
          <w:rFonts w:cs="Times New Roman"/>
          <w:iCs/>
        </w:rPr>
        <w:t xml:space="preserve">and </w:t>
      </w:r>
      <w:r w:rsidRPr="00AA3319">
        <w:rPr>
          <w:rFonts w:cs="Times New Roman"/>
          <w:i/>
          <w:iCs/>
        </w:rPr>
        <w:t>Cx. quinquefasciatus</w:t>
      </w:r>
      <w:r w:rsidR="00B3384F">
        <w:rPr>
          <w:rFonts w:cs="Times New Roman"/>
          <w:iCs/>
        </w:rPr>
        <w:t xml:space="preserve"> in Norman, Oklahoma</w:t>
      </w:r>
      <w:r w:rsidRPr="00AA3319">
        <w:rPr>
          <w:rFonts w:cs="Times New Roman"/>
        </w:rPr>
        <w:t xml:space="preserve">. </w:t>
      </w:r>
      <w:r w:rsidR="00B3384F">
        <w:rPr>
          <w:rFonts w:cs="Times New Roman"/>
        </w:rPr>
        <w:t xml:space="preserve">These relationships are </w:t>
      </w:r>
      <w:r w:rsidRPr="00AA3319">
        <w:rPr>
          <w:rFonts w:cs="Times New Roman"/>
        </w:rPr>
        <w:t>relevant as we expect global land cover and land use change</w:t>
      </w:r>
      <w:r w:rsidR="00B3384F">
        <w:rPr>
          <w:rFonts w:cs="Times New Roman"/>
        </w:rPr>
        <w:t xml:space="preserve"> to continue</w:t>
      </w:r>
      <w:r w:rsidRPr="00AA3319">
        <w:rPr>
          <w:rFonts w:cs="Times New Roman"/>
        </w:rPr>
        <w:t xml:space="preserve"> </w:t>
      </w:r>
      <w:r w:rsidRPr="00AA3319">
        <w:rPr>
          <w:rFonts w:cs="Times New Roman"/>
        </w:rPr>
        <w:fldChar w:fldCharType="begin"/>
      </w:r>
      <w:r w:rsidR="006B043F" w:rsidRPr="00AA3319">
        <w:rPr>
          <w:rFonts w:cs="Times New Roman"/>
        </w:rPr>
        <w:instrText xml:space="preserve"> ADDIN ZOTERO_ITEM CSL_CITATION {"citationID":"0nW3TgeS","properties":{"formattedCitation":"(Pielke, 2005)","plainCitation":"(Pielke, 2005)","noteIndex":0},"citationItems":[{"id":4563,"uris":["http://zotero.org/users/5456909/items/TWU3ZURJ"],"uri":["http://zotero.org/users/5456909/items/TWU3ZURJ"],"itemData":{"id":4563,"type":"article-journal","abstract":"&lt;p&gt; Although the presence of greenhouse gases in the atmosphere is the best known impact of human activity on climate change, variations in land use and surface cover may be of equal importance. In his Perspective, Pielke discusses results reported in the same issue by Feddema &lt;i&gt;et al.&lt;/i&gt; in which changes in land cover--for example, from agricultural development--were included in climate simulations. One result of the simulation is that conversion of forest to agriculture in the model in the Amazon region leads to local temperature increases comparable to that simulated as being due to the radiative effect of the addition of carbon dioxide into the atmosphere. According to Pielke, the calculations suggest that all of the complex range of effects of the human disturbance of climate need to be considered in order to understand the human influence on climate, rather than focusing on a subset of the human disturbances. &lt;/p&gt;","container-title":"Science","issue":"5754","language":"en","note":"publisher: American Association for the Advancement of Science\nsection: Perspective\nPMID: 16339435","page":"1625-1626","source":"science.sciencemag.org","title":"Land Use and Climate Change","volume":"310","author":[{"family":"Pielke","given":"Roger A."}],"issued":{"date-parts":[["2005",12,9]]}}}],"schema":"https://github.com/citation-style-language/schema/raw/master/csl-citation.json"} </w:instrText>
      </w:r>
      <w:r w:rsidRPr="00AA3319">
        <w:rPr>
          <w:rFonts w:cs="Times New Roman"/>
        </w:rPr>
        <w:fldChar w:fldCharType="separate"/>
      </w:r>
      <w:r w:rsidR="002B37C7" w:rsidRPr="00AA3319">
        <w:rPr>
          <w:rFonts w:cs="Times New Roman"/>
        </w:rPr>
        <w:t>(Pielke, 2005)</w:t>
      </w:r>
      <w:r w:rsidRPr="00AA3319">
        <w:rPr>
          <w:rFonts w:cs="Times New Roman"/>
        </w:rPr>
        <w:fldChar w:fldCharType="end"/>
      </w:r>
      <w:r w:rsidRPr="00AA3319">
        <w:rPr>
          <w:rFonts w:cs="Times New Roman"/>
        </w:rPr>
        <w:t xml:space="preserve">, particularly with further population growth and the expansion of urban areas </w:t>
      </w:r>
      <w:r w:rsidRPr="00AA3319">
        <w:rPr>
          <w:rFonts w:cs="Times New Roman"/>
        </w:rPr>
        <w:fldChar w:fldCharType="begin"/>
      </w:r>
      <w:r w:rsidR="001B184A" w:rsidRPr="00AA3319">
        <w:rPr>
          <w:rFonts w:cs="Times New Roman"/>
        </w:rPr>
        <w:instrText xml:space="preserve"> ADDIN ZOTERO_ITEM CSL_CITATION {"citationID":"0fJVyhLD","properties":{"formattedCitation":"(UNDESA, 2019)","plainCitation":"(UNDESA, 2019)","noteIndex":0},"citationItems":[{"id":4569,"uris":["http://zotero.org/users/5456909/items/2XGLL2DA"],"uri":["http://zotero.org/users/5456909/items/2XGLL2DA"],"itemData":{"id":4569,"type":"book","ISBN":"978-92-1-148319-2","language":"en","note":"OCLC: 1120698127","source":"Open WorldCat","title":"World urbanization prospects: the 2018 revision","title-short":"World urbanization prospects","author":[{"literal":"UNDESA"}],"issued":{"date-parts":[["2019"]]}}}],"schema":"https://github.com/citation-style-language/schema/raw/master/csl-citation.json"} </w:instrText>
      </w:r>
      <w:r w:rsidRPr="00AA3319">
        <w:rPr>
          <w:rFonts w:cs="Times New Roman"/>
        </w:rPr>
        <w:fldChar w:fldCharType="separate"/>
      </w:r>
      <w:r w:rsidR="002B37C7" w:rsidRPr="00AA3319">
        <w:rPr>
          <w:rFonts w:cs="Times New Roman"/>
        </w:rPr>
        <w:t xml:space="preserve">(UNDESA, </w:t>
      </w:r>
      <w:r w:rsidR="002B37C7" w:rsidRPr="00AA3319">
        <w:rPr>
          <w:rFonts w:cs="Times New Roman"/>
        </w:rPr>
        <w:lastRenderedPageBreak/>
        <w:t>2019)</w:t>
      </w:r>
      <w:r w:rsidRPr="00AA3319">
        <w:rPr>
          <w:rFonts w:cs="Times New Roman"/>
        </w:rPr>
        <w:fldChar w:fldCharType="end"/>
      </w:r>
      <w:r w:rsidRPr="00AA3319">
        <w:rPr>
          <w:rFonts w:cs="Times New Roman"/>
        </w:rPr>
        <w:t xml:space="preserve">. Knowing how urbanization influences disease transmission and how </w:t>
      </w:r>
      <w:r w:rsidR="00B3384F">
        <w:rPr>
          <w:rFonts w:cs="Times New Roman"/>
        </w:rPr>
        <w:t>these relationships</w:t>
      </w:r>
      <w:r w:rsidR="00B3384F" w:rsidRPr="00AA3319">
        <w:rPr>
          <w:rFonts w:cs="Times New Roman"/>
        </w:rPr>
        <w:t xml:space="preserve"> </w:t>
      </w:r>
      <w:r w:rsidRPr="00AA3319">
        <w:rPr>
          <w:rFonts w:cs="Times New Roman"/>
        </w:rPr>
        <w:t xml:space="preserve">depend on the ecology of the mosquito species as well as the social and economic context will help us identify future areas </w:t>
      </w:r>
      <w:r w:rsidR="00B3384F">
        <w:rPr>
          <w:rFonts w:cs="Times New Roman"/>
        </w:rPr>
        <w:t>at</w:t>
      </w:r>
      <w:r w:rsidR="00B3384F" w:rsidRPr="00AA3319">
        <w:rPr>
          <w:rFonts w:cs="Times New Roman"/>
        </w:rPr>
        <w:t xml:space="preserve"> </w:t>
      </w:r>
      <w:r w:rsidRPr="00AA3319">
        <w:rPr>
          <w:rFonts w:cs="Times New Roman"/>
        </w:rPr>
        <w:t xml:space="preserve">risk of mosquito-borne diseases.  </w:t>
      </w:r>
    </w:p>
    <w:p w14:paraId="390E3E7F" w14:textId="77777777" w:rsidR="00BD0CD5" w:rsidRPr="00AA3319" w:rsidRDefault="00BD0CD5" w:rsidP="004727C7">
      <w:pPr>
        <w:pStyle w:val="Heading3"/>
        <w:rPr>
          <w:rFonts w:cs="Times New Roman"/>
        </w:rPr>
      </w:pPr>
      <w:bookmarkStart w:id="141" w:name="_Toc78889223"/>
      <w:r w:rsidRPr="00AA3319">
        <w:rPr>
          <w:rFonts w:cs="Times New Roman"/>
        </w:rPr>
        <w:t>The importance of landscape context</w:t>
      </w:r>
      <w:bookmarkEnd w:id="141"/>
    </w:p>
    <w:p w14:paraId="72805158" w14:textId="2B1A9BCD" w:rsidR="00BD0CD5" w:rsidRPr="00AA3319" w:rsidRDefault="00BD0CD5" w:rsidP="00BD0CD5">
      <w:pPr>
        <w:rPr>
          <w:rFonts w:cs="Times New Roman"/>
        </w:rPr>
      </w:pPr>
      <w:r w:rsidRPr="00AA3319">
        <w:rPr>
          <w:rFonts w:cs="Times New Roman"/>
        </w:rPr>
        <w:t xml:space="preserve">Climatic variables, most notably temperature, precipitation, and </w:t>
      </w:r>
      <w:r w:rsidR="00565E42">
        <w:rPr>
          <w:rFonts w:cs="Times New Roman"/>
        </w:rPr>
        <w:t xml:space="preserve">relative </w:t>
      </w:r>
      <w:r w:rsidRPr="00AA3319">
        <w:rPr>
          <w:rFonts w:cs="Times New Roman"/>
        </w:rPr>
        <w:t xml:space="preserve">humidity, are important factors in variation of disease cases or mosquito abundances. However, it is worth noting that their influence must be evaluated in the context of a given landscape. On a regional scale in the Amhara region of Ethiopia, the transmission risk was mostly influenced by seasonal vegetation and surface moisture conditions, as well as settlement structure. Although temperature and precipitation also influenced disease risk, those effects were only secondary after the effect of the landscape setting. At </w:t>
      </w:r>
      <w:r w:rsidR="00BF4D7D">
        <w:rPr>
          <w:rFonts w:cs="Times New Roman"/>
        </w:rPr>
        <w:t xml:space="preserve">the </w:t>
      </w:r>
      <w:r w:rsidRPr="00AA3319">
        <w:rPr>
          <w:rFonts w:cs="Times New Roman"/>
        </w:rPr>
        <w:t>state-level in South Dakota, the combined model showed that elevation was the most important variable. Even though climatic variables such as relative humidity and precipitation were identified as important variables, the disease risk patterns across the landscape strongly followed the pattern of low-lying rural areas within the James River valley which are dominated by pastoral landscapes with high ponding frequency. On a municipal scale in Norman, Oklahoma, the spatial patterns of mosquito abundance followed land cover differences between trap sites, whereas climatic variables mostly explained inter-annual variation. These findings suggest that in areas where climatic conditions are not a limiting factor, the composition of a landscape is important in explaining potential disease risk.</w:t>
      </w:r>
    </w:p>
    <w:p w14:paraId="3FBD9A8D" w14:textId="7A8765BF" w:rsidR="00BD0CD5" w:rsidRPr="00AA3319" w:rsidRDefault="00BD0CD5" w:rsidP="00BD0CD5">
      <w:pPr>
        <w:rPr>
          <w:rFonts w:cs="Times New Roman"/>
        </w:rPr>
      </w:pPr>
      <w:r w:rsidRPr="00AA3319">
        <w:rPr>
          <w:rFonts w:cs="Times New Roman"/>
        </w:rPr>
        <w:t xml:space="preserve">The knowledge of the relevance of land cover and physiography for mosquito-borne disease transmission is also crucial when we try to evaluate potential future spread of vector mosquitoes and the diseases they can transmit. Even though the changing range of </w:t>
      </w:r>
      <w:r w:rsidRPr="00AA3319">
        <w:rPr>
          <w:rFonts w:cs="Times New Roman"/>
        </w:rPr>
        <w:lastRenderedPageBreak/>
        <w:t xml:space="preserve">mosquito populations and areas of potential disease transmission was outside the scope of this dissertation, it is important to point out the implications of these results for research that projects future risk of mosquito-borne diseases or future habitat ranges of vector mosquitoes. Many studies are already taking on the challenging task of predicting the potential spread of vector borne diseases or disease vectors in response to climate change </w:t>
      </w:r>
      <w:r w:rsidRPr="00AA3319">
        <w:rPr>
          <w:rFonts w:cs="Times New Roman"/>
        </w:rPr>
        <w:fldChar w:fldCharType="begin"/>
      </w:r>
      <w:r w:rsidR="006B043F" w:rsidRPr="00AA3319">
        <w:rPr>
          <w:rFonts w:cs="Times New Roman"/>
        </w:rPr>
        <w:instrText xml:space="preserve"> ADDIN ZOTERO_ITEM CSL_CITATION {"citationID":"sE0MlB8C","properties":{"formattedCitation":"(Brown et al., 2015; Fischer et al., 2013; Paz, 2015; Ryan et al., 2019)","plainCitation":"(Brown et al., 2015; Fischer et al., 2013; Paz, 2015; Ryan et al., 2019)","noteIndex":0},"citationItems":[{"id":1738,"uris":["http://zotero.org/users/5456909/items/YRMRRG4Y"],"uri":["http://zotero.org/users/5456909/items/YRMRRG4Y"],"itemData":{"id":1738,"type":"article-journal","abstract":"While estimates of the impact of climate change on health are necessary for health care planners and climate change policy makers, models to produce quantitative estimates remain scarce. This study describes a freely available dynamic simulation model parameterized for three West Nile virus vectors, which provides an effective tool for studying vectorborne disease risk due to climate change. The Dynamic Mosquito Simulation Model is parame-terized with species-specific temperature-dependent development and mortality rates. Using downscaled daily weather data, this study estimates mosquito population dynamics under current and projected future climate scenarios for multiple locations across the country. Trends in mosquito abundance were variable by location; however, an extension of the vector activity periods, and by extension disease risk, was almost uniformly observed. Importantly, mid-summer decreases in abundance may be offset by shorter extrinsic incubation periods, resulting in a greater proportion of infective mosquitoes. Quantitative descriptions of the effect of temperature on the virus and mosquito are critical to developing models of future disease risk.","container-title":"Earth Interactions","issue":"18","page":"1-18","title":"Projection of climate change influences on U.S. West Nile virus vectors","volume":"19","author":[{"family":"Brown","given":"Heidi E"},{"family":"Young","given":"Alex"},{"family":"Lega","given":"Joceline"},{"family":"Andreadis","given":"Theodore G"},{"family":"Schurich","given":"Jessica"},{"family":"Comrie","given":"Andrew"}],"issued":{"date-parts":[["2015"]]}}},{"id":2170,"uris":["http://zotero.org/users/5456909/items/47FUSS5J"],"uri":["http://zotero.org/users/5456909/items/47FUSS5J"],"itemData":{"id":2170,"type":"article-journal","abstract":"BACKGROUND: Chikungunya was, from the European perspective, considered to be a travel-related tropical mosquito-borne disease prior to the first European outbreak in Northern Italy in 2007. This was followed by cases of autochthonous transmission reported in South-eastern France in 2010. Both events occurred after the introduction, establishment and expansion of the Chikungunya-competent and highly invasive disease vector Aedes albopictus (Asian tiger mosquito) in Europe. In order to assess whether these outbreaks are indicative of the beginning of a trend or one-off events, there is a need to further examine the factors driving the potential transmission of Chikungunya in Europe. The climatic suitability, both now and in the future, is an essential starting point for such an analysis.\\n\\nMETHODS: The climatic suitability for Chikungunya outbreaks was determined by using bioclimatic factors that influence, both vector and, pathogen. Climatic suitability for the European distribution of the vector Aedes albopictus was based upon previous correlative environmental niche models. Climatic risk classes were derived by combining climatic suitability for the vector with known temperature requirements for pathogen transmission, obtained from outbreak regions. In addition, the longest potential intra-annual season for Chikungunya transmission was estimated for regions with expected vector occurrences.In order to analyse spatio-temporal trends for risk exposure and season of transmission in Europe, climate change impacts are projected for three time-frames (2011-2040, 2041-2070 and 2071-2100) and two climate scenarios (A1B and B1) from the Intergovernmental Panel on Climate Change (IPCC). These climatic projections are based on regional climate model COSMO-CLM, which builds on the global model ECHAM5.\\n\\nRESULTS: European areas with current and future climatic suitability of Chikungunya transmission are identified. An increase in risk is projected for Western Europe (e.g. France and Benelux-States) in the first half of the 21st century and from mid-century onwards for central parts of Europe (e.g. Germany). Interestingly, the southernmost parts of Europe do not generally provide suitable conditions in these projections. Nevertheless, many Mediterranean regions will persist to be climatically suitable for transmission. Overall, the highest risk of transmission by the end of the 21st century was projected for France, Northern Italy and the Pannonian Basin (East-Central Europe). This general tendency is depicted in both, the A1B and B1 climate change scenarios.\\n\\nCONCLUSION: In order to guide preparedness for further outbreaks, it is crucial to anticipate risk as to identify areas where specific public health measures, such as surveillance and vector control, can be implemented. However, public health practitioners need to be aware that climate is only one factor driving the transmission of vector-borne disease.","container-title":"International Journal of Health Geographics","ISSN":"1476-072X (Electronic)\\n1476-072X (Linking)","issue":"51","page":"1-12","title":"Climate change effects on Chikungunya transmission in Europe: Geospatial analysis of vector's climatic suitability and virus' temperature requirements.","volume":"12","author":[{"family":"Fischer","given":"Dominik"},{"family":"Thomas","given":"Stephanie M"},{"family":"Suk","given":"Jonathan E"},{"family":"Sudre","given":"Bertrand"},{"family":"Hess","given":"Andrea"},{"family":"Tjaden","given":"Nils B"},{"family":"Beierkuhnlein","given":"Carl"},{"family":"Semenza","given":"Jan C"}],"issued":{"date-parts":[["2013"]]}}},{"id":979,"uris":["http://zotero.org/users/5456909/items/58CU3BS9"],"uri":["http://zotero.org/users/5456909/items/58CU3BS9"],"itemData":{"id":979,"type":"article-journal","abstract":"West Nile virus (WNV), the most widely distributed virus of the encephalitic flaviviruses, is a vector-borne pathogen of global importance. The transmission cycle exists in rural and urban areas where the virus infects birds, humans, horses and other mammals. Multiple factors impact the transmission and distribution of WNV, related to the dynamics and interactions between pathogen, vector, vertebrate hosts and environment. Hence, among other drivers, weather conditions have direct and indirect influences on vector competence (the ability to acquire, maintain and transmit the virus), on the vector population dynamic and on the virus replication rate within the mosquito, which are mostly weather dependent. The importance of climatic factors (temperature, precipitation, relative humidity and winds) as drivers in WNV epidemiology is increasing under conditions of climate change. Indeed, recent changes in climatic conditions, particularly increased ambient temperature and fluctuations in rainfall amounts, contributed to the maintenance (endemization process) of WNV in various locations in southern Europe, western Asia, the eastern Mediterranean, the Canadian Prairies, parts of the USA and Australia. As predictions show that the current trends are expected to continue, for better preparedness, any assessment of future transmission of WNV should take into consideration the impacts of climate change.","container-title":"Philosophical transactions of the Royal Society of London. Series B, Biological sciences","issue":"1665","page":"20130561-20130561","title":"Climate change impacts on West Nile virus transmission in a global context.","volume":"370","author":[{"family":"Paz","given":"Shlomit"}],"issued":{"date-parts":[["2015",4]]}}},{"id":3262,"uris":["http://zotero.org/users/5456909/items/AY8VF2QS"],"uri":["http://zotero.org/users/5456909/items/AY8VF2QS"],"itemData":{"id":3262,"type":"article-journal","abstract":"Forecasting the impacts of climate change on Aedes-borne viruses—especially dengue, chikungunya, and Zika—is a key component of public health preparedness. We apply an empirically parameterized model of viral transmission by the vectors Aedes aegypti and Ae. albopictus, as a function of temperature, to predict cumulative monthly global transmission risk in current climates, and compare them with projected risk in 2050 and 2080 based on general circulation models (GCMs). Our results show that if mosquito range shifts track optimal temperature ranges for transmission (21.3–34.0°C for Ae. aegypti; 19.9–29.4°C for Ae. albopictus), we can expect poleward shifts in Aedes-borne virus distributions. However, the differing thermal niches of the two vectors produce different patterns of shifts under climate change. More severe climate change scenarios produce larger population exposures to transmission by Ae. aegypti, but not by Ae. albopictus in the most extreme cases. Climate-driven risk o</w:instrText>
      </w:r>
      <w:r w:rsidR="006B043F" w:rsidRPr="00AA3319">
        <w:rPr>
          <w:rFonts w:cs="Times New Roman"/>
          <w:lang w:val="de-DE"/>
        </w:rPr>
        <w:instrText xml:space="preserve">f transmission from both mosquitoes will increase substantially, even in the short term, for most of Europe. In contrast, significant reductions in climate suitability are expected for Ae. albopictus, most noticeably in southeast Asia and west Africa. Within the next century, nearly a billion people are threatened with new exposure to virus transmission by both Aedes spp. in the worst-case scenario. As major net losses in year-round transmission risk are predicted for Ae. albopictus, we project a global shift towards more seasonal risk across regions. Many other complicating factors (like mosquito range limits and viral evolution) exist, but overall our results indicate that while climate change will lead to increased net and new exposures to Aedes-borne viruses, the most extreme increases in Ae. albopictus transmission are predicted to occur at intermediate climate change scenarios.","container-title":"PLOS Neglected Tropical Diseases","issue":"3","journalAbbreviation":"PLOS Neglected Tropical Diseases","language":"en","page":"e0007213","source":"PLoS Journals","title":"Global expansion and redistribution of Aedes-borne virus transmission risk with climate change","volume":"13","author":[{"family":"Ryan","given":"Sadie J."},{"family":"Carlson","given":"Colin J."},{"family":"Mordecai","given":"Erin A."},{"family":"Johnson","given":"Leah R."}],"issued":{"date-parts":[["2019",3,28]]}}}],"schema":"https://github.com/citation-style-language/schema/raw/master/csl-citation.json"} </w:instrText>
      </w:r>
      <w:r w:rsidRPr="00AA3319">
        <w:rPr>
          <w:rFonts w:cs="Times New Roman"/>
        </w:rPr>
        <w:fldChar w:fldCharType="separate"/>
      </w:r>
      <w:r w:rsidR="002B37C7" w:rsidRPr="00AA3319">
        <w:rPr>
          <w:rFonts w:cs="Times New Roman"/>
          <w:lang w:val="de-DE"/>
        </w:rPr>
        <w:t>(Brown et al., 2015; Fischer et al., 2013; Paz, 2015; Ryan et al., 2019)</w:t>
      </w:r>
      <w:r w:rsidRPr="00AA3319">
        <w:rPr>
          <w:rFonts w:cs="Times New Roman"/>
        </w:rPr>
        <w:fldChar w:fldCharType="end"/>
      </w:r>
      <w:r w:rsidRPr="00AA3319">
        <w:rPr>
          <w:rFonts w:cs="Times New Roman"/>
          <w:lang w:val="de-DE"/>
        </w:rPr>
        <w:t xml:space="preserve">. </w:t>
      </w:r>
      <w:r w:rsidRPr="00AA3319">
        <w:rPr>
          <w:rFonts w:cs="Times New Roman"/>
        </w:rPr>
        <w:t xml:space="preserve">However, there is increasing evidence that the influence of climate factors on disease transmission depends on the geographic context </w:t>
      </w:r>
      <w:r w:rsidRPr="00AA3319">
        <w:rPr>
          <w:rFonts w:cs="Times New Roman"/>
        </w:rPr>
        <w:fldChar w:fldCharType="begin"/>
      </w:r>
      <w:r w:rsidR="00701ADA" w:rsidRPr="00AA3319">
        <w:rPr>
          <w:rFonts w:cs="Times New Roman"/>
        </w:rPr>
        <w:instrText xml:space="preserve"> ADDIN ZOTERO_ITEM CSL_CITATION {"citationID":"05u0PqTA","properties":{"formattedCitation":"(Olson et al., 2009; Skaff and Cheruvelil, 2016)","plainCitation":"(Olson et al., 2009; Skaff and Cheruvelil, 2016)","noteIndex":0},"citationItems":[{"id":1507,"uris":["http://zotero.org/users/5456909/items/2VK6DSF2"],"uri":["http://zotero.org/users/5456909/items/2VK6DSF2"],"itemData":{"id":1507,"type":"article-journal","abstract":"Climate changes are altering patterns of temperature and precipitation, potentially affecting regions of malaria transmission. We show that areas of the Amazon Basin with few wetlands show a variable relationship between precipitation and malaria, while areas with extensive wetlands show a negative relationship with malaria incidence.","container-title":"Emerging Infectious Diseases","issue":"4","page":"659-662","title":"Links between climate, malaria, and wetlands in the amazon basin","volume":"15","author":[{"family":"Olson","given":"Sarah H."},{"family":"Gangnon","given":"Ronald"},{"family":"Elguero","given":"Eric"},{"family":"Durieux","given":"Laurent"},{"family":"Guégan","given":"Jean François"},{"family":"Foley","given":"Jonathan A."},{"family":"Patz","given":"Jonathan A."}],"issued":{"date-parts":[["2009"]]}}},{"id":1261,"uris":["http://zotero.org/users/5456909/items/XM9NFCYI"],"uri":["http://zotero.org/users/5456909/items/XM9NFCYI"],"itemData":{"id":1261,"type":"article-journal","abstract":"Context: Mosquito-borne diseases in the United States are notorious for their seemingly erratic temporal and spatial outbreak patterns in humans. Identifying linkages between fine-scale phenomenon and macroscale outbreak patterns can improve the understanding of these complex socio-ecological systems. Objectives: Using West Nile virus (WNV) as a model system, we examine whether fine-scale wetland characteristics - wetland size, connectivity, and inundation regime - have an important effect on macroscale human disease outbreak in the northeastern and midwestern United States. Methods: We take a spatially explicit GIS-based approach, derive new macroscale wetland metrics based on fine-scale wetland characteristics, and use county-level annual human WNV incidence data over 11 years to evaluate linkages between the fine and macroscales (1.6 million km2). Results: In regions dominated by the Culex tarsalis WNV vector, U.S. counties with a small average wetland size had more than 100% higher human WNV incidence than counties with a large average wetland size. In regions dominated by the Cx. pipiens and Cx. restuans vectors, a low proportional area of connected wetland was associated with at least 50% higher human WNV incidence than a high proportional area of connected wetland. Finally, Cx. tarsalis-dominated counties with a high proportional area of semi-permanent wetland that were experiencing drought conditions had over 300% higher annual WNV incidence than drought-affected counties with a low proportional area of semi-permanent wetland. Conclusions: Our results suggest that phenomena occurring at the individual wetland scale may aggregate to influence macroscale human WNV outbreak patterns and may be mediated by the interplay of other factors such as vector species-specific traits and climate.","container-title":"Landscape Ecology","ISSN":"0921-2973","issue":"7","page":"1615-1628","title":"Fine-scale wetland features mediate vector and climate-dependent macroscale patterns in human West Nile virus incidence","volume":"31","author":[{"family":"Skaff","given":"Nicholas Karam"},{"family":"Cheruvelil","given":"Kendra Spence"}],"issued":{"date-parts":[["2016",9]]}}}],"schema":"https://github.com/citation-style-language/schema/raw/master/csl-citation.json"} </w:instrText>
      </w:r>
      <w:r w:rsidRPr="00AA3319">
        <w:rPr>
          <w:rFonts w:cs="Times New Roman"/>
        </w:rPr>
        <w:fldChar w:fldCharType="separate"/>
      </w:r>
      <w:r w:rsidR="002B37C7" w:rsidRPr="00AA3319">
        <w:rPr>
          <w:rFonts w:cs="Times New Roman"/>
        </w:rPr>
        <w:t>(Olson et al., 2009; Skaff and Cheruvelil, 2016)</w:t>
      </w:r>
      <w:r w:rsidRPr="00AA3319">
        <w:rPr>
          <w:rFonts w:cs="Times New Roman"/>
        </w:rPr>
        <w:fldChar w:fldCharType="end"/>
      </w:r>
      <w:r w:rsidRPr="00AA3319">
        <w:rPr>
          <w:rFonts w:cs="Times New Roman"/>
        </w:rPr>
        <w:t xml:space="preserve">, indicating that future studies </w:t>
      </w:r>
      <w:r w:rsidR="007F0471">
        <w:rPr>
          <w:rFonts w:cs="Times New Roman"/>
        </w:rPr>
        <w:t>would</w:t>
      </w:r>
      <w:r w:rsidR="007F0471" w:rsidRPr="00AA3319">
        <w:rPr>
          <w:rFonts w:cs="Times New Roman"/>
        </w:rPr>
        <w:t xml:space="preserve"> </w:t>
      </w:r>
      <w:r w:rsidRPr="00AA3319">
        <w:rPr>
          <w:rFonts w:cs="Times New Roman"/>
        </w:rPr>
        <w:t xml:space="preserve">benefit from taking non-climatic factors into account when projecting shifts in ranges of mosquito-borne diseases </w:t>
      </w:r>
      <w:r w:rsidRPr="00AA3319">
        <w:rPr>
          <w:rFonts w:cs="Times New Roman"/>
        </w:rPr>
        <w:fldChar w:fldCharType="begin"/>
      </w:r>
      <w:r w:rsidR="002B37C7" w:rsidRPr="00AA3319">
        <w:rPr>
          <w:rFonts w:cs="Times New Roman"/>
        </w:rPr>
        <w:instrText xml:space="preserve"> ADDIN ZOTERO_ITEM CSL_CITATION {"citationID":"IwEva09Y","properties":{"formattedCitation":"(Rockl\\uc0\\u246{}v and Dubrow, 2020)","plainCitation":"(Rocklöv and Dubrow, 2020)","noteIndex":0},"citationItems":[{"id":4232,"uris":["http://zotero.org/users/5456909/items/BUWSIZEX"],"uri":["http://zotero.org/users/5456909/items/BUWSIZEX"],"itemData":{"id":4232,"type":"article-journal","abstract":"Climate change is already affecting vector-borne disease transmission and spread, and its impacts are likely to worsen. In the face of ongoing climate change, we must intensify efforts to prevent and control vector-borne diseases.","container-title":"Nature Immunology","issue":"5","language":"en","note":"number: 5\npublisher: Nature Publishing Group","page":"479-483","source":"www.nature.com","title":"Climate change: an enduring challenge for vector-borne disease prevention and control","title-short":"Climate change","volume":"21","author":[{"family":"Rocklöv","given":"Joacim"},{"family":"Dubrow","given":"Robert"}],"issued":{"date-parts":[["2020",5]]}}}],"schema":"https://github.com/citation-style-language/schema/raw/master/csl-citation.json"} </w:instrText>
      </w:r>
      <w:r w:rsidRPr="00AA3319">
        <w:rPr>
          <w:rFonts w:cs="Times New Roman"/>
        </w:rPr>
        <w:fldChar w:fldCharType="separate"/>
      </w:r>
      <w:r w:rsidR="002B37C7" w:rsidRPr="00AA3319">
        <w:rPr>
          <w:rFonts w:cs="Times New Roman"/>
          <w:szCs w:val="24"/>
        </w:rPr>
        <w:t>(Rocklöv and Dubrow, 2020)</w:t>
      </w:r>
      <w:r w:rsidRPr="00AA3319">
        <w:rPr>
          <w:rFonts w:cs="Times New Roman"/>
        </w:rPr>
        <w:fldChar w:fldCharType="end"/>
      </w:r>
      <w:r w:rsidRPr="00AA3319">
        <w:rPr>
          <w:rFonts w:cs="Times New Roman"/>
        </w:rPr>
        <w:t>. From the research presented here, these non-climatic factors include land cover, topography and hydrology. We suggest that projections on future spread of mosquitoes and mosquito-borne diseases</w:t>
      </w:r>
      <w:r w:rsidR="007F0471">
        <w:rPr>
          <w:rFonts w:cs="Times New Roman"/>
        </w:rPr>
        <w:t xml:space="preserve"> should</w:t>
      </w:r>
      <w:r w:rsidRPr="00AA3319">
        <w:rPr>
          <w:rFonts w:cs="Times New Roman"/>
        </w:rPr>
        <w:t xml:space="preserve"> take </w:t>
      </w:r>
      <w:r w:rsidR="007F0471">
        <w:rPr>
          <w:rFonts w:cs="Times New Roman"/>
        </w:rPr>
        <w:t>these factors</w:t>
      </w:r>
      <w:r w:rsidRPr="00AA3319">
        <w:rPr>
          <w:rFonts w:cs="Times New Roman"/>
        </w:rPr>
        <w:t xml:space="preserve"> into account to create more accurate predictions of where we can expect future disease outbreaks.</w:t>
      </w:r>
    </w:p>
    <w:p w14:paraId="67DED72E" w14:textId="77777777" w:rsidR="00BD0CD5" w:rsidRPr="00AA3319" w:rsidRDefault="00BD0CD5" w:rsidP="00BD0CD5">
      <w:pPr>
        <w:pStyle w:val="Heading3"/>
        <w:rPr>
          <w:rFonts w:cs="Times New Roman"/>
        </w:rPr>
      </w:pPr>
      <w:bookmarkStart w:id="142" w:name="_Toc78889224"/>
      <w:r w:rsidRPr="00AA3319">
        <w:rPr>
          <w:rFonts w:cs="Times New Roman"/>
        </w:rPr>
        <w:t>The case for remote sensing data in disease risk applications</w:t>
      </w:r>
      <w:bookmarkEnd w:id="142"/>
    </w:p>
    <w:p w14:paraId="6AF1F63F" w14:textId="77777777" w:rsidR="00BD0CD5" w:rsidRPr="00AA3319" w:rsidRDefault="00BD0CD5" w:rsidP="00BD0CD5">
      <w:pPr>
        <w:rPr>
          <w:rFonts w:cs="Times New Roman"/>
        </w:rPr>
      </w:pPr>
      <w:r w:rsidRPr="00AA3319">
        <w:rPr>
          <w:rFonts w:cs="Times New Roman"/>
        </w:rPr>
        <w:t xml:space="preserve">In addition to adding to the knowledge of complex associations between environmental conditions and disease risk, this study has highlighted some unique advantages of using remote sensing technology for this field of application. Remote sensing data has shown to be a valuable source of environmental information that can help us understand the risk of mosquito-borne diseases better. </w:t>
      </w:r>
    </w:p>
    <w:p w14:paraId="5F80B65C" w14:textId="21A91C93" w:rsidR="00BD0CD5" w:rsidRPr="00AA3319" w:rsidRDefault="00BD0CD5" w:rsidP="00BD0CD5">
      <w:pPr>
        <w:rPr>
          <w:rFonts w:cs="Times New Roman"/>
        </w:rPr>
      </w:pPr>
      <w:r w:rsidRPr="00AA3319">
        <w:rPr>
          <w:rFonts w:cs="Times New Roman"/>
        </w:rPr>
        <w:t xml:space="preserve">This research has shown how much environmental information can be gained from publicly accessible satellite data when direct measurements such as direct field observations or weather station data are not available or difficult to obtain. For example, we were able to </w:t>
      </w:r>
      <w:r w:rsidRPr="00AA3319">
        <w:rPr>
          <w:rFonts w:cs="Times New Roman"/>
        </w:rPr>
        <w:lastRenderedPageBreak/>
        <w:t xml:space="preserve">gather environmental information for remote areas in Ethiopia where continuous and systematic </w:t>
      </w:r>
      <w:r w:rsidR="006E01B0">
        <w:rPr>
          <w:rFonts w:cs="Times New Roman"/>
        </w:rPr>
        <w:t xml:space="preserve">ground-based </w:t>
      </w:r>
      <w:r w:rsidRPr="00AA3319">
        <w:rPr>
          <w:rFonts w:cs="Times New Roman"/>
        </w:rPr>
        <w:t xml:space="preserve">environmental monitoring is difficult to conduct. The availability of spatially continuous remote sensing data also made it possible to undertake predictive mapping of West Nile virus risk in South Dakota. </w:t>
      </w:r>
    </w:p>
    <w:p w14:paraId="67E0E1C7" w14:textId="3757468D" w:rsidR="00BD0CD5" w:rsidRPr="00AA3319" w:rsidRDefault="00BD0CD5" w:rsidP="00BD0CD5">
      <w:pPr>
        <w:rPr>
          <w:rFonts w:cs="Times New Roman"/>
        </w:rPr>
      </w:pPr>
      <w:r w:rsidRPr="00AA3319">
        <w:rPr>
          <w:rFonts w:cs="Times New Roman"/>
        </w:rPr>
        <w:t xml:space="preserve">We could also show that even when we collected environmental data via microclimate loggers to study vector mosquito abundances, satellite derived variables produced better models. This </w:t>
      </w:r>
      <w:r w:rsidR="006E01B0">
        <w:rPr>
          <w:rFonts w:cs="Times New Roman"/>
        </w:rPr>
        <w:t>finding shows that</w:t>
      </w:r>
      <w:r w:rsidR="006E01B0" w:rsidRPr="00AA3319">
        <w:rPr>
          <w:rFonts w:cs="Times New Roman"/>
        </w:rPr>
        <w:t xml:space="preserve"> </w:t>
      </w:r>
      <w:r w:rsidRPr="00AA3319">
        <w:rPr>
          <w:rFonts w:cs="Times New Roman"/>
        </w:rPr>
        <w:t xml:space="preserve">satellite data a viable alternative when studying mosquito populations over larger areas where </w:t>
      </w:r>
      <w:r w:rsidRPr="00AA3319">
        <w:rPr>
          <w:rFonts w:cs="Times New Roman"/>
          <w:i/>
        </w:rPr>
        <w:t xml:space="preserve">in-situ </w:t>
      </w:r>
      <w:r w:rsidRPr="00AA3319">
        <w:rPr>
          <w:rFonts w:cs="Times New Roman"/>
        </w:rPr>
        <w:t xml:space="preserve">environment data collection becomes costly and time-consuming, as well as in hard-to-access locations that may lack resources for systematic environmental monitoring. </w:t>
      </w:r>
    </w:p>
    <w:p w14:paraId="394280E3" w14:textId="1AB2C0F5" w:rsidR="00BD0CD5" w:rsidRPr="00AA3319" w:rsidRDefault="00BD0CD5" w:rsidP="00BD0CD5">
      <w:pPr>
        <w:rPr>
          <w:rFonts w:cs="Times New Roman"/>
        </w:rPr>
      </w:pPr>
      <w:r w:rsidRPr="00AA3319">
        <w:rPr>
          <w:rFonts w:cs="Times New Roman"/>
        </w:rPr>
        <w:t xml:space="preserve">This research also highlighted how flexible the use of remotely sensed environmental data can be. Data can be aggregated to specific administrative units like the malaria data in Ethiopia, be associated with point locations </w:t>
      </w:r>
      <w:r w:rsidR="006E01B0">
        <w:rPr>
          <w:rFonts w:cs="Times New Roman"/>
        </w:rPr>
        <w:t xml:space="preserve">of disease cases </w:t>
      </w:r>
      <w:r w:rsidRPr="00AA3319">
        <w:rPr>
          <w:rFonts w:cs="Times New Roman"/>
        </w:rPr>
        <w:t xml:space="preserve">as West Nile virus data in South Dakota was reported, or represent the approximate time and location of vector mosquito activity as in the Norman mosquito study. In all of those cases, remotely sensed environmental variables could be summarized to reflect the environmental conditions within the given administrative unit or </w:t>
      </w:r>
      <w:r w:rsidR="006E01B0">
        <w:rPr>
          <w:rFonts w:cs="Times New Roman"/>
        </w:rPr>
        <w:t xml:space="preserve">within a </w:t>
      </w:r>
      <w:r w:rsidRPr="00AA3319">
        <w:rPr>
          <w:rFonts w:cs="Times New Roman"/>
        </w:rPr>
        <w:t xml:space="preserve">buffer </w:t>
      </w:r>
      <w:r w:rsidR="006E01B0" w:rsidRPr="00AA3319">
        <w:rPr>
          <w:rFonts w:cs="Times New Roman"/>
        </w:rPr>
        <w:t xml:space="preserve">surrounding </w:t>
      </w:r>
      <w:r w:rsidRPr="00AA3319">
        <w:rPr>
          <w:rFonts w:cs="Times New Roman"/>
        </w:rPr>
        <w:t>where a patient was diagnosed or a vector mosquito was caught.</w:t>
      </w:r>
    </w:p>
    <w:p w14:paraId="47574607" w14:textId="62553424" w:rsidR="00BD0CD5" w:rsidRPr="00AA3319" w:rsidRDefault="00BD0CD5" w:rsidP="004727C7">
      <w:pPr>
        <w:pStyle w:val="Heading2"/>
        <w:rPr>
          <w:rFonts w:cs="Times New Roman"/>
        </w:rPr>
      </w:pPr>
      <w:bookmarkStart w:id="143" w:name="_Toc78889225"/>
      <w:r w:rsidRPr="00AA3319">
        <w:rPr>
          <w:rFonts w:cs="Times New Roman"/>
        </w:rPr>
        <w:t>Conclusion</w:t>
      </w:r>
      <w:r w:rsidR="00A05008">
        <w:rPr>
          <w:rFonts w:cs="Times New Roman"/>
        </w:rPr>
        <w:t xml:space="preserve"> and future outlook</w:t>
      </w:r>
      <w:bookmarkEnd w:id="143"/>
    </w:p>
    <w:p w14:paraId="7A2651E8" w14:textId="633CCCDC" w:rsidR="00BD0CD5" w:rsidRPr="00AA3319" w:rsidRDefault="00BD0CD5" w:rsidP="00BD0CD5">
      <w:pPr>
        <w:rPr>
          <w:rFonts w:cs="Times New Roman"/>
        </w:rPr>
      </w:pPr>
      <w:r w:rsidRPr="00AA3319">
        <w:rPr>
          <w:rFonts w:cs="Times New Roman"/>
        </w:rPr>
        <w:t xml:space="preserve">This work has contributed to our understanding of how land cover and geographic context influence the transmission of mosquito-borne diseases and how remote sensing data can help us study these associations. </w:t>
      </w:r>
      <w:r w:rsidR="007E5D07">
        <w:rPr>
          <w:rFonts w:cs="Times New Roman"/>
        </w:rPr>
        <w:t xml:space="preserve">Remotely sensed variables that were most associated with </w:t>
      </w:r>
      <w:r w:rsidR="007E5D07">
        <w:rPr>
          <w:rFonts w:cs="Times New Roman"/>
        </w:rPr>
        <w:lastRenderedPageBreak/>
        <w:t xml:space="preserve">the distribution of mosquito-borne diseases depended on the disease and </w:t>
      </w:r>
      <w:r w:rsidR="00185AA1">
        <w:rPr>
          <w:rFonts w:cs="Times New Roman"/>
        </w:rPr>
        <w:t>the vector mosquito involved. On a local scale, remote sensing variables that characterized land cover,</w:t>
      </w:r>
      <w:r w:rsidR="00DF3599">
        <w:rPr>
          <w:rFonts w:cs="Times New Roman"/>
        </w:rPr>
        <w:t xml:space="preserve"> </w:t>
      </w:r>
      <w:r w:rsidR="00185AA1">
        <w:rPr>
          <w:rFonts w:cs="Times New Roman"/>
        </w:rPr>
        <w:t xml:space="preserve">vegetation </w:t>
      </w:r>
      <w:r w:rsidR="00DF3599">
        <w:rPr>
          <w:rFonts w:cs="Times New Roman"/>
        </w:rPr>
        <w:t>conditions</w:t>
      </w:r>
      <w:r w:rsidR="00185AA1">
        <w:rPr>
          <w:rFonts w:cs="Times New Roman"/>
        </w:rPr>
        <w:t xml:space="preserve"> </w:t>
      </w:r>
      <w:r w:rsidR="00DF3599">
        <w:rPr>
          <w:rFonts w:cs="Times New Roman"/>
        </w:rPr>
        <w:t>or surface</w:t>
      </w:r>
      <w:r w:rsidR="00185AA1">
        <w:rPr>
          <w:rFonts w:cs="Times New Roman"/>
        </w:rPr>
        <w:t xml:space="preserve"> moisture were important explanatory </w:t>
      </w:r>
      <w:r w:rsidR="00805D0F">
        <w:rPr>
          <w:rFonts w:cs="Times New Roman"/>
        </w:rPr>
        <w:t xml:space="preserve">variables in </w:t>
      </w:r>
      <w:r w:rsidR="00185AA1">
        <w:rPr>
          <w:rFonts w:cs="Times New Roman"/>
        </w:rPr>
        <w:t xml:space="preserve">all case studies. </w:t>
      </w:r>
      <w:r w:rsidR="00DF3599">
        <w:rPr>
          <w:rFonts w:cs="Times New Roman"/>
        </w:rPr>
        <w:t xml:space="preserve">The geographic setting played a role in Ethiopia, where </w:t>
      </w:r>
      <w:r w:rsidR="00C33AFF">
        <w:rPr>
          <w:rFonts w:cs="Times New Roman"/>
        </w:rPr>
        <w:t xml:space="preserve">different variables </w:t>
      </w:r>
      <w:r w:rsidR="00570DF0">
        <w:rPr>
          <w:rFonts w:cs="Times New Roman"/>
        </w:rPr>
        <w:t xml:space="preserve">explained malaria case distribution in two distinct study areas. In comparison with alternative environmental data sources, remote sensing variables </w:t>
      </w:r>
      <w:r w:rsidR="006C6396">
        <w:rPr>
          <w:rFonts w:cs="Times New Roman"/>
        </w:rPr>
        <w:t>added information that couldn’t be captured by ground data in all three case studies.</w:t>
      </w:r>
      <w:r w:rsidR="0067115E">
        <w:rPr>
          <w:rFonts w:cs="Times New Roman"/>
        </w:rPr>
        <w:t xml:space="preserve"> </w:t>
      </w:r>
      <w:r w:rsidRPr="00AA3319">
        <w:rPr>
          <w:rFonts w:cs="Times New Roman"/>
        </w:rPr>
        <w:t xml:space="preserve">However, further research is needed to understand the complex interactions between climatic factors and heterogeneous landscapes across different spatial scales and how these relate to disease transmission. </w:t>
      </w:r>
    </w:p>
    <w:p w14:paraId="6FEB1D5C" w14:textId="30AC3FF4" w:rsidR="0015575A" w:rsidRDefault="002860A9" w:rsidP="00BD0CD5">
      <w:pPr>
        <w:rPr>
          <w:rFonts w:cs="Times New Roman"/>
        </w:rPr>
      </w:pPr>
      <w:r>
        <w:rPr>
          <w:rFonts w:cs="Times New Roman"/>
        </w:rPr>
        <w:t>T</w:t>
      </w:r>
      <w:r w:rsidR="00BD0CD5" w:rsidRPr="00AA3319">
        <w:rPr>
          <w:rFonts w:cs="Times New Roman"/>
        </w:rPr>
        <w:t>here will be</w:t>
      </w:r>
      <w:r w:rsidR="00D43D49">
        <w:rPr>
          <w:rFonts w:cs="Times New Roman"/>
        </w:rPr>
        <w:t xml:space="preserve"> potential for improved environmental mapping and disease risk applications</w:t>
      </w:r>
      <w:r>
        <w:rPr>
          <w:rFonts w:cs="Times New Roman"/>
        </w:rPr>
        <w:t xml:space="preserve"> a</w:t>
      </w:r>
      <w:r w:rsidRPr="00AA3319">
        <w:rPr>
          <w:rFonts w:cs="Times New Roman"/>
        </w:rPr>
        <w:t xml:space="preserve">s new </w:t>
      </w:r>
      <w:r>
        <w:rPr>
          <w:rFonts w:cs="Times New Roman"/>
        </w:rPr>
        <w:t>remote sensing</w:t>
      </w:r>
      <w:r w:rsidRPr="00AA3319">
        <w:rPr>
          <w:rFonts w:cs="Times New Roman"/>
        </w:rPr>
        <w:t xml:space="preserve"> </w:t>
      </w:r>
      <w:r w:rsidR="00E159E9">
        <w:rPr>
          <w:rFonts w:cs="Times New Roman"/>
        </w:rPr>
        <w:t xml:space="preserve">data </w:t>
      </w:r>
      <w:r>
        <w:rPr>
          <w:rFonts w:cs="Times New Roman"/>
        </w:rPr>
        <w:t>products</w:t>
      </w:r>
      <w:r w:rsidRPr="00AA3319">
        <w:rPr>
          <w:rFonts w:cs="Times New Roman"/>
        </w:rPr>
        <w:t xml:space="preserve"> are </w:t>
      </w:r>
      <w:r>
        <w:rPr>
          <w:rFonts w:cs="Times New Roman"/>
        </w:rPr>
        <w:t xml:space="preserve">becoming </w:t>
      </w:r>
      <w:r w:rsidR="00D236A3">
        <w:rPr>
          <w:rFonts w:cs="Times New Roman"/>
        </w:rPr>
        <w:t>available and easier to use</w:t>
      </w:r>
      <w:r w:rsidR="00D43D49">
        <w:rPr>
          <w:rFonts w:cs="Times New Roman"/>
        </w:rPr>
        <w:t>.</w:t>
      </w:r>
      <w:r w:rsidR="008476E6">
        <w:rPr>
          <w:rFonts w:cs="Times New Roman"/>
        </w:rPr>
        <w:t xml:space="preserve"> Very high</w:t>
      </w:r>
      <w:r w:rsidR="007666BC">
        <w:rPr>
          <w:rFonts w:cs="Times New Roman"/>
        </w:rPr>
        <w:t>-</w:t>
      </w:r>
      <w:r w:rsidR="008476E6">
        <w:rPr>
          <w:rFonts w:cs="Times New Roman"/>
        </w:rPr>
        <w:t xml:space="preserve">resolution optical imagery is currently available from commercial </w:t>
      </w:r>
      <w:r w:rsidR="00C941C9">
        <w:rPr>
          <w:rFonts w:cs="Times New Roman"/>
        </w:rPr>
        <w:t>e</w:t>
      </w:r>
      <w:r w:rsidR="008476E6">
        <w:rPr>
          <w:rFonts w:cs="Times New Roman"/>
        </w:rPr>
        <w:t xml:space="preserve">arth </w:t>
      </w:r>
      <w:r w:rsidR="00C941C9">
        <w:rPr>
          <w:rFonts w:cs="Times New Roman"/>
        </w:rPr>
        <w:t>o</w:t>
      </w:r>
      <w:r w:rsidR="008476E6">
        <w:rPr>
          <w:rFonts w:cs="Times New Roman"/>
        </w:rPr>
        <w:t>bservation systems</w:t>
      </w:r>
      <w:r w:rsidR="00C941C9">
        <w:rPr>
          <w:rFonts w:cs="Times New Roman"/>
        </w:rPr>
        <w:t xml:space="preserve"> like </w:t>
      </w:r>
      <w:r w:rsidR="008476E6">
        <w:rPr>
          <w:rFonts w:cs="Times New Roman"/>
        </w:rPr>
        <w:t xml:space="preserve">WorldView, Quickbird or GeoEye. </w:t>
      </w:r>
      <w:r w:rsidR="00A717A6">
        <w:rPr>
          <w:rFonts w:cs="Times New Roman"/>
        </w:rPr>
        <w:t>O</w:t>
      </w:r>
      <w:r w:rsidR="00C63C8A">
        <w:rPr>
          <w:rFonts w:cs="Times New Roman"/>
        </w:rPr>
        <w:t xml:space="preserve">ptical imagery </w:t>
      </w:r>
      <w:r w:rsidR="003002DC">
        <w:rPr>
          <w:rFonts w:cs="Times New Roman"/>
        </w:rPr>
        <w:t xml:space="preserve">at </w:t>
      </w:r>
      <w:r w:rsidR="00A717A6">
        <w:rPr>
          <w:rFonts w:cs="Times New Roman"/>
        </w:rPr>
        <w:t>meter or even sub-meter resolutions</w:t>
      </w:r>
      <w:r w:rsidR="00D43D49">
        <w:rPr>
          <w:rFonts w:cs="Times New Roman"/>
        </w:rPr>
        <w:t xml:space="preserve"> </w:t>
      </w:r>
      <w:r w:rsidR="00A717A6">
        <w:rPr>
          <w:rFonts w:cs="Times New Roman"/>
        </w:rPr>
        <w:t>can</w:t>
      </w:r>
      <w:r w:rsidR="00C941C9">
        <w:rPr>
          <w:rFonts w:cs="Times New Roman"/>
        </w:rPr>
        <w:t xml:space="preserve"> help to</w:t>
      </w:r>
      <w:r w:rsidR="00D43D49">
        <w:rPr>
          <w:rFonts w:cs="Times New Roman"/>
        </w:rPr>
        <w:t xml:space="preserve"> </w:t>
      </w:r>
      <w:r w:rsidR="00D236A3">
        <w:rPr>
          <w:rFonts w:cs="Times New Roman"/>
        </w:rPr>
        <w:t xml:space="preserve">map </w:t>
      </w:r>
      <w:r w:rsidR="00D43D49">
        <w:rPr>
          <w:rFonts w:cs="Times New Roman"/>
        </w:rPr>
        <w:t xml:space="preserve">medium sized </w:t>
      </w:r>
      <w:r w:rsidR="00D236A3">
        <w:rPr>
          <w:rFonts w:cs="Times New Roman"/>
        </w:rPr>
        <w:t>breeding sites</w:t>
      </w:r>
      <w:r w:rsidR="00D43D49">
        <w:rPr>
          <w:rFonts w:cs="Times New Roman"/>
        </w:rPr>
        <w:t xml:space="preserve"> such as roadside ditches.</w:t>
      </w:r>
      <w:r w:rsidR="00C97014">
        <w:rPr>
          <w:rFonts w:cs="Times New Roman"/>
        </w:rPr>
        <w:t xml:space="preserve"> </w:t>
      </w:r>
      <w:r w:rsidR="006456D6">
        <w:rPr>
          <w:rFonts w:cs="Times New Roman"/>
        </w:rPr>
        <w:t>A</w:t>
      </w:r>
      <w:r w:rsidR="00E55551">
        <w:rPr>
          <w:rFonts w:cs="Times New Roman"/>
        </w:rPr>
        <w:t xml:space="preserve">vailability of </w:t>
      </w:r>
      <w:r w:rsidR="00111A93">
        <w:rPr>
          <w:rFonts w:cs="Times New Roman"/>
        </w:rPr>
        <w:t xml:space="preserve">imagery with shorter return intervals </w:t>
      </w:r>
      <w:r w:rsidR="0028775E">
        <w:rPr>
          <w:rFonts w:cs="Times New Roman"/>
        </w:rPr>
        <w:t xml:space="preserve">can also prove beneficiary to mapping </w:t>
      </w:r>
      <w:r w:rsidR="00992638">
        <w:rPr>
          <w:rFonts w:cs="Times New Roman"/>
        </w:rPr>
        <w:t>of mosquito-borne disease risk</w:t>
      </w:r>
      <w:r w:rsidR="004B5E4A">
        <w:rPr>
          <w:rFonts w:cs="Times New Roman"/>
        </w:rPr>
        <w:t xml:space="preserve">. </w:t>
      </w:r>
      <w:r w:rsidR="00D71F65">
        <w:rPr>
          <w:rFonts w:cs="Times New Roman"/>
        </w:rPr>
        <w:t>For example, d</w:t>
      </w:r>
      <w:r w:rsidR="00742C63">
        <w:rPr>
          <w:rFonts w:cs="Times New Roman"/>
        </w:rPr>
        <w:t>aily</w:t>
      </w:r>
      <w:r w:rsidR="004B5E4A">
        <w:rPr>
          <w:rFonts w:cs="Times New Roman"/>
        </w:rPr>
        <w:t xml:space="preserve"> revisit</w:t>
      </w:r>
      <w:r w:rsidR="00171B5E">
        <w:rPr>
          <w:rFonts w:cs="Times New Roman"/>
        </w:rPr>
        <w:t xml:space="preserve"> times</w:t>
      </w:r>
      <w:r w:rsidR="00D149F8">
        <w:rPr>
          <w:rFonts w:cs="Times New Roman"/>
        </w:rPr>
        <w:t xml:space="preserve"> </w:t>
      </w:r>
      <w:r w:rsidR="00742C63">
        <w:rPr>
          <w:rFonts w:cs="Times New Roman"/>
        </w:rPr>
        <w:t>from the PlanetScope constellation</w:t>
      </w:r>
      <w:r w:rsidR="00ED1806">
        <w:rPr>
          <w:rFonts w:cs="Times New Roman"/>
        </w:rPr>
        <w:t xml:space="preserve"> </w:t>
      </w:r>
      <w:r w:rsidR="00171B5E">
        <w:rPr>
          <w:rFonts w:cs="Times New Roman"/>
        </w:rPr>
        <w:t>increase the chance of obtaining cloud free imagery</w:t>
      </w:r>
      <w:r w:rsidR="00992638">
        <w:rPr>
          <w:rFonts w:cs="Times New Roman"/>
        </w:rPr>
        <w:t xml:space="preserve">. </w:t>
      </w:r>
      <w:r w:rsidR="002748CF">
        <w:rPr>
          <w:rFonts w:cs="Times New Roman"/>
        </w:rPr>
        <w:t xml:space="preserve">Currently, </w:t>
      </w:r>
      <w:r w:rsidR="00D82008">
        <w:rPr>
          <w:rFonts w:cs="Times New Roman"/>
        </w:rPr>
        <w:t xml:space="preserve">commercial </w:t>
      </w:r>
      <w:r w:rsidR="00BD7BB3">
        <w:rPr>
          <w:rFonts w:cs="Times New Roman"/>
        </w:rPr>
        <w:t xml:space="preserve">satellite data products come at high cost. </w:t>
      </w:r>
      <w:r w:rsidR="001903DC">
        <w:rPr>
          <w:rFonts w:cs="Times New Roman"/>
        </w:rPr>
        <w:t xml:space="preserve">However, with </w:t>
      </w:r>
      <w:r w:rsidR="0027497E">
        <w:rPr>
          <w:rFonts w:cs="Times New Roman"/>
        </w:rPr>
        <w:t>ongoing sensor development</w:t>
      </w:r>
      <w:r w:rsidR="00D62EEF">
        <w:rPr>
          <w:rFonts w:cs="Times New Roman"/>
        </w:rPr>
        <w:t xml:space="preserve">, </w:t>
      </w:r>
      <w:r w:rsidR="00C461B5">
        <w:rPr>
          <w:rFonts w:cs="Times New Roman"/>
        </w:rPr>
        <w:t xml:space="preserve">such data </w:t>
      </w:r>
      <w:r w:rsidR="00580554">
        <w:rPr>
          <w:rFonts w:cs="Times New Roman"/>
        </w:rPr>
        <w:t xml:space="preserve">may </w:t>
      </w:r>
      <w:r w:rsidR="006456D6">
        <w:rPr>
          <w:rFonts w:cs="Times New Roman"/>
        </w:rPr>
        <w:t xml:space="preserve">become available at lower costs, </w:t>
      </w:r>
      <w:r w:rsidR="002C271B">
        <w:rPr>
          <w:rFonts w:cs="Times New Roman"/>
        </w:rPr>
        <w:t xml:space="preserve">which will </w:t>
      </w:r>
      <w:r w:rsidR="00C65562">
        <w:rPr>
          <w:rFonts w:cs="Times New Roman"/>
        </w:rPr>
        <w:t>make them more accessible for</w:t>
      </w:r>
      <w:r w:rsidR="00C30D6E">
        <w:rPr>
          <w:rFonts w:cs="Times New Roman"/>
        </w:rPr>
        <w:t xml:space="preserve"> public health applications.</w:t>
      </w:r>
    </w:p>
    <w:p w14:paraId="4F93FA17" w14:textId="60D83D55" w:rsidR="00BB4F5B" w:rsidRDefault="006115CE" w:rsidP="00BD0CD5">
      <w:pPr>
        <w:rPr>
          <w:rFonts w:cs="Times New Roman"/>
        </w:rPr>
      </w:pPr>
      <w:r>
        <w:rPr>
          <w:rFonts w:cs="Times New Roman"/>
        </w:rPr>
        <w:t xml:space="preserve">The development of new </w:t>
      </w:r>
      <w:r w:rsidR="00686E90">
        <w:rPr>
          <w:rFonts w:cs="Times New Roman"/>
        </w:rPr>
        <w:t>methods</w:t>
      </w:r>
      <w:r>
        <w:rPr>
          <w:rFonts w:cs="Times New Roman"/>
        </w:rPr>
        <w:t xml:space="preserve"> to combine </w:t>
      </w:r>
      <w:r w:rsidR="00500F9B">
        <w:rPr>
          <w:rFonts w:cs="Times New Roman"/>
        </w:rPr>
        <w:t xml:space="preserve">publicly available </w:t>
      </w:r>
      <w:r>
        <w:rPr>
          <w:rFonts w:cs="Times New Roman"/>
        </w:rPr>
        <w:t>data</w:t>
      </w:r>
      <w:r w:rsidR="00500F9B">
        <w:rPr>
          <w:rFonts w:cs="Times New Roman"/>
        </w:rPr>
        <w:t>sets</w:t>
      </w:r>
      <w:r>
        <w:rPr>
          <w:rFonts w:cs="Times New Roman"/>
        </w:rPr>
        <w:t xml:space="preserve"> from different sensors </w:t>
      </w:r>
      <w:r w:rsidR="00607C69">
        <w:rPr>
          <w:rFonts w:cs="Times New Roman"/>
        </w:rPr>
        <w:t>can also help public health applications</w:t>
      </w:r>
      <w:r w:rsidR="00BD5DCD">
        <w:rPr>
          <w:rFonts w:cs="Times New Roman"/>
        </w:rPr>
        <w:t xml:space="preserve">. </w:t>
      </w:r>
      <w:r w:rsidR="00EE3982">
        <w:rPr>
          <w:rFonts w:cs="Times New Roman"/>
        </w:rPr>
        <w:t xml:space="preserve">These methods </w:t>
      </w:r>
      <w:r w:rsidR="005F5DB5">
        <w:rPr>
          <w:rFonts w:cs="Times New Roman"/>
        </w:rPr>
        <w:t>include the</w:t>
      </w:r>
      <w:r w:rsidR="00EE3982">
        <w:rPr>
          <w:rFonts w:cs="Times New Roman"/>
        </w:rPr>
        <w:t xml:space="preserve"> </w:t>
      </w:r>
      <w:r w:rsidR="00E42A6B">
        <w:rPr>
          <w:rFonts w:cs="Times New Roman"/>
        </w:rPr>
        <w:t>merg</w:t>
      </w:r>
      <w:r w:rsidR="005F5DB5">
        <w:rPr>
          <w:rFonts w:cs="Times New Roman"/>
        </w:rPr>
        <w:t>ing of</w:t>
      </w:r>
      <w:r w:rsidR="00EE3982">
        <w:rPr>
          <w:rFonts w:cs="Times New Roman"/>
        </w:rPr>
        <w:t xml:space="preserve"> </w:t>
      </w:r>
      <w:r w:rsidR="00031EA9">
        <w:rPr>
          <w:rFonts w:cs="Times New Roman"/>
        </w:rPr>
        <w:t xml:space="preserve">imagery obtained from different sensors at similar wavelengths to create </w:t>
      </w:r>
      <w:r w:rsidR="00BF2EDC">
        <w:rPr>
          <w:rFonts w:cs="Times New Roman"/>
        </w:rPr>
        <w:t xml:space="preserve">combined </w:t>
      </w:r>
      <w:r w:rsidR="00A86A8F">
        <w:rPr>
          <w:rFonts w:cs="Times New Roman"/>
        </w:rPr>
        <w:t xml:space="preserve">data </w:t>
      </w:r>
      <w:r w:rsidR="00A86A8F">
        <w:rPr>
          <w:rFonts w:cs="Times New Roman"/>
        </w:rPr>
        <w:lastRenderedPageBreak/>
        <w:t>product</w:t>
      </w:r>
      <w:r w:rsidR="00D149F8">
        <w:rPr>
          <w:rFonts w:cs="Times New Roman"/>
        </w:rPr>
        <w:t>s</w:t>
      </w:r>
      <w:r w:rsidR="00A86A8F">
        <w:rPr>
          <w:rFonts w:cs="Times New Roman"/>
        </w:rPr>
        <w:t xml:space="preserve"> of higher temporal resolution</w:t>
      </w:r>
      <w:r w:rsidR="00DC2571">
        <w:rPr>
          <w:rFonts w:cs="Times New Roman"/>
        </w:rPr>
        <w:t xml:space="preserve"> or</w:t>
      </w:r>
      <w:r w:rsidR="00B47985">
        <w:rPr>
          <w:rFonts w:cs="Times New Roman"/>
        </w:rPr>
        <w:t xml:space="preserve"> </w:t>
      </w:r>
      <w:r w:rsidR="004D22AA">
        <w:rPr>
          <w:rFonts w:cs="Times New Roman"/>
        </w:rPr>
        <w:t>longer</w:t>
      </w:r>
      <w:r w:rsidR="00B47985">
        <w:rPr>
          <w:rFonts w:cs="Times New Roman"/>
        </w:rPr>
        <w:t xml:space="preserve"> data continuity</w:t>
      </w:r>
      <w:r w:rsidR="00F95CA3">
        <w:rPr>
          <w:rFonts w:cs="Times New Roman"/>
        </w:rPr>
        <w:t xml:space="preserve">. </w:t>
      </w:r>
      <w:r w:rsidR="003C46B6">
        <w:rPr>
          <w:rFonts w:cs="Times New Roman"/>
        </w:rPr>
        <w:t>For example, the harmonized Landsat-Sentinel dataset combines data from two optical sensors into one data product</w:t>
      </w:r>
      <w:r w:rsidR="00ED1806">
        <w:rPr>
          <w:rFonts w:cs="Times New Roman"/>
        </w:rPr>
        <w:t xml:space="preserve"> </w:t>
      </w:r>
      <w:r w:rsidR="00ED1806">
        <w:rPr>
          <w:rFonts w:cs="Times New Roman"/>
        </w:rPr>
        <w:fldChar w:fldCharType="begin"/>
      </w:r>
      <w:r w:rsidR="00ED1806">
        <w:rPr>
          <w:rFonts w:cs="Times New Roman"/>
        </w:rPr>
        <w:instrText xml:space="preserve"> ADDIN ZOTERO_ITEM CSL_CITATION {"citationID":"mSVEQOr2","properties":{"formattedCitation":"(Claverie et al., 2018)","plainCitation":"(Claverie et al., 2018)","noteIndex":0},"citationItems":[{"id":4200,"uris":["http://zotero.org/users/5456909/items/58GGC7AD"],"uri":["http://zotero.org/users/5456909/items/58GGC7AD"],"itemData":{"id":4200,"type":"article-journal","abstract":"The Harmonized Landsat and Sentinel-2 (HLS) project is a NASA initiative aiming to produce a Virtual Constellation (VC) of surface reflectance (SR) data acquired by the Operational Land Imager (OLI) and Multi-Spectral Instrument (MSI) aboard Landsat 8 and Sentinel-2 remote sensing satellites, respectively. The HLS products are based on a set of algorithms to obtain seamless products from both sensors (OLI and MSI): atmospheric correction, cloud and cloud-shadow masking, spatial co-registration and common gridding, bidirectional reflectance distribution function normalization and spectral bandpass adjustment. Three products are derived from the HLS processing chain: (i) S10: full resolution MSI SR at 10 m, 20 m and 60 m spatial resolutions; (ii) S30: a 30 m MSI Nadir BRDF (Bidirectional Reflectance Distribution Function)-Adjusted Reflectance (NBAR); (iii) L30: a 30 m OLI NBAR. All three products are processed for every Level-1 input products from Landsat 8/OLI (L1T) and Sentinel-2/MSI (L1C). As of version 1.3, the HLS data set covers 10.35 million km2 and spans from first Landsat 8 data (2013); Sentinel-2 data spans from October 2015. The L30 and S30 show a good consistency with coarse spatial resolution products, in particular MODIS Collection 6 MCD09CMG products (overall deviations do not exceed 11%) that are used as a reference for quality assurance. The spatial co-registration of the HLS is improved compared to original Landsat 8 L1T and Sentinel-2A L1C products, for which misregistration issues between multi-temporal data are known. In particular, the resulting computed circular errors at 90% for the HLS product are 6.2 m and 18.8 m, for S10 and L30 products, respectively. The main known issue of the current data set remains the Sentinel-2 cloud mask with many cloud detection omissions. The cross-comparison with MODIS was used to flag products with most evident non-detected clouds. A time series outlier filtering approach is suggested to detect remaining clouds. Finally, several time series are presented to highlight the high potential of the HLS data set for crop monitoring.","container-title":"Remote Sensing of Environment","ISSN":"0034-4257","journalAbbreviation":"Remote Sensing of Environment","language":"en","page":"145-161","source":"ScienceDirect","title":"The Harmonized Landsat and Sentinel-2 surface reflectance data set","volume":"219","author":[{"family":"Claverie","given":"Martin"},{"family":"Ju","given":"Junchang"},{"family":"Masek","given":"Jeffrey G."},{"family":"Dungan","given":"Jennifer L."},{"family":"Vermote","given":"Eric F."},{"family":"Roger","given":"Jean-Claude"},{"family":"Skakun","given":"Sergii V."},{"family":"Justice","given":"Christopher"}],"issued":{"date-parts":[["2018",12,15]]}}}],"schema":"https://github.com/citation-style-language/schema/raw/master/csl-citation.json"} </w:instrText>
      </w:r>
      <w:r w:rsidR="00ED1806">
        <w:rPr>
          <w:rFonts w:cs="Times New Roman"/>
        </w:rPr>
        <w:fldChar w:fldCharType="separate"/>
      </w:r>
      <w:r w:rsidR="00ED1806" w:rsidRPr="00ED1806">
        <w:rPr>
          <w:rFonts w:cs="Times New Roman"/>
        </w:rPr>
        <w:t>(Claverie et al., 2018)</w:t>
      </w:r>
      <w:r w:rsidR="00ED1806">
        <w:rPr>
          <w:rFonts w:cs="Times New Roman"/>
        </w:rPr>
        <w:fldChar w:fldCharType="end"/>
      </w:r>
      <w:r w:rsidR="009C39AC">
        <w:rPr>
          <w:rFonts w:cs="Times New Roman"/>
        </w:rPr>
        <w:t xml:space="preserve">. </w:t>
      </w:r>
      <w:r w:rsidR="00BC7B35">
        <w:rPr>
          <w:rFonts w:cs="Times New Roman"/>
        </w:rPr>
        <w:t>This</w:t>
      </w:r>
      <w:r w:rsidR="00BC4BA3">
        <w:rPr>
          <w:rFonts w:cs="Times New Roman"/>
        </w:rPr>
        <w:t xml:space="preserve"> merging of datasets</w:t>
      </w:r>
      <w:r w:rsidR="00BC7B35">
        <w:rPr>
          <w:rFonts w:cs="Times New Roman"/>
        </w:rPr>
        <w:t xml:space="preserve"> increase</w:t>
      </w:r>
      <w:r w:rsidR="00776EC0">
        <w:rPr>
          <w:rFonts w:cs="Times New Roman"/>
        </w:rPr>
        <w:t>s</w:t>
      </w:r>
      <w:r w:rsidR="00BC7B35">
        <w:rPr>
          <w:rFonts w:cs="Times New Roman"/>
        </w:rPr>
        <w:t xml:space="preserve"> chances of obtaining cloud free imagery while also reducing the need for temporal interpolation to fill gaps </w:t>
      </w:r>
      <w:r w:rsidR="00D149F8">
        <w:rPr>
          <w:rFonts w:cs="Times New Roman"/>
        </w:rPr>
        <w:t>between observation dates</w:t>
      </w:r>
      <w:r w:rsidR="00BC7B35">
        <w:rPr>
          <w:rFonts w:cs="Times New Roman"/>
        </w:rPr>
        <w:t>.</w:t>
      </w:r>
      <w:r w:rsidR="003A015D">
        <w:rPr>
          <w:rFonts w:cs="Times New Roman"/>
        </w:rPr>
        <w:t xml:space="preserve"> </w:t>
      </w:r>
      <w:r w:rsidR="003A015D" w:rsidRPr="003A015D">
        <w:rPr>
          <w:rFonts w:cs="Times New Roman"/>
        </w:rPr>
        <w:t xml:space="preserve">A similar approach </w:t>
      </w:r>
      <w:r w:rsidR="00C03843">
        <w:rPr>
          <w:rFonts w:cs="Times New Roman"/>
        </w:rPr>
        <w:t>applied to different sensors</w:t>
      </w:r>
      <w:r w:rsidR="002B2ACA">
        <w:rPr>
          <w:rFonts w:cs="Times New Roman"/>
        </w:rPr>
        <w:t xml:space="preserve"> could improve the </w:t>
      </w:r>
      <w:r w:rsidR="00C62804">
        <w:rPr>
          <w:rFonts w:cs="Times New Roman"/>
        </w:rPr>
        <w:t>temporal resolution of data available to researchers even further.</w:t>
      </w:r>
      <w:r w:rsidR="002F1937">
        <w:rPr>
          <w:rFonts w:cs="Times New Roman"/>
        </w:rPr>
        <w:t xml:space="preserve"> </w:t>
      </w:r>
      <w:r w:rsidR="00BB4F5B">
        <w:rPr>
          <w:rFonts w:cs="Times New Roman"/>
        </w:rPr>
        <w:t xml:space="preserve">The integration of </w:t>
      </w:r>
      <w:r w:rsidR="004A60A7">
        <w:rPr>
          <w:rFonts w:cs="Times New Roman"/>
        </w:rPr>
        <w:t>data</w:t>
      </w:r>
      <w:r w:rsidR="00BB4F5B">
        <w:rPr>
          <w:rFonts w:cs="Times New Roman"/>
        </w:rPr>
        <w:t xml:space="preserve"> from comparable sensors into one</w:t>
      </w:r>
      <w:r w:rsidR="004A60A7">
        <w:rPr>
          <w:rFonts w:cs="Times New Roman"/>
        </w:rPr>
        <w:t xml:space="preserve"> product</w:t>
      </w:r>
      <w:r w:rsidR="00BB4F5B">
        <w:rPr>
          <w:rFonts w:cs="Times New Roman"/>
        </w:rPr>
        <w:t xml:space="preserve"> </w:t>
      </w:r>
      <w:r w:rsidR="008745E5">
        <w:rPr>
          <w:rFonts w:cs="Times New Roman"/>
        </w:rPr>
        <w:t xml:space="preserve">is </w:t>
      </w:r>
      <w:r w:rsidR="00A65045">
        <w:rPr>
          <w:rFonts w:cs="Times New Roman"/>
        </w:rPr>
        <w:t>additionally being</w:t>
      </w:r>
      <w:r w:rsidR="002F1937">
        <w:rPr>
          <w:rFonts w:cs="Times New Roman"/>
        </w:rPr>
        <w:t xml:space="preserve"> </w:t>
      </w:r>
      <w:r w:rsidR="008745E5">
        <w:rPr>
          <w:rFonts w:cs="Times New Roman"/>
        </w:rPr>
        <w:t>used</w:t>
      </w:r>
      <w:r w:rsidR="002C5B2C">
        <w:rPr>
          <w:rFonts w:cs="Times New Roman"/>
        </w:rPr>
        <w:t xml:space="preserve"> to </w:t>
      </w:r>
      <w:r w:rsidR="002B40C5">
        <w:rPr>
          <w:rFonts w:cs="Times New Roman"/>
        </w:rPr>
        <w:t>create</w:t>
      </w:r>
      <w:r w:rsidR="00474E12">
        <w:rPr>
          <w:rFonts w:cs="Times New Roman"/>
        </w:rPr>
        <w:t xml:space="preserve"> continuous data</w:t>
      </w:r>
      <w:r w:rsidR="002B40C5">
        <w:rPr>
          <w:rFonts w:cs="Times New Roman"/>
        </w:rPr>
        <w:t>sets</w:t>
      </w:r>
      <w:r w:rsidR="00474E12">
        <w:rPr>
          <w:rFonts w:cs="Times New Roman"/>
        </w:rPr>
        <w:t xml:space="preserve"> that exceed the life span of individual sensors</w:t>
      </w:r>
      <w:r w:rsidR="007D7B32">
        <w:rPr>
          <w:rFonts w:cs="Times New Roman"/>
        </w:rPr>
        <w:t>, as done with the IMERG product that combines two decades of precipitation data</w:t>
      </w:r>
      <w:r w:rsidR="00C72B50">
        <w:rPr>
          <w:rFonts w:cs="Times New Roman"/>
        </w:rPr>
        <w:t xml:space="preserve"> </w:t>
      </w:r>
      <w:r w:rsidR="00ED1806">
        <w:rPr>
          <w:rFonts w:cs="Times New Roman"/>
        </w:rPr>
        <w:fldChar w:fldCharType="begin"/>
      </w:r>
      <w:r w:rsidR="00C72B50">
        <w:rPr>
          <w:rFonts w:cs="Times New Roman"/>
        </w:rPr>
        <w:instrText xml:space="preserve"> ADDIN ZOTERO_ITEM CSL_CITATION {"citationID":"ifqM3j5n","properties":{"formattedCitation":"(Huffman et al., 2020)","plainCitation":"(Huffman et al., 2020)","noteIndex":0},"citationItems":[{"id":4618,"uris":["http://zotero.org/users/5456909/items/6YIQCC2K"],"uri":["http://zotero.org/users/5456909/items/6YIQCC2K"],"itemData":{"id":4618,"type":"article","title":"NASA Global Precipitation Measurement (GPM) Integrated Multi-satellitE Retrievals for GPM (IMERG)","URL":"https://gpm.nasa.gov/sites/default/files/2020-05/IMERG_ATBD_V06.3.pdf","author":[{"family":"Huffman","given":"G.J."},{"family":"Bolvin","given":"D.T."},{"family":"Braithwaite","given":"D."},{"family":"Hsu","given":"K."},{"family":"Joyce","given":"R."},{"family":"Xie","given":"P."},{"family":"Yoo","given":"S.H."}],"accessed":{"date-parts":[["2021",8,2]]},"issued":{"date-parts":[["2020"]]}}}],"schema":"https://github.com/citation-style-language/schema/raw/master/csl-citation.json"} </w:instrText>
      </w:r>
      <w:r w:rsidR="00ED1806">
        <w:rPr>
          <w:rFonts w:cs="Times New Roman"/>
        </w:rPr>
        <w:fldChar w:fldCharType="separate"/>
      </w:r>
      <w:r w:rsidR="00C72B50" w:rsidRPr="00C72B50">
        <w:rPr>
          <w:rFonts w:cs="Times New Roman"/>
        </w:rPr>
        <w:t>(Huffman et al., 2020)</w:t>
      </w:r>
      <w:r w:rsidR="00ED1806">
        <w:rPr>
          <w:rFonts w:cs="Times New Roman"/>
        </w:rPr>
        <w:fldChar w:fldCharType="end"/>
      </w:r>
      <w:r w:rsidR="007D7B32">
        <w:rPr>
          <w:rFonts w:cs="Times New Roman"/>
        </w:rPr>
        <w:t>.</w:t>
      </w:r>
      <w:r w:rsidR="00474E12">
        <w:rPr>
          <w:rFonts w:cs="Times New Roman"/>
        </w:rPr>
        <w:t xml:space="preserve"> </w:t>
      </w:r>
      <w:r w:rsidR="00D233C1">
        <w:rPr>
          <w:rFonts w:cs="Times New Roman"/>
        </w:rPr>
        <w:t xml:space="preserve">With the </w:t>
      </w:r>
      <w:r w:rsidR="004D509E">
        <w:rPr>
          <w:rFonts w:cs="Times New Roman"/>
        </w:rPr>
        <w:t>development of more</w:t>
      </w:r>
      <w:r w:rsidR="00D233C1">
        <w:rPr>
          <w:rFonts w:cs="Times New Roman"/>
        </w:rPr>
        <w:t xml:space="preserve"> such datasets and with more time passing, researchers will be able </w:t>
      </w:r>
      <w:r w:rsidR="00201B8E">
        <w:rPr>
          <w:rFonts w:cs="Times New Roman"/>
        </w:rPr>
        <w:t xml:space="preserve">to </w:t>
      </w:r>
      <w:r w:rsidR="00EB1710">
        <w:rPr>
          <w:rFonts w:cs="Times New Roman"/>
        </w:rPr>
        <w:t xml:space="preserve">study trends </w:t>
      </w:r>
      <w:r w:rsidR="00811ED7">
        <w:rPr>
          <w:rFonts w:cs="Times New Roman"/>
        </w:rPr>
        <w:t xml:space="preserve">and temporal anomalies </w:t>
      </w:r>
      <w:r w:rsidR="00EB1710">
        <w:rPr>
          <w:rFonts w:cs="Times New Roman"/>
        </w:rPr>
        <w:t>in environmental condition</w:t>
      </w:r>
      <w:r w:rsidR="002B5E35">
        <w:rPr>
          <w:rFonts w:cs="Times New Roman"/>
        </w:rPr>
        <w:t>s</w:t>
      </w:r>
      <w:r w:rsidR="00E7296A">
        <w:rPr>
          <w:rFonts w:cs="Times New Roman"/>
        </w:rPr>
        <w:t xml:space="preserve"> and how they relate to disease outbreaks</w:t>
      </w:r>
      <w:r w:rsidR="0047156B">
        <w:rPr>
          <w:rFonts w:cs="Times New Roman"/>
        </w:rPr>
        <w:t xml:space="preserve"> in much longer time frames than </w:t>
      </w:r>
      <w:r w:rsidR="009C31EF">
        <w:rPr>
          <w:rFonts w:cs="Times New Roman"/>
        </w:rPr>
        <w:t xml:space="preserve">what is </w:t>
      </w:r>
      <w:r w:rsidR="0047156B">
        <w:rPr>
          <w:rFonts w:cs="Times New Roman"/>
        </w:rPr>
        <w:t>currently possible</w:t>
      </w:r>
      <w:r w:rsidR="00E7296A">
        <w:rPr>
          <w:rFonts w:cs="Times New Roman"/>
        </w:rPr>
        <w:t>.</w:t>
      </w:r>
    </w:p>
    <w:p w14:paraId="39C794A9" w14:textId="419CEB7D" w:rsidR="00BD0CD5" w:rsidRPr="00AA3319" w:rsidRDefault="002C7EB6" w:rsidP="00284523">
      <w:pPr>
        <w:rPr>
          <w:rFonts w:cs="Times New Roman"/>
        </w:rPr>
      </w:pPr>
      <w:r>
        <w:rPr>
          <w:rFonts w:cs="Times New Roman"/>
        </w:rPr>
        <w:t>Additionally</w:t>
      </w:r>
      <w:r w:rsidR="00765B9C">
        <w:rPr>
          <w:rFonts w:cs="Times New Roman"/>
        </w:rPr>
        <w:t>, s</w:t>
      </w:r>
      <w:r w:rsidR="00B202A2">
        <w:rPr>
          <w:rFonts w:cs="Times New Roman"/>
        </w:rPr>
        <w:t xml:space="preserve">ensor fusion techniques can be used to generate finer spatial resolution </w:t>
      </w:r>
      <w:r w:rsidR="00201B8E">
        <w:rPr>
          <w:rFonts w:cs="Times New Roman"/>
        </w:rPr>
        <w:t>data</w:t>
      </w:r>
      <w:r w:rsidR="00B202A2">
        <w:rPr>
          <w:rFonts w:cs="Times New Roman"/>
        </w:rPr>
        <w:t xml:space="preserve"> from coarser satellite </w:t>
      </w:r>
      <w:r w:rsidR="00201B8E">
        <w:rPr>
          <w:rFonts w:cs="Times New Roman"/>
        </w:rPr>
        <w:t>imagery</w:t>
      </w:r>
      <w:r w:rsidR="00B202A2">
        <w:rPr>
          <w:rFonts w:cs="Times New Roman"/>
        </w:rPr>
        <w:t xml:space="preserve">. </w:t>
      </w:r>
      <w:r w:rsidR="007A1378">
        <w:rPr>
          <w:rFonts w:cs="Times New Roman"/>
        </w:rPr>
        <w:t>For example, v</w:t>
      </w:r>
      <w:r w:rsidR="004D0EF0">
        <w:rPr>
          <w:rFonts w:cs="Times New Roman"/>
        </w:rPr>
        <w:t>ery high-resolution optical imagery can be used to downscale satellite products that are only available at coarser resolutions, such as thermal imagery or multispectral imagery</w:t>
      </w:r>
      <w:r w:rsidR="00F80C23">
        <w:rPr>
          <w:rFonts w:cs="Times New Roman"/>
        </w:rPr>
        <w:t xml:space="preserve">. </w:t>
      </w:r>
      <w:r w:rsidR="003D0846">
        <w:rPr>
          <w:rFonts w:cs="Times New Roman"/>
        </w:rPr>
        <w:t>D</w:t>
      </w:r>
      <w:r w:rsidR="00F245B8">
        <w:rPr>
          <w:rFonts w:cs="Times New Roman"/>
        </w:rPr>
        <w:t>ata fusion</w:t>
      </w:r>
      <w:r w:rsidR="003D0846">
        <w:rPr>
          <w:rFonts w:cs="Times New Roman"/>
        </w:rPr>
        <w:t xml:space="preserve"> and downscaling</w:t>
      </w:r>
      <w:r w:rsidR="00F245B8">
        <w:rPr>
          <w:rFonts w:cs="Times New Roman"/>
        </w:rPr>
        <w:t xml:space="preserve"> techniques </w:t>
      </w:r>
      <w:r w:rsidR="003D0846">
        <w:rPr>
          <w:rFonts w:cs="Times New Roman"/>
        </w:rPr>
        <w:t xml:space="preserve">already </w:t>
      </w:r>
      <w:r w:rsidR="00F245B8">
        <w:rPr>
          <w:rFonts w:cs="Times New Roman"/>
        </w:rPr>
        <w:t xml:space="preserve">allow researchers to </w:t>
      </w:r>
      <w:r w:rsidR="0059625D">
        <w:rPr>
          <w:rFonts w:cs="Times New Roman"/>
        </w:rPr>
        <w:t xml:space="preserve">study </w:t>
      </w:r>
      <w:r w:rsidR="00E32ABB">
        <w:rPr>
          <w:rFonts w:cs="Times New Roman"/>
        </w:rPr>
        <w:t>environmental conditions at a finer scale</w:t>
      </w:r>
      <w:r w:rsidR="003663BD">
        <w:rPr>
          <w:rFonts w:cs="Times New Roman"/>
        </w:rPr>
        <w:t xml:space="preserve"> </w:t>
      </w:r>
      <w:r w:rsidR="003663BD">
        <w:rPr>
          <w:rFonts w:cs="Times New Roman"/>
        </w:rPr>
        <w:fldChar w:fldCharType="begin"/>
      </w:r>
      <w:r w:rsidR="00A15A39">
        <w:rPr>
          <w:rFonts w:cs="Times New Roman"/>
        </w:rPr>
        <w:instrText xml:space="preserve"> ADDIN ZOTERO_ITEM CSL_CITATION {"citationID":"d7dU4WPF","properties":{"formattedCitation":"(Peng et al., 2017; Wimberly et al., 2020)","plainCitation":"(Peng et al., 2017; Wimberly et al., 2020)","noteIndex":0},"citationItems":[{"id":4310,"uris":["http://zotero.org/users/5456909/items/SPVC8ASG"],"uri":["http://zotero.org/users/5456909/items/SPVC8ASG"],"itemData":{"id":4310,"type":"article-journal","abstract":"The emergence of mosquito-transmitted viruses poses a global threat to human health. Combining mechanistic epidemiological models based on temperature-trait relationships with climatological data is a powerful technique for environmental risk assessment. However, a limitation of this approach is that the local microclimates experienced by mosquitoes can differ substantially from macroclimate measurements, particularly in heterogeneous urban environments. To address this scaling mismatch, we modeled spatial variation in microclimate temperatures and the thermal potential for dengue transmission by Aedes albopictus across an urban-to-rural gradient in Athens-Clarke County GA. Microclimate data were collected across gradients of tree cover and impervious surface cover. We developed statistical models to predict daily minimum and maximum microclimate temperatures using coarse-resolution gridded macroclimate data (4000 m) and high-resolution land cover data (30 m). The resulting high-resolution microclimate maps were integrated with temperature-dependent mosquito abundance and vectorial capacity models to generate monthly predictions for the summer and early fall of 2018. The highest vectorial capacities were predicted for patches of trees in urban areas with high cover of impervious surfaces. Vectorial capacity was most sensitive to tree cover during the summer and became more sensitive to impervious surfaces in the early fall. Predictions from the same models using temperature data from a local meteorological station consistently over-predicted vectorial capacity compared to the microclimate-based estimates. This work demonstrates that it is feasible to model variation in mosquito microenvironments across an urban-to-rural gradient using satellite Earth observations. Epidemiological models applied to the microclimate maps revealed localized patterns of temperature suitability for disease transmission that would not be detectable using macroclimate data. Incorporating microclimate data into disease transmission models has the potential to yield more spatially precise and ecologically interpretable metrics of mosquito-borne disease transmission risk in urban landscapes.","container-title":"PLOS Neglected Tropical Diseases","ISSN":"1935-2735","issue":"9","journalAbbreviation":"PLOS Neglected Tropical Diseases","language":"en","note":"publisher: Public Library of Science","page":"e0008614","source":"PLoS Journals","title":"Land cover affects microclimate and temperature suitability for arbovirus transmission in an urban landscape","volume":"14","author":[{"family":"Wimberly","given":"Michael C."},{"family":"Davis","given":"Justin K."},{"family":"Evans","given":"Michelle V."},{"family":"Hess","given":"Andrea"},{"family":"Newberry","given":"Philip M."},{"family":"Solano-Asamoah","given":"Nicole"},{"family":"Murdock","given":"Courtney C."}],"issued":{"date-parts":[["2020",9,21]]}}},{"id":4621,"uris":["http://zotero.org/users/5456909/items/M3CXZGHV"],"uri":["http://zotero.org/users/5456909/items/M3CXZGHV"],"itemData":{"id":4621,"type":"article-journal","abstract":"Satellite remote sensing technology has been widely used to estimate surface soil moisture. Numerous efforts have been devoted to develop global soil moisture products. However, these global soil moisture products, normally retrieved from microwave remote sensing data, are typically not suitable for regional hydrological and agricultural applications such as irrigation management and flood predictions, due to their coarse spatial resolution. Therefore, various downscaling methods have been proposed to improve the coarse resolution soil moisture products. The purpose of this paper is to review existing methods for downscaling satellite remotely sensed soil moisture. These methods are assessed and compared in terms of their advantages and limitations. This review also provides the accuracy level of these methods based on published validation studies. In the final part, problems and future trends associated with these methods are analyzed.","container-title":"Reviews of Geophysics","issue":"2","language":"en","note":"_eprint: https://agupubs.onlinelibrary.wiley.com/doi/pdf/10.1002/2016RG000543","page":"341-366","source":"Wiley Online Library","title":"A review of spatial downscaling of satellite remotely sensed soil moisture","volume":"55","author":[{"family":"Peng","given":"Jian"},{"family":"Loew","given":"Alexander"},{"family":"Merlin","given":"Olivier"},{"family":"Verhoest","given":"Niko E. C."}],"issued":{"date-parts":[["2017"]]}}}],"schema":"https://github.com/citation-style-language/schema/raw/master/csl-citation.json"} </w:instrText>
      </w:r>
      <w:r w:rsidR="003663BD">
        <w:rPr>
          <w:rFonts w:cs="Times New Roman"/>
        </w:rPr>
        <w:fldChar w:fldCharType="separate"/>
      </w:r>
      <w:r w:rsidR="00A15A39" w:rsidRPr="00A15A39">
        <w:rPr>
          <w:rFonts w:cs="Times New Roman"/>
        </w:rPr>
        <w:t>(Peng et al., 2017; Wimberly et al., 2020)</w:t>
      </w:r>
      <w:r w:rsidR="003663BD">
        <w:rPr>
          <w:rFonts w:cs="Times New Roman"/>
        </w:rPr>
        <w:fldChar w:fldCharType="end"/>
      </w:r>
      <w:r w:rsidR="003D0846">
        <w:rPr>
          <w:rFonts w:cs="Times New Roman"/>
        </w:rPr>
        <w:t xml:space="preserve">. </w:t>
      </w:r>
      <w:r w:rsidR="007302CC">
        <w:rPr>
          <w:rFonts w:cs="Times New Roman"/>
        </w:rPr>
        <w:t>Such techniques could be applied to entire data archives</w:t>
      </w:r>
      <w:r w:rsidR="0020774C">
        <w:rPr>
          <w:rFonts w:cs="Times New Roman"/>
        </w:rPr>
        <w:t xml:space="preserve"> to</w:t>
      </w:r>
      <w:r w:rsidR="007302CC">
        <w:rPr>
          <w:rFonts w:cs="Times New Roman"/>
        </w:rPr>
        <w:t xml:space="preserve"> make downscaled environmental information </w:t>
      </w:r>
      <w:r w:rsidR="0020774C">
        <w:rPr>
          <w:rFonts w:cs="Times New Roman"/>
        </w:rPr>
        <w:t xml:space="preserve">more </w:t>
      </w:r>
      <w:r w:rsidR="007302CC">
        <w:rPr>
          <w:rFonts w:cs="Times New Roman"/>
        </w:rPr>
        <w:t xml:space="preserve">accessible </w:t>
      </w:r>
      <w:r w:rsidR="007E1459">
        <w:rPr>
          <w:rFonts w:cs="Times New Roman"/>
        </w:rPr>
        <w:t xml:space="preserve">for </w:t>
      </w:r>
      <w:r w:rsidR="007302CC">
        <w:rPr>
          <w:rFonts w:cs="Times New Roman"/>
        </w:rPr>
        <w:t xml:space="preserve">professionals without a remote sensing </w:t>
      </w:r>
      <w:r w:rsidR="00201B8E">
        <w:rPr>
          <w:rFonts w:cs="Times New Roman"/>
        </w:rPr>
        <w:t xml:space="preserve">background </w:t>
      </w:r>
      <w:r w:rsidR="007E1459">
        <w:rPr>
          <w:rFonts w:cs="Times New Roman"/>
        </w:rPr>
        <w:t xml:space="preserve">so they could be used for </w:t>
      </w:r>
      <w:r w:rsidR="007302CC">
        <w:rPr>
          <w:rFonts w:cs="Times New Roman"/>
        </w:rPr>
        <w:t xml:space="preserve">broader public health applications. </w:t>
      </w:r>
      <w:r w:rsidR="00F25431">
        <w:rPr>
          <w:rFonts w:cs="Times New Roman"/>
        </w:rPr>
        <w:t xml:space="preserve">Future research on disease risk mapping should leverage </w:t>
      </w:r>
      <w:r w:rsidR="009C4FB4">
        <w:rPr>
          <w:rFonts w:cs="Times New Roman"/>
        </w:rPr>
        <w:t>such</w:t>
      </w:r>
      <w:r w:rsidR="00F25431">
        <w:rPr>
          <w:rFonts w:cs="Times New Roman"/>
        </w:rPr>
        <w:t xml:space="preserve"> new data products and techniques to study complex </w:t>
      </w:r>
      <w:r w:rsidR="00BD0CD5" w:rsidRPr="00AA3319">
        <w:rPr>
          <w:rFonts w:cs="Times New Roman"/>
        </w:rPr>
        <w:t xml:space="preserve">environment-disease associations and synthesize the information to make </w:t>
      </w:r>
      <w:r w:rsidR="00BD0CD5" w:rsidRPr="00AA3319">
        <w:rPr>
          <w:rFonts w:cs="Times New Roman"/>
        </w:rPr>
        <w:lastRenderedPageBreak/>
        <w:t>it usable and relevant for public health officials so we can understand, control, and ultimately prevent the transmission of mosquito-borne diseases</w:t>
      </w:r>
      <w:r w:rsidR="00E42EAF" w:rsidRPr="00AA3319">
        <w:rPr>
          <w:rFonts w:cs="Times New Roman"/>
        </w:rPr>
        <w:t>.</w:t>
      </w:r>
      <w:r w:rsidR="00BD0CD5" w:rsidRPr="00AA3319">
        <w:rPr>
          <w:rFonts w:cs="Times New Roman"/>
        </w:rPr>
        <w:br w:type="page"/>
      </w:r>
    </w:p>
    <w:p w14:paraId="32D9F4F5" w14:textId="77777777" w:rsidR="00BD0CD5" w:rsidRPr="00AA3319" w:rsidRDefault="00BD0CD5" w:rsidP="00636EB9">
      <w:pPr>
        <w:pStyle w:val="Bib"/>
        <w:rPr>
          <w:rFonts w:cs="Times New Roman"/>
        </w:rPr>
      </w:pPr>
    </w:p>
    <w:p w14:paraId="220090E0" w14:textId="32BD6517" w:rsidR="00C15D51" w:rsidRPr="00AA3319" w:rsidRDefault="00C15D51" w:rsidP="00C15D51">
      <w:pPr>
        <w:pStyle w:val="Heading1"/>
        <w:numPr>
          <w:ilvl w:val="0"/>
          <w:numId w:val="0"/>
        </w:numPr>
        <w:ind w:left="432" w:hanging="432"/>
        <w:rPr>
          <w:rFonts w:cs="Times New Roman"/>
        </w:rPr>
      </w:pPr>
      <w:bookmarkStart w:id="144" w:name="_Toc78889226"/>
      <w:r w:rsidRPr="00AA3319">
        <w:rPr>
          <w:rFonts w:cs="Times New Roman"/>
        </w:rPr>
        <w:t>Bibliography</w:t>
      </w:r>
      <w:bookmarkEnd w:id="144"/>
    </w:p>
    <w:p w14:paraId="595F96A8" w14:textId="77777777" w:rsidR="00B05387" w:rsidRDefault="00C15D51" w:rsidP="00B05387">
      <w:pPr>
        <w:pStyle w:val="Bibliography"/>
      </w:pPr>
      <w:r w:rsidRPr="00AA3319">
        <w:fldChar w:fldCharType="begin"/>
      </w:r>
      <w:r w:rsidR="00B05387">
        <w:instrText xml:space="preserve"> ADDIN ZOTERO_BIBL {"uncited":[],"omitted":[],"custom":[]} CSL_BIBLIOGRAPHY </w:instrText>
      </w:r>
      <w:r w:rsidRPr="00AA3319">
        <w:fldChar w:fldCharType="separate"/>
      </w:r>
      <w:r w:rsidR="00B05387">
        <w:t>Abeku, T.A., Vlas, S.J.D., Borsboom, G., Teklehaimanot, A., Kebede, A., Olana, D., Oortmarssen, G.J.V., Habbema, J.D.F., 2002. Forecasting malaria incidence from historical morbidity patterns in epidemic-prone areas of Ethiopia: a simple seasonal adjustment method performs best. Trop. Med. Int. Health 7, 851–857.</w:t>
      </w:r>
    </w:p>
    <w:p w14:paraId="432380AD" w14:textId="77777777" w:rsidR="00B05387" w:rsidRDefault="00B05387" w:rsidP="00B05387">
      <w:pPr>
        <w:pStyle w:val="Bibliography"/>
      </w:pPr>
      <w:r>
        <w:t>Adeola, A.M., Olwoch, J.M., Botai, J.O., Rautenbach, C.J. deW, Kalumba, A.M., Tsela, P.L., Adisa, O.M., Nsubuga, F.W.N., 2017. Landsat satellite derived environmental metric for mapping mosquitoes breeding habitats in the Nkomazi municipality, Mpumalanga Province, South Africa. South Afr. Geogr. J. 99, 14–28.</w:t>
      </w:r>
    </w:p>
    <w:p w14:paraId="440C37ED" w14:textId="77777777" w:rsidR="00B05387" w:rsidRDefault="00B05387" w:rsidP="00B05387">
      <w:pPr>
        <w:pStyle w:val="Bibliography"/>
      </w:pPr>
      <w:r>
        <w:t>Akaike, H., 1998. Information Theory and an Extension of the Maximum Likelihood Principle, in: Parzen, E., Tanabe, K., Kitagawa, G. (Eds.), Selected Papers of Hirotugu Akaike, Springer Series in Statistics. Springer, New York, NY, pp. 199–213.</w:t>
      </w:r>
    </w:p>
    <w:p w14:paraId="23CA5917" w14:textId="77777777" w:rsidR="00B05387" w:rsidRDefault="00B05387" w:rsidP="00B05387">
      <w:pPr>
        <w:pStyle w:val="Bibliography"/>
      </w:pPr>
      <w:r>
        <w:t>Alemu, A., Tsegaye, W., Golassa, L., Abebe, G., 2011. Urban malaria and associated risk factors in Jimma town, south-west Ethiopia. Malar. J. 10, 173.</w:t>
      </w:r>
    </w:p>
    <w:p w14:paraId="24C8809A" w14:textId="77777777" w:rsidR="00B05387" w:rsidRPr="00B05387" w:rsidRDefault="00B05387" w:rsidP="00B05387">
      <w:pPr>
        <w:pStyle w:val="Bibliography"/>
        <w:rPr>
          <w:lang w:val="de-DE"/>
        </w:rPr>
      </w:pPr>
      <w:r>
        <w:t xml:space="preserve">Animut, A., Balkew, M., Lindtjørn, B., 2013. Impact of housing condition on indoor-biting and indoor-resting Anopheles arabiensis density in a highland area, central Ethiopia. </w:t>
      </w:r>
      <w:r w:rsidRPr="00B05387">
        <w:rPr>
          <w:lang w:val="de-DE"/>
        </w:rPr>
        <w:t>Malar. J. 12, 393.</w:t>
      </w:r>
    </w:p>
    <w:p w14:paraId="3AFA6518" w14:textId="77777777" w:rsidR="00B05387" w:rsidRDefault="00B05387" w:rsidP="00B05387">
      <w:pPr>
        <w:pStyle w:val="Bibliography"/>
      </w:pPr>
      <w:r w:rsidRPr="00B05387">
        <w:rPr>
          <w:lang w:val="de-DE"/>
        </w:rPr>
        <w:t xml:space="preserve">Aschale, Y., Mengist, A., Bitew, A., Kassie, B., Talie, A., 2018. </w:t>
      </w:r>
      <w:r>
        <w:t>Prevalence of malaria and associated risk factors among asymptomatic migrant laborers in West Armachiho District, Northwest Ethiopia. Res. Rep. Trop. Med. 9, 95–101.</w:t>
      </w:r>
    </w:p>
    <w:p w14:paraId="330518B2" w14:textId="77777777" w:rsidR="00B05387" w:rsidRDefault="00B05387" w:rsidP="00B05387">
      <w:pPr>
        <w:pStyle w:val="Bibliography"/>
      </w:pPr>
      <w:r>
        <w:t>Asfaw, W., Tolossa, D., Zeleke, G., 2010. Causes and impacts of seasonal migration on rural livelihoods: Case studies from Amhara Region in Ethiopia. Nor. Geogr. Tidsskr. 14.</w:t>
      </w:r>
    </w:p>
    <w:p w14:paraId="6591295F" w14:textId="77777777" w:rsidR="00B05387" w:rsidRPr="00B05387" w:rsidRDefault="00B05387" w:rsidP="00B05387">
      <w:pPr>
        <w:pStyle w:val="Bibliography"/>
        <w:rPr>
          <w:lang w:val="de-DE"/>
        </w:rPr>
      </w:pPr>
      <w:r>
        <w:t xml:space="preserve">Ayele, D.G., Zewotir, T.T., Mwambi, H.G., 2012. Prevalence and risk factors of malaria in Ethiopia. </w:t>
      </w:r>
      <w:r w:rsidRPr="00B05387">
        <w:rPr>
          <w:lang w:val="de-DE"/>
        </w:rPr>
        <w:t>Malar. J. 11, 195–195.</w:t>
      </w:r>
    </w:p>
    <w:p w14:paraId="0CED1102" w14:textId="77777777" w:rsidR="00B05387" w:rsidRDefault="00B05387" w:rsidP="00B05387">
      <w:pPr>
        <w:pStyle w:val="Bibliography"/>
      </w:pPr>
      <w:r w:rsidRPr="00B05387">
        <w:rPr>
          <w:lang w:val="de-DE"/>
        </w:rPr>
        <w:t xml:space="preserve">Becker, B., Leisnham, P.T., LaDeau, S.L., 2014. </w:t>
      </w:r>
      <w:r>
        <w:t>A Tale of Two City Blocks: Differences in Immature and Adult Mosquito Abundances between Socioeconomically Different Urban Blocks in Baltimore (Maryland, USA). Int. J. Environ. Res. Public Health Basel 11, 3256–70.</w:t>
      </w:r>
    </w:p>
    <w:p w14:paraId="7DB237FD" w14:textId="77777777" w:rsidR="00B05387" w:rsidRDefault="00B05387" w:rsidP="00B05387">
      <w:pPr>
        <w:pStyle w:val="Bibliography"/>
      </w:pPr>
      <w:r>
        <w:t>Belay, D.B., Kifle, Y.G., Goshu, A.T., Gran, J.M., Yewhalaw, D., Duchateau, L., Frigessi, A., 2017. Joint Bayesian modeling of time to malaria and mosquito abundance in Ethiopia. BMC Infect. Dis. 17, 415–415.</w:t>
      </w:r>
    </w:p>
    <w:p w14:paraId="391AE2F1" w14:textId="77777777" w:rsidR="00B05387" w:rsidRDefault="00B05387" w:rsidP="00B05387">
      <w:pPr>
        <w:pStyle w:val="Bibliography"/>
      </w:pPr>
      <w:r>
        <w:t>Benali, A., Nunes, J.P., Freitas, F.B., Sousa, C.A., Novo, M.T., Lourenço, P.M., Lima, J.C., Seixas, J., Almeida, A.P.G., 2014. Satellite-derived estimation of environmental suitability for malaria vector development in Portugal. Remote Sens. Environ. 145, 116–130.</w:t>
      </w:r>
    </w:p>
    <w:p w14:paraId="5780FF1B" w14:textId="77777777" w:rsidR="00B05387" w:rsidRDefault="00B05387" w:rsidP="00B05387">
      <w:pPr>
        <w:pStyle w:val="Bibliography"/>
      </w:pPr>
      <w:r>
        <w:t>Benedict, M.Q., Levine, R.S., Hawley, W.A., Lounibos, L.P., 2007. Spread of The Tiger: Global Risk of Invasion by The Mosquito Aedes albopictus. Vector-Borne Zoonotic Dis. 7, 76–85.</w:t>
      </w:r>
    </w:p>
    <w:p w14:paraId="0AC79A8F" w14:textId="77777777" w:rsidR="00B05387" w:rsidRDefault="00B05387" w:rsidP="00B05387">
      <w:pPr>
        <w:pStyle w:val="Bibliography"/>
      </w:pPr>
      <w:r>
        <w:t xml:space="preserve">Bhatt, S., Gething, P.W., Brady, O.J., Messina, J.P., Farlow, A.W., Moyes, C.L., Drake, J.M., Brownstein, J.S., Hoen, A.G., Sankoh, O., Myers, M.F., George, D.B., </w:t>
      </w:r>
      <w:r>
        <w:lastRenderedPageBreak/>
        <w:t>Jaenisch, T., Wint, G.R.W., 2013. The global distribution and burden of dengue. Nature 496, 504–504.</w:t>
      </w:r>
    </w:p>
    <w:p w14:paraId="26811B12" w14:textId="77777777" w:rsidR="00B05387" w:rsidRDefault="00B05387" w:rsidP="00B05387">
      <w:pPr>
        <w:pStyle w:val="Bibliography"/>
      </w:pPr>
      <w:r>
        <w:t>Bicout, D.J., Vautrin, M., Vignolles, C., Sabatier, P., 2015. Modeling the dynamics of mosquito breeding sites vs rainfall in Barkedji area, Senegal. Ecol. Model. 317, 41–49.</w:t>
      </w:r>
    </w:p>
    <w:p w14:paraId="41F84114" w14:textId="77777777" w:rsidR="00B05387" w:rsidRDefault="00B05387" w:rsidP="00B05387">
      <w:pPr>
        <w:pStyle w:val="Bibliography"/>
      </w:pPr>
      <w:r>
        <w:t>Bousema, T., Griffin, J.T., Sauerwein, R.W., Smith, D.L., Churcher, T.S., Takken, W., Ghani, A., Drakeley, C., Gosling, R., 2012. Hitting hotspots: spatial targeting of malaria for control and elimination. PLoS Med. 9, e1001165–e1001165.</w:t>
      </w:r>
    </w:p>
    <w:p w14:paraId="6BE5774D" w14:textId="77777777" w:rsidR="00B05387" w:rsidRDefault="00B05387" w:rsidP="00B05387">
      <w:pPr>
        <w:pStyle w:val="Bibliography"/>
      </w:pPr>
      <w:r>
        <w:t>Bozdogan, H., 1987. Model selection and Akaike’s Information Criterion (AIC): The general theory and its analytical extensions. Psychometrika 52, 345–370.</w:t>
      </w:r>
    </w:p>
    <w:p w14:paraId="5D1EB969" w14:textId="77777777" w:rsidR="00B05387" w:rsidRDefault="00B05387" w:rsidP="00B05387">
      <w:pPr>
        <w:pStyle w:val="Bibliography"/>
      </w:pPr>
      <w:r>
        <w:t>Bradt, D., Wormington, J.D., Long, J.M., Hoback, W.W., Noden, B.H., 2019. Differences in Mosquito Communities in Six Cities in Oklahoma. J. Med. Entomol.</w:t>
      </w:r>
    </w:p>
    <w:p w14:paraId="7EBBD578" w14:textId="77777777" w:rsidR="00B05387" w:rsidRDefault="00B05387" w:rsidP="00B05387">
      <w:pPr>
        <w:pStyle w:val="Bibliography"/>
      </w:pPr>
      <w:r>
        <w:t>Brock, F.V., Crawford, K.C., Elliott, R.L., Cuperus, G.W., Stadler, S.J., Johnson, H.L., Eilts, M.D., 1995. The Oklahoma Mesonet: A Technical Overview. J. Atmospheric Ocean. Technol. 12, 5–19.</w:t>
      </w:r>
    </w:p>
    <w:p w14:paraId="06F9651E" w14:textId="77777777" w:rsidR="00B05387" w:rsidRDefault="00B05387" w:rsidP="00B05387">
      <w:pPr>
        <w:pStyle w:val="Bibliography"/>
      </w:pPr>
      <w:r>
        <w:t>Brown, H.E., Young, A., Lega, J., Andreadis, T.G., Schurich, J., Comrie, A., 2015. Projection of climate change influences on U.S. West Nile virus vectors. Earth Interact. 19, 1–18.</w:t>
      </w:r>
    </w:p>
    <w:p w14:paraId="28A8E194" w14:textId="77777777" w:rsidR="00B05387" w:rsidRDefault="00B05387" w:rsidP="00B05387">
      <w:pPr>
        <w:pStyle w:val="Bibliography"/>
      </w:pPr>
      <w:r>
        <w:t>Bui, Q.-T., Nguyen, Q.-H., Pham, V.M., Pham, M.H., Tran, A.T., 2019. Understanding spatial variations of malaria in Vietnam using remotely sensed data integrated into GIS and machine learning classifiers. Geocarto Int. 34, 1300–1314.</w:t>
      </w:r>
    </w:p>
    <w:p w14:paraId="71E2AEA6" w14:textId="77777777" w:rsidR="00B05387" w:rsidRDefault="00B05387" w:rsidP="00B05387">
      <w:pPr>
        <w:pStyle w:val="Bibliography"/>
      </w:pPr>
      <w:r>
        <w:t>Burakoff, A., Lehman, J., Fischer, M., Staples, J.E., Lindsey, N.P., 2018. West Nile virus and other nationally notifiable arboviral diseases - United States, 2016. Morb. Mortal. Wkly. Rep. 67, 13–17.</w:t>
      </w:r>
    </w:p>
    <w:p w14:paraId="205305E0" w14:textId="77777777" w:rsidR="00B05387" w:rsidRDefault="00B05387" w:rsidP="00B05387">
      <w:pPr>
        <w:pStyle w:val="Bibliography"/>
      </w:pPr>
      <w:r>
        <w:t>Carrington, L.B., Seifert, S.N., Willits, N.H., Lambrechts, L., Scott, T.W., 2013. Large diurnal temperature fluctuations negatively influence Aedes aegypti (Diptera: Culicidae) life-history traits. J. Med. Entomol. 50, 43–51.</w:t>
      </w:r>
    </w:p>
    <w:p w14:paraId="2C1527AF" w14:textId="77777777" w:rsidR="00B05387" w:rsidRDefault="00B05387" w:rsidP="00B05387">
      <w:pPr>
        <w:pStyle w:val="Bibliography"/>
      </w:pPr>
      <w:r>
        <w:t>CDC, 2017. West Nile virus disease cases by state [WWW Document]. URL https://www.cdc.gov/westnile/statsmaps/preliminarymapsdata2017/disease-cases-state.html (accessed 6.4.18).</w:t>
      </w:r>
    </w:p>
    <w:p w14:paraId="42A03F16" w14:textId="77777777" w:rsidR="00B05387" w:rsidRDefault="00B05387" w:rsidP="00B05387">
      <w:pPr>
        <w:pStyle w:val="Bibliography"/>
      </w:pPr>
      <w:r>
        <w:t>CDC, 2016. Final cumulative maps &amp; data for 1999–2016 [WWW Document]. URL https://www.cdc.gov/westnile/statsmaps/cumMapsData.html (accessed 5.24.18).</w:t>
      </w:r>
    </w:p>
    <w:p w14:paraId="18A11905" w14:textId="77777777" w:rsidR="00B05387" w:rsidRDefault="00B05387" w:rsidP="00B05387">
      <w:pPr>
        <w:pStyle w:val="Bibliography"/>
      </w:pPr>
      <w:r>
        <w:t>CDC, 2015. Arboviral diseases, neuroinvasive and non-neuroinvasive | 2015 case definition [WWW Document]. URL https://wwwn.cdc.gov/nndss/conditions/arboviral-diseases-neuroinvasive-and-non-neuroinvasive/case-definition/2015/ (accessed 5.24.18).</w:t>
      </w:r>
    </w:p>
    <w:p w14:paraId="7749891D" w14:textId="77777777" w:rsidR="00B05387" w:rsidRDefault="00B05387" w:rsidP="00B05387">
      <w:pPr>
        <w:pStyle w:val="Bibliography"/>
      </w:pPr>
      <w:r>
        <w:t>Central Statistical Agency, 2012. 2007 population and housing census of Ethiopia. Administrative Report. Addis Ababa.</w:t>
      </w:r>
    </w:p>
    <w:p w14:paraId="5B1E157E" w14:textId="77777777" w:rsidR="00B05387" w:rsidRDefault="00B05387" w:rsidP="00B05387">
      <w:pPr>
        <w:pStyle w:val="Bibliography"/>
      </w:pPr>
      <w:r>
        <w:t>Chancey, C., Grinev, A., Volkova, E., Rios, M., 2015. The global ecology and epidemiology of West Nile virus. BioMed Res. Int. 1–20.</w:t>
      </w:r>
    </w:p>
    <w:p w14:paraId="2C2B7BA2" w14:textId="77777777" w:rsidR="00B05387" w:rsidRDefault="00B05387" w:rsidP="00B05387">
      <w:pPr>
        <w:pStyle w:val="Bibliography"/>
      </w:pPr>
      <w:r>
        <w:t>Chuang, T.W., Hockett, C.W., Kightlinger, L., Wimberly, M.C., 2012. Landscape-level spatial patterns of West Nile virus risk in the northern Great Plains. Am. J. Trop. Med. Hyg. 86, 724–31.</w:t>
      </w:r>
    </w:p>
    <w:p w14:paraId="1B32CF2B" w14:textId="77777777" w:rsidR="00B05387" w:rsidRDefault="00B05387" w:rsidP="00B05387">
      <w:pPr>
        <w:pStyle w:val="Bibliography"/>
      </w:pPr>
      <w:r>
        <w:t>Chuang, T.-W., Wimberly, M.C., 2012. Remote Sensing of Climatic Anomalies and West Nile Virus Incidence in the Northern Great Plains of the United States. PLoS ONE 7, e46882–e46882.</w:t>
      </w:r>
    </w:p>
    <w:p w14:paraId="07426BE2" w14:textId="77777777" w:rsidR="00B05387" w:rsidRDefault="00B05387" w:rsidP="00B05387">
      <w:pPr>
        <w:pStyle w:val="Bibliography"/>
      </w:pPr>
      <w:r>
        <w:lastRenderedPageBreak/>
        <w:t>Ciota, A.T., Matacchiero, A.C., Kilpatrick, A.M., Kramer, L.D., 2014. The effect of temperature on life history traits of Culex mosquitoes. J. Med. Entomol. 51, 55–62.</w:t>
      </w:r>
    </w:p>
    <w:p w14:paraId="1A31669D" w14:textId="77777777" w:rsidR="00B05387" w:rsidRDefault="00B05387" w:rsidP="00B05387">
      <w:pPr>
        <w:pStyle w:val="Bibliography"/>
      </w:pPr>
      <w:r>
        <w:t>Claverie, M., Ju, J., Masek, J.G., Dungan, J.L., Vermote, E.F., Roger, J.-C., Skakun, S.V., Justice, C., 2018. The Harmonized Landsat and Sentinel-2 surface reflectance data set. Remote Sens. Environ. 219, 145–161.</w:t>
      </w:r>
    </w:p>
    <w:p w14:paraId="743A60A3" w14:textId="77777777" w:rsidR="00B05387" w:rsidRDefault="00B05387" w:rsidP="00B05387">
      <w:pPr>
        <w:pStyle w:val="Bibliography"/>
      </w:pPr>
      <w:r>
        <w:t>Cohen, J.M., Le Menach, A., Pothin, E., Eisele, T.P., Gething, P.W., Eckhoff, P.A., Moonen, B., Schapira, A., Smith, D.L., 2017. Mapping multiple components of malaria risk for improved targeting of elimination interventions. Malar. J. 16, 459.</w:t>
      </w:r>
    </w:p>
    <w:p w14:paraId="7E9A319E" w14:textId="77777777" w:rsidR="00B05387" w:rsidRDefault="00B05387" w:rsidP="00B05387">
      <w:pPr>
        <w:pStyle w:val="Bibliography"/>
      </w:pPr>
      <w:r>
        <w:t>Cotter, C., Sturrock, H.J., Hsiang, M.S., Liu, J., Phillips, A.A., Hwang, J., Gueye, C.S., Fullman, N., Gosling, R.D., Feachem, R.G., 2013. The changing epidemiology of malaria elimination: new strategies for new challenges. The Lancet 382, 900–911.</w:t>
      </w:r>
    </w:p>
    <w:p w14:paraId="7C6E6385" w14:textId="77777777" w:rsidR="00B05387" w:rsidRDefault="00B05387" w:rsidP="00B05387">
      <w:pPr>
        <w:pStyle w:val="Bibliography"/>
      </w:pPr>
      <w:r>
        <w:t>Davis, J.K., Gebrehiwot, T., Worku, M., Awoke, W., Mihretie, A., Nekorchuk, D., Wimberly, M.C., 2019. A genetic algorithm for identifying spatially-varying environmental drivers in a malaria time series model. Environ. Model. Softw. 119, 275–284.</w:t>
      </w:r>
    </w:p>
    <w:p w14:paraId="31ECDF87" w14:textId="77777777" w:rsidR="00B05387" w:rsidRDefault="00B05387" w:rsidP="00B05387">
      <w:pPr>
        <w:pStyle w:val="Bibliography"/>
      </w:pPr>
      <w:r>
        <w:t>Davis, J.K., Vincent, G., Hildreth, M.B., Kightlinger, L., Carlson, C., Wimberly, M.C., 2017. Integrating environmental monitoring and mosquito surveillance to predict vector-borne disease: Prospective forecasts of a West Nile virus outbreak. PLoS Curr. Outbreaks 9, 1–11.</w:t>
      </w:r>
    </w:p>
    <w:p w14:paraId="6747FB68" w14:textId="77777777" w:rsidR="00B05387" w:rsidRDefault="00B05387" w:rsidP="00B05387">
      <w:pPr>
        <w:pStyle w:val="Bibliography"/>
      </w:pPr>
      <w:r>
        <w:t>Debebe, Y., Hill, S.R., Tekie, H., Ignell, R., Hopkins, R.J., 2018. Shady business: understanding the spatial ecology of exophilic Anopheles mosquitoes. Malar. J. 17, 351.</w:t>
      </w:r>
    </w:p>
    <w:p w14:paraId="4F84BBEB" w14:textId="77777777" w:rsidR="00B05387" w:rsidRDefault="00B05387" w:rsidP="00B05387">
      <w:pPr>
        <w:pStyle w:val="Bibliography"/>
      </w:pPr>
      <w:r>
        <w:t>Dhiman, S., 2019. Are malaria elimination efforts on right track? An analysis of gains achieved and challenges ahead. Infect. Dis. Poverty 8, 14.</w:t>
      </w:r>
    </w:p>
    <w:p w14:paraId="3229F8DE" w14:textId="77777777" w:rsidR="00B05387" w:rsidRDefault="00B05387" w:rsidP="00B05387">
      <w:pPr>
        <w:pStyle w:val="Bibliography"/>
      </w:pPr>
      <w:r>
        <w:t>Dieng, H., Rahman, G.M.S., Abu Hassan, A., Che Salmah, M.R., Satho, T., Miake, F., Boots, M., Sazaly, A., 2012. The effects of simulated rainfall on immature population dynamics of Aedes albopictus and female oviposition. Int. J. Biometeorol. 56, 113–120.</w:t>
      </w:r>
    </w:p>
    <w:p w14:paraId="0F3D35F7" w14:textId="77777777" w:rsidR="00B05387" w:rsidRDefault="00B05387" w:rsidP="00B05387">
      <w:pPr>
        <w:pStyle w:val="Bibliography"/>
      </w:pPr>
      <w:r>
        <w:t>Dilts, T.E., 2015. Topography Tools for ArcGIS 10.1. University of Nevada Reno.</w:t>
      </w:r>
    </w:p>
    <w:p w14:paraId="3A4C0BFD" w14:textId="77777777" w:rsidR="00B05387" w:rsidRDefault="00B05387" w:rsidP="00B05387">
      <w:pPr>
        <w:pStyle w:val="Bibliography"/>
      </w:pPr>
      <w:r>
        <w:t>Dlamini, S.N., Beloconi, A., Mabaso, S., Vounatsou, P., Impouma, B., Fall, I.S., 2019. Review of remotely sensed data products for disease mapping and epidemiology. Remote Sens. Appl. Soc. Environ.</w:t>
      </w:r>
    </w:p>
    <w:p w14:paraId="1274B8C9" w14:textId="77777777" w:rsidR="00B05387" w:rsidRDefault="00B05387" w:rsidP="00B05387">
      <w:pPr>
        <w:pStyle w:val="Bibliography"/>
      </w:pPr>
      <w:r>
        <w:t>Dobson, J.E., Bright, E.A., Coleman, P.R., Durfee, R.C., Worley, B.A., 2000. LandScan: a global population database for estimating populations at risk. Photogramm. Eng. Remote Sens. 66, 849–857.</w:t>
      </w:r>
    </w:p>
    <w:p w14:paraId="22E1C2A0" w14:textId="77777777" w:rsidR="00B05387" w:rsidRDefault="00B05387" w:rsidP="00B05387">
      <w:pPr>
        <w:pStyle w:val="Bibliography"/>
      </w:pPr>
      <w:r>
        <w:t>Dormann, C.F., Elith, J., Bacher, S., Buchmann, C., Carl, G., Carré, G., Marquéz, J.R.G., Gruber, B., Lafourcade, B., Leitão, P.J., Münkemüller, T., McClean, C., Osborne, P.E., Reineking, B., Schröder, B., Skidmore, A.K., Zurell, D., Lautenbach, S., 2013. Collinearity: a review of methods to deal with it and a simulation study evaluating their performance. Ecography 36, 27–46.</w:t>
      </w:r>
    </w:p>
    <w:p w14:paraId="49F4322A" w14:textId="77777777" w:rsidR="00B05387" w:rsidRDefault="00B05387" w:rsidP="00B05387">
      <w:pPr>
        <w:pStyle w:val="Bibliography"/>
      </w:pPr>
      <w:r>
        <w:t>Ebhuoma, O., Gebreslasie, M., 2016. Remote sensing-driven climatic/environmental variables for modelling malaria transmission in sub-saharan Africa. Int. J. Environ. Res. Public. Health 13, 584.</w:t>
      </w:r>
    </w:p>
    <w:p w14:paraId="38355E62" w14:textId="77777777" w:rsidR="00B05387" w:rsidRDefault="00B05387" w:rsidP="00B05387">
      <w:pPr>
        <w:pStyle w:val="Bibliography"/>
      </w:pPr>
      <w:r>
        <w:t>Elith, J., Graham, C.H., 2009. Do they? How do they? WHY do they differ? On finding reasons for differing performances of species distribution models. Ecography 32, 66–77.</w:t>
      </w:r>
    </w:p>
    <w:p w14:paraId="7272A95E" w14:textId="77777777" w:rsidR="00B05387" w:rsidRDefault="00B05387" w:rsidP="00B05387">
      <w:pPr>
        <w:pStyle w:val="Bibliography"/>
      </w:pPr>
      <w:r>
        <w:lastRenderedPageBreak/>
        <w:t>Elith, J., Leathwick, J.R., Hastie, T., 2008. A working guide to boosted regression trees. J. Anim. Ecol. 77, 802–813.</w:t>
      </w:r>
    </w:p>
    <w:p w14:paraId="33D87E33" w14:textId="77777777" w:rsidR="00B05387" w:rsidRDefault="00B05387" w:rsidP="00B05387">
      <w:pPr>
        <w:pStyle w:val="Bibliography"/>
      </w:pPr>
      <w:r>
        <w:t>Endo, N., Eltahir, E.A.B., 2020. Increased risk of malaria transmission with warming temperature in the Ethiopian Highlands. Environ. Res. Lett.</w:t>
      </w:r>
    </w:p>
    <w:p w14:paraId="136E3888" w14:textId="77777777" w:rsidR="00B05387" w:rsidRDefault="00B05387" w:rsidP="00B05387">
      <w:pPr>
        <w:pStyle w:val="Bibliography"/>
      </w:pPr>
      <w:r>
        <w:t>Epp, T.Y., Wakdber Cgeryl L., Berke, O., 2009. Predicting Geographical Human Risk of West Nile Virus - Saskatchewan, 2003 and 2007. Can. J. Public Health. 100, 344–348.</w:t>
      </w:r>
    </w:p>
    <w:p w14:paraId="067B7042" w14:textId="77777777" w:rsidR="00B05387" w:rsidRDefault="00B05387" w:rsidP="00B05387">
      <w:pPr>
        <w:pStyle w:val="Bibliography"/>
      </w:pPr>
      <w:r>
        <w:t>Esayas, E., Woyessa, A., Massebo, F., 2020. Malaria infection clustered into small residential areas in lowlands of southern Ethiopia. Parasite Epidemiol. Control 10, e00149.</w:t>
      </w:r>
    </w:p>
    <w:p w14:paraId="488E45F4" w14:textId="77777777" w:rsidR="00B05387" w:rsidRDefault="00B05387" w:rsidP="00B05387">
      <w:pPr>
        <w:pStyle w:val="Bibliography"/>
      </w:pPr>
      <w:r>
        <w:t>Ezenwa, V.O., Godsey, M.S., King, R.J., Guptill, S.C., 2006. Avian diversity and West Nile virus: testing associations between biodiversity and infectious disease risk. Proc. Biol. Sci. 273, 109–17.</w:t>
      </w:r>
    </w:p>
    <w:p w14:paraId="151E8167" w14:textId="77777777" w:rsidR="00B05387" w:rsidRDefault="00B05387" w:rsidP="00B05387">
      <w:pPr>
        <w:pStyle w:val="Bibliography"/>
      </w:pPr>
      <w:r>
        <w:t>Farajollahi, A., Nelder, M.P., 2009. Changes in Aedes albopictus (Diptera: Culicidae) populations in New Jersey and implications for arbovirus transmission. J. Med. Entomol. 46, 1220–1224.</w:t>
      </w:r>
    </w:p>
    <w:p w14:paraId="4E570523" w14:textId="77777777" w:rsidR="00B05387" w:rsidRDefault="00B05387" w:rsidP="00B05387">
      <w:pPr>
        <w:pStyle w:val="Bibliography"/>
      </w:pPr>
      <w:r>
        <w:t>Feachem, R.G., Phillips, A.A., Hwang, J., Cotter, C., Wielgosz, B., Greenwood, B.M., Sabot, O., Rodriguez, M.H., Abeyasinghe, R.R., Ghebreyesus, T.A., Snow, R.W., 2010. Shrinking the malaria map: progress and prospects. The Lancet 376, 1566–1578.</w:t>
      </w:r>
    </w:p>
    <w:p w14:paraId="7B6CFCCF" w14:textId="77777777" w:rsidR="00B05387" w:rsidRDefault="00B05387" w:rsidP="00B05387">
      <w:pPr>
        <w:pStyle w:val="Bibliography"/>
      </w:pPr>
      <w:r>
        <w:t>Federal Ministry of Health, 2020. National malaria elimination strategic plan: 2021-2025. Addis Ababa.</w:t>
      </w:r>
    </w:p>
    <w:p w14:paraId="1F2B7D06" w14:textId="77777777" w:rsidR="00B05387" w:rsidRDefault="00B05387" w:rsidP="00B05387">
      <w:pPr>
        <w:pStyle w:val="Bibliography"/>
      </w:pPr>
      <w:r>
        <w:t>Fischer, D., Thomas, S.M., Suk, J.E., Sudre, B., Hess, A., Tjaden, N.B., Beierkuhnlein, C., Semenza, J.C., 2013. Climate change effects on Chikungunya transmission in Europe: Geospatial analysis of vector’s climatic suitability and virus’ temperature requirements. Int. J. Health Geogr. 12, 1–12.</w:t>
      </w:r>
    </w:p>
    <w:p w14:paraId="62681157" w14:textId="77777777" w:rsidR="00B05387" w:rsidRDefault="00B05387" w:rsidP="00B05387">
      <w:pPr>
        <w:pStyle w:val="Bibliography"/>
      </w:pPr>
      <w:r>
        <w:t>Franklin, J., 2010. Mapping Species Distributions: Spatial Inference and Prediction, Ecology, Biodiversity and Conservation. Cambridge University Press, Cambridge.</w:t>
      </w:r>
    </w:p>
    <w:p w14:paraId="4D6E1F5B" w14:textId="77777777" w:rsidR="00B05387" w:rsidRDefault="00B05387" w:rsidP="00B05387">
      <w:pPr>
        <w:pStyle w:val="Bibliography"/>
      </w:pPr>
      <w:r w:rsidRPr="00387ADB">
        <w:t xml:space="preserve">Friedman, J.H., Meulman, J.J., 2003. </w:t>
      </w:r>
      <w:r>
        <w:t>Multiple additive regression trees with application in epidemiology. Stat. Med. 22, 1365–1381.</w:t>
      </w:r>
    </w:p>
    <w:p w14:paraId="14B5BD5A" w14:textId="77777777" w:rsidR="00B05387" w:rsidRDefault="00B05387" w:rsidP="00B05387">
      <w:pPr>
        <w:pStyle w:val="Bibliography"/>
      </w:pPr>
      <w:r>
        <w:t>Funk, C., Peterson, P., Landsfeld, M., Pedreros, D., Verdin, J., Shukla, S., Husak, G., Rowland, J., Harrison, L., Hoell, A., Michaelsen, J., 2015. The climate hazards infrared precipitation with stations—a new environmental record for monitoring extremes. Sci. Data 2, 150066.</w:t>
      </w:r>
    </w:p>
    <w:p w14:paraId="1B2DF0A0" w14:textId="77777777" w:rsidR="00B05387" w:rsidRDefault="00B05387" w:rsidP="00B05387">
      <w:pPr>
        <w:pStyle w:val="Bibliography"/>
      </w:pPr>
      <w:r>
        <w:t>Gao, B.C., 1996. NDWI - A normalized difference water index for remote sensing of vegetation liquid water from space. Remote Sens. Environ. 58, 257–266.</w:t>
      </w:r>
    </w:p>
    <w:p w14:paraId="4C74F62D" w14:textId="77777777" w:rsidR="00B05387" w:rsidRDefault="00B05387" w:rsidP="00B05387">
      <w:pPr>
        <w:pStyle w:val="Bibliography"/>
      </w:pPr>
      <w:r>
        <w:t>Gerhardt, R.R., Gottfried, K.L., Apperson, C.S., Davis, B.S., Erwin, P.C., Smith, A.B., Panella, N.A., Powell, E.E., Nasci, R.S., 2001. First isolation of La Crosse virus from naturally infected Aedes albopictus. Emerg. Infect. Dis. 7, 807–811.</w:t>
      </w:r>
    </w:p>
    <w:p w14:paraId="3E150433" w14:textId="77777777" w:rsidR="00B05387" w:rsidRDefault="00B05387" w:rsidP="00B05387">
      <w:pPr>
        <w:pStyle w:val="Bibliography"/>
      </w:pPr>
      <w:r>
        <w:t>Giordano, B.V., Allen, B.T., Wishard, R., Xue, R.-D., Campbell, L.P., 2021. Light Trap Collections of Mosquitoes (Diptera: Culicidae) Using Dry Ice and Octenol Attractants in Adjacent Mosquito Control Programs. Fla. Entomol. 103, 499–504.</w:t>
      </w:r>
    </w:p>
    <w:p w14:paraId="474EE8ED" w14:textId="77777777" w:rsidR="00B05387" w:rsidRDefault="00B05387" w:rsidP="00B05387">
      <w:pPr>
        <w:pStyle w:val="Bibliography"/>
      </w:pPr>
      <w:r>
        <w:t>Gone, T., Balkew, M., Gebre-Michael, T., 2014. Comparative entomological study on ecology and behaviour of Anopheles mosquitoes in highland and lowland localities of Derashe District, southern Ethiopia. Parasit. Vectors 7, 483.</w:t>
      </w:r>
    </w:p>
    <w:p w14:paraId="394AA21E" w14:textId="77777777" w:rsidR="00B05387" w:rsidRDefault="00B05387" w:rsidP="00B05387">
      <w:pPr>
        <w:pStyle w:val="Bibliography"/>
      </w:pPr>
      <w:r>
        <w:lastRenderedPageBreak/>
        <w:t>Gorelick, N., Hancher, M., Dixon, M., Ilyushchenko, S., Thau, D., Moore, R., 2017. Google Earth Engine: planetary-scale geospatial analysis for everyone. Remote Sens. Environ., Big Remotely Sensed Data: tools, applications and experiences 202, 18–27.</w:t>
      </w:r>
    </w:p>
    <w:p w14:paraId="7F3A2074" w14:textId="77777777" w:rsidR="00B05387" w:rsidRDefault="00B05387" w:rsidP="00B05387">
      <w:pPr>
        <w:pStyle w:val="Bibliography"/>
      </w:pPr>
      <w:r>
        <w:t>Guintran, J.-O., Delacollette, C., Trigg, P., 2006. Systems for the early detection of malaria epidemics in Africa: an analysis of current practices and future priorities. World Health Organization, Geneva.</w:t>
      </w:r>
    </w:p>
    <w:p w14:paraId="73FBEDE2" w14:textId="77777777" w:rsidR="00B05387" w:rsidRDefault="00B05387" w:rsidP="00B05387">
      <w:pPr>
        <w:pStyle w:val="Bibliography"/>
      </w:pPr>
      <w:r>
        <w:t>Guisan, A., Zimmermann, N.E., 2000. Predictive habitat distribution models in ecology. Ecol. Model. 135, 147–186.</w:t>
      </w:r>
    </w:p>
    <w:p w14:paraId="22E1FF19" w14:textId="77777777" w:rsidR="00B05387" w:rsidRDefault="00B05387" w:rsidP="00B05387">
      <w:pPr>
        <w:pStyle w:val="Bibliography"/>
      </w:pPr>
      <w:r>
        <w:t>Hamer, G.L., Anderson, T.K., Donovan, D.J., Brawn, J.D., Krebs, B.L., Gardner, A.M., Ruiz, M.O., Brown, W.M., Kitron, U.D., Newman, C.M., Goldberg, T.L., Walker, E.D., 2014. Dispersal of Adult Culex Mosquitoes in an Urban West Nile Virus Hotspot: A Mark-Capture Study Incorporating Stable Isotope Enrichment of Natural Larval Habitats. PLoS Negl. Trop. Dis. 8, e2768–e2768.</w:t>
      </w:r>
    </w:p>
    <w:p w14:paraId="53042FA2" w14:textId="77777777" w:rsidR="00B05387" w:rsidRDefault="00B05387" w:rsidP="00B05387">
      <w:pPr>
        <w:pStyle w:val="Bibliography"/>
      </w:pPr>
      <w:r>
        <w:t>Hamer, G.L., Chaves, L.F., Anderson, T.K., Kitron, U.D., Brawn, J.D., Ruiz, M.O., Loss, S.R., Walker, E.D., Goldberg, T.L., 2011. Fine-scale variation in vector host use and force of infection drive localized patterns of West Nile virus transmission. PloS One 6, e23767.</w:t>
      </w:r>
    </w:p>
    <w:p w14:paraId="62A4339D" w14:textId="77777777" w:rsidR="00B05387" w:rsidRDefault="00B05387" w:rsidP="00B05387">
      <w:pPr>
        <w:pStyle w:val="Bibliography"/>
      </w:pPr>
      <w:r>
        <w:t>Hamer, G.L., Kitron, U.D., Goldberg, T.L., Brawn, J.D., Loss, S.R., Ruiz, M.O., Hayes, D.B., Walker, E.D., 2009. Host Selection by Culex pipiens Mosquitoes and West Nile Virus Amplification. Am J Trop Med Hyg 80, 268–278.</w:t>
      </w:r>
    </w:p>
    <w:p w14:paraId="505CFF1A" w14:textId="77777777" w:rsidR="00B05387" w:rsidRDefault="00B05387" w:rsidP="00B05387">
      <w:pPr>
        <w:pStyle w:val="Bibliography"/>
      </w:pPr>
      <w:r>
        <w:t>Hamza, A.M., Rayah, E.A.E., 2016. A Qualitative Evidence of the Breeding Sites of Anopheles arabiensis Patton (Diptera: Culicidae) in and Around Kassala Town, Eastern Sudan. Int. J. Insect Sci. 8, IJIS.S40071.</w:t>
      </w:r>
    </w:p>
    <w:p w14:paraId="1AB365F5" w14:textId="77777777" w:rsidR="00B05387" w:rsidRDefault="00B05387" w:rsidP="00B05387">
      <w:pPr>
        <w:pStyle w:val="Bibliography"/>
      </w:pPr>
      <w:r>
        <w:t>Hansen, M.C., Loveland, T.R., 2012. A review of large area monitoring of land cover change using Landsat data. Remote Sens. Environ. 122, 66–74.</w:t>
      </w:r>
    </w:p>
    <w:p w14:paraId="6F5B35DA" w14:textId="77777777" w:rsidR="00B05387" w:rsidRPr="00387ADB" w:rsidRDefault="00B05387" w:rsidP="00B05387">
      <w:pPr>
        <w:pStyle w:val="Bibliography"/>
        <w:rPr>
          <w:lang w:val="de-DE"/>
        </w:rPr>
      </w:pPr>
      <w:r>
        <w:t xml:space="preserve">Hardy, A.J., Gamarra, J.G.P., Cross, D.E., Macklin, M.G., Smith, M.W., Kihonda, J., Killeen, G.F., Ling’ala, G.N., Thomas, C.J., 2013. Habitat hydrology and geomorphology control the distribution of malaria vector larvae in rural Africa. </w:t>
      </w:r>
      <w:r w:rsidRPr="00387ADB">
        <w:rPr>
          <w:lang w:val="de-DE"/>
        </w:rPr>
        <w:t>PLOS ONE 8, e81931.</w:t>
      </w:r>
    </w:p>
    <w:p w14:paraId="192DE1D6" w14:textId="77777777" w:rsidR="00B05387" w:rsidRDefault="00B05387" w:rsidP="00B05387">
      <w:pPr>
        <w:pStyle w:val="Bibliography"/>
      </w:pPr>
      <w:r w:rsidRPr="00B05387">
        <w:rPr>
          <w:lang w:val="de-DE"/>
        </w:rPr>
        <w:t xml:space="preserve">Hartley, D.M., Barker, C.M., Le Menach, A., Niu, T., Gaff, H.D., Reisen, W.K., 2012. </w:t>
      </w:r>
      <w:r>
        <w:t>Effects of temperature on emergence and seasonality of West Nile virus in California. Am. J. Trop. Med. Hyg. 86, 884–94.</w:t>
      </w:r>
    </w:p>
    <w:p w14:paraId="103D891D" w14:textId="77777777" w:rsidR="00B05387" w:rsidRDefault="00B05387" w:rsidP="00B05387">
      <w:pPr>
        <w:pStyle w:val="Bibliography"/>
      </w:pPr>
      <w:r>
        <w:t>Hay, S.I., Battle, K.E., Pigott, D.M., Smith, D.L., Moyes, C.L., Bhatt, S., Brownstein, J.S., Collier, N., Myers, M.F., George, D.B., Gething, P.W., 2013. Global mapping of infectious disease. Philos. Trans. R. Soc. B Biol. Sci. 368, 20120250–20120250.</w:t>
      </w:r>
    </w:p>
    <w:p w14:paraId="23C1E41F" w14:textId="77777777" w:rsidR="00B05387" w:rsidRDefault="00B05387" w:rsidP="00B05387">
      <w:pPr>
        <w:pStyle w:val="Bibliography"/>
      </w:pPr>
      <w:r>
        <w:t>Hay, S.I., Packer, M.J., Rogers, D.J., 1997. Review article - The impact of remote sensing on the study and control of invertebrate intermediate hosts and vectors for disease. Int. J. Remote Sens. 18, 2899–2930.</w:t>
      </w:r>
    </w:p>
    <w:p w14:paraId="605930C8" w14:textId="77777777" w:rsidR="00B05387" w:rsidRDefault="00B05387" w:rsidP="00B05387">
      <w:pPr>
        <w:pStyle w:val="Bibliography"/>
      </w:pPr>
      <w:r>
        <w:t>Hemingway, J., Ranson, H., 2000. Insecticide resistance in insect vectors of human disease. Annu. Rev. Entomol. 45, 371–391.</w:t>
      </w:r>
    </w:p>
    <w:p w14:paraId="58B15959" w14:textId="77777777" w:rsidR="00B05387" w:rsidRDefault="00B05387" w:rsidP="00B05387">
      <w:pPr>
        <w:pStyle w:val="Bibliography"/>
      </w:pPr>
      <w:r>
        <w:t>Hess, A., Davis, J.K., Wimberly, M.C., 2018. Identifying environmental risk factors and mapping the distribution of West Nile virus in an endemic region of North America. GeoHealth 2, 395–409.</w:t>
      </w:r>
    </w:p>
    <w:p w14:paraId="26BD8C5E" w14:textId="77777777" w:rsidR="00B05387" w:rsidRDefault="00B05387" w:rsidP="00B05387">
      <w:pPr>
        <w:pStyle w:val="Bibliography"/>
      </w:pPr>
      <w:r>
        <w:t xml:space="preserve">Hoffman-Hall, A., Puett, R., Silva, J.A., Chen, D., Baer, A., Han, K.T., Han, Z.Y., Thi, A., Htay, T., Thein, Z.W., Aung, P.P., Plowe, C.V., Nyunt, M.M., Loboda, T.V., 2020. </w:t>
      </w:r>
      <w:r>
        <w:lastRenderedPageBreak/>
        <w:t>Malaria Exposure in Ann Township, Myanmar, as a Function of Land Cover and Land Use: Combining Satellite Earth Observations and Field Surveys. GeoHealth 4, e2020GH000299.</w:t>
      </w:r>
    </w:p>
    <w:p w14:paraId="50BEAE3E" w14:textId="77777777" w:rsidR="00B05387" w:rsidRDefault="00B05387" w:rsidP="00B05387">
      <w:pPr>
        <w:pStyle w:val="Bibliography"/>
      </w:pPr>
      <w:r>
        <w:t>Holick, J., Kyle, A., Ferraro, W., Delaney, R.R., Iwaseczko, M., 2002. Discovery of Aedes albopictus infected with west nile virus in southeastern Pennsylvania. J. Am. Mosq. Control Assoc. 18, 131.</w:t>
      </w:r>
    </w:p>
    <w:p w14:paraId="3E2F4DED" w14:textId="77777777" w:rsidR="00B05387" w:rsidRDefault="00B05387" w:rsidP="00B05387">
      <w:pPr>
        <w:pStyle w:val="Bibliography"/>
      </w:pPr>
      <w:r>
        <w:t>Hopperstad, K.A., Sallam, M.F., Reiskind, M.H., 2021. Estimations of Fine-Scale Species Distributions of Aedes aegypti and Aedes albopictus (Diptera: Culicidae) in Eastern Florida. J. Med. Entomol. 58, 699–707.</w:t>
      </w:r>
    </w:p>
    <w:p w14:paraId="37CD48ED" w14:textId="77777777" w:rsidR="00B05387" w:rsidRDefault="00B05387" w:rsidP="00B05387">
      <w:pPr>
        <w:pStyle w:val="Bibliography"/>
      </w:pPr>
      <w:r>
        <w:t>Houborg, R., McCabe, M.F., 2018. A Cubesat enabled Spatio-Temporal Enhancement Method (CESTEM) utilizing Planet, Landsat and MODIS data. Remote Sens. Environ. 209, 211–226.</w:t>
      </w:r>
    </w:p>
    <w:p w14:paraId="59737F0B" w14:textId="77777777" w:rsidR="00B05387" w:rsidRDefault="00B05387" w:rsidP="00B05387">
      <w:pPr>
        <w:pStyle w:val="Bibliography"/>
      </w:pPr>
      <w:r>
        <w:t>Howe, D.A., Hathaway, J.M., Ellis, K.N., Mason, L.R., 2017. Spatial and temporal variability of air temperature across urban neighborhoods with varying amounts of tree canopy. Urban For. Urban Green. 27, 109–116.</w:t>
      </w:r>
    </w:p>
    <w:p w14:paraId="3EDDA5C2" w14:textId="77777777" w:rsidR="00B05387" w:rsidRDefault="00B05387" w:rsidP="00B05387">
      <w:pPr>
        <w:pStyle w:val="Bibliography"/>
      </w:pPr>
      <w:r>
        <w:t>Howes, R.E., Battle, K.E., Mendis, K.N., Smith, D.L., Cibulskis, R.E., Baird, J.K., Hay, S.I., 2016. Global Epidemiology of Plasmodium vivax. Am. J. Trop. Med. Hyg. 95, 15–34.</w:t>
      </w:r>
    </w:p>
    <w:p w14:paraId="582CD85F" w14:textId="77777777" w:rsidR="00B05387" w:rsidRDefault="00B05387" w:rsidP="00B05387">
      <w:pPr>
        <w:pStyle w:val="Bibliography"/>
      </w:pPr>
      <w:r>
        <w:t>Huffman, G.J., Bolvin, D.T., Braithwaite, D., Hsu, K., Joyce, R., Xie, P., Yoo, S.H., 2020. NASA Global Precipitation Measurement (GPM) Integrated Multi-satellitE Retrievals for GPM (IMERG).</w:t>
      </w:r>
    </w:p>
    <w:p w14:paraId="4B7586A2" w14:textId="77777777" w:rsidR="00B05387" w:rsidRDefault="00B05387" w:rsidP="00B05387">
      <w:pPr>
        <w:pStyle w:val="Bibliography"/>
      </w:pPr>
      <w:r>
        <w:t>Hulley, G., Hook, S., 2018. VIIRS/NPP Land Surface Temperature 6-Min L2 Swath 750m V001.</w:t>
      </w:r>
    </w:p>
    <w:p w14:paraId="76BAD1AF" w14:textId="77777777" w:rsidR="00B05387" w:rsidRDefault="00B05387" w:rsidP="00B05387">
      <w:pPr>
        <w:pStyle w:val="Bibliography"/>
      </w:pPr>
      <w:r>
        <w:t>Hwang, J., Graves, P.M., Jima, D., Reithinger, R., Kachur, S.P., Group,  and the E.M.W., 2010. Knowledge of malaria and its association with malaria-related behaviors—results from the malaria indicator survey, Ethiopia, 2007. PLOS ONE 5, e11692.</w:t>
      </w:r>
    </w:p>
    <w:p w14:paraId="780B28CC" w14:textId="77777777" w:rsidR="00B05387" w:rsidRDefault="00B05387" w:rsidP="00B05387">
      <w:pPr>
        <w:pStyle w:val="Bibliography"/>
      </w:pPr>
      <w:r>
        <w:t>Ijumba, J.N., Lindsay, S.W., 2001. Impact of irrigation on malaria in Africa: paddies paradox. Med. Vet. Entomol. 15, 1–11.</w:t>
      </w:r>
    </w:p>
    <w:p w14:paraId="5F290E9F" w14:textId="77777777" w:rsidR="00B05387" w:rsidRDefault="00B05387" w:rsidP="00B05387">
      <w:pPr>
        <w:pStyle w:val="Bibliography"/>
      </w:pPr>
      <w:r>
        <w:t>Jin, S., Homer, C., Yang, L., Danielson, P., Dewitz, J., Li, C., Zhu, Z., Xian, G., Howard, D., 2019. Overall Methodology Design for the United States National Land Cover Database 2016 Products. Remote Sens. 11, 2971.</w:t>
      </w:r>
    </w:p>
    <w:p w14:paraId="4522D4FC" w14:textId="77777777" w:rsidR="00B05387" w:rsidRDefault="00B05387" w:rsidP="00B05387">
      <w:pPr>
        <w:pStyle w:val="Bibliography"/>
      </w:pPr>
      <w:r>
        <w:t>Johnson, E.E., Escobar, L.E., Zambrana-Torrelio, C., 2019. An Ecological Framework for Modeling the Geography of Disease Transmission. Trends Ecol. Evol.</w:t>
      </w:r>
    </w:p>
    <w:p w14:paraId="64519E9D" w14:textId="77777777" w:rsidR="00B05387" w:rsidRDefault="00B05387" w:rsidP="00B05387">
      <w:pPr>
        <w:pStyle w:val="Bibliography"/>
      </w:pPr>
      <w:r>
        <w:t>Johnson, T.L., Haque, U., Monaghan, A.J., Eisen, L., Hahn, M.B., Hayden, M.H., Savage, H.M., McAllister, J., Mutebi, J.-P., Eisen, R.J., 2017. Modeling the Environmental Suitability for Aedes (Stegomyia) aegypti and Aedes (Stegomyia) albopictus (Diptera: Culicidae) in the Contiguous United States. J. Med. Entomol. 54, 1605–1614.</w:t>
      </w:r>
    </w:p>
    <w:p w14:paraId="2A3EC96C" w14:textId="77777777" w:rsidR="00B05387" w:rsidRDefault="00B05387" w:rsidP="00B05387">
      <w:pPr>
        <w:pStyle w:val="Bibliography"/>
      </w:pPr>
      <w:r>
        <w:t>Jones, W.E., 1999. West Nile Virus New To North America. J. Equine Vet. Sci. 19, 680–683.</w:t>
      </w:r>
    </w:p>
    <w:p w14:paraId="45C20CA6" w14:textId="77777777" w:rsidR="00B05387" w:rsidRDefault="00B05387" w:rsidP="00B05387">
      <w:pPr>
        <w:pStyle w:val="Bibliography"/>
      </w:pPr>
      <w:r>
        <w:t>Kabaria, C.W., Molteni, F., Mandike, R., Chacky, F., Noor, A.M., Snow, R.W., Linard, C., 2016. Mapping intra-urban malaria risk using high resolution satellite imagery: a case study of Dar es Salaam. Int. J. Health Geogr. 15, 26.</w:t>
      </w:r>
    </w:p>
    <w:p w14:paraId="406C2308" w14:textId="77777777" w:rsidR="00B05387" w:rsidRDefault="00B05387" w:rsidP="00B05387">
      <w:pPr>
        <w:pStyle w:val="Bibliography"/>
      </w:pPr>
      <w:r>
        <w:t>Kassie, K.E., Alemu, B.A., Wedajoo, A.S., 2018. Impact of irrigation on household multidimensional poverty reduction in the Koga irrigation development project, northern Ethiopia. Asian Dev. Perspect. 29.</w:t>
      </w:r>
    </w:p>
    <w:p w14:paraId="0F88C4DF" w14:textId="77777777" w:rsidR="00B05387" w:rsidRPr="00B05387" w:rsidRDefault="00B05387" w:rsidP="00B05387">
      <w:pPr>
        <w:pStyle w:val="Bibliography"/>
        <w:rPr>
          <w:lang w:val="de-DE"/>
        </w:rPr>
      </w:pPr>
      <w:r>
        <w:lastRenderedPageBreak/>
        <w:t xml:space="preserve">Kazansky, Y., Wood, D., Sutherlun, J., 2016. The current and potential role of satellite remote sensing in the campaign against malaria. </w:t>
      </w:r>
      <w:r w:rsidRPr="00B05387">
        <w:rPr>
          <w:lang w:val="de-DE"/>
        </w:rPr>
        <w:t>Acta Astronaut. 121, 292–305.</w:t>
      </w:r>
    </w:p>
    <w:p w14:paraId="0CF5661F" w14:textId="77777777" w:rsidR="00B05387" w:rsidRDefault="00B05387" w:rsidP="00B05387">
      <w:pPr>
        <w:pStyle w:val="Bibliography"/>
      </w:pPr>
      <w:r w:rsidRPr="00B05387">
        <w:rPr>
          <w:lang w:val="de-DE"/>
        </w:rPr>
        <w:t xml:space="preserve">Kent, R., Juliusson, L., Weissmann, M., Evans, S., Komar, N., 2009. </w:t>
      </w:r>
      <w:r>
        <w:t>Seasonal blood-feeding behavior of Culex tarsalis (Diptera: Culicidae) in Weld county, Colorado, 2007. J. Med. Entomol. 46, 380–390.</w:t>
      </w:r>
    </w:p>
    <w:p w14:paraId="3D5B7533" w14:textId="77777777" w:rsidR="00B05387" w:rsidRDefault="00B05387" w:rsidP="00B05387">
      <w:pPr>
        <w:pStyle w:val="Bibliography"/>
      </w:pPr>
      <w:r>
        <w:t>Kibret, S., Wilson, G.G., Ryder, D., Tekie, H., Petros, B., 2017. Malaria impact of large dams at different eco-epidemiological settings in Ethiopia. Trop. Med. Health 45, 4–4.</w:t>
      </w:r>
    </w:p>
    <w:p w14:paraId="78ABF95E" w14:textId="77777777" w:rsidR="00B05387" w:rsidRDefault="00B05387" w:rsidP="00B05387">
      <w:pPr>
        <w:pStyle w:val="Bibliography"/>
      </w:pPr>
      <w:r>
        <w:t>Kibret, S., Wilson, G.G., Tekie, H., Petros, B., 2014. Increased malaria transmission around irrigation schemes in Ethiopia and the potential of canal water management for malaria vector control. Malar. J. 13.</w:t>
      </w:r>
    </w:p>
    <w:p w14:paraId="788A952A" w14:textId="77777777" w:rsidR="00B05387" w:rsidRDefault="00B05387" w:rsidP="00B05387">
      <w:pPr>
        <w:pStyle w:val="Bibliography"/>
      </w:pPr>
      <w:r>
        <w:t>Kilpatrick, A.M., Meola, M.A., Moudy, R.M., Kramer, L.D., 2008. Temperature, Viral Genetics, and the Transmission of West Nile Virus by Culex pipiens Mosquitoes. PLoS Pathog. 4, e1000092–e1000092.</w:t>
      </w:r>
    </w:p>
    <w:p w14:paraId="77895C92" w14:textId="77777777" w:rsidR="00B05387" w:rsidRDefault="00B05387" w:rsidP="00B05387">
      <w:pPr>
        <w:pStyle w:val="Bibliography"/>
      </w:pPr>
      <w:r>
        <w:t>Kraemer, M., Messina, J., Faria, N., Pybus, O., Wint, W., et al, 2019. Past and future spread of the arbovirus vectors Aedes aegypti and Aedes albopictus. Nat. Microbiol.</w:t>
      </w:r>
    </w:p>
    <w:p w14:paraId="6BB15807" w14:textId="77777777" w:rsidR="00B05387" w:rsidRDefault="00B05387" w:rsidP="00B05387">
      <w:pPr>
        <w:pStyle w:val="Bibliography"/>
      </w:pPr>
      <w:r>
        <w:t>Kraemer, M.U.G., Hay, S.I., Pigott, D.M., Smith, D.L., Wint, G.R.W., Golding, N., 2016. Progress and Challenges in Infectious Disease Cartography. Trends Parasitol. 32, 19–29.</w:t>
      </w:r>
    </w:p>
    <w:p w14:paraId="0D8B02A7" w14:textId="77777777" w:rsidR="00B05387" w:rsidRDefault="00B05387" w:rsidP="00B05387">
      <w:pPr>
        <w:pStyle w:val="Bibliography"/>
      </w:pPr>
      <w:r>
        <w:t>Kramer, L.D., Ciota, A.T., Kilpatrick, A.M., 2019. Introduction, Spread, and Establishment of West Nile Virus in the Americas. J. Med. Entomol.</w:t>
      </w:r>
    </w:p>
    <w:p w14:paraId="28F168C2" w14:textId="77777777" w:rsidR="00B05387" w:rsidRDefault="00B05387" w:rsidP="00B05387">
      <w:pPr>
        <w:pStyle w:val="Bibliography"/>
      </w:pPr>
      <w:r>
        <w:t>Kulldorff, M., 2018. SaTScan TM User Guide.</w:t>
      </w:r>
    </w:p>
    <w:p w14:paraId="504C94C5" w14:textId="77777777" w:rsidR="00B05387" w:rsidRDefault="00B05387" w:rsidP="00B05387">
      <w:pPr>
        <w:pStyle w:val="Bibliography"/>
      </w:pPr>
      <w:r>
        <w:t>LaDeau, S.L., Allan, B.F., Leisnham, P.T., Levy, M.Z., 2015. The ecological foundations of transmission potential and vector-borne disease in urban landscapes. Funct. Ecol. 29, 889–901.</w:t>
      </w:r>
    </w:p>
    <w:p w14:paraId="24F42F8C" w14:textId="77777777" w:rsidR="00B05387" w:rsidRDefault="00B05387" w:rsidP="00B05387">
      <w:pPr>
        <w:pStyle w:val="Bibliography"/>
      </w:pPr>
      <w:r>
        <w:t>LaDeau, S.L., Leisnham, P.T., Biehler, D., Bodner, D., 2013. Higher Mosquito Production in Low-Income Neighborhoods of Baltimore and Washington, DC: Understanding Ecological Drivers and Mosquito-Borne Disease Risk in Temperate Cities. Int. J. Environ. Res. Public. Health 10, 1505–1526. https://doi.org/10.3390/ijerph10041505</w:t>
      </w:r>
    </w:p>
    <w:p w14:paraId="46D0C981" w14:textId="77777777" w:rsidR="00B05387" w:rsidRDefault="00B05387" w:rsidP="00B05387">
      <w:pPr>
        <w:pStyle w:val="Bibliography"/>
      </w:pPr>
      <w:r>
        <w:t>Lambin, E.F., Tran, A., Vanwambeke, S.O., Linard, C., Soti, V., 2010. Pathogenic landscapes: Interactions between land, people, disease vectors, and their animal hosts. Int. J. Health Geogr. 9, 54.</w:t>
      </w:r>
    </w:p>
    <w:p w14:paraId="52CF23D1" w14:textId="77777777" w:rsidR="00B05387" w:rsidRDefault="00B05387" w:rsidP="00B05387">
      <w:pPr>
        <w:pStyle w:val="Bibliography"/>
      </w:pPr>
      <w:r>
        <w:t>Landau, K.I., van Leeuwen, W.J.D., 2012. Fine scale spatial urban land cover factors associated with adult mosquito abundance and risk in Tucson, Arizona. J. Vector Ecol. J. Soc. Vector Ecol. 37, 407–418.</w:t>
      </w:r>
    </w:p>
    <w:p w14:paraId="6F9DED7A" w14:textId="77777777" w:rsidR="00B05387" w:rsidRDefault="00B05387" w:rsidP="00B05387">
      <w:pPr>
        <w:pStyle w:val="Bibliography"/>
      </w:pPr>
      <w:r w:rsidRPr="00387ADB">
        <w:t xml:space="preserve">Lankir, D., Solomon, S., Gize, A., 2020. </w:t>
      </w:r>
      <w:r>
        <w:t>A five-year trend analysis of malaria surveillance data in selected zones of Amhara region, Northwest Ethiopia. BMC Public Health 20, 1175.</w:t>
      </w:r>
    </w:p>
    <w:p w14:paraId="18AC5862" w14:textId="77777777" w:rsidR="00B05387" w:rsidRDefault="00B05387" w:rsidP="00B05387">
      <w:pPr>
        <w:pStyle w:val="Bibliography"/>
      </w:pPr>
      <w:r>
        <w:t>Lebl, K., Brugger, K., Rubel, F., 2013. Predicting Culex pipiens/restuans population dynamics by interval lagged weather data. Parasit. Vectors 6, 1–11.</w:t>
      </w:r>
    </w:p>
    <w:p w14:paraId="26C77335" w14:textId="77777777" w:rsidR="00B05387" w:rsidRDefault="00B05387" w:rsidP="00B05387">
      <w:pPr>
        <w:pStyle w:val="Bibliography"/>
      </w:pPr>
      <w:r>
        <w:t>Lemma, E., Upadhyaya, S., Ramsankaran, R., 2019. Investigating the performance of satellite and reanalysis rainfall products at monthly timescales across different rainfall regimes of Ethiopia. Int. J. Remote Sens. 40, 4019–4042.</w:t>
      </w:r>
    </w:p>
    <w:p w14:paraId="4C9B764B" w14:textId="77777777" w:rsidR="00B05387" w:rsidRDefault="00B05387" w:rsidP="00B05387">
      <w:pPr>
        <w:pStyle w:val="Bibliography"/>
      </w:pPr>
      <w:r>
        <w:lastRenderedPageBreak/>
        <w:t>Lemma, W., 2020. Impact of high malaria incidence in seasonal migrant and permanent adult male laborers in mechanized agricultural farms in Metema – Humera lowlands on malaria elimination program in Ethiopia. BMC Public Health 20, 320.</w:t>
      </w:r>
    </w:p>
    <w:p w14:paraId="03160460" w14:textId="77777777" w:rsidR="00B05387" w:rsidRDefault="00B05387" w:rsidP="00B05387">
      <w:pPr>
        <w:pStyle w:val="Bibliography"/>
      </w:pPr>
      <w:r>
        <w:t>Lemma, W., Alemu, K., Birhanie, M., Worku, L., Niedbalski, J., McDowell, M.A., Lobo, N.F., 2019. Anopheles cinereus implicated as a vector of malaria transmission in the highlands of north-west Ethiopia. Parasit. Vectors 12, 557.</w:t>
      </w:r>
    </w:p>
    <w:p w14:paraId="7EB28447" w14:textId="77777777" w:rsidR="00B05387" w:rsidRDefault="00B05387" w:rsidP="00B05387">
      <w:pPr>
        <w:pStyle w:val="Bibliography"/>
      </w:pPr>
      <w:r>
        <w:t>Leta, S., Beyene, T.J., De Clercq, E.M., Amenu, K., Kraemer, M.U.G., Revie, C.W., 2018. Global risk mapping for major diseases transmitted by Aedes aegypti and Aedes albopictus. Int. J. Infect. Dis. 67, 25–35.</w:t>
      </w:r>
    </w:p>
    <w:p w14:paraId="21899AD9" w14:textId="77777777" w:rsidR="00B05387" w:rsidRDefault="00B05387" w:rsidP="00B05387">
      <w:pPr>
        <w:pStyle w:val="Bibliography"/>
      </w:pPr>
      <w:r>
        <w:t>Little, E., Biehler, D., Leisnham, P.T., Jordan, R., Wilson, S., LaDeau, S.L., 2017. Socio-Ecological Mechanisms Supporting High Densities of Aedes albopictus (Diptera: Culicidae) in Baltimore, MD. J. Med. Entomol. 54, 1183–1192.</w:t>
      </w:r>
    </w:p>
    <w:p w14:paraId="37063566" w14:textId="77777777" w:rsidR="00B05387" w:rsidRDefault="00B05387" w:rsidP="00B05387">
      <w:pPr>
        <w:pStyle w:val="Bibliography"/>
      </w:pPr>
      <w:r>
        <w:t>Lobser, S.E., Cohen, W.B., 2007. MODIS tasselled cap: land cover characteristics expressed through transformed MODIS data. Int. J. Remote Sens. 28, 5079–5101.</w:t>
      </w:r>
    </w:p>
    <w:p w14:paraId="043B573C" w14:textId="77777777" w:rsidR="00B05387" w:rsidRDefault="00B05387" w:rsidP="00B05387">
      <w:pPr>
        <w:pStyle w:val="Bibliography"/>
      </w:pPr>
      <w:r>
        <w:t>Lockaby, G., Noori, N., Morse, W., Zipperer, W., Kalin, L., Governo, R., Sawant, R., Ricker, M., 2016. Climatic, ecological, and socioeconomic factors associated with West Nile virus incidence in Atlanta, Georgia, U.S.A. J. Vector Ecol. 41, 232–243.</w:t>
      </w:r>
    </w:p>
    <w:p w14:paraId="738E4FB7" w14:textId="77777777" w:rsidR="00B05387" w:rsidRDefault="00B05387" w:rsidP="00B05387">
      <w:pPr>
        <w:pStyle w:val="Bibliography"/>
      </w:pPr>
      <w:r w:rsidRPr="00B05387">
        <w:rPr>
          <w:lang w:val="de-DE"/>
        </w:rPr>
        <w:t xml:space="preserve">Lunde, T.M., Korecha, D., Loha, E., Sorteberg, A., Lindtjørn, B., 2013. </w:t>
      </w:r>
      <w:r>
        <w:t>A dynamic model of some malaria-transmitting anopheline mosquitoes of the Afrotropical region. I. Model description and sensitivity analysis. Malar. J. 12, 28.</w:t>
      </w:r>
    </w:p>
    <w:p w14:paraId="35952527" w14:textId="77777777" w:rsidR="00B05387" w:rsidRDefault="00B05387" w:rsidP="00B05387">
      <w:pPr>
        <w:pStyle w:val="Bibliography"/>
      </w:pPr>
      <w:r>
        <w:t xml:space="preserve">Lwande, O.W., Obanda, V., Lindström, A., Ahlm, C., Evander, M., Näslund, J., Bucht, G., 2019. Globe-Trotting </w:t>
      </w:r>
      <w:r>
        <w:rPr>
          <w:i/>
          <w:iCs/>
        </w:rPr>
        <w:t>Aedes aegypti</w:t>
      </w:r>
      <w:r>
        <w:t xml:space="preserve"> and </w:t>
      </w:r>
      <w:r>
        <w:rPr>
          <w:i/>
          <w:iCs/>
        </w:rPr>
        <w:t>Aedes albopictus</w:t>
      </w:r>
      <w:r>
        <w:t> : Risk Factors for Arbovirus Pandemics. Vector-Borne Zoonotic Dis.</w:t>
      </w:r>
    </w:p>
    <w:p w14:paraId="35BF24CE" w14:textId="77777777" w:rsidR="00B05387" w:rsidRDefault="00B05387" w:rsidP="00B05387">
      <w:pPr>
        <w:pStyle w:val="Bibliography"/>
      </w:pPr>
      <w:r>
        <w:t>Lyon, B., Dinku, T., Raman, A., Thomson, M.C., 2017. Temperature suitability for malaria climbing the Ethiopian Highlands. Environ. Res. Lett. 12, 064015–064015.</w:t>
      </w:r>
    </w:p>
    <w:p w14:paraId="00F3D24C" w14:textId="77777777" w:rsidR="00B05387" w:rsidRDefault="00B05387" w:rsidP="00B05387">
      <w:pPr>
        <w:pStyle w:val="Bibliography"/>
      </w:pPr>
      <w:r>
        <w:t>Machault, V., Vignolles, C., Borchi, F., Vounatsou, P., Pages, F., Briolant, S., Lacaux, J.P., Rogier, C., 2011. The use of remotely sensed environmental data in the study of malaria. Geospatial Health 5, 151–168.</w:t>
      </w:r>
    </w:p>
    <w:p w14:paraId="24D770D2" w14:textId="77777777" w:rsidR="00B05387" w:rsidRDefault="00B05387" w:rsidP="00B05387">
      <w:pPr>
        <w:pStyle w:val="Bibliography"/>
      </w:pPr>
      <w:r>
        <w:t>Malone, J.B., Bergquist, R., Martins, M., Luvall, J.C., 2019. Use of Geospatial Surveillance and Response Systems for Vector-Borne Diseases in the Elimination Phase. Trop. Med. Infect. Dis. 4, 15.</w:t>
      </w:r>
    </w:p>
    <w:p w14:paraId="780FFF81" w14:textId="77777777" w:rsidR="00B05387" w:rsidRDefault="00B05387" w:rsidP="00B05387">
      <w:pPr>
        <w:pStyle w:val="Bibliography"/>
      </w:pPr>
      <w:r>
        <w:t>Mamai, W., Lobb, L.N., Bimbilé Somda, N.S., Maiga, H., Yamada, H., Lees, R.S., Bouyer, J., Gilles, J.R.L., 2018. Optimization of Mass-Rearing Methods for Anopheles arabiensis Larval Stages: Effects of Rearing Water Temperature and Larval Density on Mosquito Life-History Traits. J. Econ. Entomol. 111, 2383–2390.</w:t>
      </w:r>
    </w:p>
    <w:p w14:paraId="18C9EDB1" w14:textId="77777777" w:rsidR="00B05387" w:rsidRDefault="00B05387" w:rsidP="00B05387">
      <w:pPr>
        <w:pStyle w:val="Bibliography"/>
      </w:pPr>
      <w:r>
        <w:t>Manore, C.A., Ostfeld, R.S., Agusto, F.B., Gaff, H., LaDeau, S.L., 2017. Defining the Risk of Zika and Chikungunya Virus Transmission in Human Population Centers of the Eastern United States. PLoS Negl. Trop. Dis. 11, e0005255.</w:t>
      </w:r>
    </w:p>
    <w:p w14:paraId="15B057E0" w14:textId="77777777" w:rsidR="00B05387" w:rsidRDefault="00B05387" w:rsidP="00B05387">
      <w:pPr>
        <w:pStyle w:val="Bibliography"/>
      </w:pPr>
      <w:r>
        <w:t>Marcantonio, M., Rizzoli, A., Metz, M., Rosà, R., Marini, G., Chadwick, E., Neteler, M., 2015. Identifying the environmental conditions favouring West Nile virus outbreaks in Europe. PLOS ONE 10, e0121158–e0121158.</w:t>
      </w:r>
    </w:p>
    <w:p w14:paraId="2927E52C" w14:textId="77777777" w:rsidR="00B05387" w:rsidRDefault="00B05387" w:rsidP="00B05387">
      <w:pPr>
        <w:pStyle w:val="Bibliography"/>
      </w:pPr>
      <w:r>
        <w:t>Marti, R., Li, Z., Catry, T., Roux, E., Mangeas, M., Handschumacher, P., Gaudart, J., Tran, A., Demagistri, L., Faure, J.-F., Carvajal, J.J., Drumond, B., Xu, L., Herbreteau, V., Gurgel, H., Dessay, N., Gong, P., 2020. A Mapping Review on Urban Landscape Factors of Dengue Retrieved from Earth Observation Data, GIS Techniques, and Survey Questionnaires. Remote Sens. 12, 932.</w:t>
      </w:r>
    </w:p>
    <w:p w14:paraId="7A8F96AF" w14:textId="77777777" w:rsidR="00B05387" w:rsidRDefault="00B05387" w:rsidP="00B05387">
      <w:pPr>
        <w:pStyle w:val="Bibliography"/>
      </w:pPr>
      <w:r>
        <w:lastRenderedPageBreak/>
        <w:t>May, F.J., Davis, C.T., Tesh, R.B., Barrett, A.D.T., 2011. Phylogeography of West Nile virus: from the cradle of evolution in Africa to Eurasia, Australia, and the Americas. J. Virol. 85, 2964–74.</w:t>
      </w:r>
    </w:p>
    <w:p w14:paraId="71949F46" w14:textId="77777777" w:rsidR="00B05387" w:rsidRDefault="00B05387" w:rsidP="00B05387">
      <w:pPr>
        <w:pStyle w:val="Bibliography"/>
      </w:pPr>
      <w:r>
        <w:t>Mayfield, H.J., Smith, C.S., Lowry, J.H., Watson, C.H., Baker, M.G., Kama, M., Nilles, E.J., Lau, C.L., 2018. Predictive risk mapping of an environmentally-driven infectious disease using spatial Bayesian networks: A case study of leptospirosis in Fiji. PLoS Negl. Trop. Dis. 12, e0006857.</w:t>
      </w:r>
    </w:p>
    <w:p w14:paraId="6DAF2940" w14:textId="77777777" w:rsidR="00B05387" w:rsidRDefault="00B05387" w:rsidP="00B05387">
      <w:pPr>
        <w:pStyle w:val="Bibliography"/>
      </w:pPr>
      <w:r>
        <w:t>McBride, C.S., Baier, F., Omondi, A.B., Spitzer, S.A., Lutomiah, J., Sang, R., Ignell, R., Vosshall, L.B., 2014. Evolution of mosquito preference for humans linked to an odorant receptor. Nature 515, 222–227.</w:t>
      </w:r>
    </w:p>
    <w:p w14:paraId="73CE80F2" w14:textId="77777777" w:rsidR="00B05387" w:rsidRDefault="00B05387" w:rsidP="00B05387">
      <w:pPr>
        <w:pStyle w:val="Bibliography"/>
      </w:pPr>
      <w:r>
        <w:t>McFeeters, S.K., 1996. The use of the normalized difference water index (NDWI) in the delineation of open water features. Int. J. Remote Sens. 17, 1425–1432.</w:t>
      </w:r>
    </w:p>
    <w:p w14:paraId="5435B820" w14:textId="77777777" w:rsidR="00B05387" w:rsidRDefault="00B05387" w:rsidP="00B05387">
      <w:pPr>
        <w:pStyle w:val="Bibliography"/>
      </w:pPr>
      <w:r>
        <w:t>McPherson, R.A., Fiebrich, C., Crawford, K.C., Elliott, R.L., Kilby, J.R., Grimsley, D.L., Basara, Illston, B.G., Morris, Kloesel, K.A., Stadler, S.J., Melvin, A.D., Sutherland, A.J., Shrivastava, H., 2007. Statewide monitoring of the mesoscale environment: A technical update on the Oklahoma Mesonet. J Atmos Ocean. Technol.</w:t>
      </w:r>
    </w:p>
    <w:p w14:paraId="2BE59957" w14:textId="77777777" w:rsidR="00B05387" w:rsidRDefault="00B05387" w:rsidP="00B05387">
      <w:pPr>
        <w:pStyle w:val="Bibliography"/>
      </w:pPr>
      <w:r>
        <w:t>Mercer, D.R., Sheeley, S.L., Brown, E.J., 2005. Mosquito (Diptera : Culicidae) development within microhabitats of an Iowa wetland. Entomol. Soc. Am. 42, 685–693.</w:t>
      </w:r>
    </w:p>
    <w:p w14:paraId="22385FCC" w14:textId="77777777" w:rsidR="00B05387" w:rsidRDefault="00B05387" w:rsidP="00B05387">
      <w:pPr>
        <w:pStyle w:val="Bibliography"/>
      </w:pPr>
      <w:r>
        <w:t>Merkord, C.L., Liu, Y., Mihretie, A., Gebrehiwot, T., Awoke, W., Bayabil, E., Henebry, G.M., Kassa, G.T., Lake, M., Wimberly, M.C., 2017. Integrating malaria surveillance with climate data for outbreak detection and forecasting: the EPIDEMIA system. Malar. J. 16, 89.</w:t>
      </w:r>
    </w:p>
    <w:p w14:paraId="67BFC9A2" w14:textId="77777777" w:rsidR="00B05387" w:rsidRDefault="00B05387" w:rsidP="00B05387">
      <w:pPr>
        <w:pStyle w:val="Bibliography"/>
      </w:pPr>
      <w:r>
        <w:t>Messina, J.P., Brady, O.J., Golding, N., Kraemer, M.U.G., Wint, G.R.W., Ray, S.E., Pigott, D.M., Shearer, F.M., Johnson, K., Earl, L., Marczak, L.B., Shirude, S., Weaver, N.D., Gilbert, M., Velayudhan, R., Jones, P., Jaenisch, T., Scott, T.W., Reiner, R.C., Hay, S.I., 2019. The current and future global distribution and population at risk of dengue. Nat. Microbiol. 1.</w:t>
      </w:r>
    </w:p>
    <w:p w14:paraId="43A7325B" w14:textId="77777777" w:rsidR="00B05387" w:rsidRDefault="00B05387" w:rsidP="00B05387">
      <w:pPr>
        <w:pStyle w:val="Bibliography"/>
      </w:pPr>
      <w:r>
        <w:t xml:space="preserve">Metelmann, S., Caminade, C., Jones, A.E., Medlock, J.M., Baylis, M., Morse, A.P., 2019. The UK’s suitability for </w:t>
      </w:r>
      <w:r>
        <w:rPr>
          <w:i/>
          <w:iCs/>
        </w:rPr>
        <w:t>Aedes albopictus</w:t>
      </w:r>
      <w:r>
        <w:t xml:space="preserve"> in current and future climates. J. R. Soc. Interface 16, 20180761.</w:t>
      </w:r>
    </w:p>
    <w:p w14:paraId="0043931F" w14:textId="77777777" w:rsidR="00B05387" w:rsidRDefault="00B05387" w:rsidP="00B05387">
      <w:pPr>
        <w:pStyle w:val="Bibliography"/>
      </w:pPr>
      <w:r>
        <w:t>Midekisa, A., Beyene, B., Mihretie, A., Bayabil, E., Wimberly, M.C., 2015. Seasonal associations of climatic drivers and malaria in the highlands of Ethiopia. Parasit. Vectors 8, 339.</w:t>
      </w:r>
    </w:p>
    <w:p w14:paraId="3B6FB95F" w14:textId="77777777" w:rsidR="00B05387" w:rsidRDefault="00B05387" w:rsidP="00B05387">
      <w:pPr>
        <w:pStyle w:val="Bibliography"/>
      </w:pPr>
      <w:r>
        <w:t>Midekisa, A., Senay, G., Henebry, G.M., Semuniguse, P., Wimberly, M.C., 2012. Remote sensing-based time series models for malaria early warning in the highlands of Ethiopia. Malar. J. 11, 165–165.</w:t>
      </w:r>
    </w:p>
    <w:p w14:paraId="48273253" w14:textId="77777777" w:rsidR="00B05387" w:rsidRDefault="00B05387" w:rsidP="00B05387">
      <w:pPr>
        <w:pStyle w:val="Bibliography"/>
      </w:pPr>
      <w:r>
        <w:t>Midekisa, A., Senay, G.B., Wimberly, M.C., 2014. Multisensor earth observations to characterize wetlands and malaria epidemiology in Ethiopia. Water Resour. Res. 50, 8791–8806.</w:t>
      </w:r>
    </w:p>
    <w:p w14:paraId="22C286F3" w14:textId="77777777" w:rsidR="00B05387" w:rsidRDefault="00B05387" w:rsidP="00B05387">
      <w:pPr>
        <w:pStyle w:val="Bibliography"/>
      </w:pPr>
      <w:r>
        <w:t>Minale, A.S., Alemu, K., 2018. Malaria-risk assessment using geographical information system and remote sensing in Mecha District, West Gojjam, Ethiopia. Geospatial Health 13, 157–163.</w:t>
      </w:r>
    </w:p>
    <w:p w14:paraId="1BBFE83A" w14:textId="77777777" w:rsidR="00B05387" w:rsidRDefault="00B05387" w:rsidP="00B05387">
      <w:pPr>
        <w:pStyle w:val="Bibliography"/>
      </w:pPr>
      <w:r>
        <w:t>Molaei, G., Andreadis, T.G., Armstrong, P.M., Anderson, J.F., Vossbrinck, C.R., 2006. Host Feeding Patterns of Culex Mosquitoes and West Nile Virus Transmission, Northeastern United States. Emerg. Infect. Dis. 12, 468–474.</w:t>
      </w:r>
    </w:p>
    <w:p w14:paraId="2C3CCBA5" w14:textId="77777777" w:rsidR="00B05387" w:rsidRDefault="00B05387" w:rsidP="00B05387">
      <w:pPr>
        <w:pStyle w:val="Bibliography"/>
      </w:pPr>
      <w:r>
        <w:lastRenderedPageBreak/>
        <w:t>Mordecai, E.A., Caldwell, J.M., Grossman, M.K., Lippi, C.A., Johnson, L.R., Neira, M., Rohr, J.R., Ryan, S.J., Savage, V., Shocket, M.S., Sippy, R., Ibarra, A.M.S., Thomas, M.B., Villena, O., 2019. Thermal biology of mosquito-borne disease. Ecol. Lett. 22, 1690–1708.</w:t>
      </w:r>
    </w:p>
    <w:p w14:paraId="335D32DD" w14:textId="77777777" w:rsidR="00B05387" w:rsidRDefault="00B05387" w:rsidP="00B05387">
      <w:pPr>
        <w:pStyle w:val="Bibliography"/>
      </w:pPr>
      <w:r>
        <w:t>Mordecai, E.A., Cohen, J.M., Evans, M.V., Gudapati, P., Johnson, L.R., Lippi, C.A., Miazgowicz, K., Murdock, C.C., Rohr, J.R., Ryan, S.J., Savage, V., Shocket, M.S., Ibarra, A.S., Thomas, M.B., Weikel, D.P., 2017. Detecting the impact of temperature on transmission of Zika, dengue, and chikungunya using mechanistic models. PLoS Negl. Trop. Dis. 11, e0005568.</w:t>
      </w:r>
    </w:p>
    <w:p w14:paraId="19750B6C" w14:textId="77777777" w:rsidR="00B05387" w:rsidRDefault="00B05387" w:rsidP="00B05387">
      <w:pPr>
        <w:pStyle w:val="Bibliography"/>
      </w:pPr>
      <w:r>
        <w:t>Mordecai, E.A., Paaijmans, K.P., Johnson, L.R., Balzer, C., Ben-Horin, T., de Moor, E., McNally, A., Pawar, S., Ryan, S.J., Smith, T.C., Lafferty, K.D., 2013. Optimal temperature for malaria transmission is dramatically lower than previously predicted. Ecol. Lett. 16, 22–30.</w:t>
      </w:r>
    </w:p>
    <w:p w14:paraId="3A43FE7C" w14:textId="77777777" w:rsidR="00B05387" w:rsidRDefault="00B05387" w:rsidP="00B05387">
      <w:pPr>
        <w:pStyle w:val="Bibliography"/>
      </w:pPr>
      <w:r>
        <w:t>Munga, S., Minakawa, N., Zhou, G., Mushinzimana, E., Barrack, O.-O.J., Githeko, A.K., Yan, G., 2006. Association between land cover and habitat productivity of malaria vectors in western Kenyan highlands. Am. J. Trop. Med. Hyg. 74, 69–75.</w:t>
      </w:r>
    </w:p>
    <w:p w14:paraId="5D86A320" w14:textId="77777777" w:rsidR="00B05387" w:rsidRDefault="00B05387" w:rsidP="00B05387">
      <w:pPr>
        <w:pStyle w:val="Bibliography"/>
      </w:pPr>
      <w:r>
        <w:t>Murdock, C.C., Evans, M.V., Mcclanahan, T.D., Miazgowicz, K.L., Tesla, B., 2017. Fine-scale variation in microclimate across an urban landscape shapes variation in mosquito population dynamics and the potential of Aedes albopictus to transmit arboviral disease. PLoS Negl. Trop. Dis. 11, e0005640–e0005640.</w:t>
      </w:r>
    </w:p>
    <w:p w14:paraId="112CF8CA" w14:textId="77777777" w:rsidR="00B05387" w:rsidRDefault="00B05387" w:rsidP="00B05387">
      <w:pPr>
        <w:pStyle w:val="Bibliography"/>
      </w:pPr>
      <w:r>
        <w:t>Mushinzimana, E., Munga, S., Minakawa, N., Li, L., Feng, C., Bian, L., Kitron, U., Schmidt, C., Beck, L., Zhou, G., Githeko, A.K., Yan, G., 2006. Landscape determinants and remote sensing of anopheline mosquito larval habitats in the western Kenya highlands. Malar. J. 5, 13.</w:t>
      </w:r>
    </w:p>
    <w:p w14:paraId="05512205" w14:textId="77777777" w:rsidR="00B05387" w:rsidRDefault="00B05387" w:rsidP="00B05387">
      <w:pPr>
        <w:pStyle w:val="Bibliography"/>
      </w:pPr>
      <w:r>
        <w:t>Nagelkerke, N.J.D., 1991. A note on a general definition of the coefficient of determination. Biometrika 78, 691–692.</w:t>
      </w:r>
    </w:p>
    <w:p w14:paraId="1492DBFB" w14:textId="77777777" w:rsidR="00B05387" w:rsidRDefault="00B05387" w:rsidP="00B05387">
      <w:pPr>
        <w:pStyle w:val="Bibliography"/>
      </w:pPr>
      <w:r>
        <w:t>Nance, J., Fryxell, R.T., Lenhart, S., 2018. Modeling a single season of Aedes albopictus populations based on host-seeking data in response to temperature and precipitation in eastern Tennessee. J. Vector Ecol. 43, 138–147.</w:t>
      </w:r>
    </w:p>
    <w:p w14:paraId="610DEE92" w14:textId="77777777" w:rsidR="00B05387" w:rsidRDefault="00B05387" w:rsidP="00B05387">
      <w:pPr>
        <w:pStyle w:val="Bibliography"/>
      </w:pPr>
      <w:r>
        <w:t>Newby, G., Bennett, A., Larson, E., Cotter, C., Shretta, R., Phillips, A.A., Feachem, R.G.A., 2016. The path to eradication: a progress report on the malaria-eliminating countries. Lancet 387, 1775–1784.</w:t>
      </w:r>
    </w:p>
    <w:p w14:paraId="6E862E54" w14:textId="77777777" w:rsidR="00B05387" w:rsidRDefault="00B05387" w:rsidP="00B05387">
      <w:pPr>
        <w:pStyle w:val="Bibliography"/>
      </w:pPr>
      <w:r>
        <w:t>Nissen, A., Cook, J., Loha, E., Lindtjørn, B., 2017. Proximity to vector breeding site and risk of Plasmodium vivax infection: a prospective cohort study in rural Ethiopia. Malar. J. 16, 380.</w:t>
      </w:r>
    </w:p>
    <w:p w14:paraId="2CAC3DCF" w14:textId="77777777" w:rsidR="00B05387" w:rsidRDefault="00B05387" w:rsidP="00B05387">
      <w:pPr>
        <w:pStyle w:val="Bibliography"/>
      </w:pPr>
      <w:r>
        <w:t>Noden, B.H., Coburn, L., Wright, R., Bradley, K., 2015. An Updated Checklist of the Mosquitoes of Oklahoma Including New State Records and West Nile Virus Vectors, 2003-06. J. Am. Mosq. Control Assoc. Mt. Laurel 31, 336–345.</w:t>
      </w:r>
    </w:p>
    <w:p w14:paraId="66CBFA40" w14:textId="77777777" w:rsidR="00B05387" w:rsidRDefault="00B05387" w:rsidP="00B05387">
      <w:pPr>
        <w:pStyle w:val="Bibliography"/>
      </w:pPr>
      <w:r>
        <w:t>O’Hara, R.B., Kotze, D.J., 2010. Do not log-transform count data. Methods Ecol. Evol. 1, 118–122.</w:t>
      </w:r>
    </w:p>
    <w:p w14:paraId="3A4C511A" w14:textId="77777777" w:rsidR="00B05387" w:rsidRDefault="00B05387" w:rsidP="00B05387">
      <w:pPr>
        <w:pStyle w:val="Bibliography"/>
      </w:pPr>
      <w:r>
        <w:t>Oklahoma Climatological Survey, 2021. Oklahoma climate - Long term averages and extremes [WWW Document]. URL http://climate.ok.gov/index.php/climate (accessed 5.23.21).</w:t>
      </w:r>
    </w:p>
    <w:p w14:paraId="1CD022D9" w14:textId="77777777" w:rsidR="00B05387" w:rsidRDefault="00B05387" w:rsidP="00B05387">
      <w:pPr>
        <w:pStyle w:val="Bibliography"/>
      </w:pPr>
      <w:r>
        <w:t>Oklahoma State Department Of Health, 2019. West Nile Virus Disease and Deaths by Year Oklahoma, 2002-2019.</w:t>
      </w:r>
    </w:p>
    <w:p w14:paraId="77D58E7C" w14:textId="77777777" w:rsidR="00B05387" w:rsidRDefault="00B05387" w:rsidP="00B05387">
      <w:pPr>
        <w:pStyle w:val="Bibliography"/>
      </w:pPr>
      <w:r>
        <w:lastRenderedPageBreak/>
        <w:t>Olson, S.H., Gangnon, R., Elguero, E., Durieux, L., Guégan, J.F., Foley, J.A., Patz, J.A., 2009. Links between climate, malaria, and wetlands in the amazon basin. Emerg. Infect. Dis. 15, 659–662.</w:t>
      </w:r>
    </w:p>
    <w:p w14:paraId="56C818F7" w14:textId="77777777" w:rsidR="00B05387" w:rsidRDefault="00B05387" w:rsidP="00B05387">
      <w:pPr>
        <w:pStyle w:val="Bibliography"/>
      </w:pPr>
      <w:r>
        <w:t>Ostfeld, R.S., Glass, G.E., Keesing, F., 2005. Spatial epidemiology: An emerging (or re-emerging) discipline. Trends Ecol. Evol. 20, 328–336.</w:t>
      </w:r>
    </w:p>
    <w:p w14:paraId="5572A78D" w14:textId="77777777" w:rsidR="00B05387" w:rsidRDefault="00B05387" w:rsidP="00B05387">
      <w:pPr>
        <w:pStyle w:val="Bibliography"/>
      </w:pPr>
      <w:r>
        <w:t>Parselia, E., Kontoes, C., Tsouni, A., Hadjichristodoulou, C., Kioutsioukis, I., Magiorkinis, G., Stilianakis, N.I., 2019. Satellite earth observation data in epidemiological modeling of malaria, dengue and West Nile virus: a scoping review. Remote Sens. 11, 1862.</w:t>
      </w:r>
    </w:p>
    <w:p w14:paraId="2A92B4AD" w14:textId="77777777" w:rsidR="00B05387" w:rsidRDefault="00B05387" w:rsidP="00B05387">
      <w:pPr>
        <w:pStyle w:val="Bibliography"/>
      </w:pPr>
      <w:r>
        <w:t>Patouillard, E., Griffin, J., Bhatt, S., Ghani, A., Cibulskis, R., 2017. Global investment targets for malaria control and elimination between 2016 and 2030. BMJ Glob. Health 2, e000176.</w:t>
      </w:r>
    </w:p>
    <w:p w14:paraId="592A0C44" w14:textId="77777777" w:rsidR="00B05387" w:rsidRDefault="00B05387" w:rsidP="00B05387">
      <w:pPr>
        <w:pStyle w:val="Bibliography"/>
      </w:pPr>
      <w:r>
        <w:t>Paulander, J., Olsson, H., Lemma, H., Getachew, A., Sebastian, M.S., 2009. Knowledge, attitudes and practice about malaria in rural Tigray, Ethiopia. Glob. Health Action 2, 1839.</w:t>
      </w:r>
    </w:p>
    <w:p w14:paraId="3D25681E" w14:textId="77777777" w:rsidR="00B05387" w:rsidRDefault="00B05387" w:rsidP="00B05387">
      <w:pPr>
        <w:pStyle w:val="Bibliography"/>
      </w:pPr>
      <w:r>
        <w:t>Paz, S., 2015. Climate change impacts on West Nile virus transmission in a global context. Philos. Trans. R. Soc. Lond. B. Biol. Sci. 370, 20130561–20130561.</w:t>
      </w:r>
    </w:p>
    <w:p w14:paraId="5F181173" w14:textId="77777777" w:rsidR="00B05387" w:rsidRDefault="00B05387" w:rsidP="00B05387">
      <w:pPr>
        <w:pStyle w:val="Bibliography"/>
      </w:pPr>
      <w:r>
        <w:t>Pebesma, E.J., 2004. Multivariable geostatistics in S: the gstat package. Comput. Geosci. 30, 683–691.</w:t>
      </w:r>
    </w:p>
    <w:p w14:paraId="39625EB7" w14:textId="77777777" w:rsidR="00B05387" w:rsidRDefault="00B05387" w:rsidP="00B05387">
      <w:pPr>
        <w:pStyle w:val="Bibliography"/>
      </w:pPr>
      <w:r>
        <w:t>Peng, J., Loew, A., Merlin, O., Verhoest, N.E.C., 2017. A review of spatial downscaling of satellite remotely sensed soil moisture. Rev. Geophys. 55, 341–366.</w:t>
      </w:r>
    </w:p>
    <w:p w14:paraId="0DD86894" w14:textId="77777777" w:rsidR="00B05387" w:rsidRDefault="00B05387" w:rsidP="00B05387">
      <w:pPr>
        <w:pStyle w:val="Bibliography"/>
      </w:pPr>
      <w:r>
        <w:t>Peterson, A.. T., Vieglais, D. a, Andreasen, J.K., 2003. Migratory birds modeled as critical transport agents for West Nile Virus in North America. Vector Borne Zoonotic Dis. Larchmt. N 3, 27–37.</w:t>
      </w:r>
    </w:p>
    <w:p w14:paraId="42309DED" w14:textId="77777777" w:rsidR="00B05387" w:rsidRDefault="00B05387" w:rsidP="00B05387">
      <w:pPr>
        <w:pStyle w:val="Bibliography"/>
      </w:pPr>
      <w:r>
        <w:t>Peterson, A.T., 2014. Mapping Disease Transmission Risk. The Johns Hopkins University Press, Baltimore.</w:t>
      </w:r>
    </w:p>
    <w:p w14:paraId="5E2774B9" w14:textId="77777777" w:rsidR="00B05387" w:rsidRDefault="00B05387" w:rsidP="00B05387">
      <w:pPr>
        <w:pStyle w:val="Bibliography"/>
      </w:pPr>
      <w:r>
        <w:t>Peterson, A.T., Robbing, A., Restifo, R., Howell, J., Nasci, R., 2008. Predictable ecology and geography of West Nile virus transmission in the central United States. J. Vector Ecol. 33, 342–352.</w:t>
      </w:r>
    </w:p>
    <w:p w14:paraId="2AB5BF11" w14:textId="77777777" w:rsidR="00B05387" w:rsidRDefault="00B05387" w:rsidP="00B05387">
      <w:pPr>
        <w:pStyle w:val="Bibliography"/>
      </w:pPr>
      <w:r>
        <w:t>Pielke, R.A., 2005. Land Use and Climate Change. Science 310, 1625–1626.</w:t>
      </w:r>
    </w:p>
    <w:p w14:paraId="196FAB32" w14:textId="77777777" w:rsidR="00B05387" w:rsidRDefault="00B05387" w:rsidP="00B05387">
      <w:pPr>
        <w:pStyle w:val="Bibliography"/>
      </w:pPr>
      <w:r>
        <w:t>Pigott, D.M., Atun, R., Moyes, C.L., Hay, S.I., Gething, P.W., 2012. Funding for malaria control 2006–2010: A comprehensive global assessment. Malar. J. 11.</w:t>
      </w:r>
    </w:p>
    <w:p w14:paraId="6C076398" w14:textId="77777777" w:rsidR="00B05387" w:rsidRDefault="00B05387" w:rsidP="00B05387">
      <w:pPr>
        <w:pStyle w:val="Bibliography"/>
      </w:pPr>
      <w:r>
        <w:t>Pigott, D.M., Howes, R.E., Wiebe, A., Battle, K.E., Golding, N., Gething, P.W., Dowell, S.F., Farag, T.H., Garcia, A.J., Kimball, A.M., Krause, L.K., Smith, C.H., Brooker, S.J., Kyu, H.H., Vos, T., Murray, C.J.L., Moyes, C.L., Hay, S.I., 2015. Prioritising infectious disease mapping. PLoS Neglected Trop. Dis. 9, e0003756–e0003756.</w:t>
      </w:r>
    </w:p>
    <w:p w14:paraId="7284B487" w14:textId="77777777" w:rsidR="00B05387" w:rsidRDefault="00B05387" w:rsidP="00B05387">
      <w:pPr>
        <w:pStyle w:val="Bibliography"/>
      </w:pPr>
      <w:r>
        <w:t>Pincebourde, S., Murdock, C.C., Vickers, M., Sears, M.W., 2016. Fine-Scale Microclimatic Variation Can Shape the Responses of Organisms to Global Change in Both Natural and Urban Environments. Integr. Comp. Biol. 56, 45–61.</w:t>
      </w:r>
    </w:p>
    <w:p w14:paraId="680E980D" w14:textId="77777777" w:rsidR="00B05387" w:rsidRDefault="00B05387" w:rsidP="00B05387">
      <w:pPr>
        <w:pStyle w:val="Bibliography"/>
      </w:pPr>
      <w:r>
        <w:t>Planet Team, 2017. Planet application program interface: in space for life on earth. San Francisco, CA.</w:t>
      </w:r>
    </w:p>
    <w:p w14:paraId="12EC120D" w14:textId="77777777" w:rsidR="00B05387" w:rsidRDefault="00B05387" w:rsidP="00B05387">
      <w:pPr>
        <w:pStyle w:val="Bibliography"/>
      </w:pPr>
      <w:r>
        <w:t>R Core Team, 2016. A language and environment for statistical computing. R Foundation for Statistical Computing.</w:t>
      </w:r>
    </w:p>
    <w:p w14:paraId="057D42B6" w14:textId="77777777" w:rsidR="00B05387" w:rsidRDefault="00B05387" w:rsidP="00B05387">
      <w:pPr>
        <w:pStyle w:val="Bibliography"/>
      </w:pPr>
      <w:r>
        <w:t xml:space="preserve">Rakotoarison, H.A., Rasamimalala, M., Rakotondramanga, J.M., Ramiranirina, B., Franchard, T., Kapesa, L., Razafindrakoto, J., Guis, H., Tantely, L.M., Girod, R., Rakotoniaina, S., Baril, L., Piola, P., Rakotomanana, F., 2020. Remote Sensing and </w:t>
      </w:r>
      <w:r>
        <w:lastRenderedPageBreak/>
        <w:t>Multi-Criteria Evaluation for Malaria Risk Mapping to Support Indoor Residual Spraying Prioritization in the Central Highlands of Madagascar. Remote Sens. 12, 1585.</w:t>
      </w:r>
    </w:p>
    <w:p w14:paraId="3174E642" w14:textId="77777777" w:rsidR="00B05387" w:rsidRDefault="00B05387" w:rsidP="00B05387">
      <w:pPr>
        <w:pStyle w:val="Bibliography"/>
      </w:pPr>
      <w:r>
        <w:t>Reisen, W.K., 2019. Twenty Years of West Nile Virus in the United States: Introduction. J. Med. Entomol. 56, 1447.</w:t>
      </w:r>
    </w:p>
    <w:p w14:paraId="6CB236E8" w14:textId="77777777" w:rsidR="00B05387" w:rsidRDefault="00B05387" w:rsidP="00B05387">
      <w:pPr>
        <w:pStyle w:val="Bibliography"/>
      </w:pPr>
      <w:r>
        <w:t>Reisen, W.K., 2013. Ecology of West Nile Virus in North America. Viruses 5, 2079–2105.</w:t>
      </w:r>
    </w:p>
    <w:p w14:paraId="0BF166AF" w14:textId="77777777" w:rsidR="00B05387" w:rsidRDefault="00B05387" w:rsidP="00B05387">
      <w:pPr>
        <w:pStyle w:val="Bibliography"/>
      </w:pPr>
      <w:r>
        <w:t xml:space="preserve">Reisen, W.K., Fang, Y., Martinez, V.M., 2006. Effects of Temperature on the Transmission of West Nile Virus by </w:t>
      </w:r>
      <w:r>
        <w:rPr>
          <w:i/>
          <w:iCs/>
        </w:rPr>
        <w:t>Culex tarsalis</w:t>
      </w:r>
      <w:r>
        <w:t xml:space="preserve"> (Diptera: Culicidae). J. Med. Entomol. 43, 309–317.</w:t>
      </w:r>
    </w:p>
    <w:p w14:paraId="46FCF98D" w14:textId="77777777" w:rsidR="00B05387" w:rsidRDefault="00B05387" w:rsidP="00B05387">
      <w:pPr>
        <w:pStyle w:val="Bibliography"/>
      </w:pPr>
      <w:r>
        <w:t>Reisen, W.K., Lothrop, H.D., Thiemann, T., 2013. Host Selection Patterns of Culex tarsalis (Diptera: Culicidae) at Wetlands Near the Salton Sea, Coachella Valley, California, 1998–2002. J. Med. Entomol. 50, 1071–1076.</w:t>
      </w:r>
    </w:p>
    <w:p w14:paraId="71FE75FA" w14:textId="77777777" w:rsidR="00B05387" w:rsidRDefault="00B05387" w:rsidP="00B05387">
      <w:pPr>
        <w:pStyle w:val="Bibliography"/>
      </w:pPr>
      <w:r>
        <w:t>Reiter, P., Sprenger, D., 1987. The used tire trade: a mechanism for the worldwide dispersal of container breeding mosquitoes. J. Am. Mosq. Control Assoc. 3, 494–501.</w:t>
      </w:r>
    </w:p>
    <w:p w14:paraId="4A00FD44" w14:textId="77777777" w:rsidR="00B05387" w:rsidRDefault="00B05387" w:rsidP="00B05387">
      <w:pPr>
        <w:pStyle w:val="Bibliography"/>
      </w:pPr>
      <w:r>
        <w:t>Ridgeway, G., Southworth, M., RUnit, 2013. Package ‘gbm.’ CRAN.</w:t>
      </w:r>
    </w:p>
    <w:p w14:paraId="230106E0" w14:textId="77777777" w:rsidR="00B05387" w:rsidRDefault="00B05387" w:rsidP="00B05387">
      <w:pPr>
        <w:pStyle w:val="Bibliography"/>
      </w:pPr>
      <w:r>
        <w:t>Ripley, B., Venables, B., Bates, D.M., Hornik, K., Gebhardt, A., Firth, D., 2021. Package “MASS.”</w:t>
      </w:r>
    </w:p>
    <w:p w14:paraId="79718BCC" w14:textId="77777777" w:rsidR="00B05387" w:rsidRDefault="00B05387" w:rsidP="00B05387">
      <w:pPr>
        <w:pStyle w:val="Bibliography"/>
      </w:pPr>
      <w:r>
        <w:t>Rocklöv, J., Dubrow, R., 2020. Climate change: an enduring challenge for vector-borne disease prevention and control. Nat. Immunol. 21, 479–483.</w:t>
      </w:r>
    </w:p>
    <w:p w14:paraId="140D1BCE" w14:textId="77777777" w:rsidR="00B05387" w:rsidRDefault="00B05387" w:rsidP="00B05387">
      <w:pPr>
        <w:pStyle w:val="Bibliography"/>
      </w:pPr>
      <w:r>
        <w:t>Rogers, D.J., Randolph, S.E., Snow, R.W., Hay, S.I., 2002. Satellite imagery in the study ad forecast of malaria. Nature 415, 710–715.</w:t>
      </w:r>
    </w:p>
    <w:p w14:paraId="55F069B4" w14:textId="77777777" w:rsidR="00B05387" w:rsidRDefault="00B05387" w:rsidP="00B05387">
      <w:pPr>
        <w:pStyle w:val="Bibliography"/>
      </w:pPr>
      <w:r>
        <w:t>Rosenthal, P.J., John, C.C., Rabinovich, N.R., 2019. Malaria: How Are We Doing and How Can We Do Better? Am. J. Trop. Med. Hyg. 100, 239–241.</w:t>
      </w:r>
    </w:p>
    <w:p w14:paraId="0313FD41" w14:textId="77777777" w:rsidR="00B05387" w:rsidRDefault="00B05387" w:rsidP="00B05387">
      <w:pPr>
        <w:pStyle w:val="Bibliography"/>
      </w:pPr>
      <w:r>
        <w:t>Rowley, W.A., Graham, C.L., 1968. The effect of temperature and relative humidity on the flight performance of female Aedes aegypti. J. Insect Physiol. 14, 1251–1257.</w:t>
      </w:r>
    </w:p>
    <w:p w14:paraId="30E75871" w14:textId="77777777" w:rsidR="00B05387" w:rsidRDefault="00B05387" w:rsidP="00B05387">
      <w:pPr>
        <w:pStyle w:val="Bibliography"/>
      </w:pPr>
      <w:r>
        <w:t>Rozeboom, E., 1942. THE MOSQUITOES OF OKLAHOMA 56.</w:t>
      </w:r>
    </w:p>
    <w:p w14:paraId="3638B8E0" w14:textId="77777777" w:rsidR="00B05387" w:rsidRDefault="00B05387" w:rsidP="00B05387">
      <w:pPr>
        <w:pStyle w:val="Bibliography"/>
      </w:pPr>
      <w:r>
        <w:t>Ryan, S.J., Carlson, C.J., Mordecai, E.A., Johnson, L.R., 2019. Global expansion and redistribution of Aedes-borne virus transmission risk with climate change. PLoS Negl. Trop. Dis. 13, e0007213.</w:t>
      </w:r>
    </w:p>
    <w:p w14:paraId="39194157" w14:textId="77777777" w:rsidR="00B05387" w:rsidRPr="00B05387" w:rsidRDefault="00B05387" w:rsidP="00B05387">
      <w:pPr>
        <w:pStyle w:val="Bibliography"/>
        <w:rPr>
          <w:lang w:val="de-DE"/>
        </w:rPr>
      </w:pPr>
      <w:r>
        <w:t xml:space="preserve">Rydzanicz, K., Jawień, P., Lonc, E., Modelska, M., 2016. Assessment of productivity of Culex spp. larvae (Diptera: Culicidae) in urban storm water catch basin system in Wrocław (SW Poland). </w:t>
      </w:r>
      <w:r w:rsidRPr="00B05387">
        <w:rPr>
          <w:lang w:val="de-DE"/>
        </w:rPr>
        <w:t>Parasitol. Res. 115, 1711–1720.</w:t>
      </w:r>
    </w:p>
    <w:p w14:paraId="18EC89E3" w14:textId="77777777" w:rsidR="00B05387" w:rsidRDefault="00B05387" w:rsidP="00B05387">
      <w:pPr>
        <w:pStyle w:val="Bibliography"/>
      </w:pPr>
      <w:r w:rsidRPr="00B05387">
        <w:rPr>
          <w:lang w:val="de-DE"/>
        </w:rPr>
        <w:t xml:space="preserve">Sallam, M., Michaels, S., Riegel, C., Pereira, R., Zipperer, W., Lockaby, B., Koehler, P., 2017. </w:t>
      </w:r>
      <w:r>
        <w:t>Spatio-Temporal Distribution of Vector-Host Contact (VHC) Ratios and Ecological Niche Modeling of the West Nile Virus Mosquito Vector, Culex quinquefasciatus, in the City of New Orleans, LA, USA. Int. J. Environ. Res. Public. Health 14, 892–892.</w:t>
      </w:r>
    </w:p>
    <w:p w14:paraId="457296CA" w14:textId="77777777" w:rsidR="00B05387" w:rsidRDefault="00B05387" w:rsidP="00B05387">
      <w:pPr>
        <w:pStyle w:val="Bibliography"/>
      </w:pPr>
      <w:r>
        <w:t>Sánchez-Gómez, A., Amela, C., Fernández-Carrión, E., Martínez-Avilés, M., Sánchez-Vizcaíno, J.M., Sierra-Moros, M.J., 2017. Risk mapping of West Nile virus circulation in Spain, 2015. Acta Trop. 169, 163–169.</w:t>
      </w:r>
    </w:p>
    <w:p w14:paraId="580FAE9B" w14:textId="77777777" w:rsidR="00B05387" w:rsidRDefault="00B05387" w:rsidP="00B05387">
      <w:pPr>
        <w:pStyle w:val="Bibliography"/>
      </w:pPr>
      <w:r>
        <w:t>Schaaf, C., Wang, Z., 2015. MCD43C4 MODIS/Terra+Aqua BRDF/Albedo Nadir BRDF-Adjusted Ref Daily L3 Global 0.05Deg CMG V006 [Data set].</w:t>
      </w:r>
    </w:p>
    <w:p w14:paraId="6CAA475F" w14:textId="77777777" w:rsidR="00B05387" w:rsidRDefault="00B05387" w:rsidP="00B05387">
      <w:pPr>
        <w:pStyle w:val="Bibliography"/>
      </w:pPr>
      <w:r>
        <w:t>Scott, C.A., Yeshiwondim, A.K., Serda, B., Guinovart, C., Tesfay, B.H., Agmas, A., Zeleke, M.T., Guesses, G.S., Ayenew, A.L., Workie, W.M., Steketee, R.W., Earle, D., Bezabih, B., Getachew, A., 2016. Mass testing and treatment for malaria in low transmission areas in Amhara Region, Ethiopia. Malar. J. 15, 305.</w:t>
      </w:r>
    </w:p>
    <w:p w14:paraId="5B810A43" w14:textId="77777777" w:rsidR="00B05387" w:rsidRDefault="00B05387" w:rsidP="00B05387">
      <w:pPr>
        <w:pStyle w:val="Bibliography"/>
      </w:pPr>
      <w:r>
        <w:lastRenderedPageBreak/>
        <w:t>Sewe, M.O., Tozan, Y., Ahlm, C., Rocklöv, J., 2017. Using remote sensing environmental data to forecast malaria incidence at a rural district hospital in Western Kenya. Sci. Rep. 7, 2589.</w:t>
      </w:r>
    </w:p>
    <w:p w14:paraId="007384D6" w14:textId="77777777" w:rsidR="00B05387" w:rsidRDefault="00B05387" w:rsidP="00B05387">
      <w:pPr>
        <w:pStyle w:val="Bibliography"/>
      </w:pPr>
      <w:r>
        <w:t>Shand, L., Brown, W.M., Chaves, L.F., Goldberg, T.L., Hamer, G.L., Haramis, L., Kitron, U., Walker, E.D., Ruiz, M.O., 2016. Predicting West Nile Virus Infection Risk From the Synergistic Effects of Rainfall and Temperature. J. Med. Entomol. 53, 935–944.</w:t>
      </w:r>
    </w:p>
    <w:p w14:paraId="6ABBA6B5" w14:textId="77777777" w:rsidR="00B05387" w:rsidRDefault="00B05387" w:rsidP="00B05387">
      <w:pPr>
        <w:pStyle w:val="Bibliography"/>
      </w:pPr>
      <w:r>
        <w:t>Shields, T., Pinchoff, J., Lubinda, J., Hamapumbu, H., Searle, K., Kobayashi, T., Thuma, P.E., Moss, W.J., Curriero, F.C., 2016. Spatial and temporal changes in household structure locations using high-resolution satellite imagery for population assessment: an analysis of household locations in southern Zambia between 2006 and 2011. Geospatial Health 11, 410.</w:t>
      </w:r>
    </w:p>
    <w:p w14:paraId="3BF76AF6" w14:textId="77777777" w:rsidR="00B05387" w:rsidRDefault="00B05387" w:rsidP="00B05387">
      <w:pPr>
        <w:pStyle w:val="Bibliography"/>
      </w:pPr>
      <w:r>
        <w:t>Shragai, T., Harrington, L.C., 2019. Aedes albopictus (Diptera: Culicidae) on an Invasive Edge: Abundance, Spatial Distribution, and Habitat Usage of Larvae and Pupae Across Urban and Socioeconomic Environmental Gradients. J. Med. Entomol. 56, 472–482.</w:t>
      </w:r>
    </w:p>
    <w:p w14:paraId="1DCF3251" w14:textId="77777777" w:rsidR="00B05387" w:rsidRDefault="00B05387" w:rsidP="00B05387">
      <w:pPr>
        <w:pStyle w:val="Bibliography"/>
      </w:pPr>
      <w:r>
        <w:t xml:space="preserve">Skaff, N.K., Armstrong, P.M., Andreadis, T.G., Cheruvelil, K.S., 2017. Wetland characteristics linked to broad-scale patterns in </w:t>
      </w:r>
      <w:r>
        <w:rPr>
          <w:i/>
          <w:iCs/>
        </w:rPr>
        <w:t>Culiseta melanura</w:t>
      </w:r>
      <w:r>
        <w:t xml:space="preserve">  abundance and eastern equine encephalitis virus infection. Parasit. Vectors 10, 501–501.</w:t>
      </w:r>
    </w:p>
    <w:p w14:paraId="30CA03D3" w14:textId="77777777" w:rsidR="00B05387" w:rsidRDefault="00B05387" w:rsidP="00B05387">
      <w:pPr>
        <w:pStyle w:val="Bibliography"/>
      </w:pPr>
      <w:r>
        <w:t>Skaff, N.K., Cheruvelil, K.S., 2016. Fine-scale wetland features mediate vector and climate-dependent macroscale patterns in human West Nile virus incidence. Landsc. Ecol. 31, 1615–1628.</w:t>
      </w:r>
    </w:p>
    <w:p w14:paraId="51018A8C" w14:textId="77777777" w:rsidR="00B05387" w:rsidRDefault="00B05387" w:rsidP="00B05387">
      <w:pPr>
        <w:pStyle w:val="Bibliography"/>
      </w:pPr>
      <w:r>
        <w:t>Solano-Villarreal, E., Valdivia, W., Pearcy, M., Linard, C., Pasapera-Gonzales, J., Moreno-Gutierrez, D., Lejeune, P., Llanos-Cuentas, A., Speybroeck, N., Hayette, M.-P., Rosas-Aguirre, A., 2019. Malaria risk assessment and mapping using satellite imagery and boosted regression trees in the Peruvian Amazon. Sci. Rep. 9, 15173.</w:t>
      </w:r>
    </w:p>
    <w:p w14:paraId="432CEEFB" w14:textId="77777777" w:rsidR="00B05387" w:rsidRDefault="00B05387" w:rsidP="00B05387">
      <w:pPr>
        <w:pStyle w:val="Bibliography"/>
      </w:pPr>
      <w:r>
        <w:t>Spence Beaulieu, M.R., Hopperstad, K., Dunn, R.R., Reiskind, M.H., 2019. Simplification of vector communities during suburban succession. PLOS ONE 14, e0215485.</w:t>
      </w:r>
    </w:p>
    <w:p w14:paraId="2DD8F005" w14:textId="77777777" w:rsidR="00B05387" w:rsidRDefault="00B05387" w:rsidP="00B05387">
      <w:pPr>
        <w:pStyle w:val="Bibliography"/>
      </w:pPr>
      <w:r>
        <w:t>Stresman, G.H., 2010. Beyond temperature and precipitation: Ecological risk factors that modify malaria transmission. Acta Trop. 116, 167–172.</w:t>
      </w:r>
    </w:p>
    <w:p w14:paraId="767CCBAD" w14:textId="77777777" w:rsidR="00B05387" w:rsidRDefault="00B05387" w:rsidP="00B05387">
      <w:pPr>
        <w:pStyle w:val="Bibliography"/>
      </w:pPr>
      <w:r>
        <w:t>Tabachnick, W.J., Powell, J.R., 1979. A world-wide survey of genetic variation in the yellow fever mosquito, Aedes aegypti*. Genet. Res. 34, 215–229.</w:t>
      </w:r>
    </w:p>
    <w:p w14:paraId="2C9EA036" w14:textId="77777777" w:rsidR="00B05387" w:rsidRDefault="00B05387" w:rsidP="00B05387">
      <w:pPr>
        <w:pStyle w:val="Bibliography"/>
      </w:pPr>
      <w:r>
        <w:t>Talapko, J., Škrlec, I., Alebić, T., Jukić, M., Včev, A., 2019. Malaria: The Past and the Present. Microorganisms 7, 179.</w:t>
      </w:r>
    </w:p>
    <w:p w14:paraId="5C7514E7" w14:textId="77777777" w:rsidR="00B05387" w:rsidRDefault="00B05387" w:rsidP="00B05387">
      <w:pPr>
        <w:pStyle w:val="Bibliography"/>
      </w:pPr>
      <w:r>
        <w:t>Tanner, M., Greenwood, B., Whitty, C.J.M., Ansah, E.K., Price, R.N., Dondorp, A.M., Seidlein, L.V., Baird, J.K., Beeson, J.G., 2015. Malaria eradication and elimination: views on how to translate a vision into reality. BMC Med. 13, 1–22.</w:t>
      </w:r>
    </w:p>
    <w:p w14:paraId="12AFC13B" w14:textId="77777777" w:rsidR="00B05387" w:rsidRDefault="00B05387" w:rsidP="00B05387">
      <w:pPr>
        <w:pStyle w:val="Bibliography"/>
      </w:pPr>
      <w:r>
        <w:t>Tarara, J.M., Hoheisel, G.-A., 2007. Low-cost Shielding to Minimize Radiation Errors of Temperature Sensors in the Field. HortScience 42, 1372–1379.</w:t>
      </w:r>
    </w:p>
    <w:p w14:paraId="7B94A9B4" w14:textId="77777777" w:rsidR="00B05387" w:rsidRDefault="00B05387" w:rsidP="00B05387">
      <w:pPr>
        <w:pStyle w:val="Bibliography"/>
      </w:pPr>
      <w:r>
        <w:t>Tatem, A.J., 2017. WorldPop, open data for spatial demography. Sci. Data 4, 170004.</w:t>
      </w:r>
    </w:p>
    <w:p w14:paraId="113F6437" w14:textId="77777777" w:rsidR="00B05387" w:rsidRDefault="00B05387" w:rsidP="00B05387">
      <w:pPr>
        <w:pStyle w:val="Bibliography"/>
      </w:pPr>
      <w:r>
        <w:t>Tatem, A.J., Hay, S.I., Rogers, D.J., 2006. Global traffic and disease vector dispersal. Proc. Natl. Acad. Sci. 103, 6242–6247.</w:t>
      </w:r>
    </w:p>
    <w:p w14:paraId="47F45557" w14:textId="77777777" w:rsidR="00B05387" w:rsidRPr="00B05387" w:rsidRDefault="00B05387" w:rsidP="00B05387">
      <w:pPr>
        <w:pStyle w:val="Bibliography"/>
        <w:rPr>
          <w:lang w:val="de-DE"/>
        </w:rPr>
      </w:pPr>
      <w:r>
        <w:t xml:space="preserve">Thomson, R.C.M., 1938. The reactions of mosquitoes to temperature and humidity. </w:t>
      </w:r>
      <w:r w:rsidRPr="00B05387">
        <w:rPr>
          <w:lang w:val="de-DE"/>
        </w:rPr>
        <w:t>Bull. Entomol. Res. 29, 125–140.</w:t>
      </w:r>
    </w:p>
    <w:p w14:paraId="037ACFC3" w14:textId="77777777" w:rsidR="00B05387" w:rsidRDefault="00B05387" w:rsidP="00B05387">
      <w:pPr>
        <w:pStyle w:val="Bibliography"/>
      </w:pPr>
      <w:r w:rsidRPr="00B05387">
        <w:rPr>
          <w:lang w:val="de-DE"/>
        </w:rPr>
        <w:lastRenderedPageBreak/>
        <w:t xml:space="preserve">Tjaden, N.B., Cheng, Y., Beierkuhnlein, C., Thomas, S.M., 2021. </w:t>
      </w:r>
      <w:r>
        <w:t>Chikungunya Beyond the Tropics: Where and When Do We Expect Disease Transmission in Europe? Viruses 13, 1024.</w:t>
      </w:r>
    </w:p>
    <w:p w14:paraId="1981278F" w14:textId="77777777" w:rsidR="00B05387" w:rsidRDefault="00B05387" w:rsidP="00B05387">
      <w:pPr>
        <w:pStyle w:val="Bibliography"/>
      </w:pPr>
      <w:r>
        <w:t>Tran, A., Sudre, B., Paz, S., Rossi, M., Desbrosse, A., Chevalier, V., Semenza, J.C., 2014. Environmental predictors of West Nile Fever risk in Europe. Int. J. Health Geogr. 13, 26.</w:t>
      </w:r>
    </w:p>
    <w:p w14:paraId="0AD769E0" w14:textId="77777777" w:rsidR="00B05387" w:rsidRDefault="00B05387" w:rsidP="00B05387">
      <w:pPr>
        <w:pStyle w:val="Bibliography"/>
      </w:pPr>
      <w:r>
        <w:t>Tucker, C.J., 1979. Red and photographic infrared linear combinations for monitoring vegetation. Remote Sens. Environ. 8, 127–150.</w:t>
      </w:r>
    </w:p>
    <w:p w14:paraId="05057073" w14:textId="77777777" w:rsidR="00B05387" w:rsidRDefault="00B05387" w:rsidP="00B05387">
      <w:pPr>
        <w:pStyle w:val="Bibliography"/>
      </w:pPr>
      <w:r>
        <w:t>UNDESA, 2019. World urbanization prospects: the 2018 revision.</w:t>
      </w:r>
    </w:p>
    <w:p w14:paraId="3CB7967D" w14:textId="77777777" w:rsidR="00B05387" w:rsidRDefault="00B05387" w:rsidP="00B05387">
      <w:pPr>
        <w:pStyle w:val="Bibliography"/>
      </w:pPr>
      <w:r>
        <w:t>United Nations, 2015. Transforming our world: the 2030 Agenda for Sustainable Development.</w:t>
      </w:r>
    </w:p>
    <w:p w14:paraId="6A15016A" w14:textId="77777777" w:rsidR="00B05387" w:rsidRDefault="00B05387" w:rsidP="00B05387">
      <w:pPr>
        <w:pStyle w:val="Bibliography"/>
      </w:pPr>
      <w:r>
        <w:t>United Nations, 2013. The Millennium Development Goals Report. New York.</w:t>
      </w:r>
    </w:p>
    <w:p w14:paraId="42E42EB4" w14:textId="77777777" w:rsidR="00B05387" w:rsidRDefault="00B05387" w:rsidP="00B05387">
      <w:pPr>
        <w:pStyle w:val="Bibliography"/>
      </w:pPr>
      <w:r>
        <w:t>U.S. Census Bureau, 2019. Census - Geography Profile [WWW Document]. URL https://data.census.gov/cedsci/profile?g=1600000US4052500 (accessed 4.22.21).</w:t>
      </w:r>
    </w:p>
    <w:p w14:paraId="46E07825" w14:textId="77777777" w:rsidR="00B05387" w:rsidRDefault="00B05387" w:rsidP="00B05387">
      <w:pPr>
        <w:pStyle w:val="Bibliography"/>
      </w:pPr>
      <w:r>
        <w:t>Uusitalo, R., Siljander, M., Culverwell, C.L., Mutai, N.C., Forbes, K.M., Vapalahti, O., Pellikka, P.K.E., 2019. Predictive mapping of mosquito distribution based on environmental and anthropogenic factors in Taita Hills, Kenya. Int. J. Appl. Earth Obs. Geoinformation 76, 84–92.</w:t>
      </w:r>
    </w:p>
    <w:p w14:paraId="2C6E0B98" w14:textId="77777777" w:rsidR="00B05387" w:rsidRDefault="00B05387" w:rsidP="00B05387">
      <w:pPr>
        <w:pStyle w:val="Bibliography"/>
      </w:pPr>
      <w:r>
        <w:t>Vavassori, L., Saddler, A., Müller, P., 2019. Active dispersal of Aedes albopictus: a mark-release-recapture study using self-marking units. Parasit. Vectors 12, 583.</w:t>
      </w:r>
    </w:p>
    <w:p w14:paraId="14BF8C21" w14:textId="77777777" w:rsidR="00B05387" w:rsidRDefault="00B05387" w:rsidP="00B05387">
      <w:pPr>
        <w:pStyle w:val="Bibliography"/>
      </w:pPr>
      <w:r>
        <w:t xml:space="preserve">Vega-Rua, A., Zouache, K., Caro, V., Diancourt, L., Delaunay, P., Grandadam, M., Failloux, A.-B., 2013. High efficiency of temperate </w:t>
      </w:r>
      <w:r>
        <w:rPr>
          <w:i/>
          <w:iCs/>
        </w:rPr>
        <w:t>Aedes albopictus</w:t>
      </w:r>
      <w:r>
        <w:t xml:space="preserve"> to transmit chikungunya and dengue viruses in the Southeast of France. PloS One 8, e59716.</w:t>
      </w:r>
    </w:p>
    <w:p w14:paraId="136F9386" w14:textId="77777777" w:rsidR="00B05387" w:rsidRDefault="00B05387" w:rsidP="00B05387">
      <w:pPr>
        <w:pStyle w:val="Bibliography"/>
      </w:pPr>
      <w:r>
        <w:t>Venables, W., Ripley, B., 2002. Modern Applied Statistics with S, 4th ed. Springer, New York.</w:t>
      </w:r>
    </w:p>
    <w:p w14:paraId="3A7B44BC" w14:textId="77777777" w:rsidR="00B05387" w:rsidRDefault="00B05387" w:rsidP="00B05387">
      <w:pPr>
        <w:pStyle w:val="Bibliography"/>
      </w:pPr>
      <w:r>
        <w:t>Verdonschot, P.F.M., Besse-Lototskaya, A.A., 2014. Flight distance of mosquitoes (Culicidae): A metadata analysis to support the management of barrier zones around rewetted and newly constructed wetlands. Limnologica 45, 69–79.</w:t>
      </w:r>
    </w:p>
    <w:p w14:paraId="2608BDF6" w14:textId="77777777" w:rsidR="00B05387" w:rsidRDefault="00B05387" w:rsidP="00B05387">
      <w:pPr>
        <w:pStyle w:val="Bibliography"/>
      </w:pPr>
      <w:r>
        <w:t>Veronesi, R., Gentile, G., Carrieri, M., Maccagnani, B., Stermieri, L., Bellini, R., 2012. Seasonal pattern of daily activity of Aedes caspius, Aedes detritus, Culex modestus, and Culex pipiens in the Po Delta of northern Italy and significance for vector-borne disease risk assessment. J. Vector Ecol. 37, 49–61.</w:t>
      </w:r>
    </w:p>
    <w:p w14:paraId="386C3BCB" w14:textId="77777777" w:rsidR="00B05387" w:rsidRDefault="00B05387" w:rsidP="00B05387">
      <w:pPr>
        <w:pStyle w:val="Bibliography"/>
      </w:pPr>
      <w:r>
        <w:t>Vincent, G.P., 2018. Surveillance of South Dakota mosquito abundance, infection rate, and insecticide susceptibility. (Doctoral dissertation).</w:t>
      </w:r>
    </w:p>
    <w:p w14:paraId="2B3EA1C8" w14:textId="77777777" w:rsidR="00B05387" w:rsidRDefault="00B05387" w:rsidP="00B05387">
      <w:pPr>
        <w:pStyle w:val="Bibliography"/>
      </w:pPr>
      <w:r>
        <w:t>Wagenmakers, E.-J., Farrell, S., 2004. AIC model selection using Akaike weights. Psychon. Bull. Rev. 11, 192–196.</w:t>
      </w:r>
    </w:p>
    <w:p w14:paraId="1CD130A1" w14:textId="77777777" w:rsidR="00B05387" w:rsidRDefault="00B05387" w:rsidP="00B05387">
      <w:pPr>
        <w:pStyle w:val="Bibliography"/>
      </w:pPr>
      <w:r>
        <w:t>Walker, K., Lynch, M., 2007. Contributions of Anopheles larval control to malaria suppression in tropical Africa: review of achievements and potential. Med. Vet. Entomol. 21, 2–21.</w:t>
      </w:r>
    </w:p>
    <w:p w14:paraId="20434218" w14:textId="77777777" w:rsidR="00B05387" w:rsidRDefault="00B05387" w:rsidP="00B05387">
      <w:pPr>
        <w:pStyle w:val="Bibliography"/>
      </w:pPr>
      <w:r>
        <w:t>Walsh, C.J., Fletcher, T.D., Burns, M.J., 2012. Urban stormwater runoff: a new class of environmental flow problem. PloS One 7, e45814.</w:t>
      </w:r>
    </w:p>
    <w:p w14:paraId="4F4B4FA3" w14:textId="77777777" w:rsidR="00B05387" w:rsidRDefault="00B05387" w:rsidP="00B05387">
      <w:pPr>
        <w:pStyle w:val="Bibliography"/>
      </w:pPr>
      <w:r>
        <w:t>Walton, W.E., Tietze, N.S., Mulla, M.S., 1990. Ecology of Culex tarsalis (Diptera: Culicidae): Factors Influencing Larval Abundance in Mesocosms in Southern California. J. Med. Entomol. 27, 57–67.</w:t>
      </w:r>
    </w:p>
    <w:p w14:paraId="173AED8B" w14:textId="77777777" w:rsidR="00B05387" w:rsidRDefault="00B05387" w:rsidP="00B05387">
      <w:pPr>
        <w:pStyle w:val="Bibliography"/>
      </w:pPr>
      <w:r>
        <w:lastRenderedPageBreak/>
        <w:t>Wan, Z., Hook, S., Hulley, G., 2015. MOD11A2 MODIS/Terra land surface temperature/emissivity 8-day L3 global 1km SIN grid V006. NASA EOSDIS Land Processes DAAC.</w:t>
      </w:r>
    </w:p>
    <w:p w14:paraId="4AB7B25B" w14:textId="77777777" w:rsidR="00B05387" w:rsidRDefault="00B05387" w:rsidP="00B05387">
      <w:pPr>
        <w:pStyle w:val="Bibliography"/>
      </w:pPr>
      <w:r>
        <w:t>Whiteman, A., Gomez, C., Rovira, J., Chen, G., McMillan, W.O., Loaiza, J., 2019. Aedes Mosquito Infestation in Socioeconomically Contrasting Neighborhoods of Panama City. EcoHealth.</w:t>
      </w:r>
    </w:p>
    <w:p w14:paraId="04422421" w14:textId="77777777" w:rsidR="00B05387" w:rsidRDefault="00B05387" w:rsidP="00B05387">
      <w:pPr>
        <w:pStyle w:val="Bibliography"/>
      </w:pPr>
      <w:r>
        <w:t>WHO, 2020. World malaria report 2020. Geneva.</w:t>
      </w:r>
    </w:p>
    <w:p w14:paraId="7870BC02" w14:textId="77777777" w:rsidR="00B05387" w:rsidRDefault="00B05387" w:rsidP="00B05387">
      <w:pPr>
        <w:pStyle w:val="Bibliography"/>
      </w:pPr>
      <w:r>
        <w:t>WHO, World Health Organization, 2017. A framework for malaria elimination.</w:t>
      </w:r>
    </w:p>
    <w:p w14:paraId="17E99782" w14:textId="77777777" w:rsidR="00B05387" w:rsidRDefault="00B05387" w:rsidP="00B05387">
      <w:pPr>
        <w:pStyle w:val="Bibliography"/>
      </w:pPr>
      <w:r>
        <w:t>Wilke, A.B.B., Carvajal, A., Medina, J., Anderson, M., Nieves, V.J., Ramirez, M., Vasquez, C., Petrie, W., Cardenas, G., Beier, J.C., 2019. Assessment of the effectiveness of BG-Sentinel traps baited with CO2 and BG-Lure for the surveillance of vector mosquitoes in Miami-Dade County, Florida. PLOS ONE 14, e0212688.</w:t>
      </w:r>
    </w:p>
    <w:p w14:paraId="77661696" w14:textId="77777777" w:rsidR="00B05387" w:rsidRDefault="00B05387" w:rsidP="00B05387">
      <w:pPr>
        <w:pStyle w:val="Bibliography"/>
      </w:pPr>
      <w:r>
        <w:t>Wimberly, M.C., Baer, A.D., Yabsley, M.J., 2008. Enhanced spatial models for predicting the geographic distributions of tick-borne pathogens. Int. J. Health Geogr. 7, 15–15.</w:t>
      </w:r>
    </w:p>
    <w:p w14:paraId="227D79D2" w14:textId="77777777" w:rsidR="00B05387" w:rsidRDefault="00B05387" w:rsidP="00B05387">
      <w:pPr>
        <w:pStyle w:val="Bibliography"/>
      </w:pPr>
      <w:r>
        <w:t>Wimberly, M.C., Davis, J.K., Evans, M.V., Hess, A., Newberry, P.M., Solano-Asamoah, N., Murdock, C.C., 2020. Land cover affects microclimate and temperature suitability for arbovirus transmission in an urban landscape. PLoS Negl. Trop. Dis. 14, e0008614.</w:t>
      </w:r>
    </w:p>
    <w:p w14:paraId="42B7348C" w14:textId="77777777" w:rsidR="00B05387" w:rsidRDefault="00B05387" w:rsidP="00B05387">
      <w:pPr>
        <w:pStyle w:val="Bibliography"/>
      </w:pPr>
      <w:r>
        <w:t>Wimberly, M.C., de Beurs, K.M., Loboda, T.V., Pan, W.K., 2021. Satellite Observations and Malaria: New Opportunities for Research and Applications. Trends Parasitol.</w:t>
      </w:r>
    </w:p>
    <w:p w14:paraId="0967AEBD" w14:textId="77777777" w:rsidR="00B05387" w:rsidRDefault="00B05387" w:rsidP="00B05387">
      <w:pPr>
        <w:pStyle w:val="Bibliography"/>
      </w:pPr>
      <w:r>
        <w:t>Wimberly, M.C., Giacomo, P., Kightlinger, L., Hildreth, M., 2013. Spatio-temporal epidemiology of human West Nile virus disease in South Dakota. Int. J. Environ. Res. Public. Health 10, 5584–5602.</w:t>
      </w:r>
    </w:p>
    <w:p w14:paraId="69A72DE6" w14:textId="77777777" w:rsidR="00B05387" w:rsidRDefault="00B05387" w:rsidP="00B05387">
      <w:pPr>
        <w:pStyle w:val="Bibliography"/>
      </w:pPr>
      <w:r>
        <w:t>Wimberly, M.C., Lamsal, A., Giacomo, P., Chuang, T.W., 2014. Regional variation of climatic influences on West Nile virus outbreaks in the United States. Am. J. Trop. Med. Hyg. 91, 677–684.</w:t>
      </w:r>
    </w:p>
    <w:p w14:paraId="4D98B4F5" w14:textId="77777777" w:rsidR="00B05387" w:rsidRDefault="00B05387" w:rsidP="00B05387">
      <w:pPr>
        <w:pStyle w:val="Bibliography"/>
      </w:pPr>
      <w:r>
        <w:t>Woods, A.J., Omernik, J.M., Butler, D.R., Ford, J.G., Henley, J.G., Hoagland, B.W., Arndt, D.S., 2016. Ecoregions of Oklahoma: Reston, Virginia, U.S. Geological Survey, map scale 1:1,250,000.</w:t>
      </w:r>
    </w:p>
    <w:p w14:paraId="76630420" w14:textId="77777777" w:rsidR="00B05387" w:rsidRDefault="00B05387" w:rsidP="00B05387">
      <w:pPr>
        <w:pStyle w:val="Bibliography"/>
      </w:pPr>
      <w:r>
        <w:t>World Health Organization, 2016. World Malaria Report 2015. WHO.</w:t>
      </w:r>
    </w:p>
    <w:p w14:paraId="4FA239C2" w14:textId="77777777" w:rsidR="00B05387" w:rsidRDefault="00B05387" w:rsidP="00B05387">
      <w:pPr>
        <w:pStyle w:val="Bibliography"/>
      </w:pPr>
      <w:r>
        <w:t>Wulder, M.A., White, J.C., Loveland, T.R., Woodcock, C.E., Belward, A.S., Cohen, W.B., Fosnight, E.A., Shaw, J., Masek, J.G., Roy, D.P., 2016. The global Landsat archive: Status, consolidation, and direction. Remote Sens. Environ. 185, 271–283.</w:t>
      </w:r>
    </w:p>
    <w:p w14:paraId="1D8EA451" w14:textId="77777777" w:rsidR="00B05387" w:rsidRDefault="00B05387" w:rsidP="00B05387">
      <w:pPr>
        <w:pStyle w:val="Bibliography"/>
      </w:pPr>
      <w:r>
        <w:t>Xu, H., 2006. Modification of normalised difference water index (NDWI) to enhance open water features in remotely sensed imagery. Int. J. Remote Sens. 27, 3025–3033.</w:t>
      </w:r>
    </w:p>
    <w:p w14:paraId="04426CEE" w14:textId="77777777" w:rsidR="00B05387" w:rsidRDefault="00B05387" w:rsidP="00B05387">
      <w:pPr>
        <w:pStyle w:val="Bibliography"/>
      </w:pPr>
      <w:r>
        <w:t>Yalew, W.G., Pal, S., Bansil, P., Dabbs, R., Tetteh, K., Guinovart, C., Kalnoky, M., Serda, B.A., Tesfay, B.H., Beyene, B.B., Seneviratne, C., Littrell, M., Yokobe, L., Noland, G.S., Domingo, G.J., Getachew, A., Drakeley, C., Steketee, R.W., 2017. Current and cumulative malaria infections in a setting embarking on elimination: Amhara, Ethiopia. Malar. J. 16, 242.</w:t>
      </w:r>
    </w:p>
    <w:p w14:paraId="03598E1A" w14:textId="77777777" w:rsidR="00B05387" w:rsidRDefault="00B05387" w:rsidP="00B05387">
      <w:pPr>
        <w:pStyle w:val="Bibliography"/>
      </w:pPr>
      <w:r>
        <w:t>Yamana, T.K., Eltahir, E.A.B., 2013. Incorporating the effects of humidity in a mechanistic model of Anopheles gambiae mosquito population dynamics in the Sahel region of Africa. Parasit. Vectors 6, 235.</w:t>
      </w:r>
    </w:p>
    <w:p w14:paraId="1DAD324C" w14:textId="77777777" w:rsidR="00B05387" w:rsidRDefault="00B05387" w:rsidP="00B05387">
      <w:pPr>
        <w:pStyle w:val="Bibliography"/>
      </w:pPr>
      <w:r>
        <w:lastRenderedPageBreak/>
        <w:t>Yang, L., Huang, C., Homer, C.G., Wylie, B.K., Coan, M.J., 2003. An approach for mapping large-area impervious surfaces: synergistic use of Landsat-7 ETM+ and high spatial resolution imagery. Can. J. Remote Sens. 29, 230–240.</w:t>
      </w:r>
    </w:p>
    <w:p w14:paraId="186F3F97" w14:textId="77777777" w:rsidR="00B05387" w:rsidRDefault="00B05387" w:rsidP="00B05387">
      <w:pPr>
        <w:pStyle w:val="Bibliography"/>
      </w:pPr>
      <w:r>
        <w:t>Yang, L., Jin, S., Danielson, P., Homer, C., Gass, L., Bender, S.M., Case, A., Costello, C., Dewitz, J., Fry, J., Funk, M., Granneman, B., Liknes, G.C., Rigge, M., Xian, G., 2018. A new generation of the United States National Land Cover Database: Requirements, research priorities, design, and implementation strategies. ISPRS J. Photogramm. Remote Sens. 146, 108–123.</w:t>
      </w:r>
    </w:p>
    <w:p w14:paraId="7EE73D3F" w14:textId="77777777" w:rsidR="00B05387" w:rsidRDefault="00B05387" w:rsidP="00B05387">
      <w:pPr>
        <w:pStyle w:val="Bibliography"/>
      </w:pPr>
      <w:r>
        <w:t>Young, S.G., Tullis, J.A., Cothren, J., 2013. A remote sensing and GIS-assisted landscape epidemiology approach to West Nile virus. Appl. Geogr. 45, 241–249.</w:t>
      </w:r>
    </w:p>
    <w:p w14:paraId="08259F56" w14:textId="77777777" w:rsidR="00B05387" w:rsidRDefault="00B05387" w:rsidP="00B05387">
      <w:pPr>
        <w:pStyle w:val="Bibliography"/>
      </w:pPr>
      <w:r>
        <w:t>Yukich, J.O., Taylor, C., Eisele, T.P., Reithinger, R., Nauhassenay, H., Berhane, Y., Keating, J., 2013. Travel history and malaria infection risk in a low-transmission setting in Ethiopia: a case control study. Malar. J. 12, 33.</w:t>
      </w:r>
    </w:p>
    <w:p w14:paraId="265E6D0D" w14:textId="77777777" w:rsidR="00B05387" w:rsidRDefault="00B05387" w:rsidP="00B05387">
      <w:pPr>
        <w:pStyle w:val="Bibliography"/>
      </w:pPr>
      <w:r>
        <w:t>Zemene, E., Koepfli, C., Tiruneh, A., Yeshiwondim, A.K., Seyoum, D., Lee, M.-C., Yan, G., Yewhalaw, D., 2018. Detection of foci of residual malaria transmission through reactive case detection in Ethiopia. Malar. J. 17, 390.</w:t>
      </w:r>
    </w:p>
    <w:p w14:paraId="0F8A5827" w14:textId="77777777" w:rsidR="00B05387" w:rsidRDefault="00B05387" w:rsidP="00B05387">
      <w:pPr>
        <w:pStyle w:val="Bibliography"/>
      </w:pPr>
      <w:r>
        <w:t>Zerdo, Z., Bastiaens, H., Anthierens, S., Massebo, F., Masne, M., Biresaw, G., Shewangizaw, M., Tunje, A., Chisha, Y., Yohannes, T., Van Geertruyden, J.-P., 2020. Long-lasting insecticide-treated bed net ownership, utilization and associated factors among school-age children in Dara Mallo and Uba Debretsehay districts, Southern Ethiopia. Malar. J. 19, 369.</w:t>
      </w:r>
    </w:p>
    <w:p w14:paraId="49648E22" w14:textId="77777777" w:rsidR="00B05387" w:rsidRDefault="00B05387" w:rsidP="00B05387">
      <w:pPr>
        <w:pStyle w:val="Bibliography"/>
      </w:pPr>
      <w:r>
        <w:t>Zhu, Z., Wulder, M.A., Roy, D.P., Woodcock, C.E., Hansen, M.C., Radeloff, V.C., Healey, S.P., Schaaf, C., Hostert, P., Strobl, P., Pekel, J.-F., Lymburner, L., Pahlevan, N., Scambos, T.A., 2019. Benefits of the free and open Landsat data policy. Remote Sens. Environ. 224, 382–385.</w:t>
      </w:r>
    </w:p>
    <w:p w14:paraId="787A1E5F" w14:textId="6A8DA31D" w:rsidR="00B779CC" w:rsidRPr="00AA3319" w:rsidRDefault="00C15D51" w:rsidP="00ED5F76">
      <w:pPr>
        <w:pStyle w:val="Bib"/>
        <w:rPr>
          <w:rFonts w:cs="Times New Roman"/>
        </w:rPr>
      </w:pPr>
      <w:r w:rsidRPr="00AA3319">
        <w:rPr>
          <w:rFonts w:cs="Times New Roman"/>
        </w:rPr>
        <w:fldChar w:fldCharType="end"/>
      </w:r>
    </w:p>
    <w:sectPr w:rsidR="00B779CC" w:rsidRPr="00AA3319" w:rsidSect="004E4A83">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60049" w14:textId="77777777" w:rsidR="00E61F20" w:rsidRDefault="00E61F20" w:rsidP="00B779CC">
      <w:pPr>
        <w:spacing w:after="0" w:line="240" w:lineRule="auto"/>
      </w:pPr>
      <w:r>
        <w:separator/>
      </w:r>
    </w:p>
  </w:endnote>
  <w:endnote w:type="continuationSeparator" w:id="0">
    <w:p w14:paraId="0BFBCA4A" w14:textId="77777777" w:rsidR="00E61F20" w:rsidRDefault="00E61F20" w:rsidP="00B77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56D7" w14:textId="1AA05964" w:rsidR="0000458E" w:rsidRDefault="0000458E" w:rsidP="002224A7">
    <w:pPr>
      <w:pStyle w:val="Footer"/>
      <w:jc w:val="center"/>
    </w:pPr>
  </w:p>
  <w:p w14:paraId="1A720381" w14:textId="77777777" w:rsidR="0000458E" w:rsidRDefault="000045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877103"/>
      <w:docPartObj>
        <w:docPartGallery w:val="Page Numbers (Bottom of Page)"/>
        <w:docPartUnique/>
      </w:docPartObj>
    </w:sdtPr>
    <w:sdtEndPr>
      <w:rPr>
        <w:noProof/>
      </w:rPr>
    </w:sdtEndPr>
    <w:sdtContent>
      <w:p w14:paraId="5DDAF036" w14:textId="7B5B1DAA" w:rsidR="0000458E" w:rsidRDefault="0000458E">
        <w:pPr>
          <w:pStyle w:val="Footer"/>
          <w:jc w:val="right"/>
        </w:pPr>
        <w:r>
          <w:fldChar w:fldCharType="begin"/>
        </w:r>
        <w:r>
          <w:instrText xml:space="preserve"> PAGE   \* MERGEFORMAT </w:instrText>
        </w:r>
        <w:r>
          <w:fldChar w:fldCharType="separate"/>
        </w:r>
        <w:r w:rsidR="005C4DF3">
          <w:rPr>
            <w:noProof/>
          </w:rPr>
          <w:t>112</w:t>
        </w:r>
        <w:r>
          <w:fldChar w:fldCharType="end"/>
        </w:r>
      </w:p>
    </w:sdtContent>
  </w:sdt>
  <w:p w14:paraId="333E3EE7" w14:textId="77777777" w:rsidR="0000458E" w:rsidRDefault="00004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0DAD4" w14:textId="77777777" w:rsidR="00E61F20" w:rsidRDefault="00E61F20" w:rsidP="00B779CC">
      <w:pPr>
        <w:spacing w:after="0" w:line="240" w:lineRule="auto"/>
      </w:pPr>
      <w:r>
        <w:separator/>
      </w:r>
    </w:p>
  </w:footnote>
  <w:footnote w:type="continuationSeparator" w:id="0">
    <w:p w14:paraId="712D23B5" w14:textId="77777777" w:rsidR="00E61F20" w:rsidRDefault="00E61F20" w:rsidP="00B779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E455A"/>
    <w:multiLevelType w:val="hybridMultilevel"/>
    <w:tmpl w:val="D0BEB0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222336C"/>
    <w:multiLevelType w:val="hybridMultilevel"/>
    <w:tmpl w:val="D0BEB0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D0131E"/>
    <w:multiLevelType w:val="hybridMultilevel"/>
    <w:tmpl w:val="D0BEB0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76A76B8"/>
    <w:multiLevelType w:val="multilevel"/>
    <w:tmpl w:val="2D768EF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val="0"/>
        <w:bCs/>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21E"/>
    <w:rsid w:val="000021FE"/>
    <w:rsid w:val="0000458E"/>
    <w:rsid w:val="000167BC"/>
    <w:rsid w:val="00016FC7"/>
    <w:rsid w:val="00017FAC"/>
    <w:rsid w:val="00020C46"/>
    <w:rsid w:val="00020D92"/>
    <w:rsid w:val="000257FB"/>
    <w:rsid w:val="00026E11"/>
    <w:rsid w:val="000306EC"/>
    <w:rsid w:val="00030AB0"/>
    <w:rsid w:val="00031EA9"/>
    <w:rsid w:val="00033042"/>
    <w:rsid w:val="00037EEC"/>
    <w:rsid w:val="000417F8"/>
    <w:rsid w:val="00044D19"/>
    <w:rsid w:val="000507D4"/>
    <w:rsid w:val="000523E3"/>
    <w:rsid w:val="00055945"/>
    <w:rsid w:val="00064D1B"/>
    <w:rsid w:val="000656BD"/>
    <w:rsid w:val="000663BC"/>
    <w:rsid w:val="000741E8"/>
    <w:rsid w:val="0007626F"/>
    <w:rsid w:val="000855F4"/>
    <w:rsid w:val="00085E40"/>
    <w:rsid w:val="000921B9"/>
    <w:rsid w:val="00093C5E"/>
    <w:rsid w:val="000A1AE5"/>
    <w:rsid w:val="000A243A"/>
    <w:rsid w:val="000A27BA"/>
    <w:rsid w:val="000A2AD3"/>
    <w:rsid w:val="000A68D1"/>
    <w:rsid w:val="000B08CE"/>
    <w:rsid w:val="000B33FD"/>
    <w:rsid w:val="000B4990"/>
    <w:rsid w:val="000B7BAA"/>
    <w:rsid w:val="000C112A"/>
    <w:rsid w:val="000D258D"/>
    <w:rsid w:val="000D59F5"/>
    <w:rsid w:val="000D61AE"/>
    <w:rsid w:val="000E0F7D"/>
    <w:rsid w:val="000E2799"/>
    <w:rsid w:val="000E3FA3"/>
    <w:rsid w:val="000E57A5"/>
    <w:rsid w:val="000E6313"/>
    <w:rsid w:val="000F4915"/>
    <w:rsid w:val="000F654A"/>
    <w:rsid w:val="00111A93"/>
    <w:rsid w:val="00112D4D"/>
    <w:rsid w:val="00113D1D"/>
    <w:rsid w:val="00117280"/>
    <w:rsid w:val="00135755"/>
    <w:rsid w:val="00136F7C"/>
    <w:rsid w:val="00141C47"/>
    <w:rsid w:val="00145005"/>
    <w:rsid w:val="00145A92"/>
    <w:rsid w:val="001464A3"/>
    <w:rsid w:val="001526E0"/>
    <w:rsid w:val="0015575A"/>
    <w:rsid w:val="00155EF6"/>
    <w:rsid w:val="00164EEB"/>
    <w:rsid w:val="00166D79"/>
    <w:rsid w:val="00171B5E"/>
    <w:rsid w:val="001769AB"/>
    <w:rsid w:val="00181C28"/>
    <w:rsid w:val="00185AA1"/>
    <w:rsid w:val="001903DC"/>
    <w:rsid w:val="00194644"/>
    <w:rsid w:val="001A2E91"/>
    <w:rsid w:val="001A3DAF"/>
    <w:rsid w:val="001A56C7"/>
    <w:rsid w:val="001B0273"/>
    <w:rsid w:val="001B04B5"/>
    <w:rsid w:val="001B184A"/>
    <w:rsid w:val="001B23F5"/>
    <w:rsid w:val="001B4A0A"/>
    <w:rsid w:val="001B4CC0"/>
    <w:rsid w:val="001B53FA"/>
    <w:rsid w:val="001C0414"/>
    <w:rsid w:val="001C2378"/>
    <w:rsid w:val="001D2A17"/>
    <w:rsid w:val="001D475B"/>
    <w:rsid w:val="001E4E86"/>
    <w:rsid w:val="001F321E"/>
    <w:rsid w:val="001F553A"/>
    <w:rsid w:val="00201B8E"/>
    <w:rsid w:val="002022AD"/>
    <w:rsid w:val="00202FFC"/>
    <w:rsid w:val="0020774C"/>
    <w:rsid w:val="0021152F"/>
    <w:rsid w:val="002224A7"/>
    <w:rsid w:val="00225E60"/>
    <w:rsid w:val="00235183"/>
    <w:rsid w:val="00242998"/>
    <w:rsid w:val="00242F91"/>
    <w:rsid w:val="00243213"/>
    <w:rsid w:val="00254044"/>
    <w:rsid w:val="002556BC"/>
    <w:rsid w:val="0027073C"/>
    <w:rsid w:val="00270B7C"/>
    <w:rsid w:val="00273DBD"/>
    <w:rsid w:val="002748CF"/>
    <w:rsid w:val="0027497E"/>
    <w:rsid w:val="00276227"/>
    <w:rsid w:val="00284523"/>
    <w:rsid w:val="00285166"/>
    <w:rsid w:val="002860A9"/>
    <w:rsid w:val="00287372"/>
    <w:rsid w:val="0028775E"/>
    <w:rsid w:val="0029018F"/>
    <w:rsid w:val="00292BF0"/>
    <w:rsid w:val="00295F61"/>
    <w:rsid w:val="00296458"/>
    <w:rsid w:val="00297DD0"/>
    <w:rsid w:val="002A3087"/>
    <w:rsid w:val="002A5286"/>
    <w:rsid w:val="002A5F57"/>
    <w:rsid w:val="002A7B87"/>
    <w:rsid w:val="002B0AFC"/>
    <w:rsid w:val="002B2978"/>
    <w:rsid w:val="002B2ACA"/>
    <w:rsid w:val="002B30F7"/>
    <w:rsid w:val="002B37C7"/>
    <w:rsid w:val="002B40C5"/>
    <w:rsid w:val="002B5E35"/>
    <w:rsid w:val="002B721D"/>
    <w:rsid w:val="002B751A"/>
    <w:rsid w:val="002C0812"/>
    <w:rsid w:val="002C271B"/>
    <w:rsid w:val="002C5B2C"/>
    <w:rsid w:val="002C7EB6"/>
    <w:rsid w:val="002D305E"/>
    <w:rsid w:val="002D53AE"/>
    <w:rsid w:val="002D65D1"/>
    <w:rsid w:val="002F0D36"/>
    <w:rsid w:val="002F1937"/>
    <w:rsid w:val="002F6C8B"/>
    <w:rsid w:val="002F6D65"/>
    <w:rsid w:val="002F7D90"/>
    <w:rsid w:val="003002DC"/>
    <w:rsid w:val="00313C4A"/>
    <w:rsid w:val="0031682F"/>
    <w:rsid w:val="00316FC3"/>
    <w:rsid w:val="0032217F"/>
    <w:rsid w:val="003221AB"/>
    <w:rsid w:val="003226EF"/>
    <w:rsid w:val="00324B8E"/>
    <w:rsid w:val="00325597"/>
    <w:rsid w:val="00332CE3"/>
    <w:rsid w:val="00336FB2"/>
    <w:rsid w:val="0033756E"/>
    <w:rsid w:val="0034007D"/>
    <w:rsid w:val="0034145F"/>
    <w:rsid w:val="003440A8"/>
    <w:rsid w:val="003479AB"/>
    <w:rsid w:val="003479E5"/>
    <w:rsid w:val="003512D3"/>
    <w:rsid w:val="00354506"/>
    <w:rsid w:val="00354FFA"/>
    <w:rsid w:val="0035588C"/>
    <w:rsid w:val="0036023D"/>
    <w:rsid w:val="00364799"/>
    <w:rsid w:val="00365432"/>
    <w:rsid w:val="003663BD"/>
    <w:rsid w:val="0036775C"/>
    <w:rsid w:val="0037180F"/>
    <w:rsid w:val="0038000D"/>
    <w:rsid w:val="00380684"/>
    <w:rsid w:val="0038137A"/>
    <w:rsid w:val="00381387"/>
    <w:rsid w:val="00381986"/>
    <w:rsid w:val="00387ADB"/>
    <w:rsid w:val="00390D8C"/>
    <w:rsid w:val="003A015D"/>
    <w:rsid w:val="003A2E07"/>
    <w:rsid w:val="003A6548"/>
    <w:rsid w:val="003A68A6"/>
    <w:rsid w:val="003B1253"/>
    <w:rsid w:val="003B2D40"/>
    <w:rsid w:val="003B2F48"/>
    <w:rsid w:val="003C46B6"/>
    <w:rsid w:val="003C57E7"/>
    <w:rsid w:val="003D0846"/>
    <w:rsid w:val="003D3320"/>
    <w:rsid w:val="004004D0"/>
    <w:rsid w:val="00411854"/>
    <w:rsid w:val="004126B8"/>
    <w:rsid w:val="00415389"/>
    <w:rsid w:val="00416A37"/>
    <w:rsid w:val="0042118C"/>
    <w:rsid w:val="0043153D"/>
    <w:rsid w:val="0043193A"/>
    <w:rsid w:val="00447A66"/>
    <w:rsid w:val="00450E97"/>
    <w:rsid w:val="00462FBA"/>
    <w:rsid w:val="004630AE"/>
    <w:rsid w:val="00463C02"/>
    <w:rsid w:val="00467B41"/>
    <w:rsid w:val="00467C30"/>
    <w:rsid w:val="0047156B"/>
    <w:rsid w:val="004727C7"/>
    <w:rsid w:val="00474E12"/>
    <w:rsid w:val="004762E0"/>
    <w:rsid w:val="004824F2"/>
    <w:rsid w:val="00485B70"/>
    <w:rsid w:val="00486E90"/>
    <w:rsid w:val="004A4990"/>
    <w:rsid w:val="004A60A7"/>
    <w:rsid w:val="004B0E43"/>
    <w:rsid w:val="004B5932"/>
    <w:rsid w:val="004B5965"/>
    <w:rsid w:val="004B5E4A"/>
    <w:rsid w:val="004C1B0D"/>
    <w:rsid w:val="004C75D0"/>
    <w:rsid w:val="004D0EF0"/>
    <w:rsid w:val="004D22AA"/>
    <w:rsid w:val="004D2425"/>
    <w:rsid w:val="004D4B38"/>
    <w:rsid w:val="004D509E"/>
    <w:rsid w:val="004E04DC"/>
    <w:rsid w:val="004E4A83"/>
    <w:rsid w:val="004E75B2"/>
    <w:rsid w:val="004F1F11"/>
    <w:rsid w:val="004F26BD"/>
    <w:rsid w:val="004F5DF1"/>
    <w:rsid w:val="004F6702"/>
    <w:rsid w:val="004F687E"/>
    <w:rsid w:val="00500734"/>
    <w:rsid w:val="00500F9B"/>
    <w:rsid w:val="005043DB"/>
    <w:rsid w:val="005058D0"/>
    <w:rsid w:val="005144EB"/>
    <w:rsid w:val="005170A0"/>
    <w:rsid w:val="00525EB5"/>
    <w:rsid w:val="00531995"/>
    <w:rsid w:val="00531C4A"/>
    <w:rsid w:val="00531D94"/>
    <w:rsid w:val="005336B2"/>
    <w:rsid w:val="00534CF1"/>
    <w:rsid w:val="0053602B"/>
    <w:rsid w:val="00541541"/>
    <w:rsid w:val="00550EB4"/>
    <w:rsid w:val="0055121B"/>
    <w:rsid w:val="00552B02"/>
    <w:rsid w:val="00562673"/>
    <w:rsid w:val="0056339E"/>
    <w:rsid w:val="00565560"/>
    <w:rsid w:val="00565736"/>
    <w:rsid w:val="00565E42"/>
    <w:rsid w:val="005702A6"/>
    <w:rsid w:val="00570DF0"/>
    <w:rsid w:val="005738B6"/>
    <w:rsid w:val="005757F3"/>
    <w:rsid w:val="00576EB1"/>
    <w:rsid w:val="00580554"/>
    <w:rsid w:val="0058221C"/>
    <w:rsid w:val="00584783"/>
    <w:rsid w:val="0059625D"/>
    <w:rsid w:val="005A1792"/>
    <w:rsid w:val="005B1A0F"/>
    <w:rsid w:val="005B24B0"/>
    <w:rsid w:val="005C027A"/>
    <w:rsid w:val="005C4DF3"/>
    <w:rsid w:val="005C6894"/>
    <w:rsid w:val="005C708A"/>
    <w:rsid w:val="005D2B96"/>
    <w:rsid w:val="005E0B7F"/>
    <w:rsid w:val="005F2D9C"/>
    <w:rsid w:val="005F5DB5"/>
    <w:rsid w:val="005F7247"/>
    <w:rsid w:val="0060075D"/>
    <w:rsid w:val="00600ED3"/>
    <w:rsid w:val="00605453"/>
    <w:rsid w:val="00607C69"/>
    <w:rsid w:val="006115CE"/>
    <w:rsid w:val="00617A79"/>
    <w:rsid w:val="00620550"/>
    <w:rsid w:val="006206A9"/>
    <w:rsid w:val="006224B6"/>
    <w:rsid w:val="00627A5F"/>
    <w:rsid w:val="00631109"/>
    <w:rsid w:val="00636EB9"/>
    <w:rsid w:val="006444C6"/>
    <w:rsid w:val="006456D6"/>
    <w:rsid w:val="00656A27"/>
    <w:rsid w:val="00657F5C"/>
    <w:rsid w:val="00664ECA"/>
    <w:rsid w:val="0067115E"/>
    <w:rsid w:val="006744C7"/>
    <w:rsid w:val="00676F0F"/>
    <w:rsid w:val="006801E0"/>
    <w:rsid w:val="006826E6"/>
    <w:rsid w:val="00686613"/>
    <w:rsid w:val="00686619"/>
    <w:rsid w:val="00686E90"/>
    <w:rsid w:val="00692DFF"/>
    <w:rsid w:val="00693AB0"/>
    <w:rsid w:val="006A2FDB"/>
    <w:rsid w:val="006A6B2E"/>
    <w:rsid w:val="006B043F"/>
    <w:rsid w:val="006B0467"/>
    <w:rsid w:val="006B13D0"/>
    <w:rsid w:val="006B1D96"/>
    <w:rsid w:val="006B253B"/>
    <w:rsid w:val="006B3DEC"/>
    <w:rsid w:val="006B5017"/>
    <w:rsid w:val="006B5FC8"/>
    <w:rsid w:val="006C34E7"/>
    <w:rsid w:val="006C360A"/>
    <w:rsid w:val="006C4590"/>
    <w:rsid w:val="006C53FE"/>
    <w:rsid w:val="006C6396"/>
    <w:rsid w:val="006D136E"/>
    <w:rsid w:val="006D3A01"/>
    <w:rsid w:val="006D3DB4"/>
    <w:rsid w:val="006D4476"/>
    <w:rsid w:val="006E01B0"/>
    <w:rsid w:val="006E2151"/>
    <w:rsid w:val="006E7D9F"/>
    <w:rsid w:val="006F1ACD"/>
    <w:rsid w:val="00701335"/>
    <w:rsid w:val="00701ADA"/>
    <w:rsid w:val="007020C9"/>
    <w:rsid w:val="00710AD5"/>
    <w:rsid w:val="00711176"/>
    <w:rsid w:val="00722E73"/>
    <w:rsid w:val="0072503F"/>
    <w:rsid w:val="007302CC"/>
    <w:rsid w:val="007312C9"/>
    <w:rsid w:val="00732EEF"/>
    <w:rsid w:val="00733ADD"/>
    <w:rsid w:val="00734291"/>
    <w:rsid w:val="00734938"/>
    <w:rsid w:val="00734A3A"/>
    <w:rsid w:val="007409EF"/>
    <w:rsid w:val="00742C63"/>
    <w:rsid w:val="007430CA"/>
    <w:rsid w:val="0075234C"/>
    <w:rsid w:val="007527C5"/>
    <w:rsid w:val="00752F1D"/>
    <w:rsid w:val="00757A21"/>
    <w:rsid w:val="007604B8"/>
    <w:rsid w:val="007612AE"/>
    <w:rsid w:val="00763E82"/>
    <w:rsid w:val="00765816"/>
    <w:rsid w:val="00765B9C"/>
    <w:rsid w:val="007666BC"/>
    <w:rsid w:val="00766DF8"/>
    <w:rsid w:val="0076737E"/>
    <w:rsid w:val="007748E7"/>
    <w:rsid w:val="00776EC0"/>
    <w:rsid w:val="00780155"/>
    <w:rsid w:val="00780A05"/>
    <w:rsid w:val="00780A85"/>
    <w:rsid w:val="00791B76"/>
    <w:rsid w:val="00794A26"/>
    <w:rsid w:val="007A1378"/>
    <w:rsid w:val="007A1835"/>
    <w:rsid w:val="007A3576"/>
    <w:rsid w:val="007A3B8D"/>
    <w:rsid w:val="007A54B9"/>
    <w:rsid w:val="007B1EB6"/>
    <w:rsid w:val="007B3310"/>
    <w:rsid w:val="007B6C24"/>
    <w:rsid w:val="007C1718"/>
    <w:rsid w:val="007C3D98"/>
    <w:rsid w:val="007C4FDE"/>
    <w:rsid w:val="007D273E"/>
    <w:rsid w:val="007D3CD4"/>
    <w:rsid w:val="007D41C0"/>
    <w:rsid w:val="007D68D0"/>
    <w:rsid w:val="007D7B32"/>
    <w:rsid w:val="007E1459"/>
    <w:rsid w:val="007E1AB0"/>
    <w:rsid w:val="007E1D94"/>
    <w:rsid w:val="007E5D07"/>
    <w:rsid w:val="007F0471"/>
    <w:rsid w:val="007F5D79"/>
    <w:rsid w:val="00801840"/>
    <w:rsid w:val="00802F34"/>
    <w:rsid w:val="00805D0F"/>
    <w:rsid w:val="00811ED7"/>
    <w:rsid w:val="00813164"/>
    <w:rsid w:val="008175C3"/>
    <w:rsid w:val="00826B64"/>
    <w:rsid w:val="0083279B"/>
    <w:rsid w:val="0083346B"/>
    <w:rsid w:val="00842A7F"/>
    <w:rsid w:val="0084343A"/>
    <w:rsid w:val="008476E6"/>
    <w:rsid w:val="00850694"/>
    <w:rsid w:val="00851FDD"/>
    <w:rsid w:val="0085321E"/>
    <w:rsid w:val="00855D70"/>
    <w:rsid w:val="00857A22"/>
    <w:rsid w:val="0086102B"/>
    <w:rsid w:val="008745E5"/>
    <w:rsid w:val="00884FF5"/>
    <w:rsid w:val="00893839"/>
    <w:rsid w:val="00894272"/>
    <w:rsid w:val="0089540B"/>
    <w:rsid w:val="00897EFC"/>
    <w:rsid w:val="008A0EB2"/>
    <w:rsid w:val="008A12C5"/>
    <w:rsid w:val="008A1FC4"/>
    <w:rsid w:val="008A2750"/>
    <w:rsid w:val="008A3850"/>
    <w:rsid w:val="008A3E54"/>
    <w:rsid w:val="008A484F"/>
    <w:rsid w:val="008A658F"/>
    <w:rsid w:val="008A6831"/>
    <w:rsid w:val="008A70FC"/>
    <w:rsid w:val="008A7ED4"/>
    <w:rsid w:val="008B15C8"/>
    <w:rsid w:val="008B2908"/>
    <w:rsid w:val="008B65C7"/>
    <w:rsid w:val="008B6E76"/>
    <w:rsid w:val="008C0693"/>
    <w:rsid w:val="008C2CE8"/>
    <w:rsid w:val="008C32BB"/>
    <w:rsid w:val="008C7005"/>
    <w:rsid w:val="008D4FFD"/>
    <w:rsid w:val="008D5FE7"/>
    <w:rsid w:val="008D6561"/>
    <w:rsid w:val="008E0524"/>
    <w:rsid w:val="008E167B"/>
    <w:rsid w:val="008E4909"/>
    <w:rsid w:val="008E5BF5"/>
    <w:rsid w:val="008F460D"/>
    <w:rsid w:val="00900E38"/>
    <w:rsid w:val="00906500"/>
    <w:rsid w:val="00907F8B"/>
    <w:rsid w:val="009115C2"/>
    <w:rsid w:val="00912B3C"/>
    <w:rsid w:val="00917B19"/>
    <w:rsid w:val="009250F1"/>
    <w:rsid w:val="00932EE3"/>
    <w:rsid w:val="0094552E"/>
    <w:rsid w:val="0094553F"/>
    <w:rsid w:val="00952DEA"/>
    <w:rsid w:val="009542A3"/>
    <w:rsid w:val="00960D44"/>
    <w:rsid w:val="009674C4"/>
    <w:rsid w:val="009678F2"/>
    <w:rsid w:val="009700D1"/>
    <w:rsid w:val="009736D0"/>
    <w:rsid w:val="0098390C"/>
    <w:rsid w:val="009845C6"/>
    <w:rsid w:val="00986958"/>
    <w:rsid w:val="00992638"/>
    <w:rsid w:val="00994AA8"/>
    <w:rsid w:val="00996402"/>
    <w:rsid w:val="009A4323"/>
    <w:rsid w:val="009A5D5A"/>
    <w:rsid w:val="009A666C"/>
    <w:rsid w:val="009A6E7A"/>
    <w:rsid w:val="009B2AED"/>
    <w:rsid w:val="009B68A3"/>
    <w:rsid w:val="009B7022"/>
    <w:rsid w:val="009B7992"/>
    <w:rsid w:val="009C31EF"/>
    <w:rsid w:val="009C39AC"/>
    <w:rsid w:val="009C4FB4"/>
    <w:rsid w:val="009C799D"/>
    <w:rsid w:val="009D1247"/>
    <w:rsid w:val="009E4E7D"/>
    <w:rsid w:val="009E53FF"/>
    <w:rsid w:val="009F473D"/>
    <w:rsid w:val="009F76D3"/>
    <w:rsid w:val="00A05008"/>
    <w:rsid w:val="00A12072"/>
    <w:rsid w:val="00A12B11"/>
    <w:rsid w:val="00A1480E"/>
    <w:rsid w:val="00A15A39"/>
    <w:rsid w:val="00A21102"/>
    <w:rsid w:val="00A26999"/>
    <w:rsid w:val="00A27B4C"/>
    <w:rsid w:val="00A3181A"/>
    <w:rsid w:val="00A357E3"/>
    <w:rsid w:val="00A37103"/>
    <w:rsid w:val="00A40A33"/>
    <w:rsid w:val="00A40BA1"/>
    <w:rsid w:val="00A45A4F"/>
    <w:rsid w:val="00A46E37"/>
    <w:rsid w:val="00A47EE9"/>
    <w:rsid w:val="00A51FA6"/>
    <w:rsid w:val="00A53A01"/>
    <w:rsid w:val="00A53F9F"/>
    <w:rsid w:val="00A576BD"/>
    <w:rsid w:val="00A577F3"/>
    <w:rsid w:val="00A63F9B"/>
    <w:rsid w:val="00A65045"/>
    <w:rsid w:val="00A6553D"/>
    <w:rsid w:val="00A703AF"/>
    <w:rsid w:val="00A71517"/>
    <w:rsid w:val="00A717A6"/>
    <w:rsid w:val="00A750EC"/>
    <w:rsid w:val="00A76D57"/>
    <w:rsid w:val="00A812AD"/>
    <w:rsid w:val="00A85BDE"/>
    <w:rsid w:val="00A85C5E"/>
    <w:rsid w:val="00A85D7E"/>
    <w:rsid w:val="00A86A8F"/>
    <w:rsid w:val="00A923EF"/>
    <w:rsid w:val="00AA256D"/>
    <w:rsid w:val="00AA3319"/>
    <w:rsid w:val="00AA4E30"/>
    <w:rsid w:val="00AA541B"/>
    <w:rsid w:val="00AB23B6"/>
    <w:rsid w:val="00AB46BE"/>
    <w:rsid w:val="00AB637E"/>
    <w:rsid w:val="00AC2C6F"/>
    <w:rsid w:val="00AC5A23"/>
    <w:rsid w:val="00AC6D7E"/>
    <w:rsid w:val="00AD1E46"/>
    <w:rsid w:val="00AD21CB"/>
    <w:rsid w:val="00AD2FE0"/>
    <w:rsid w:val="00AE0418"/>
    <w:rsid w:val="00AE2525"/>
    <w:rsid w:val="00AE4B1A"/>
    <w:rsid w:val="00AF3042"/>
    <w:rsid w:val="00AF3C34"/>
    <w:rsid w:val="00AF67BD"/>
    <w:rsid w:val="00AF6CA0"/>
    <w:rsid w:val="00B044D9"/>
    <w:rsid w:val="00B05387"/>
    <w:rsid w:val="00B15B8A"/>
    <w:rsid w:val="00B17053"/>
    <w:rsid w:val="00B1711D"/>
    <w:rsid w:val="00B202A2"/>
    <w:rsid w:val="00B229A4"/>
    <w:rsid w:val="00B24F3C"/>
    <w:rsid w:val="00B3384F"/>
    <w:rsid w:val="00B34774"/>
    <w:rsid w:val="00B34F70"/>
    <w:rsid w:val="00B36EB5"/>
    <w:rsid w:val="00B403CA"/>
    <w:rsid w:val="00B40B75"/>
    <w:rsid w:val="00B41534"/>
    <w:rsid w:val="00B45C65"/>
    <w:rsid w:val="00B463DB"/>
    <w:rsid w:val="00B47985"/>
    <w:rsid w:val="00B509DD"/>
    <w:rsid w:val="00B57271"/>
    <w:rsid w:val="00B70BCB"/>
    <w:rsid w:val="00B779CC"/>
    <w:rsid w:val="00B77F32"/>
    <w:rsid w:val="00B90C10"/>
    <w:rsid w:val="00B90D8E"/>
    <w:rsid w:val="00B91B60"/>
    <w:rsid w:val="00B9298A"/>
    <w:rsid w:val="00BA097A"/>
    <w:rsid w:val="00BA255A"/>
    <w:rsid w:val="00BA27AA"/>
    <w:rsid w:val="00BA5BCE"/>
    <w:rsid w:val="00BA6C67"/>
    <w:rsid w:val="00BB4F5B"/>
    <w:rsid w:val="00BC0637"/>
    <w:rsid w:val="00BC0ACB"/>
    <w:rsid w:val="00BC1366"/>
    <w:rsid w:val="00BC1C4D"/>
    <w:rsid w:val="00BC415F"/>
    <w:rsid w:val="00BC4BA3"/>
    <w:rsid w:val="00BC5416"/>
    <w:rsid w:val="00BC7B35"/>
    <w:rsid w:val="00BD0CD5"/>
    <w:rsid w:val="00BD5599"/>
    <w:rsid w:val="00BD5DCD"/>
    <w:rsid w:val="00BD7BB3"/>
    <w:rsid w:val="00BE1E50"/>
    <w:rsid w:val="00BE3A3A"/>
    <w:rsid w:val="00BE46AC"/>
    <w:rsid w:val="00BE7C0C"/>
    <w:rsid w:val="00BF0D0D"/>
    <w:rsid w:val="00BF214B"/>
    <w:rsid w:val="00BF2C41"/>
    <w:rsid w:val="00BF2EDC"/>
    <w:rsid w:val="00BF4D7D"/>
    <w:rsid w:val="00BF60C6"/>
    <w:rsid w:val="00C03843"/>
    <w:rsid w:val="00C060F5"/>
    <w:rsid w:val="00C0737F"/>
    <w:rsid w:val="00C1019F"/>
    <w:rsid w:val="00C15D51"/>
    <w:rsid w:val="00C30D6E"/>
    <w:rsid w:val="00C31FE3"/>
    <w:rsid w:val="00C33AFF"/>
    <w:rsid w:val="00C373EA"/>
    <w:rsid w:val="00C43A11"/>
    <w:rsid w:val="00C44A87"/>
    <w:rsid w:val="00C45F1E"/>
    <w:rsid w:val="00C461B5"/>
    <w:rsid w:val="00C47789"/>
    <w:rsid w:val="00C50294"/>
    <w:rsid w:val="00C538F4"/>
    <w:rsid w:val="00C54604"/>
    <w:rsid w:val="00C54C7A"/>
    <w:rsid w:val="00C565E9"/>
    <w:rsid w:val="00C5732A"/>
    <w:rsid w:val="00C62804"/>
    <w:rsid w:val="00C630D4"/>
    <w:rsid w:val="00C63880"/>
    <w:rsid w:val="00C63C8A"/>
    <w:rsid w:val="00C64158"/>
    <w:rsid w:val="00C64C82"/>
    <w:rsid w:val="00C65562"/>
    <w:rsid w:val="00C65E56"/>
    <w:rsid w:val="00C66FC0"/>
    <w:rsid w:val="00C71AD1"/>
    <w:rsid w:val="00C72B50"/>
    <w:rsid w:val="00C73800"/>
    <w:rsid w:val="00C73C88"/>
    <w:rsid w:val="00C750C8"/>
    <w:rsid w:val="00C84653"/>
    <w:rsid w:val="00C91CA3"/>
    <w:rsid w:val="00C941C9"/>
    <w:rsid w:val="00C96E4A"/>
    <w:rsid w:val="00C96FAB"/>
    <w:rsid w:val="00C97014"/>
    <w:rsid w:val="00C97D74"/>
    <w:rsid w:val="00CA2089"/>
    <w:rsid w:val="00CA3E90"/>
    <w:rsid w:val="00CA535A"/>
    <w:rsid w:val="00CB66A4"/>
    <w:rsid w:val="00CC0106"/>
    <w:rsid w:val="00CC01E0"/>
    <w:rsid w:val="00CC03D1"/>
    <w:rsid w:val="00CC0C93"/>
    <w:rsid w:val="00CD10AD"/>
    <w:rsid w:val="00CD2336"/>
    <w:rsid w:val="00CE2B91"/>
    <w:rsid w:val="00CE362C"/>
    <w:rsid w:val="00CE5656"/>
    <w:rsid w:val="00CF4928"/>
    <w:rsid w:val="00CF5497"/>
    <w:rsid w:val="00CF58AF"/>
    <w:rsid w:val="00D0165B"/>
    <w:rsid w:val="00D13AB6"/>
    <w:rsid w:val="00D1456F"/>
    <w:rsid w:val="00D149F8"/>
    <w:rsid w:val="00D16B51"/>
    <w:rsid w:val="00D17207"/>
    <w:rsid w:val="00D17370"/>
    <w:rsid w:val="00D21D5A"/>
    <w:rsid w:val="00D233C1"/>
    <w:rsid w:val="00D236A3"/>
    <w:rsid w:val="00D23FFF"/>
    <w:rsid w:val="00D31F9E"/>
    <w:rsid w:val="00D32651"/>
    <w:rsid w:val="00D332F8"/>
    <w:rsid w:val="00D36B65"/>
    <w:rsid w:val="00D402A9"/>
    <w:rsid w:val="00D41E88"/>
    <w:rsid w:val="00D422F4"/>
    <w:rsid w:val="00D42D11"/>
    <w:rsid w:val="00D43D49"/>
    <w:rsid w:val="00D43E43"/>
    <w:rsid w:val="00D4486E"/>
    <w:rsid w:val="00D457E5"/>
    <w:rsid w:val="00D4681A"/>
    <w:rsid w:val="00D4719C"/>
    <w:rsid w:val="00D50155"/>
    <w:rsid w:val="00D5378A"/>
    <w:rsid w:val="00D54D6A"/>
    <w:rsid w:val="00D55DCB"/>
    <w:rsid w:val="00D5683A"/>
    <w:rsid w:val="00D5707B"/>
    <w:rsid w:val="00D62EEF"/>
    <w:rsid w:val="00D644E6"/>
    <w:rsid w:val="00D6507C"/>
    <w:rsid w:val="00D71F65"/>
    <w:rsid w:val="00D76218"/>
    <w:rsid w:val="00D82008"/>
    <w:rsid w:val="00D8749A"/>
    <w:rsid w:val="00D9725A"/>
    <w:rsid w:val="00DA0240"/>
    <w:rsid w:val="00DA103E"/>
    <w:rsid w:val="00DA13ED"/>
    <w:rsid w:val="00DB0A60"/>
    <w:rsid w:val="00DC1FB4"/>
    <w:rsid w:val="00DC2571"/>
    <w:rsid w:val="00DD78A7"/>
    <w:rsid w:val="00DE1A98"/>
    <w:rsid w:val="00DE6DEE"/>
    <w:rsid w:val="00DF3599"/>
    <w:rsid w:val="00DF4849"/>
    <w:rsid w:val="00DF6D14"/>
    <w:rsid w:val="00DF6DBA"/>
    <w:rsid w:val="00E02231"/>
    <w:rsid w:val="00E044AF"/>
    <w:rsid w:val="00E068C1"/>
    <w:rsid w:val="00E137B7"/>
    <w:rsid w:val="00E13870"/>
    <w:rsid w:val="00E159E9"/>
    <w:rsid w:val="00E21F36"/>
    <w:rsid w:val="00E22C9B"/>
    <w:rsid w:val="00E23540"/>
    <w:rsid w:val="00E23FD2"/>
    <w:rsid w:val="00E26211"/>
    <w:rsid w:val="00E2723F"/>
    <w:rsid w:val="00E31B84"/>
    <w:rsid w:val="00E323A7"/>
    <w:rsid w:val="00E32ABB"/>
    <w:rsid w:val="00E365D8"/>
    <w:rsid w:val="00E36B49"/>
    <w:rsid w:val="00E36E05"/>
    <w:rsid w:val="00E377FC"/>
    <w:rsid w:val="00E42A6B"/>
    <w:rsid w:val="00E42BEF"/>
    <w:rsid w:val="00E42EAF"/>
    <w:rsid w:val="00E441AC"/>
    <w:rsid w:val="00E447F4"/>
    <w:rsid w:val="00E448A9"/>
    <w:rsid w:val="00E45B1C"/>
    <w:rsid w:val="00E45F76"/>
    <w:rsid w:val="00E5163E"/>
    <w:rsid w:val="00E51931"/>
    <w:rsid w:val="00E55551"/>
    <w:rsid w:val="00E56FF8"/>
    <w:rsid w:val="00E609F4"/>
    <w:rsid w:val="00E61F20"/>
    <w:rsid w:val="00E636C5"/>
    <w:rsid w:val="00E63849"/>
    <w:rsid w:val="00E64568"/>
    <w:rsid w:val="00E67291"/>
    <w:rsid w:val="00E672B9"/>
    <w:rsid w:val="00E7296A"/>
    <w:rsid w:val="00E73935"/>
    <w:rsid w:val="00E74770"/>
    <w:rsid w:val="00E754C9"/>
    <w:rsid w:val="00E75C8A"/>
    <w:rsid w:val="00E80135"/>
    <w:rsid w:val="00E8459A"/>
    <w:rsid w:val="00E8644C"/>
    <w:rsid w:val="00E86B53"/>
    <w:rsid w:val="00E91BA6"/>
    <w:rsid w:val="00E926CD"/>
    <w:rsid w:val="00E92D7D"/>
    <w:rsid w:val="00E94982"/>
    <w:rsid w:val="00E94A3F"/>
    <w:rsid w:val="00E97CAD"/>
    <w:rsid w:val="00EA3E05"/>
    <w:rsid w:val="00EA41DB"/>
    <w:rsid w:val="00EA4C9E"/>
    <w:rsid w:val="00EB1710"/>
    <w:rsid w:val="00EB4358"/>
    <w:rsid w:val="00EB70E8"/>
    <w:rsid w:val="00EC155D"/>
    <w:rsid w:val="00EC3806"/>
    <w:rsid w:val="00EC6C69"/>
    <w:rsid w:val="00ED02F4"/>
    <w:rsid w:val="00ED1806"/>
    <w:rsid w:val="00ED2513"/>
    <w:rsid w:val="00ED3731"/>
    <w:rsid w:val="00ED5256"/>
    <w:rsid w:val="00ED5F76"/>
    <w:rsid w:val="00ED78FA"/>
    <w:rsid w:val="00EE3982"/>
    <w:rsid w:val="00EE5400"/>
    <w:rsid w:val="00EE74B8"/>
    <w:rsid w:val="00EE76FB"/>
    <w:rsid w:val="00EE7B61"/>
    <w:rsid w:val="00EE7E92"/>
    <w:rsid w:val="00EF1925"/>
    <w:rsid w:val="00F03D67"/>
    <w:rsid w:val="00F04A38"/>
    <w:rsid w:val="00F058C8"/>
    <w:rsid w:val="00F10834"/>
    <w:rsid w:val="00F1566A"/>
    <w:rsid w:val="00F1745B"/>
    <w:rsid w:val="00F2060C"/>
    <w:rsid w:val="00F243E9"/>
    <w:rsid w:val="00F243F7"/>
    <w:rsid w:val="00F245B8"/>
    <w:rsid w:val="00F24BCF"/>
    <w:rsid w:val="00F25431"/>
    <w:rsid w:val="00F27035"/>
    <w:rsid w:val="00F32CF1"/>
    <w:rsid w:val="00F3359D"/>
    <w:rsid w:val="00F340E3"/>
    <w:rsid w:val="00F37AAF"/>
    <w:rsid w:val="00F43503"/>
    <w:rsid w:val="00F456F3"/>
    <w:rsid w:val="00F45EFD"/>
    <w:rsid w:val="00F47675"/>
    <w:rsid w:val="00F47EBA"/>
    <w:rsid w:val="00F502C7"/>
    <w:rsid w:val="00F52FC4"/>
    <w:rsid w:val="00F57B21"/>
    <w:rsid w:val="00F606F3"/>
    <w:rsid w:val="00F60934"/>
    <w:rsid w:val="00F61CB8"/>
    <w:rsid w:val="00F6452F"/>
    <w:rsid w:val="00F66F0E"/>
    <w:rsid w:val="00F67F6A"/>
    <w:rsid w:val="00F72A89"/>
    <w:rsid w:val="00F75C5C"/>
    <w:rsid w:val="00F80C23"/>
    <w:rsid w:val="00F83105"/>
    <w:rsid w:val="00F833F2"/>
    <w:rsid w:val="00F842F2"/>
    <w:rsid w:val="00F84B01"/>
    <w:rsid w:val="00F91DBC"/>
    <w:rsid w:val="00F95112"/>
    <w:rsid w:val="00F95C38"/>
    <w:rsid w:val="00F95CA3"/>
    <w:rsid w:val="00F97DAF"/>
    <w:rsid w:val="00FB1A6B"/>
    <w:rsid w:val="00FB3132"/>
    <w:rsid w:val="00FB3E42"/>
    <w:rsid w:val="00FB50BC"/>
    <w:rsid w:val="00FC4A2F"/>
    <w:rsid w:val="00FD17C2"/>
    <w:rsid w:val="00FD7D15"/>
    <w:rsid w:val="00FE14A4"/>
    <w:rsid w:val="00FE3E3B"/>
    <w:rsid w:val="00FE54D5"/>
    <w:rsid w:val="00FE6E37"/>
    <w:rsid w:val="00FE76DD"/>
    <w:rsid w:val="00FF10EC"/>
    <w:rsid w:val="00FF2D70"/>
    <w:rsid w:val="00FF3DA9"/>
    <w:rsid w:val="00FF4BA3"/>
    <w:rsid w:val="00FF5032"/>
    <w:rsid w:val="00FF7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749F4"/>
  <w15:chartTrackingRefBased/>
  <w15:docId w15:val="{C0B29161-2BC6-48EE-9BE5-39BA234B5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0EC"/>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9B7022"/>
    <w:pPr>
      <w:keepNext/>
      <w:keepLines/>
      <w:numPr>
        <w:numId w:val="1"/>
      </w:numPr>
      <w:spacing w:before="240" w:after="0"/>
      <w:outlineLvl w:val="0"/>
    </w:pPr>
    <w:rPr>
      <w:rFonts w:eastAsiaTheme="majorEastAsia" w:cstheme="majorBidi"/>
      <w:sz w:val="36"/>
      <w:szCs w:val="32"/>
    </w:rPr>
  </w:style>
  <w:style w:type="paragraph" w:styleId="Heading2">
    <w:name w:val="heading 2"/>
    <w:basedOn w:val="Normal"/>
    <w:next w:val="Normal"/>
    <w:link w:val="Heading2Char"/>
    <w:uiPriority w:val="9"/>
    <w:unhideWhenUsed/>
    <w:qFormat/>
    <w:rsid w:val="009B7022"/>
    <w:pPr>
      <w:keepNext/>
      <w:keepLines/>
      <w:numPr>
        <w:ilvl w:val="1"/>
        <w:numId w:val="1"/>
      </w:numPr>
      <w:spacing w:before="40" w:after="0"/>
      <w:outlineLvl w:val="1"/>
    </w:pPr>
    <w:rPr>
      <w:rFonts w:eastAsiaTheme="majorEastAsia" w:cstheme="majorBidi"/>
      <w:sz w:val="30"/>
      <w:szCs w:val="26"/>
    </w:rPr>
  </w:style>
  <w:style w:type="paragraph" w:styleId="Heading3">
    <w:name w:val="heading 3"/>
    <w:basedOn w:val="Normal"/>
    <w:next w:val="Normal"/>
    <w:link w:val="Heading3Char"/>
    <w:uiPriority w:val="9"/>
    <w:unhideWhenUsed/>
    <w:qFormat/>
    <w:rsid w:val="009B7022"/>
    <w:pPr>
      <w:keepNext/>
      <w:keepLines/>
      <w:numPr>
        <w:ilvl w:val="2"/>
        <w:numId w:val="1"/>
      </w:numPr>
      <w:spacing w:before="40" w:after="0"/>
      <w:outlineLvl w:val="2"/>
    </w:pPr>
    <w:rPr>
      <w:rFonts w:eastAsiaTheme="majorEastAsia" w:cstheme="majorBidi"/>
      <w:sz w:val="26"/>
      <w:szCs w:val="24"/>
    </w:rPr>
  </w:style>
  <w:style w:type="paragraph" w:styleId="Heading4">
    <w:name w:val="heading 4"/>
    <w:basedOn w:val="Normal"/>
    <w:next w:val="Normal"/>
    <w:link w:val="Heading4Char"/>
    <w:uiPriority w:val="9"/>
    <w:unhideWhenUsed/>
    <w:qFormat/>
    <w:rsid w:val="008C32BB"/>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C32BB"/>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C32BB"/>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32BB"/>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C32B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C32B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022"/>
    <w:rPr>
      <w:rFonts w:ascii="Times New Roman" w:eastAsiaTheme="majorEastAsia" w:hAnsi="Times New Roman" w:cstheme="majorBidi"/>
      <w:sz w:val="36"/>
      <w:szCs w:val="32"/>
    </w:rPr>
  </w:style>
  <w:style w:type="character" w:customStyle="1" w:styleId="Heading2Char">
    <w:name w:val="Heading 2 Char"/>
    <w:basedOn w:val="DefaultParagraphFont"/>
    <w:link w:val="Heading2"/>
    <w:uiPriority w:val="9"/>
    <w:rsid w:val="009B7022"/>
    <w:rPr>
      <w:rFonts w:ascii="Times New Roman" w:eastAsiaTheme="majorEastAsia" w:hAnsi="Times New Roman" w:cstheme="majorBidi"/>
      <w:sz w:val="30"/>
      <w:szCs w:val="26"/>
    </w:rPr>
  </w:style>
  <w:style w:type="character" w:customStyle="1" w:styleId="Heading3Char">
    <w:name w:val="Heading 3 Char"/>
    <w:basedOn w:val="DefaultParagraphFont"/>
    <w:link w:val="Heading3"/>
    <w:uiPriority w:val="9"/>
    <w:rsid w:val="009B7022"/>
    <w:rPr>
      <w:rFonts w:ascii="Times New Roman" w:eastAsiaTheme="majorEastAsia" w:hAnsi="Times New Roman" w:cstheme="majorBidi"/>
      <w:sz w:val="26"/>
      <w:szCs w:val="24"/>
    </w:rPr>
  </w:style>
  <w:style w:type="character" w:customStyle="1" w:styleId="Heading4Char">
    <w:name w:val="Heading 4 Char"/>
    <w:basedOn w:val="DefaultParagraphFont"/>
    <w:link w:val="Heading4"/>
    <w:uiPriority w:val="9"/>
    <w:rsid w:val="008C32BB"/>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8C32BB"/>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8C32BB"/>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8C32BB"/>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8C32B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C32BB"/>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B779CC"/>
    <w:pPr>
      <w:ind w:left="720"/>
      <w:contextualSpacing/>
    </w:pPr>
  </w:style>
  <w:style w:type="paragraph" w:styleId="Header">
    <w:name w:val="header"/>
    <w:basedOn w:val="Normal"/>
    <w:link w:val="HeaderChar"/>
    <w:uiPriority w:val="99"/>
    <w:unhideWhenUsed/>
    <w:rsid w:val="00B779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9CC"/>
  </w:style>
  <w:style w:type="paragraph" w:styleId="Footer">
    <w:name w:val="footer"/>
    <w:basedOn w:val="Normal"/>
    <w:link w:val="FooterChar"/>
    <w:uiPriority w:val="99"/>
    <w:unhideWhenUsed/>
    <w:rsid w:val="00B77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9CC"/>
  </w:style>
  <w:style w:type="paragraph" w:styleId="TOCHeading">
    <w:name w:val="TOC Heading"/>
    <w:basedOn w:val="Heading1"/>
    <w:next w:val="Normal"/>
    <w:uiPriority w:val="39"/>
    <w:unhideWhenUsed/>
    <w:qFormat/>
    <w:rsid w:val="00B779CC"/>
    <w:pPr>
      <w:spacing w:line="259" w:lineRule="auto"/>
      <w:outlineLvl w:val="9"/>
    </w:pPr>
  </w:style>
  <w:style w:type="paragraph" w:styleId="TOC1">
    <w:name w:val="toc 1"/>
    <w:basedOn w:val="Normal"/>
    <w:next w:val="Normal"/>
    <w:autoRedefine/>
    <w:uiPriority w:val="39"/>
    <w:unhideWhenUsed/>
    <w:rsid w:val="009B7022"/>
    <w:pPr>
      <w:keepLines/>
      <w:tabs>
        <w:tab w:val="left" w:pos="440"/>
        <w:tab w:val="right" w:leader="dot" w:pos="8630"/>
      </w:tabs>
      <w:spacing w:after="0"/>
      <w:ind w:left="432" w:right="720" w:hanging="432"/>
      <w:jc w:val="left"/>
      <w:textboxTightWrap w:val="allLines"/>
      <w:outlineLvl w:val="0"/>
    </w:pPr>
    <w:rPr>
      <w:b/>
    </w:rPr>
  </w:style>
  <w:style w:type="character" w:styleId="Hyperlink">
    <w:name w:val="Hyperlink"/>
    <w:basedOn w:val="DefaultParagraphFont"/>
    <w:uiPriority w:val="99"/>
    <w:unhideWhenUsed/>
    <w:rsid w:val="00B779CC"/>
    <w:rPr>
      <w:color w:val="0563C1" w:themeColor="hyperlink"/>
      <w:u w:val="single"/>
    </w:rPr>
  </w:style>
  <w:style w:type="paragraph" w:styleId="CommentText">
    <w:name w:val="annotation text"/>
    <w:basedOn w:val="Normal"/>
    <w:link w:val="CommentTextChar"/>
    <w:uiPriority w:val="99"/>
    <w:unhideWhenUsed/>
    <w:rsid w:val="00AF6CA0"/>
    <w:pPr>
      <w:spacing w:line="240" w:lineRule="auto"/>
    </w:pPr>
    <w:rPr>
      <w:sz w:val="20"/>
      <w:szCs w:val="20"/>
    </w:rPr>
  </w:style>
  <w:style w:type="character" w:customStyle="1" w:styleId="CommentTextChar">
    <w:name w:val="Comment Text Char"/>
    <w:basedOn w:val="DefaultParagraphFont"/>
    <w:link w:val="CommentText"/>
    <w:uiPriority w:val="99"/>
    <w:rsid w:val="00AF6CA0"/>
    <w:rPr>
      <w:rFonts w:ascii="Times New Roman" w:hAnsi="Times New Roman"/>
      <w:sz w:val="20"/>
      <w:szCs w:val="20"/>
    </w:rPr>
  </w:style>
  <w:style w:type="character" w:styleId="CommentReference">
    <w:name w:val="annotation reference"/>
    <w:basedOn w:val="DefaultParagraphFont"/>
    <w:uiPriority w:val="99"/>
    <w:semiHidden/>
    <w:unhideWhenUsed/>
    <w:rsid w:val="00AF6CA0"/>
    <w:rPr>
      <w:sz w:val="16"/>
      <w:szCs w:val="16"/>
    </w:rPr>
  </w:style>
  <w:style w:type="paragraph" w:styleId="TOC3">
    <w:name w:val="toc 3"/>
    <w:basedOn w:val="Normal"/>
    <w:next w:val="Normal"/>
    <w:autoRedefine/>
    <w:uiPriority w:val="39"/>
    <w:unhideWhenUsed/>
    <w:rsid w:val="00AF6CA0"/>
    <w:pPr>
      <w:spacing w:after="100"/>
      <w:ind w:left="440"/>
    </w:pPr>
  </w:style>
  <w:style w:type="paragraph" w:styleId="TOC2">
    <w:name w:val="toc 2"/>
    <w:basedOn w:val="Normal"/>
    <w:next w:val="Normal"/>
    <w:autoRedefine/>
    <w:uiPriority w:val="39"/>
    <w:unhideWhenUsed/>
    <w:rsid w:val="005A1792"/>
    <w:pPr>
      <w:tabs>
        <w:tab w:val="left" w:pos="880"/>
        <w:tab w:val="right" w:leader="dot" w:pos="8630"/>
      </w:tabs>
      <w:spacing w:after="0"/>
      <w:ind w:left="144"/>
    </w:pPr>
  </w:style>
  <w:style w:type="paragraph" w:styleId="Bibliography">
    <w:name w:val="Bibliography"/>
    <w:basedOn w:val="Normal"/>
    <w:next w:val="Normal"/>
    <w:uiPriority w:val="37"/>
    <w:unhideWhenUsed/>
    <w:rsid w:val="00C15D51"/>
    <w:pPr>
      <w:spacing w:after="0" w:line="240" w:lineRule="auto"/>
      <w:ind w:left="720" w:hanging="720"/>
    </w:pPr>
  </w:style>
  <w:style w:type="paragraph" w:customStyle="1" w:styleId="msonormal0">
    <w:name w:val="msonormal"/>
    <w:basedOn w:val="Normal"/>
    <w:rsid w:val="00EE74B8"/>
    <w:pPr>
      <w:spacing w:before="100" w:beforeAutospacing="1" w:after="100" w:afterAutospacing="1" w:line="240" w:lineRule="auto"/>
    </w:pPr>
    <w:rPr>
      <w:rFonts w:eastAsia="Times New Roman" w:cs="Times New Roman"/>
      <w:szCs w:val="24"/>
    </w:rPr>
  </w:style>
  <w:style w:type="paragraph" w:styleId="Caption">
    <w:name w:val="caption"/>
    <w:basedOn w:val="Normal"/>
    <w:next w:val="Normal"/>
    <w:uiPriority w:val="35"/>
    <w:unhideWhenUsed/>
    <w:qFormat/>
    <w:rsid w:val="00EE74B8"/>
    <w:pPr>
      <w:spacing w:after="200"/>
      <w:ind w:firstLine="720"/>
    </w:pPr>
    <w:rPr>
      <w:iCs/>
      <w:sz w:val="18"/>
      <w:szCs w:val="18"/>
    </w:rPr>
  </w:style>
  <w:style w:type="paragraph" w:styleId="Title">
    <w:name w:val="Title"/>
    <w:basedOn w:val="Normal"/>
    <w:next w:val="Normal"/>
    <w:link w:val="TitleChar"/>
    <w:uiPriority w:val="10"/>
    <w:qFormat/>
    <w:rsid w:val="00EE74B8"/>
    <w:pPr>
      <w:spacing w:before="120" w:after="0"/>
      <w:contextualSpacing/>
    </w:pPr>
    <w:rPr>
      <w:rFonts w:eastAsiaTheme="majorEastAsia" w:cstheme="majorBidi"/>
      <w:b/>
      <w:color w:val="000000" w:themeColor="text1"/>
      <w:spacing w:val="-10"/>
      <w:kern w:val="28"/>
      <w:sz w:val="28"/>
      <w:szCs w:val="56"/>
    </w:rPr>
  </w:style>
  <w:style w:type="character" w:customStyle="1" w:styleId="TitleChar">
    <w:name w:val="Title Char"/>
    <w:basedOn w:val="DefaultParagraphFont"/>
    <w:link w:val="Title"/>
    <w:uiPriority w:val="10"/>
    <w:rsid w:val="00EE74B8"/>
    <w:rPr>
      <w:rFonts w:ascii="Times New Roman" w:eastAsiaTheme="majorEastAsia" w:hAnsi="Times New Roman" w:cstheme="majorBidi"/>
      <w:b/>
      <w:color w:val="000000" w:themeColor="text1"/>
      <w:spacing w:val="-10"/>
      <w:kern w:val="28"/>
      <w:sz w:val="28"/>
      <w:szCs w:val="56"/>
    </w:rPr>
  </w:style>
  <w:style w:type="paragraph" w:styleId="Subtitle">
    <w:name w:val="Subtitle"/>
    <w:basedOn w:val="Normal"/>
    <w:next w:val="Normal"/>
    <w:link w:val="SubtitleChar"/>
    <w:uiPriority w:val="11"/>
    <w:qFormat/>
    <w:rsid w:val="00EE74B8"/>
    <w:pPr>
      <w:spacing w:before="120"/>
      <w:ind w:firstLine="72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E74B8"/>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EE74B8"/>
    <w:pPr>
      <w:spacing w:before="120" w:line="480" w:lineRule="auto"/>
      <w:ind w:firstLine="720"/>
    </w:pPr>
    <w:rPr>
      <w:b/>
      <w:bCs/>
    </w:rPr>
  </w:style>
  <w:style w:type="character" w:customStyle="1" w:styleId="CommentSubjectChar">
    <w:name w:val="Comment Subject Char"/>
    <w:basedOn w:val="CommentTextChar"/>
    <w:link w:val="CommentSubject"/>
    <w:uiPriority w:val="99"/>
    <w:semiHidden/>
    <w:rsid w:val="00EE74B8"/>
    <w:rPr>
      <w:rFonts w:ascii="Times New Roman" w:hAnsi="Times New Roman"/>
      <w:b/>
      <w:bCs/>
      <w:sz w:val="20"/>
      <w:szCs w:val="20"/>
    </w:rPr>
  </w:style>
  <w:style w:type="paragraph" w:styleId="BalloonText">
    <w:name w:val="Balloon Text"/>
    <w:basedOn w:val="Normal"/>
    <w:link w:val="BalloonTextChar"/>
    <w:uiPriority w:val="99"/>
    <w:semiHidden/>
    <w:unhideWhenUsed/>
    <w:rsid w:val="00EE74B8"/>
    <w:pPr>
      <w:spacing w:before="120" w:after="0"/>
      <w:ind w:firstLine="72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4B8"/>
    <w:rPr>
      <w:rFonts w:ascii="Segoe UI" w:hAnsi="Segoe UI" w:cs="Segoe UI"/>
      <w:sz w:val="18"/>
      <w:szCs w:val="18"/>
    </w:rPr>
  </w:style>
  <w:style w:type="paragraph" w:styleId="TableofFigures">
    <w:name w:val="table of figures"/>
    <w:basedOn w:val="Normal"/>
    <w:next w:val="Normal"/>
    <w:link w:val="TableofFiguresChar"/>
    <w:uiPriority w:val="99"/>
    <w:unhideWhenUsed/>
    <w:rsid w:val="004E75B2"/>
    <w:pPr>
      <w:spacing w:after="0"/>
    </w:pPr>
  </w:style>
  <w:style w:type="paragraph" w:customStyle="1" w:styleId="Authors">
    <w:name w:val="Authors"/>
    <w:basedOn w:val="Normal"/>
    <w:uiPriority w:val="99"/>
    <w:semiHidden/>
    <w:rsid w:val="00617A79"/>
    <w:pPr>
      <w:spacing w:before="120" w:after="360" w:line="240" w:lineRule="auto"/>
      <w:jc w:val="left"/>
    </w:pPr>
    <w:rPr>
      <w:rFonts w:eastAsia="Times New Roman" w:cs="Times New Roman"/>
      <w:b/>
      <w:szCs w:val="24"/>
    </w:rPr>
  </w:style>
  <w:style w:type="paragraph" w:customStyle="1" w:styleId="Text">
    <w:name w:val="Text"/>
    <w:basedOn w:val="Normal"/>
    <w:uiPriority w:val="99"/>
    <w:semiHidden/>
    <w:rsid w:val="00617A79"/>
    <w:pPr>
      <w:spacing w:before="120" w:after="0" w:line="240" w:lineRule="auto"/>
      <w:ind w:firstLine="720"/>
      <w:jc w:val="left"/>
    </w:pPr>
    <w:rPr>
      <w:rFonts w:eastAsia="Times New Roman" w:cs="Times New Roman"/>
      <w:szCs w:val="24"/>
    </w:rPr>
  </w:style>
  <w:style w:type="paragraph" w:customStyle="1" w:styleId="Heading-Main">
    <w:name w:val="Heading-Main"/>
    <w:basedOn w:val="Normal"/>
    <w:uiPriority w:val="99"/>
    <w:semiHidden/>
    <w:rsid w:val="00617A79"/>
    <w:pPr>
      <w:keepNext/>
      <w:spacing w:before="240" w:after="120" w:line="240" w:lineRule="auto"/>
      <w:jc w:val="left"/>
      <w:outlineLvl w:val="0"/>
    </w:pPr>
    <w:rPr>
      <w:rFonts w:eastAsia="Times New Roman" w:cs="Times New Roman"/>
      <w:b/>
      <w:bCs/>
      <w:kern w:val="28"/>
      <w:szCs w:val="24"/>
    </w:rPr>
  </w:style>
  <w:style w:type="paragraph" w:customStyle="1" w:styleId="Affiliation">
    <w:name w:val="Affiliation"/>
    <w:basedOn w:val="Text"/>
    <w:uiPriority w:val="99"/>
    <w:semiHidden/>
    <w:qFormat/>
    <w:rsid w:val="00617A79"/>
    <w:pPr>
      <w:ind w:firstLine="0"/>
    </w:pPr>
  </w:style>
  <w:style w:type="paragraph" w:customStyle="1" w:styleId="KeyPoints">
    <w:name w:val="Key Points"/>
    <w:basedOn w:val="Normal"/>
    <w:uiPriority w:val="99"/>
    <w:semiHidden/>
    <w:rsid w:val="00617A79"/>
    <w:pPr>
      <w:spacing w:before="120" w:after="0" w:line="240" w:lineRule="auto"/>
      <w:jc w:val="left"/>
    </w:pPr>
    <w:rPr>
      <w:rFonts w:eastAsia="Times New Roman" w:cs="Times New Roman"/>
      <w:szCs w:val="24"/>
    </w:rPr>
  </w:style>
  <w:style w:type="paragraph" w:customStyle="1" w:styleId="Abstract">
    <w:name w:val="Abstract"/>
    <w:basedOn w:val="Normal"/>
    <w:uiPriority w:val="99"/>
    <w:semiHidden/>
    <w:qFormat/>
    <w:rsid w:val="00617A79"/>
    <w:pPr>
      <w:spacing w:before="120" w:after="0" w:line="240" w:lineRule="auto"/>
      <w:jc w:val="left"/>
    </w:pPr>
    <w:rPr>
      <w:rFonts w:eastAsia="Times New Roman" w:cs="Times New Roman"/>
      <w:szCs w:val="24"/>
    </w:rPr>
  </w:style>
  <w:style w:type="table" w:customStyle="1" w:styleId="TableGrid1">
    <w:name w:val="Table Grid1"/>
    <w:basedOn w:val="TableNormal"/>
    <w:uiPriority w:val="39"/>
    <w:rsid w:val="00617A79"/>
    <w:pPr>
      <w:spacing w:after="0" w:line="240" w:lineRule="auto"/>
    </w:p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Heading-Secondary">
    <w:name w:val="Heading-Secondary"/>
    <w:basedOn w:val="Heading-Main"/>
    <w:uiPriority w:val="99"/>
    <w:semiHidden/>
    <w:qFormat/>
    <w:rsid w:val="00617A79"/>
    <w:pPr>
      <w:ind w:left="720"/>
    </w:pPr>
    <w:rPr>
      <w:b w:val="0"/>
    </w:rPr>
  </w:style>
  <w:style w:type="paragraph" w:styleId="NoSpacing">
    <w:name w:val="No Spacing"/>
    <w:link w:val="NoSpacingChar"/>
    <w:uiPriority w:val="1"/>
    <w:qFormat/>
    <w:rsid w:val="00AF3C34"/>
    <w:pPr>
      <w:spacing w:after="0" w:line="240" w:lineRule="auto"/>
    </w:pPr>
    <w:rPr>
      <w:rFonts w:eastAsiaTheme="minorEastAsia"/>
    </w:rPr>
  </w:style>
  <w:style w:type="character" w:customStyle="1" w:styleId="NoSpacingChar">
    <w:name w:val="No Spacing Char"/>
    <w:basedOn w:val="DefaultParagraphFont"/>
    <w:link w:val="NoSpacing"/>
    <w:uiPriority w:val="1"/>
    <w:rsid w:val="00AF3C34"/>
    <w:rPr>
      <w:rFonts w:eastAsiaTheme="minorEastAsia"/>
    </w:rPr>
  </w:style>
  <w:style w:type="table" w:styleId="TableGrid">
    <w:name w:val="Table Grid"/>
    <w:basedOn w:val="TableNormal"/>
    <w:uiPriority w:val="39"/>
    <w:rsid w:val="00F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734938"/>
    <w:pPr>
      <w:spacing w:before="100" w:beforeAutospacing="1" w:after="100" w:afterAutospacing="1" w:line="240" w:lineRule="auto"/>
      <w:jc w:val="left"/>
    </w:pPr>
    <w:rPr>
      <w:rFonts w:eastAsia="Times New Roman" w:cs="Times New Roman"/>
      <w:szCs w:val="24"/>
    </w:rPr>
  </w:style>
  <w:style w:type="character" w:customStyle="1" w:styleId="cf01">
    <w:name w:val="cf01"/>
    <w:basedOn w:val="DefaultParagraphFont"/>
    <w:rsid w:val="00734938"/>
    <w:rPr>
      <w:rFonts w:ascii="Segoe UI" w:hAnsi="Segoe UI" w:cs="Segoe UI" w:hint="default"/>
      <w:sz w:val="18"/>
      <w:szCs w:val="18"/>
    </w:rPr>
  </w:style>
  <w:style w:type="paragraph" w:styleId="FootnoteText">
    <w:name w:val="footnote text"/>
    <w:basedOn w:val="Normal"/>
    <w:link w:val="FootnoteTextChar"/>
    <w:uiPriority w:val="99"/>
    <w:semiHidden/>
    <w:unhideWhenUsed/>
    <w:rsid w:val="0060075D"/>
    <w:pPr>
      <w:spacing w:after="0" w:line="240" w:lineRule="auto"/>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60075D"/>
    <w:rPr>
      <w:sz w:val="20"/>
      <w:szCs w:val="20"/>
    </w:rPr>
  </w:style>
  <w:style w:type="character" w:styleId="FootnoteReference">
    <w:name w:val="footnote reference"/>
    <w:basedOn w:val="DefaultParagraphFont"/>
    <w:uiPriority w:val="99"/>
    <w:semiHidden/>
    <w:unhideWhenUsed/>
    <w:rsid w:val="0060075D"/>
    <w:rPr>
      <w:vertAlign w:val="superscript"/>
    </w:rPr>
  </w:style>
  <w:style w:type="character" w:styleId="PlaceholderText">
    <w:name w:val="Placeholder Text"/>
    <w:basedOn w:val="DefaultParagraphFont"/>
    <w:uiPriority w:val="99"/>
    <w:semiHidden/>
    <w:rsid w:val="0060075D"/>
    <w:rPr>
      <w:color w:val="808080"/>
    </w:rPr>
  </w:style>
  <w:style w:type="character" w:customStyle="1" w:styleId="label">
    <w:name w:val="label"/>
    <w:basedOn w:val="DefaultParagraphFont"/>
    <w:rsid w:val="0060075D"/>
  </w:style>
  <w:style w:type="character" w:customStyle="1" w:styleId="mjxassistivemathml">
    <w:name w:val="mjx_assistive_mathml"/>
    <w:basedOn w:val="DefaultParagraphFont"/>
    <w:rsid w:val="0060075D"/>
  </w:style>
  <w:style w:type="character" w:customStyle="1" w:styleId="UnresolvedMention1">
    <w:name w:val="Unresolved Mention1"/>
    <w:basedOn w:val="DefaultParagraphFont"/>
    <w:uiPriority w:val="99"/>
    <w:semiHidden/>
    <w:unhideWhenUsed/>
    <w:rsid w:val="0060075D"/>
    <w:rPr>
      <w:color w:val="605E5C"/>
      <w:shd w:val="clear" w:color="auto" w:fill="E1DFDD"/>
    </w:rPr>
  </w:style>
  <w:style w:type="character" w:styleId="LineNumber">
    <w:name w:val="line number"/>
    <w:basedOn w:val="DefaultParagraphFont"/>
    <w:uiPriority w:val="99"/>
    <w:semiHidden/>
    <w:unhideWhenUsed/>
    <w:rsid w:val="0060075D"/>
  </w:style>
  <w:style w:type="paragraph" w:styleId="Revision">
    <w:name w:val="Revision"/>
    <w:hidden/>
    <w:uiPriority w:val="99"/>
    <w:semiHidden/>
    <w:rsid w:val="0060075D"/>
    <w:pPr>
      <w:spacing w:after="0" w:line="240" w:lineRule="auto"/>
    </w:pPr>
  </w:style>
  <w:style w:type="character" w:customStyle="1" w:styleId="UnresolvedMention2">
    <w:name w:val="Unresolved Mention2"/>
    <w:basedOn w:val="DefaultParagraphFont"/>
    <w:uiPriority w:val="99"/>
    <w:semiHidden/>
    <w:unhideWhenUsed/>
    <w:rsid w:val="0060075D"/>
    <w:rPr>
      <w:color w:val="605E5C"/>
      <w:shd w:val="clear" w:color="auto" w:fill="E1DFDD"/>
    </w:rPr>
  </w:style>
  <w:style w:type="character" w:customStyle="1" w:styleId="apple-converted-space">
    <w:name w:val="apple-converted-space"/>
    <w:basedOn w:val="DefaultParagraphFont"/>
    <w:rsid w:val="0060075D"/>
  </w:style>
  <w:style w:type="paragraph" w:customStyle="1" w:styleId="Bib">
    <w:name w:val="Bib"/>
    <w:basedOn w:val="Normal"/>
    <w:link w:val="BibChar"/>
    <w:qFormat/>
    <w:rsid w:val="00ED5F76"/>
    <w:pPr>
      <w:spacing w:line="240" w:lineRule="auto"/>
      <w:ind w:left="720" w:hanging="720"/>
      <w:jc w:val="left"/>
    </w:pPr>
  </w:style>
  <w:style w:type="paragraph" w:customStyle="1" w:styleId="Lists">
    <w:name w:val="Lists"/>
    <w:basedOn w:val="TableofFigures"/>
    <w:link w:val="ListsChar"/>
    <w:qFormat/>
    <w:rsid w:val="006D136E"/>
    <w:pPr>
      <w:tabs>
        <w:tab w:val="right" w:leader="dot" w:pos="8630"/>
      </w:tabs>
      <w:spacing w:before="240" w:after="240" w:line="240" w:lineRule="auto"/>
      <w:ind w:left="720" w:hanging="720"/>
      <w:jc w:val="left"/>
    </w:pPr>
    <w:rPr>
      <w:rFonts w:cs="Times New Roman"/>
      <w:szCs w:val="24"/>
    </w:rPr>
  </w:style>
  <w:style w:type="character" w:customStyle="1" w:styleId="BibChar">
    <w:name w:val="Bib Char"/>
    <w:basedOn w:val="DefaultParagraphFont"/>
    <w:link w:val="Bib"/>
    <w:rsid w:val="00ED5F76"/>
    <w:rPr>
      <w:rFonts w:ascii="Times New Roman" w:hAnsi="Times New Roman"/>
      <w:sz w:val="24"/>
    </w:rPr>
  </w:style>
  <w:style w:type="table" w:customStyle="1" w:styleId="TableGrid2">
    <w:name w:val="Table Grid2"/>
    <w:basedOn w:val="TableNormal"/>
    <w:next w:val="TableGrid"/>
    <w:uiPriority w:val="39"/>
    <w:rsid w:val="00F10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FiguresChar">
    <w:name w:val="Table of Figures Char"/>
    <w:basedOn w:val="DefaultParagraphFont"/>
    <w:link w:val="TableofFigures"/>
    <w:uiPriority w:val="99"/>
    <w:rsid w:val="00A71517"/>
    <w:rPr>
      <w:rFonts w:ascii="Times New Roman" w:hAnsi="Times New Roman"/>
      <w:sz w:val="24"/>
    </w:rPr>
  </w:style>
  <w:style w:type="character" w:customStyle="1" w:styleId="ListsChar">
    <w:name w:val="Lists Char"/>
    <w:basedOn w:val="TableofFiguresChar"/>
    <w:link w:val="Lists"/>
    <w:rsid w:val="006D136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57957">
      <w:bodyDiv w:val="1"/>
      <w:marLeft w:val="0"/>
      <w:marRight w:val="0"/>
      <w:marTop w:val="0"/>
      <w:marBottom w:val="0"/>
      <w:divBdr>
        <w:top w:val="none" w:sz="0" w:space="0" w:color="auto"/>
        <w:left w:val="none" w:sz="0" w:space="0" w:color="auto"/>
        <w:bottom w:val="none" w:sz="0" w:space="0" w:color="auto"/>
        <w:right w:val="none" w:sz="0" w:space="0" w:color="auto"/>
      </w:divBdr>
    </w:div>
    <w:div w:id="225144932">
      <w:bodyDiv w:val="1"/>
      <w:marLeft w:val="0"/>
      <w:marRight w:val="0"/>
      <w:marTop w:val="0"/>
      <w:marBottom w:val="0"/>
      <w:divBdr>
        <w:top w:val="none" w:sz="0" w:space="0" w:color="auto"/>
        <w:left w:val="none" w:sz="0" w:space="0" w:color="auto"/>
        <w:bottom w:val="none" w:sz="0" w:space="0" w:color="auto"/>
        <w:right w:val="none" w:sz="0" w:space="0" w:color="auto"/>
      </w:divBdr>
    </w:div>
    <w:div w:id="389351231">
      <w:bodyDiv w:val="1"/>
      <w:marLeft w:val="0"/>
      <w:marRight w:val="0"/>
      <w:marTop w:val="0"/>
      <w:marBottom w:val="0"/>
      <w:divBdr>
        <w:top w:val="none" w:sz="0" w:space="0" w:color="auto"/>
        <w:left w:val="none" w:sz="0" w:space="0" w:color="auto"/>
        <w:bottom w:val="none" w:sz="0" w:space="0" w:color="auto"/>
        <w:right w:val="none" w:sz="0" w:space="0" w:color="auto"/>
      </w:divBdr>
      <w:divsChild>
        <w:div w:id="968163799">
          <w:marLeft w:val="0"/>
          <w:marRight w:val="0"/>
          <w:marTop w:val="0"/>
          <w:marBottom w:val="0"/>
          <w:divBdr>
            <w:top w:val="none" w:sz="0" w:space="0" w:color="auto"/>
            <w:left w:val="none" w:sz="0" w:space="0" w:color="auto"/>
            <w:bottom w:val="none" w:sz="0" w:space="0" w:color="auto"/>
            <w:right w:val="none" w:sz="0" w:space="0" w:color="auto"/>
          </w:divBdr>
        </w:div>
        <w:div w:id="546987531">
          <w:marLeft w:val="0"/>
          <w:marRight w:val="0"/>
          <w:marTop w:val="0"/>
          <w:marBottom w:val="0"/>
          <w:divBdr>
            <w:top w:val="none" w:sz="0" w:space="0" w:color="auto"/>
            <w:left w:val="none" w:sz="0" w:space="0" w:color="auto"/>
            <w:bottom w:val="none" w:sz="0" w:space="0" w:color="auto"/>
            <w:right w:val="none" w:sz="0" w:space="0" w:color="auto"/>
          </w:divBdr>
        </w:div>
        <w:div w:id="2033989648">
          <w:marLeft w:val="0"/>
          <w:marRight w:val="0"/>
          <w:marTop w:val="0"/>
          <w:marBottom w:val="0"/>
          <w:divBdr>
            <w:top w:val="none" w:sz="0" w:space="0" w:color="auto"/>
            <w:left w:val="none" w:sz="0" w:space="0" w:color="auto"/>
            <w:bottom w:val="none" w:sz="0" w:space="0" w:color="auto"/>
            <w:right w:val="none" w:sz="0" w:space="0" w:color="auto"/>
          </w:divBdr>
        </w:div>
        <w:div w:id="1155804150">
          <w:marLeft w:val="0"/>
          <w:marRight w:val="0"/>
          <w:marTop w:val="0"/>
          <w:marBottom w:val="0"/>
          <w:divBdr>
            <w:top w:val="none" w:sz="0" w:space="0" w:color="auto"/>
            <w:left w:val="none" w:sz="0" w:space="0" w:color="auto"/>
            <w:bottom w:val="none" w:sz="0" w:space="0" w:color="auto"/>
            <w:right w:val="none" w:sz="0" w:space="0" w:color="auto"/>
          </w:divBdr>
        </w:div>
        <w:div w:id="311569228">
          <w:marLeft w:val="0"/>
          <w:marRight w:val="0"/>
          <w:marTop w:val="0"/>
          <w:marBottom w:val="0"/>
          <w:divBdr>
            <w:top w:val="none" w:sz="0" w:space="0" w:color="auto"/>
            <w:left w:val="none" w:sz="0" w:space="0" w:color="auto"/>
            <w:bottom w:val="none" w:sz="0" w:space="0" w:color="auto"/>
            <w:right w:val="none" w:sz="0" w:space="0" w:color="auto"/>
          </w:divBdr>
        </w:div>
        <w:div w:id="593518615">
          <w:marLeft w:val="0"/>
          <w:marRight w:val="0"/>
          <w:marTop w:val="0"/>
          <w:marBottom w:val="0"/>
          <w:divBdr>
            <w:top w:val="none" w:sz="0" w:space="0" w:color="auto"/>
            <w:left w:val="none" w:sz="0" w:space="0" w:color="auto"/>
            <w:bottom w:val="none" w:sz="0" w:space="0" w:color="auto"/>
            <w:right w:val="none" w:sz="0" w:space="0" w:color="auto"/>
          </w:divBdr>
        </w:div>
        <w:div w:id="35391861">
          <w:marLeft w:val="0"/>
          <w:marRight w:val="0"/>
          <w:marTop w:val="0"/>
          <w:marBottom w:val="0"/>
          <w:divBdr>
            <w:top w:val="none" w:sz="0" w:space="0" w:color="auto"/>
            <w:left w:val="none" w:sz="0" w:space="0" w:color="auto"/>
            <w:bottom w:val="none" w:sz="0" w:space="0" w:color="auto"/>
            <w:right w:val="none" w:sz="0" w:space="0" w:color="auto"/>
          </w:divBdr>
        </w:div>
        <w:div w:id="1424036943">
          <w:marLeft w:val="0"/>
          <w:marRight w:val="0"/>
          <w:marTop w:val="0"/>
          <w:marBottom w:val="0"/>
          <w:divBdr>
            <w:top w:val="none" w:sz="0" w:space="0" w:color="auto"/>
            <w:left w:val="none" w:sz="0" w:space="0" w:color="auto"/>
            <w:bottom w:val="none" w:sz="0" w:space="0" w:color="auto"/>
            <w:right w:val="none" w:sz="0" w:space="0" w:color="auto"/>
          </w:divBdr>
        </w:div>
        <w:div w:id="434132685">
          <w:marLeft w:val="0"/>
          <w:marRight w:val="0"/>
          <w:marTop w:val="0"/>
          <w:marBottom w:val="0"/>
          <w:divBdr>
            <w:top w:val="none" w:sz="0" w:space="0" w:color="auto"/>
            <w:left w:val="none" w:sz="0" w:space="0" w:color="auto"/>
            <w:bottom w:val="none" w:sz="0" w:space="0" w:color="auto"/>
            <w:right w:val="none" w:sz="0" w:space="0" w:color="auto"/>
          </w:divBdr>
        </w:div>
        <w:div w:id="441190040">
          <w:marLeft w:val="0"/>
          <w:marRight w:val="0"/>
          <w:marTop w:val="0"/>
          <w:marBottom w:val="0"/>
          <w:divBdr>
            <w:top w:val="none" w:sz="0" w:space="0" w:color="auto"/>
            <w:left w:val="none" w:sz="0" w:space="0" w:color="auto"/>
            <w:bottom w:val="none" w:sz="0" w:space="0" w:color="auto"/>
            <w:right w:val="none" w:sz="0" w:space="0" w:color="auto"/>
          </w:divBdr>
        </w:div>
        <w:div w:id="57750367">
          <w:marLeft w:val="0"/>
          <w:marRight w:val="0"/>
          <w:marTop w:val="0"/>
          <w:marBottom w:val="0"/>
          <w:divBdr>
            <w:top w:val="none" w:sz="0" w:space="0" w:color="auto"/>
            <w:left w:val="none" w:sz="0" w:space="0" w:color="auto"/>
            <w:bottom w:val="none" w:sz="0" w:space="0" w:color="auto"/>
            <w:right w:val="none" w:sz="0" w:space="0" w:color="auto"/>
          </w:divBdr>
        </w:div>
        <w:div w:id="1801723615">
          <w:marLeft w:val="0"/>
          <w:marRight w:val="0"/>
          <w:marTop w:val="0"/>
          <w:marBottom w:val="0"/>
          <w:divBdr>
            <w:top w:val="none" w:sz="0" w:space="0" w:color="auto"/>
            <w:left w:val="none" w:sz="0" w:space="0" w:color="auto"/>
            <w:bottom w:val="none" w:sz="0" w:space="0" w:color="auto"/>
            <w:right w:val="none" w:sz="0" w:space="0" w:color="auto"/>
          </w:divBdr>
        </w:div>
        <w:div w:id="1650405415">
          <w:marLeft w:val="0"/>
          <w:marRight w:val="0"/>
          <w:marTop w:val="0"/>
          <w:marBottom w:val="0"/>
          <w:divBdr>
            <w:top w:val="none" w:sz="0" w:space="0" w:color="auto"/>
            <w:left w:val="none" w:sz="0" w:space="0" w:color="auto"/>
            <w:bottom w:val="none" w:sz="0" w:space="0" w:color="auto"/>
            <w:right w:val="none" w:sz="0" w:space="0" w:color="auto"/>
          </w:divBdr>
        </w:div>
        <w:div w:id="1498106988">
          <w:marLeft w:val="0"/>
          <w:marRight w:val="0"/>
          <w:marTop w:val="0"/>
          <w:marBottom w:val="0"/>
          <w:divBdr>
            <w:top w:val="none" w:sz="0" w:space="0" w:color="auto"/>
            <w:left w:val="none" w:sz="0" w:space="0" w:color="auto"/>
            <w:bottom w:val="none" w:sz="0" w:space="0" w:color="auto"/>
            <w:right w:val="none" w:sz="0" w:space="0" w:color="auto"/>
          </w:divBdr>
        </w:div>
        <w:div w:id="2016298463">
          <w:marLeft w:val="0"/>
          <w:marRight w:val="0"/>
          <w:marTop w:val="0"/>
          <w:marBottom w:val="0"/>
          <w:divBdr>
            <w:top w:val="none" w:sz="0" w:space="0" w:color="auto"/>
            <w:left w:val="none" w:sz="0" w:space="0" w:color="auto"/>
            <w:bottom w:val="none" w:sz="0" w:space="0" w:color="auto"/>
            <w:right w:val="none" w:sz="0" w:space="0" w:color="auto"/>
          </w:divBdr>
        </w:div>
      </w:divsChild>
    </w:div>
    <w:div w:id="465855217">
      <w:bodyDiv w:val="1"/>
      <w:marLeft w:val="0"/>
      <w:marRight w:val="0"/>
      <w:marTop w:val="0"/>
      <w:marBottom w:val="0"/>
      <w:divBdr>
        <w:top w:val="none" w:sz="0" w:space="0" w:color="auto"/>
        <w:left w:val="none" w:sz="0" w:space="0" w:color="auto"/>
        <w:bottom w:val="none" w:sz="0" w:space="0" w:color="auto"/>
        <w:right w:val="none" w:sz="0" w:space="0" w:color="auto"/>
      </w:divBdr>
    </w:div>
    <w:div w:id="492646060">
      <w:bodyDiv w:val="1"/>
      <w:marLeft w:val="0"/>
      <w:marRight w:val="0"/>
      <w:marTop w:val="0"/>
      <w:marBottom w:val="0"/>
      <w:divBdr>
        <w:top w:val="none" w:sz="0" w:space="0" w:color="auto"/>
        <w:left w:val="none" w:sz="0" w:space="0" w:color="auto"/>
        <w:bottom w:val="none" w:sz="0" w:space="0" w:color="auto"/>
        <w:right w:val="none" w:sz="0" w:space="0" w:color="auto"/>
      </w:divBdr>
    </w:div>
    <w:div w:id="780028559">
      <w:bodyDiv w:val="1"/>
      <w:marLeft w:val="0"/>
      <w:marRight w:val="0"/>
      <w:marTop w:val="0"/>
      <w:marBottom w:val="0"/>
      <w:divBdr>
        <w:top w:val="none" w:sz="0" w:space="0" w:color="auto"/>
        <w:left w:val="none" w:sz="0" w:space="0" w:color="auto"/>
        <w:bottom w:val="none" w:sz="0" w:space="0" w:color="auto"/>
        <w:right w:val="none" w:sz="0" w:space="0" w:color="auto"/>
      </w:divBdr>
    </w:div>
    <w:div w:id="970861365">
      <w:bodyDiv w:val="1"/>
      <w:marLeft w:val="0"/>
      <w:marRight w:val="0"/>
      <w:marTop w:val="0"/>
      <w:marBottom w:val="0"/>
      <w:divBdr>
        <w:top w:val="none" w:sz="0" w:space="0" w:color="auto"/>
        <w:left w:val="none" w:sz="0" w:space="0" w:color="auto"/>
        <w:bottom w:val="none" w:sz="0" w:space="0" w:color="auto"/>
        <w:right w:val="none" w:sz="0" w:space="0" w:color="auto"/>
      </w:divBdr>
    </w:div>
    <w:div w:id="1300917942">
      <w:bodyDiv w:val="1"/>
      <w:marLeft w:val="0"/>
      <w:marRight w:val="0"/>
      <w:marTop w:val="0"/>
      <w:marBottom w:val="0"/>
      <w:divBdr>
        <w:top w:val="none" w:sz="0" w:space="0" w:color="auto"/>
        <w:left w:val="none" w:sz="0" w:space="0" w:color="auto"/>
        <w:bottom w:val="none" w:sz="0" w:space="0" w:color="auto"/>
        <w:right w:val="none" w:sz="0" w:space="0" w:color="auto"/>
      </w:divBdr>
    </w:div>
    <w:div w:id="1874266953">
      <w:bodyDiv w:val="1"/>
      <w:marLeft w:val="0"/>
      <w:marRight w:val="0"/>
      <w:marTop w:val="0"/>
      <w:marBottom w:val="0"/>
      <w:divBdr>
        <w:top w:val="none" w:sz="0" w:space="0" w:color="auto"/>
        <w:left w:val="none" w:sz="0" w:space="0" w:color="auto"/>
        <w:bottom w:val="none" w:sz="0" w:space="0" w:color="auto"/>
        <w:right w:val="none" w:sz="0" w:space="0" w:color="auto"/>
      </w:divBdr>
    </w:div>
    <w:div w:id="1957061949">
      <w:bodyDiv w:val="1"/>
      <w:marLeft w:val="0"/>
      <w:marRight w:val="0"/>
      <w:marTop w:val="0"/>
      <w:marBottom w:val="0"/>
      <w:divBdr>
        <w:top w:val="none" w:sz="0" w:space="0" w:color="auto"/>
        <w:left w:val="none" w:sz="0" w:space="0" w:color="auto"/>
        <w:bottom w:val="none" w:sz="0" w:space="0" w:color="auto"/>
        <w:right w:val="none" w:sz="0" w:space="0" w:color="auto"/>
      </w:divBdr>
    </w:div>
    <w:div w:id="208877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8713C-778F-4971-A2DA-B25A7657D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147</Pages>
  <Words>140207</Words>
  <Characters>799183</Characters>
  <Application>Microsoft Office Word</Application>
  <DocSecurity>0</DocSecurity>
  <Lines>6659</Lines>
  <Paragraphs>1875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McMahon</dc:creator>
  <cp:keywords/>
  <dc:description/>
  <cp:lastModifiedBy>Andrea McMahon</cp:lastModifiedBy>
  <cp:revision>27</cp:revision>
  <cp:lastPrinted>2021-08-03T18:25:00Z</cp:lastPrinted>
  <dcterms:created xsi:type="dcterms:W3CDTF">2021-08-03T15:15:00Z</dcterms:created>
  <dcterms:modified xsi:type="dcterms:W3CDTF">2021-08-03T18:25:00Z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id="YKY8t1zq"/&gt;&lt;style id="http://www.zotero.org/styles/elsevier-harvard" hasBibliography="1" bibliographyStyleHasBeenSet="1"/&gt;&lt;prefs&gt;&lt;pref name="fieldType" value="Field"/&gt;&lt;pref name="automaticJourn</vt:lpwstr>
  </property>
  <property fmtid="{D5CDD505-2E9C-101B-9397-08002B2CF9AE}" pid="3" name="ZOTERO_PREF_2">
    <vt:lpwstr>alAbbreviations" value="true"/&gt;&lt;pref name="dontAskDelayCitationUpdates" value="true"/&gt;&lt;/prefs&gt;&lt;/data&gt;</vt:lpwstr>
  </property>
</Properties>
</file>