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E100A6" w14:textId="77777777" w:rsidR="009A5AD2" w:rsidRPr="00734E96" w:rsidRDefault="009A5AD2" w:rsidP="005434A1">
      <w:pPr>
        <w:tabs>
          <w:tab w:val="center" w:pos="4320"/>
        </w:tabs>
        <w:spacing w:line="240" w:lineRule="auto"/>
        <w:jc w:val="center"/>
        <w:rPr>
          <w:rFonts w:asciiTheme="majorHAnsi" w:hAnsiTheme="majorHAnsi" w:cstheme="majorHAnsi"/>
          <w:sz w:val="24"/>
          <w:szCs w:val="24"/>
        </w:rPr>
      </w:pPr>
      <w:bookmarkStart w:id="0" w:name="_Hlk149731498"/>
      <w:bookmarkEnd w:id="0"/>
      <w:r w:rsidRPr="00734E96">
        <w:rPr>
          <w:rFonts w:asciiTheme="majorHAnsi" w:hAnsiTheme="majorHAnsi" w:cstheme="majorHAnsi"/>
          <w:sz w:val="24"/>
          <w:szCs w:val="24"/>
        </w:rPr>
        <w:t>UNIVERSITY OF OKLAHOMA</w:t>
      </w:r>
    </w:p>
    <w:p w14:paraId="1E68167D" w14:textId="2BFC2993" w:rsidR="009A5AD2" w:rsidRPr="00734E96" w:rsidRDefault="005434A1" w:rsidP="005434A1">
      <w:pPr>
        <w:spacing w:line="240" w:lineRule="auto"/>
        <w:jc w:val="center"/>
        <w:rPr>
          <w:rFonts w:asciiTheme="majorHAnsi" w:hAnsiTheme="majorHAnsi" w:cstheme="majorHAnsi"/>
          <w:sz w:val="24"/>
          <w:szCs w:val="24"/>
        </w:rPr>
      </w:pPr>
      <w:r>
        <w:rPr>
          <w:rFonts w:asciiTheme="majorHAnsi" w:hAnsiTheme="majorHAnsi" w:cstheme="majorHAnsi"/>
          <w:sz w:val="24"/>
          <w:szCs w:val="24"/>
        </w:rPr>
        <w:t>G</w:t>
      </w:r>
      <w:r w:rsidR="009A5AD2" w:rsidRPr="00734E96">
        <w:rPr>
          <w:rFonts w:asciiTheme="majorHAnsi" w:hAnsiTheme="majorHAnsi" w:cstheme="majorHAnsi"/>
          <w:sz w:val="24"/>
          <w:szCs w:val="24"/>
        </w:rPr>
        <w:t>RADUATE COLLEGE</w:t>
      </w:r>
    </w:p>
    <w:p w14:paraId="1A337129" w14:textId="77777777" w:rsidR="009A5AD2" w:rsidRPr="00734E96" w:rsidRDefault="009A5AD2" w:rsidP="009A5AD2">
      <w:pPr>
        <w:jc w:val="center"/>
        <w:rPr>
          <w:rFonts w:asciiTheme="majorHAnsi" w:hAnsiTheme="majorHAnsi" w:cstheme="majorHAnsi"/>
          <w:sz w:val="24"/>
          <w:szCs w:val="24"/>
        </w:rPr>
      </w:pPr>
    </w:p>
    <w:p w14:paraId="4288EAC4" w14:textId="77777777" w:rsidR="009A5AD2" w:rsidRPr="00734E96" w:rsidRDefault="009A5AD2" w:rsidP="009A5AD2">
      <w:pPr>
        <w:jc w:val="center"/>
        <w:rPr>
          <w:rFonts w:asciiTheme="majorHAnsi" w:hAnsiTheme="majorHAnsi" w:cstheme="majorHAnsi"/>
          <w:sz w:val="24"/>
          <w:szCs w:val="24"/>
        </w:rPr>
      </w:pPr>
    </w:p>
    <w:p w14:paraId="19A335E0" w14:textId="77777777" w:rsidR="009A5AD2" w:rsidRPr="00734E96" w:rsidRDefault="009A5AD2" w:rsidP="009A5AD2">
      <w:pPr>
        <w:jc w:val="center"/>
        <w:rPr>
          <w:rFonts w:asciiTheme="majorHAnsi" w:hAnsiTheme="majorHAnsi" w:cstheme="majorHAnsi"/>
          <w:sz w:val="24"/>
          <w:szCs w:val="24"/>
        </w:rPr>
      </w:pPr>
    </w:p>
    <w:p w14:paraId="32F7F4CE" w14:textId="77777777" w:rsidR="004F5C1A" w:rsidRPr="00734E96" w:rsidRDefault="004F5C1A" w:rsidP="004F5C1A">
      <w:pPr>
        <w:jc w:val="center"/>
        <w:rPr>
          <w:rFonts w:asciiTheme="majorHAnsi" w:hAnsiTheme="majorHAnsi" w:cstheme="majorHAnsi"/>
          <w:sz w:val="24"/>
          <w:szCs w:val="24"/>
        </w:rPr>
      </w:pPr>
      <w:r w:rsidRPr="00734E96">
        <w:rPr>
          <w:rFonts w:asciiTheme="majorHAnsi" w:hAnsiTheme="majorHAnsi" w:cstheme="majorHAnsi"/>
          <w:sz w:val="24"/>
          <w:szCs w:val="24"/>
        </w:rPr>
        <w:t xml:space="preserve">Stressed Out: </w:t>
      </w:r>
      <w:r>
        <w:rPr>
          <w:rFonts w:asciiTheme="majorHAnsi" w:hAnsiTheme="majorHAnsi" w:cstheme="majorHAnsi"/>
          <w:sz w:val="24"/>
          <w:szCs w:val="24"/>
        </w:rPr>
        <w:t>Resistance-nodulation-division (</w:t>
      </w:r>
      <w:r w:rsidRPr="00734E96">
        <w:rPr>
          <w:rFonts w:asciiTheme="majorHAnsi" w:hAnsiTheme="majorHAnsi" w:cstheme="majorHAnsi"/>
          <w:sz w:val="24"/>
          <w:szCs w:val="24"/>
        </w:rPr>
        <w:t>RND</w:t>
      </w:r>
      <w:r>
        <w:rPr>
          <w:rFonts w:asciiTheme="majorHAnsi" w:hAnsiTheme="majorHAnsi" w:cstheme="majorHAnsi"/>
          <w:sz w:val="24"/>
          <w:szCs w:val="24"/>
        </w:rPr>
        <w:t>)</w:t>
      </w:r>
      <w:r w:rsidRPr="00734E96">
        <w:rPr>
          <w:rFonts w:asciiTheme="majorHAnsi" w:hAnsiTheme="majorHAnsi" w:cstheme="majorHAnsi"/>
          <w:sz w:val="24"/>
          <w:szCs w:val="24"/>
        </w:rPr>
        <w:t xml:space="preserve"> and </w:t>
      </w:r>
      <w:r>
        <w:rPr>
          <w:rFonts w:asciiTheme="majorHAnsi" w:hAnsiTheme="majorHAnsi" w:cstheme="majorHAnsi"/>
          <w:sz w:val="24"/>
          <w:szCs w:val="24"/>
        </w:rPr>
        <w:t>Major Facilitator Superfamily (</w:t>
      </w:r>
      <w:r w:rsidRPr="00734E96">
        <w:rPr>
          <w:rFonts w:asciiTheme="majorHAnsi" w:hAnsiTheme="majorHAnsi" w:cstheme="majorHAnsi"/>
          <w:sz w:val="24"/>
          <w:szCs w:val="24"/>
        </w:rPr>
        <w:t>MFS</w:t>
      </w:r>
      <w:r>
        <w:rPr>
          <w:rFonts w:asciiTheme="majorHAnsi" w:hAnsiTheme="majorHAnsi" w:cstheme="majorHAnsi"/>
          <w:sz w:val="24"/>
          <w:szCs w:val="24"/>
        </w:rPr>
        <w:t>)</w:t>
      </w:r>
      <w:r w:rsidRPr="00734E96">
        <w:rPr>
          <w:rFonts w:asciiTheme="majorHAnsi" w:hAnsiTheme="majorHAnsi" w:cstheme="majorHAnsi"/>
          <w:sz w:val="24"/>
          <w:szCs w:val="24"/>
        </w:rPr>
        <w:t xml:space="preserve"> Efflux Pump Mediated Survival Strategies of </w:t>
      </w:r>
      <w:r w:rsidRPr="00734E96">
        <w:rPr>
          <w:rFonts w:asciiTheme="majorHAnsi" w:hAnsiTheme="majorHAnsi" w:cstheme="majorHAnsi"/>
          <w:i/>
          <w:iCs/>
          <w:sz w:val="24"/>
          <w:szCs w:val="24"/>
        </w:rPr>
        <w:t xml:space="preserve">Acinetobacter </w:t>
      </w:r>
      <w:proofErr w:type="gramStart"/>
      <w:r w:rsidRPr="00734E96">
        <w:rPr>
          <w:rFonts w:asciiTheme="majorHAnsi" w:hAnsiTheme="majorHAnsi" w:cstheme="majorHAnsi"/>
          <w:i/>
          <w:iCs/>
          <w:sz w:val="24"/>
          <w:szCs w:val="24"/>
        </w:rPr>
        <w:t>baumannii</w:t>
      </w:r>
      <w:proofErr w:type="gramEnd"/>
    </w:p>
    <w:p w14:paraId="04CF7D0F" w14:textId="77777777" w:rsidR="009A5AD2" w:rsidRPr="00734E96" w:rsidRDefault="009A5AD2" w:rsidP="009A5AD2">
      <w:pPr>
        <w:jc w:val="center"/>
        <w:rPr>
          <w:rFonts w:asciiTheme="majorHAnsi" w:hAnsiTheme="majorHAnsi" w:cstheme="majorHAnsi"/>
          <w:sz w:val="24"/>
          <w:szCs w:val="24"/>
        </w:rPr>
      </w:pPr>
    </w:p>
    <w:p w14:paraId="26FD5CD3" w14:textId="77777777" w:rsidR="009A5AD2" w:rsidRPr="00734E96" w:rsidRDefault="009A5AD2" w:rsidP="009A5AD2">
      <w:pPr>
        <w:jc w:val="center"/>
        <w:rPr>
          <w:rFonts w:asciiTheme="majorHAnsi" w:hAnsiTheme="majorHAnsi" w:cstheme="majorHAnsi"/>
          <w:sz w:val="24"/>
          <w:szCs w:val="24"/>
        </w:rPr>
      </w:pPr>
    </w:p>
    <w:p w14:paraId="60DEE337" w14:textId="77777777" w:rsidR="009A5AD2" w:rsidRPr="00734E96" w:rsidRDefault="009A5AD2" w:rsidP="009A5AD2">
      <w:pPr>
        <w:jc w:val="center"/>
        <w:rPr>
          <w:rFonts w:asciiTheme="majorHAnsi" w:hAnsiTheme="majorHAnsi" w:cstheme="majorHAnsi"/>
          <w:sz w:val="24"/>
          <w:szCs w:val="24"/>
        </w:rPr>
      </w:pPr>
    </w:p>
    <w:p w14:paraId="61BFA9A4" w14:textId="77777777" w:rsidR="009A5AD2" w:rsidRPr="00734E96" w:rsidRDefault="009A5AD2" w:rsidP="009A5AD2">
      <w:pPr>
        <w:jc w:val="center"/>
        <w:rPr>
          <w:rFonts w:asciiTheme="majorHAnsi" w:hAnsiTheme="majorHAnsi" w:cstheme="majorHAnsi"/>
          <w:sz w:val="24"/>
          <w:szCs w:val="24"/>
        </w:rPr>
      </w:pPr>
    </w:p>
    <w:p w14:paraId="10DBF1AA"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A DISSERTATION</w:t>
      </w:r>
    </w:p>
    <w:p w14:paraId="124D3E4C"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SUBMITTED TO THE GRADUATE FACULTY</w:t>
      </w:r>
    </w:p>
    <w:p w14:paraId="2C52F5ED"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 xml:space="preserve">In partial fulfillment of the requirements for the </w:t>
      </w:r>
    </w:p>
    <w:p w14:paraId="7EA5851A"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Degree of</w:t>
      </w:r>
    </w:p>
    <w:p w14:paraId="4D59B37C"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DOCTOR OF PHILOSOPHY</w:t>
      </w:r>
    </w:p>
    <w:p w14:paraId="05478D0B" w14:textId="77777777" w:rsidR="009A5AD2" w:rsidRPr="00734E96" w:rsidRDefault="009A5AD2" w:rsidP="009A5AD2">
      <w:pPr>
        <w:jc w:val="center"/>
        <w:rPr>
          <w:rFonts w:asciiTheme="majorHAnsi" w:hAnsiTheme="majorHAnsi" w:cstheme="majorHAnsi"/>
          <w:sz w:val="24"/>
          <w:szCs w:val="24"/>
        </w:rPr>
      </w:pPr>
    </w:p>
    <w:p w14:paraId="24FA8F2D" w14:textId="77777777" w:rsidR="009A5AD2" w:rsidRPr="00734E96" w:rsidRDefault="009A5AD2" w:rsidP="009A5AD2">
      <w:pPr>
        <w:jc w:val="center"/>
        <w:rPr>
          <w:rFonts w:asciiTheme="majorHAnsi" w:hAnsiTheme="majorHAnsi" w:cstheme="majorHAnsi"/>
          <w:sz w:val="24"/>
          <w:szCs w:val="24"/>
        </w:rPr>
      </w:pPr>
    </w:p>
    <w:p w14:paraId="3B538352" w14:textId="77777777" w:rsidR="009A5AD2" w:rsidRPr="00734E96" w:rsidRDefault="009A5AD2" w:rsidP="009A5AD2">
      <w:pPr>
        <w:jc w:val="center"/>
        <w:rPr>
          <w:rFonts w:asciiTheme="majorHAnsi" w:hAnsiTheme="majorHAnsi" w:cstheme="majorHAnsi"/>
          <w:sz w:val="24"/>
          <w:szCs w:val="24"/>
        </w:rPr>
      </w:pPr>
    </w:p>
    <w:p w14:paraId="0DE1AFB1" w14:textId="77777777" w:rsidR="009A5AD2" w:rsidRPr="00734E96" w:rsidRDefault="009A5AD2" w:rsidP="009A5AD2">
      <w:pPr>
        <w:jc w:val="center"/>
        <w:rPr>
          <w:rFonts w:asciiTheme="majorHAnsi" w:hAnsiTheme="majorHAnsi" w:cstheme="majorHAnsi"/>
          <w:sz w:val="24"/>
          <w:szCs w:val="24"/>
        </w:rPr>
      </w:pPr>
    </w:p>
    <w:p w14:paraId="261DD70B" w14:textId="77777777" w:rsidR="009A5AD2" w:rsidRDefault="009A5AD2" w:rsidP="009A5AD2">
      <w:pPr>
        <w:jc w:val="center"/>
        <w:rPr>
          <w:rFonts w:asciiTheme="majorHAnsi" w:hAnsiTheme="majorHAnsi" w:cstheme="majorHAnsi"/>
          <w:sz w:val="24"/>
          <w:szCs w:val="24"/>
        </w:rPr>
      </w:pPr>
    </w:p>
    <w:p w14:paraId="0FAE70BD" w14:textId="77777777" w:rsidR="005434A1" w:rsidRDefault="005434A1" w:rsidP="009A5AD2">
      <w:pPr>
        <w:jc w:val="center"/>
        <w:rPr>
          <w:rFonts w:asciiTheme="majorHAnsi" w:hAnsiTheme="majorHAnsi" w:cstheme="majorHAnsi"/>
          <w:sz w:val="24"/>
          <w:szCs w:val="24"/>
        </w:rPr>
      </w:pPr>
    </w:p>
    <w:p w14:paraId="37A5D858" w14:textId="77777777" w:rsidR="005434A1" w:rsidRDefault="005434A1" w:rsidP="009A5AD2">
      <w:pPr>
        <w:jc w:val="center"/>
        <w:rPr>
          <w:rFonts w:asciiTheme="majorHAnsi" w:hAnsiTheme="majorHAnsi" w:cstheme="majorHAnsi"/>
          <w:sz w:val="24"/>
          <w:szCs w:val="24"/>
        </w:rPr>
      </w:pPr>
    </w:p>
    <w:p w14:paraId="1C2402AC" w14:textId="77777777" w:rsidR="005434A1" w:rsidRPr="00734E96" w:rsidRDefault="005434A1" w:rsidP="009A5AD2">
      <w:pPr>
        <w:jc w:val="center"/>
        <w:rPr>
          <w:rFonts w:asciiTheme="majorHAnsi" w:hAnsiTheme="majorHAnsi" w:cstheme="majorHAnsi"/>
          <w:sz w:val="24"/>
          <w:szCs w:val="24"/>
        </w:rPr>
      </w:pPr>
    </w:p>
    <w:p w14:paraId="61CF8E3F"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By</w:t>
      </w:r>
    </w:p>
    <w:p w14:paraId="7290EB23" w14:textId="77777777" w:rsidR="009A5AD2" w:rsidRPr="00734E96" w:rsidRDefault="009A5AD2" w:rsidP="009A5AD2">
      <w:pPr>
        <w:jc w:val="center"/>
        <w:rPr>
          <w:rFonts w:asciiTheme="majorHAnsi" w:hAnsiTheme="majorHAnsi" w:cstheme="majorHAnsi"/>
          <w:sz w:val="24"/>
          <w:szCs w:val="24"/>
        </w:rPr>
      </w:pPr>
    </w:p>
    <w:p w14:paraId="3C999F44"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Marcela Olvera</w:t>
      </w:r>
    </w:p>
    <w:p w14:paraId="6C7FCFCA"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Norman, Oklahoma</w:t>
      </w:r>
    </w:p>
    <w:p w14:paraId="4CB89D02" w14:textId="0296A18A" w:rsidR="005434A1" w:rsidRPr="00734E96" w:rsidRDefault="009A5AD2" w:rsidP="004F5C1A">
      <w:pPr>
        <w:jc w:val="center"/>
        <w:rPr>
          <w:rFonts w:asciiTheme="majorHAnsi" w:hAnsiTheme="majorHAnsi" w:cstheme="majorHAnsi"/>
          <w:sz w:val="24"/>
          <w:szCs w:val="24"/>
        </w:rPr>
      </w:pPr>
      <w:r w:rsidRPr="00734E96">
        <w:rPr>
          <w:rFonts w:asciiTheme="majorHAnsi" w:hAnsiTheme="majorHAnsi" w:cstheme="majorHAnsi"/>
          <w:sz w:val="24"/>
          <w:szCs w:val="24"/>
        </w:rPr>
        <w:t>202</w:t>
      </w:r>
      <w:r w:rsidR="005434A1">
        <w:rPr>
          <w:rFonts w:asciiTheme="majorHAnsi" w:hAnsiTheme="majorHAnsi" w:cstheme="majorHAnsi"/>
          <w:sz w:val="24"/>
          <w:szCs w:val="24"/>
        </w:rPr>
        <w:t>4</w:t>
      </w:r>
    </w:p>
    <w:p w14:paraId="7D76D4B4" w14:textId="77777777" w:rsidR="004F5C1A" w:rsidRPr="00734E96" w:rsidRDefault="004F5C1A" w:rsidP="004F5C1A">
      <w:pPr>
        <w:jc w:val="center"/>
        <w:rPr>
          <w:rFonts w:asciiTheme="majorHAnsi" w:hAnsiTheme="majorHAnsi" w:cstheme="majorHAnsi"/>
          <w:sz w:val="24"/>
          <w:szCs w:val="24"/>
        </w:rPr>
      </w:pPr>
      <w:r w:rsidRPr="00734E96">
        <w:rPr>
          <w:rFonts w:asciiTheme="majorHAnsi" w:hAnsiTheme="majorHAnsi" w:cstheme="majorHAnsi"/>
          <w:sz w:val="24"/>
          <w:szCs w:val="24"/>
        </w:rPr>
        <w:lastRenderedPageBreak/>
        <w:t xml:space="preserve">Stressed Out: </w:t>
      </w:r>
      <w:r>
        <w:rPr>
          <w:rFonts w:asciiTheme="majorHAnsi" w:hAnsiTheme="majorHAnsi" w:cstheme="majorHAnsi"/>
          <w:sz w:val="24"/>
          <w:szCs w:val="24"/>
        </w:rPr>
        <w:t>Resistance-nodulation-division (</w:t>
      </w:r>
      <w:r w:rsidRPr="00734E96">
        <w:rPr>
          <w:rFonts w:asciiTheme="majorHAnsi" w:hAnsiTheme="majorHAnsi" w:cstheme="majorHAnsi"/>
          <w:sz w:val="24"/>
          <w:szCs w:val="24"/>
        </w:rPr>
        <w:t>RND</w:t>
      </w:r>
      <w:r>
        <w:rPr>
          <w:rFonts w:asciiTheme="majorHAnsi" w:hAnsiTheme="majorHAnsi" w:cstheme="majorHAnsi"/>
          <w:sz w:val="24"/>
          <w:szCs w:val="24"/>
        </w:rPr>
        <w:t>)</w:t>
      </w:r>
      <w:r w:rsidRPr="00734E96">
        <w:rPr>
          <w:rFonts w:asciiTheme="majorHAnsi" w:hAnsiTheme="majorHAnsi" w:cstheme="majorHAnsi"/>
          <w:sz w:val="24"/>
          <w:szCs w:val="24"/>
        </w:rPr>
        <w:t xml:space="preserve"> and </w:t>
      </w:r>
      <w:r>
        <w:rPr>
          <w:rFonts w:asciiTheme="majorHAnsi" w:hAnsiTheme="majorHAnsi" w:cstheme="majorHAnsi"/>
          <w:sz w:val="24"/>
          <w:szCs w:val="24"/>
        </w:rPr>
        <w:t>Major Facilitator Superfamily (</w:t>
      </w:r>
      <w:r w:rsidRPr="00734E96">
        <w:rPr>
          <w:rFonts w:asciiTheme="majorHAnsi" w:hAnsiTheme="majorHAnsi" w:cstheme="majorHAnsi"/>
          <w:sz w:val="24"/>
          <w:szCs w:val="24"/>
        </w:rPr>
        <w:t>MFS</w:t>
      </w:r>
      <w:r>
        <w:rPr>
          <w:rFonts w:asciiTheme="majorHAnsi" w:hAnsiTheme="majorHAnsi" w:cstheme="majorHAnsi"/>
          <w:sz w:val="24"/>
          <w:szCs w:val="24"/>
        </w:rPr>
        <w:t>)</w:t>
      </w:r>
      <w:r w:rsidRPr="00734E96">
        <w:rPr>
          <w:rFonts w:asciiTheme="majorHAnsi" w:hAnsiTheme="majorHAnsi" w:cstheme="majorHAnsi"/>
          <w:sz w:val="24"/>
          <w:szCs w:val="24"/>
        </w:rPr>
        <w:t xml:space="preserve"> Efflux Pump Mediated Survival Strategies of </w:t>
      </w:r>
      <w:r w:rsidRPr="00734E96">
        <w:rPr>
          <w:rFonts w:asciiTheme="majorHAnsi" w:hAnsiTheme="majorHAnsi" w:cstheme="majorHAnsi"/>
          <w:i/>
          <w:iCs/>
          <w:sz w:val="24"/>
          <w:szCs w:val="24"/>
        </w:rPr>
        <w:t xml:space="preserve">Acinetobacter </w:t>
      </w:r>
      <w:proofErr w:type="gramStart"/>
      <w:r w:rsidRPr="00734E96">
        <w:rPr>
          <w:rFonts w:asciiTheme="majorHAnsi" w:hAnsiTheme="majorHAnsi" w:cstheme="majorHAnsi"/>
          <w:i/>
          <w:iCs/>
          <w:sz w:val="24"/>
          <w:szCs w:val="24"/>
        </w:rPr>
        <w:t>baumannii</w:t>
      </w:r>
      <w:proofErr w:type="gramEnd"/>
    </w:p>
    <w:p w14:paraId="1DC33D7A" w14:textId="77777777" w:rsidR="009A5AD2" w:rsidRDefault="009A5AD2" w:rsidP="009A5AD2">
      <w:pPr>
        <w:jc w:val="center"/>
        <w:rPr>
          <w:rFonts w:asciiTheme="majorHAnsi" w:hAnsiTheme="majorHAnsi" w:cstheme="majorHAnsi"/>
          <w:sz w:val="24"/>
          <w:szCs w:val="24"/>
        </w:rPr>
      </w:pPr>
    </w:p>
    <w:p w14:paraId="6D6375F6" w14:textId="77777777" w:rsidR="005434A1" w:rsidRPr="00734E96" w:rsidRDefault="005434A1" w:rsidP="009A5AD2">
      <w:pPr>
        <w:jc w:val="center"/>
        <w:rPr>
          <w:rFonts w:asciiTheme="majorHAnsi" w:hAnsiTheme="majorHAnsi" w:cstheme="majorHAnsi"/>
          <w:sz w:val="24"/>
          <w:szCs w:val="24"/>
        </w:rPr>
      </w:pPr>
    </w:p>
    <w:p w14:paraId="661A271E"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A DISSERTATION APPROVED FOR THE</w:t>
      </w:r>
    </w:p>
    <w:p w14:paraId="145B93C6"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DEPARTMENT OF CHEMISTRY AND BIOCHEMISTRY</w:t>
      </w:r>
    </w:p>
    <w:p w14:paraId="1840DFA9" w14:textId="77777777" w:rsidR="009A5AD2" w:rsidRPr="00734E96" w:rsidRDefault="009A5AD2" w:rsidP="009A5AD2">
      <w:pPr>
        <w:jc w:val="center"/>
        <w:rPr>
          <w:rFonts w:asciiTheme="majorHAnsi" w:hAnsiTheme="majorHAnsi" w:cstheme="majorHAnsi"/>
          <w:sz w:val="24"/>
          <w:szCs w:val="24"/>
        </w:rPr>
      </w:pPr>
    </w:p>
    <w:p w14:paraId="0BD109E0" w14:textId="77777777" w:rsidR="009A5AD2" w:rsidRPr="00734E96" w:rsidRDefault="009A5AD2" w:rsidP="009A5AD2">
      <w:pPr>
        <w:jc w:val="center"/>
        <w:rPr>
          <w:rFonts w:asciiTheme="majorHAnsi" w:hAnsiTheme="majorHAnsi" w:cstheme="majorHAnsi"/>
          <w:sz w:val="24"/>
          <w:szCs w:val="24"/>
        </w:rPr>
      </w:pPr>
    </w:p>
    <w:p w14:paraId="6D7481AE" w14:textId="77777777" w:rsidR="009A5AD2" w:rsidRPr="00734E96" w:rsidRDefault="009A5AD2" w:rsidP="009A5AD2">
      <w:pPr>
        <w:jc w:val="center"/>
        <w:rPr>
          <w:rFonts w:asciiTheme="majorHAnsi" w:hAnsiTheme="majorHAnsi" w:cstheme="majorHAnsi"/>
          <w:sz w:val="24"/>
          <w:szCs w:val="24"/>
        </w:rPr>
      </w:pPr>
    </w:p>
    <w:p w14:paraId="299FEFF7" w14:textId="77777777" w:rsidR="009A5AD2" w:rsidRPr="00734E96" w:rsidRDefault="009A5AD2" w:rsidP="009A5AD2">
      <w:pPr>
        <w:jc w:val="center"/>
        <w:rPr>
          <w:rFonts w:asciiTheme="majorHAnsi" w:hAnsiTheme="majorHAnsi" w:cstheme="majorHAnsi"/>
          <w:sz w:val="24"/>
          <w:szCs w:val="24"/>
        </w:rPr>
      </w:pPr>
    </w:p>
    <w:p w14:paraId="77C5A507" w14:textId="77777777" w:rsidR="009A5AD2" w:rsidRPr="00734E96" w:rsidRDefault="009A5AD2" w:rsidP="009A5AD2">
      <w:pPr>
        <w:jc w:val="center"/>
        <w:rPr>
          <w:rFonts w:asciiTheme="majorHAnsi" w:hAnsiTheme="majorHAnsi" w:cstheme="majorHAnsi"/>
          <w:sz w:val="24"/>
          <w:szCs w:val="24"/>
        </w:rPr>
      </w:pPr>
    </w:p>
    <w:p w14:paraId="7458F6A0" w14:textId="77777777" w:rsidR="009A5AD2" w:rsidRPr="00734E96" w:rsidRDefault="009A5AD2" w:rsidP="009A5AD2">
      <w:pPr>
        <w:jc w:val="center"/>
        <w:rPr>
          <w:rFonts w:asciiTheme="majorHAnsi" w:hAnsiTheme="majorHAnsi" w:cstheme="majorHAnsi"/>
          <w:sz w:val="24"/>
          <w:szCs w:val="24"/>
        </w:rPr>
      </w:pPr>
    </w:p>
    <w:p w14:paraId="13FA4659" w14:textId="77777777" w:rsidR="009A5AD2" w:rsidRPr="00734E96" w:rsidRDefault="009A5AD2" w:rsidP="009A5AD2">
      <w:pPr>
        <w:jc w:val="center"/>
        <w:rPr>
          <w:rFonts w:asciiTheme="majorHAnsi" w:hAnsiTheme="majorHAnsi" w:cstheme="majorHAnsi"/>
          <w:sz w:val="24"/>
          <w:szCs w:val="24"/>
        </w:rPr>
      </w:pPr>
      <w:r w:rsidRPr="00734E96">
        <w:rPr>
          <w:rFonts w:asciiTheme="majorHAnsi" w:hAnsiTheme="majorHAnsi" w:cstheme="majorHAnsi"/>
          <w:sz w:val="24"/>
          <w:szCs w:val="24"/>
        </w:rPr>
        <w:t>BY THE COMMITTEE CONSISTING OF:</w:t>
      </w:r>
    </w:p>
    <w:p w14:paraId="03697F4E" w14:textId="77777777" w:rsidR="009A5AD2" w:rsidRPr="00734E96" w:rsidRDefault="009A5AD2" w:rsidP="009A5AD2">
      <w:pPr>
        <w:jc w:val="center"/>
        <w:rPr>
          <w:rFonts w:asciiTheme="majorHAnsi" w:hAnsiTheme="majorHAnsi" w:cstheme="majorHAnsi"/>
          <w:sz w:val="24"/>
          <w:szCs w:val="24"/>
        </w:rPr>
      </w:pPr>
    </w:p>
    <w:p w14:paraId="014584F1" w14:textId="77777777" w:rsidR="009A5AD2" w:rsidRPr="00734E96" w:rsidRDefault="009A5AD2" w:rsidP="009A5AD2">
      <w:pPr>
        <w:jc w:val="center"/>
        <w:rPr>
          <w:rFonts w:asciiTheme="majorHAnsi" w:hAnsiTheme="majorHAnsi" w:cstheme="majorHAnsi"/>
          <w:sz w:val="24"/>
          <w:szCs w:val="24"/>
        </w:rPr>
      </w:pPr>
    </w:p>
    <w:p w14:paraId="6309CE77" w14:textId="77777777" w:rsidR="009A5AD2" w:rsidRPr="00734E96" w:rsidRDefault="009A5AD2" w:rsidP="009A5AD2">
      <w:pPr>
        <w:spacing w:line="360" w:lineRule="auto"/>
        <w:jc w:val="center"/>
        <w:rPr>
          <w:rFonts w:asciiTheme="majorHAnsi" w:hAnsiTheme="majorHAnsi" w:cstheme="majorHAnsi"/>
          <w:sz w:val="24"/>
          <w:szCs w:val="24"/>
        </w:rPr>
      </w:pPr>
    </w:p>
    <w:p w14:paraId="0A429EED" w14:textId="77777777" w:rsidR="009A5AD2" w:rsidRPr="00042322" w:rsidRDefault="009A5AD2" w:rsidP="009A5AD2">
      <w:pPr>
        <w:spacing w:line="360" w:lineRule="auto"/>
        <w:jc w:val="right"/>
        <w:rPr>
          <w:rFonts w:asciiTheme="majorHAnsi" w:hAnsiTheme="majorHAnsi" w:cstheme="majorHAnsi"/>
          <w:sz w:val="24"/>
          <w:szCs w:val="24"/>
          <w:lang w:val="es-ES"/>
        </w:rPr>
      </w:pPr>
      <w:r w:rsidRPr="00042322">
        <w:rPr>
          <w:rFonts w:asciiTheme="majorHAnsi" w:hAnsiTheme="majorHAnsi" w:cstheme="majorHAnsi"/>
          <w:sz w:val="24"/>
          <w:szCs w:val="24"/>
          <w:lang w:val="es-ES"/>
        </w:rPr>
        <w:t>Dr. Helen Zgurskaya</w:t>
      </w:r>
    </w:p>
    <w:p w14:paraId="38D7940F" w14:textId="77777777" w:rsidR="009A5AD2" w:rsidRPr="00042322" w:rsidRDefault="009A5AD2" w:rsidP="009A5AD2">
      <w:pPr>
        <w:spacing w:line="360" w:lineRule="auto"/>
        <w:jc w:val="right"/>
        <w:rPr>
          <w:rFonts w:asciiTheme="majorHAnsi" w:hAnsiTheme="majorHAnsi" w:cstheme="majorHAnsi"/>
          <w:sz w:val="24"/>
          <w:szCs w:val="24"/>
          <w:lang w:val="es-ES"/>
        </w:rPr>
      </w:pPr>
      <w:r w:rsidRPr="00042322">
        <w:rPr>
          <w:rFonts w:asciiTheme="majorHAnsi" w:hAnsiTheme="majorHAnsi" w:cstheme="majorHAnsi"/>
          <w:sz w:val="24"/>
          <w:szCs w:val="24"/>
          <w:lang w:val="es-ES"/>
        </w:rPr>
        <w:t>Dr. Elizabeth Karr</w:t>
      </w:r>
    </w:p>
    <w:p w14:paraId="4157D280" w14:textId="77777777" w:rsidR="009A5AD2" w:rsidRPr="00734E96" w:rsidRDefault="009A5AD2" w:rsidP="009A5AD2">
      <w:pPr>
        <w:spacing w:line="360" w:lineRule="auto"/>
        <w:jc w:val="right"/>
        <w:rPr>
          <w:rFonts w:asciiTheme="majorHAnsi" w:hAnsiTheme="majorHAnsi" w:cstheme="majorHAnsi"/>
          <w:sz w:val="24"/>
          <w:szCs w:val="24"/>
        </w:rPr>
      </w:pPr>
      <w:r w:rsidRPr="00734E96">
        <w:rPr>
          <w:rFonts w:asciiTheme="majorHAnsi" w:hAnsiTheme="majorHAnsi" w:cstheme="majorHAnsi"/>
          <w:sz w:val="24"/>
          <w:szCs w:val="24"/>
        </w:rPr>
        <w:t>Dr. Valentin Rybenkov</w:t>
      </w:r>
    </w:p>
    <w:p w14:paraId="6133442D" w14:textId="77777777" w:rsidR="009A5AD2" w:rsidRPr="00734E96" w:rsidRDefault="009A5AD2" w:rsidP="009A5AD2">
      <w:pPr>
        <w:spacing w:line="360" w:lineRule="auto"/>
        <w:jc w:val="right"/>
        <w:rPr>
          <w:rFonts w:asciiTheme="majorHAnsi" w:hAnsiTheme="majorHAnsi" w:cstheme="majorHAnsi"/>
          <w:sz w:val="24"/>
          <w:szCs w:val="24"/>
        </w:rPr>
      </w:pPr>
      <w:r w:rsidRPr="00734E96">
        <w:rPr>
          <w:rFonts w:asciiTheme="majorHAnsi" w:hAnsiTheme="majorHAnsi" w:cstheme="majorHAnsi"/>
          <w:sz w:val="24"/>
          <w:szCs w:val="24"/>
        </w:rPr>
        <w:t>Dr. Christina Bourne</w:t>
      </w:r>
    </w:p>
    <w:p w14:paraId="199DE58D" w14:textId="77777777" w:rsidR="009A5AD2" w:rsidRPr="00734E96" w:rsidRDefault="009A5AD2" w:rsidP="009A5AD2">
      <w:pPr>
        <w:spacing w:line="360" w:lineRule="auto"/>
        <w:jc w:val="right"/>
        <w:rPr>
          <w:rFonts w:asciiTheme="majorHAnsi" w:hAnsiTheme="majorHAnsi" w:cstheme="majorHAnsi"/>
          <w:sz w:val="24"/>
          <w:szCs w:val="24"/>
        </w:rPr>
      </w:pPr>
    </w:p>
    <w:p w14:paraId="09744D5A" w14:textId="77777777" w:rsidR="009A5AD2" w:rsidRPr="00734E96" w:rsidRDefault="009A5AD2" w:rsidP="009A5AD2">
      <w:pPr>
        <w:spacing w:line="360" w:lineRule="auto"/>
        <w:jc w:val="right"/>
        <w:rPr>
          <w:rFonts w:asciiTheme="majorHAnsi" w:hAnsiTheme="majorHAnsi" w:cstheme="majorHAnsi"/>
          <w:sz w:val="24"/>
          <w:szCs w:val="24"/>
        </w:rPr>
      </w:pPr>
    </w:p>
    <w:p w14:paraId="1597EF5D" w14:textId="77777777" w:rsidR="009A5AD2" w:rsidRPr="00734E96" w:rsidRDefault="009A5AD2" w:rsidP="009A5AD2">
      <w:pPr>
        <w:spacing w:line="360" w:lineRule="auto"/>
        <w:jc w:val="right"/>
        <w:rPr>
          <w:rFonts w:asciiTheme="majorHAnsi" w:hAnsiTheme="majorHAnsi" w:cstheme="majorHAnsi"/>
          <w:sz w:val="24"/>
          <w:szCs w:val="24"/>
        </w:rPr>
      </w:pPr>
    </w:p>
    <w:p w14:paraId="58A83A87" w14:textId="77777777" w:rsidR="009A5AD2" w:rsidRPr="00734E96" w:rsidRDefault="009A5AD2" w:rsidP="009A5AD2">
      <w:pPr>
        <w:spacing w:line="360" w:lineRule="auto"/>
        <w:jc w:val="right"/>
        <w:rPr>
          <w:rFonts w:asciiTheme="majorHAnsi" w:hAnsiTheme="majorHAnsi" w:cstheme="majorHAnsi"/>
          <w:sz w:val="24"/>
          <w:szCs w:val="24"/>
        </w:rPr>
      </w:pPr>
    </w:p>
    <w:p w14:paraId="7679AD8F" w14:textId="77777777" w:rsidR="009A5AD2" w:rsidRPr="00734E96" w:rsidRDefault="009A5AD2" w:rsidP="009A5AD2">
      <w:pPr>
        <w:spacing w:line="360" w:lineRule="auto"/>
        <w:jc w:val="right"/>
        <w:rPr>
          <w:rFonts w:asciiTheme="majorHAnsi" w:hAnsiTheme="majorHAnsi" w:cstheme="majorHAnsi"/>
          <w:sz w:val="24"/>
          <w:szCs w:val="24"/>
        </w:rPr>
      </w:pPr>
    </w:p>
    <w:p w14:paraId="7EF6E2AD" w14:textId="77777777" w:rsidR="009A5AD2" w:rsidRPr="00734E96" w:rsidRDefault="009A5AD2" w:rsidP="009A5AD2">
      <w:pPr>
        <w:spacing w:line="360" w:lineRule="auto"/>
        <w:jc w:val="right"/>
        <w:rPr>
          <w:rFonts w:asciiTheme="majorHAnsi" w:hAnsiTheme="majorHAnsi" w:cstheme="majorHAnsi"/>
          <w:sz w:val="24"/>
          <w:szCs w:val="24"/>
        </w:rPr>
      </w:pPr>
    </w:p>
    <w:p w14:paraId="27952F3C" w14:textId="77777777" w:rsidR="009A5AD2" w:rsidRPr="00734E96" w:rsidRDefault="009A5AD2" w:rsidP="009A5AD2">
      <w:pPr>
        <w:spacing w:line="240" w:lineRule="auto"/>
        <w:jc w:val="center"/>
        <w:rPr>
          <w:rFonts w:asciiTheme="majorHAnsi" w:hAnsiTheme="majorHAnsi" w:cstheme="majorHAnsi"/>
          <w:sz w:val="24"/>
          <w:szCs w:val="24"/>
        </w:rPr>
      </w:pPr>
    </w:p>
    <w:p w14:paraId="76F3367B" w14:textId="77777777" w:rsidR="009A5AD2" w:rsidRPr="00734E96" w:rsidRDefault="009A5AD2" w:rsidP="009A5AD2">
      <w:pPr>
        <w:spacing w:line="240" w:lineRule="auto"/>
        <w:jc w:val="center"/>
        <w:rPr>
          <w:rFonts w:asciiTheme="majorHAnsi" w:hAnsiTheme="majorHAnsi" w:cstheme="majorHAnsi"/>
          <w:sz w:val="24"/>
          <w:szCs w:val="24"/>
        </w:rPr>
      </w:pPr>
    </w:p>
    <w:p w14:paraId="5D56D712" w14:textId="77777777" w:rsidR="009A5AD2" w:rsidRPr="00734E96" w:rsidRDefault="009A5AD2" w:rsidP="009A5AD2">
      <w:pPr>
        <w:spacing w:line="240" w:lineRule="auto"/>
        <w:jc w:val="center"/>
        <w:rPr>
          <w:rFonts w:asciiTheme="majorHAnsi" w:hAnsiTheme="majorHAnsi" w:cstheme="majorHAnsi"/>
          <w:sz w:val="24"/>
          <w:szCs w:val="24"/>
        </w:rPr>
      </w:pPr>
    </w:p>
    <w:p w14:paraId="0F55F030" w14:textId="77777777" w:rsidR="009A5AD2" w:rsidRPr="00734E96" w:rsidRDefault="009A5AD2" w:rsidP="009A5AD2">
      <w:pPr>
        <w:spacing w:line="240" w:lineRule="auto"/>
        <w:jc w:val="center"/>
        <w:rPr>
          <w:rFonts w:asciiTheme="majorHAnsi" w:hAnsiTheme="majorHAnsi" w:cstheme="majorHAnsi"/>
          <w:sz w:val="24"/>
          <w:szCs w:val="24"/>
        </w:rPr>
      </w:pPr>
    </w:p>
    <w:p w14:paraId="7194EA8F" w14:textId="77777777" w:rsidR="009A5AD2" w:rsidRPr="00734E96" w:rsidRDefault="009A5AD2" w:rsidP="009A5AD2">
      <w:pPr>
        <w:spacing w:line="240" w:lineRule="auto"/>
        <w:jc w:val="center"/>
        <w:rPr>
          <w:rFonts w:asciiTheme="majorHAnsi" w:hAnsiTheme="majorHAnsi" w:cstheme="majorHAnsi"/>
          <w:sz w:val="24"/>
          <w:szCs w:val="24"/>
        </w:rPr>
      </w:pPr>
    </w:p>
    <w:p w14:paraId="430D0E2A" w14:textId="77777777" w:rsidR="009A5AD2" w:rsidRPr="00734E96" w:rsidRDefault="009A5AD2" w:rsidP="009A5AD2">
      <w:pPr>
        <w:spacing w:line="240" w:lineRule="auto"/>
        <w:jc w:val="center"/>
        <w:rPr>
          <w:rFonts w:asciiTheme="majorHAnsi" w:hAnsiTheme="majorHAnsi" w:cstheme="majorHAnsi"/>
          <w:sz w:val="24"/>
          <w:szCs w:val="24"/>
        </w:rPr>
      </w:pPr>
    </w:p>
    <w:p w14:paraId="00A09C36" w14:textId="77777777" w:rsidR="009A5AD2" w:rsidRPr="00734E96" w:rsidRDefault="009A5AD2" w:rsidP="009A5AD2">
      <w:pPr>
        <w:spacing w:line="240" w:lineRule="auto"/>
        <w:jc w:val="center"/>
        <w:rPr>
          <w:rFonts w:asciiTheme="majorHAnsi" w:hAnsiTheme="majorHAnsi" w:cstheme="majorHAnsi"/>
          <w:sz w:val="24"/>
          <w:szCs w:val="24"/>
        </w:rPr>
      </w:pPr>
    </w:p>
    <w:p w14:paraId="7AD8FE7A" w14:textId="77777777" w:rsidR="009A5AD2" w:rsidRPr="00734E96" w:rsidRDefault="009A5AD2" w:rsidP="009A5AD2">
      <w:pPr>
        <w:spacing w:line="240" w:lineRule="auto"/>
        <w:jc w:val="center"/>
        <w:rPr>
          <w:rFonts w:asciiTheme="majorHAnsi" w:hAnsiTheme="majorHAnsi" w:cstheme="majorHAnsi"/>
          <w:sz w:val="24"/>
          <w:szCs w:val="24"/>
        </w:rPr>
      </w:pPr>
    </w:p>
    <w:p w14:paraId="44CFC3FE" w14:textId="77777777" w:rsidR="009A5AD2" w:rsidRPr="00734E96" w:rsidRDefault="009A5AD2" w:rsidP="009A5AD2">
      <w:pPr>
        <w:spacing w:line="240" w:lineRule="auto"/>
        <w:jc w:val="center"/>
        <w:rPr>
          <w:rFonts w:asciiTheme="majorHAnsi" w:hAnsiTheme="majorHAnsi" w:cstheme="majorHAnsi"/>
          <w:sz w:val="24"/>
          <w:szCs w:val="24"/>
        </w:rPr>
      </w:pPr>
    </w:p>
    <w:p w14:paraId="73B0B834" w14:textId="77777777" w:rsidR="009A5AD2" w:rsidRPr="00734E96" w:rsidRDefault="009A5AD2" w:rsidP="009A5AD2">
      <w:pPr>
        <w:spacing w:line="240" w:lineRule="auto"/>
        <w:jc w:val="center"/>
        <w:rPr>
          <w:rFonts w:asciiTheme="majorHAnsi" w:hAnsiTheme="majorHAnsi" w:cstheme="majorHAnsi"/>
          <w:sz w:val="24"/>
          <w:szCs w:val="24"/>
        </w:rPr>
      </w:pPr>
    </w:p>
    <w:p w14:paraId="1AA6C082" w14:textId="77777777" w:rsidR="009A5AD2" w:rsidRPr="00734E96" w:rsidRDefault="009A5AD2" w:rsidP="009A5AD2">
      <w:pPr>
        <w:spacing w:line="240" w:lineRule="auto"/>
        <w:jc w:val="center"/>
        <w:rPr>
          <w:rFonts w:asciiTheme="majorHAnsi" w:hAnsiTheme="majorHAnsi" w:cstheme="majorHAnsi"/>
          <w:sz w:val="24"/>
          <w:szCs w:val="24"/>
        </w:rPr>
      </w:pPr>
    </w:p>
    <w:p w14:paraId="0511644D" w14:textId="77777777" w:rsidR="009A5AD2" w:rsidRPr="00734E96" w:rsidRDefault="009A5AD2" w:rsidP="009A5AD2">
      <w:pPr>
        <w:spacing w:line="240" w:lineRule="auto"/>
        <w:jc w:val="center"/>
        <w:rPr>
          <w:rFonts w:asciiTheme="majorHAnsi" w:hAnsiTheme="majorHAnsi" w:cstheme="majorHAnsi"/>
          <w:sz w:val="24"/>
          <w:szCs w:val="24"/>
        </w:rPr>
      </w:pPr>
    </w:p>
    <w:p w14:paraId="7795B00B" w14:textId="77777777" w:rsidR="009A5AD2" w:rsidRPr="00734E96" w:rsidRDefault="009A5AD2" w:rsidP="009A5AD2">
      <w:pPr>
        <w:spacing w:line="240" w:lineRule="auto"/>
        <w:jc w:val="center"/>
        <w:rPr>
          <w:rFonts w:asciiTheme="majorHAnsi" w:hAnsiTheme="majorHAnsi" w:cstheme="majorHAnsi"/>
          <w:sz w:val="24"/>
          <w:szCs w:val="24"/>
        </w:rPr>
      </w:pPr>
    </w:p>
    <w:p w14:paraId="53179922" w14:textId="77777777" w:rsidR="009A5AD2" w:rsidRPr="00734E96" w:rsidRDefault="009A5AD2" w:rsidP="009A5AD2">
      <w:pPr>
        <w:spacing w:line="240" w:lineRule="auto"/>
        <w:jc w:val="center"/>
        <w:rPr>
          <w:rFonts w:asciiTheme="majorHAnsi" w:hAnsiTheme="majorHAnsi" w:cstheme="majorHAnsi"/>
          <w:sz w:val="24"/>
          <w:szCs w:val="24"/>
        </w:rPr>
      </w:pPr>
    </w:p>
    <w:p w14:paraId="6CE13EDF" w14:textId="77777777" w:rsidR="009A5AD2" w:rsidRPr="00734E96" w:rsidRDefault="009A5AD2" w:rsidP="009A5AD2">
      <w:pPr>
        <w:spacing w:line="240" w:lineRule="auto"/>
        <w:jc w:val="center"/>
        <w:rPr>
          <w:rFonts w:asciiTheme="majorHAnsi" w:hAnsiTheme="majorHAnsi" w:cstheme="majorHAnsi"/>
          <w:sz w:val="24"/>
          <w:szCs w:val="24"/>
        </w:rPr>
      </w:pPr>
    </w:p>
    <w:p w14:paraId="68BB796B" w14:textId="77777777" w:rsidR="009A5AD2" w:rsidRPr="00734E96" w:rsidRDefault="009A5AD2" w:rsidP="009A5AD2">
      <w:pPr>
        <w:spacing w:line="240" w:lineRule="auto"/>
        <w:jc w:val="center"/>
        <w:rPr>
          <w:rFonts w:asciiTheme="majorHAnsi" w:hAnsiTheme="majorHAnsi" w:cstheme="majorHAnsi"/>
          <w:sz w:val="24"/>
          <w:szCs w:val="24"/>
        </w:rPr>
      </w:pPr>
    </w:p>
    <w:p w14:paraId="2A76BEBF" w14:textId="77777777" w:rsidR="009A5AD2" w:rsidRPr="00734E96" w:rsidRDefault="009A5AD2" w:rsidP="009A5AD2">
      <w:pPr>
        <w:spacing w:line="240" w:lineRule="auto"/>
        <w:jc w:val="center"/>
        <w:rPr>
          <w:rFonts w:asciiTheme="majorHAnsi" w:hAnsiTheme="majorHAnsi" w:cstheme="majorHAnsi"/>
          <w:sz w:val="24"/>
          <w:szCs w:val="24"/>
        </w:rPr>
      </w:pPr>
    </w:p>
    <w:p w14:paraId="60D21174" w14:textId="77777777" w:rsidR="009A5AD2" w:rsidRPr="00734E96" w:rsidRDefault="009A5AD2" w:rsidP="009A5AD2">
      <w:pPr>
        <w:spacing w:line="240" w:lineRule="auto"/>
        <w:jc w:val="center"/>
        <w:rPr>
          <w:rFonts w:asciiTheme="majorHAnsi" w:hAnsiTheme="majorHAnsi" w:cstheme="majorHAnsi"/>
          <w:sz w:val="24"/>
          <w:szCs w:val="24"/>
        </w:rPr>
      </w:pPr>
    </w:p>
    <w:p w14:paraId="3E212333" w14:textId="77777777" w:rsidR="009A5AD2" w:rsidRPr="00734E96" w:rsidRDefault="009A5AD2" w:rsidP="009A5AD2">
      <w:pPr>
        <w:spacing w:line="240" w:lineRule="auto"/>
        <w:jc w:val="center"/>
        <w:rPr>
          <w:rFonts w:asciiTheme="majorHAnsi" w:hAnsiTheme="majorHAnsi" w:cstheme="majorHAnsi"/>
          <w:sz w:val="24"/>
          <w:szCs w:val="24"/>
        </w:rPr>
      </w:pPr>
    </w:p>
    <w:p w14:paraId="562DBF10" w14:textId="77777777" w:rsidR="009A5AD2" w:rsidRPr="00734E96" w:rsidRDefault="009A5AD2" w:rsidP="009A5AD2">
      <w:pPr>
        <w:spacing w:line="240" w:lineRule="auto"/>
        <w:jc w:val="center"/>
        <w:rPr>
          <w:rFonts w:asciiTheme="majorHAnsi" w:hAnsiTheme="majorHAnsi" w:cstheme="majorHAnsi"/>
          <w:sz w:val="24"/>
          <w:szCs w:val="24"/>
        </w:rPr>
      </w:pPr>
    </w:p>
    <w:p w14:paraId="26A3D390" w14:textId="77777777" w:rsidR="009A5AD2" w:rsidRPr="00734E96" w:rsidRDefault="009A5AD2" w:rsidP="009A5AD2">
      <w:pPr>
        <w:spacing w:line="240" w:lineRule="auto"/>
        <w:jc w:val="center"/>
        <w:rPr>
          <w:rFonts w:asciiTheme="majorHAnsi" w:hAnsiTheme="majorHAnsi" w:cstheme="majorHAnsi"/>
          <w:sz w:val="24"/>
          <w:szCs w:val="24"/>
        </w:rPr>
      </w:pPr>
    </w:p>
    <w:p w14:paraId="45FD711F" w14:textId="77777777" w:rsidR="009A5AD2" w:rsidRDefault="009A5AD2" w:rsidP="009A5AD2">
      <w:pPr>
        <w:spacing w:line="240" w:lineRule="auto"/>
        <w:jc w:val="center"/>
        <w:rPr>
          <w:rFonts w:asciiTheme="majorHAnsi" w:hAnsiTheme="majorHAnsi" w:cstheme="majorHAnsi"/>
          <w:sz w:val="24"/>
          <w:szCs w:val="24"/>
        </w:rPr>
      </w:pPr>
    </w:p>
    <w:p w14:paraId="48CE6132" w14:textId="77777777" w:rsidR="004F5C1A" w:rsidRDefault="004F5C1A" w:rsidP="009A5AD2">
      <w:pPr>
        <w:spacing w:line="240" w:lineRule="auto"/>
        <w:jc w:val="center"/>
        <w:rPr>
          <w:rFonts w:asciiTheme="majorHAnsi" w:hAnsiTheme="majorHAnsi" w:cstheme="majorHAnsi"/>
          <w:sz w:val="24"/>
          <w:szCs w:val="24"/>
        </w:rPr>
      </w:pPr>
    </w:p>
    <w:p w14:paraId="5F39013D" w14:textId="77777777" w:rsidR="004F5C1A" w:rsidRDefault="004F5C1A" w:rsidP="009A5AD2">
      <w:pPr>
        <w:spacing w:line="240" w:lineRule="auto"/>
        <w:jc w:val="center"/>
        <w:rPr>
          <w:rFonts w:asciiTheme="majorHAnsi" w:hAnsiTheme="majorHAnsi" w:cstheme="majorHAnsi"/>
          <w:sz w:val="24"/>
          <w:szCs w:val="24"/>
        </w:rPr>
      </w:pPr>
    </w:p>
    <w:p w14:paraId="4F8491EE" w14:textId="77777777" w:rsidR="004F5C1A" w:rsidRPr="00734E96" w:rsidRDefault="004F5C1A" w:rsidP="009A5AD2">
      <w:pPr>
        <w:spacing w:line="240" w:lineRule="auto"/>
        <w:jc w:val="center"/>
        <w:rPr>
          <w:rFonts w:asciiTheme="majorHAnsi" w:hAnsiTheme="majorHAnsi" w:cstheme="majorHAnsi"/>
          <w:sz w:val="24"/>
          <w:szCs w:val="24"/>
        </w:rPr>
      </w:pPr>
    </w:p>
    <w:p w14:paraId="677A2115" w14:textId="77777777" w:rsidR="009A5AD2" w:rsidRPr="00734E96" w:rsidRDefault="009A5AD2" w:rsidP="009A5AD2">
      <w:pPr>
        <w:spacing w:line="240" w:lineRule="auto"/>
        <w:jc w:val="center"/>
        <w:rPr>
          <w:rFonts w:asciiTheme="majorHAnsi" w:hAnsiTheme="majorHAnsi" w:cstheme="majorHAnsi"/>
          <w:sz w:val="24"/>
          <w:szCs w:val="24"/>
        </w:rPr>
      </w:pPr>
    </w:p>
    <w:p w14:paraId="5B6D7235" w14:textId="77777777" w:rsidR="009A5AD2" w:rsidRPr="00734E96" w:rsidRDefault="009A5AD2" w:rsidP="009A5AD2">
      <w:pPr>
        <w:spacing w:line="240" w:lineRule="auto"/>
        <w:jc w:val="center"/>
        <w:rPr>
          <w:rFonts w:asciiTheme="majorHAnsi" w:hAnsiTheme="majorHAnsi" w:cstheme="majorHAnsi"/>
          <w:sz w:val="24"/>
          <w:szCs w:val="24"/>
        </w:rPr>
      </w:pPr>
    </w:p>
    <w:p w14:paraId="7C9ED1CB" w14:textId="4940640C" w:rsidR="009A5AD2" w:rsidRPr="00734E96" w:rsidRDefault="00D709BE" w:rsidP="009A5AD2">
      <w:pPr>
        <w:spacing w:line="240" w:lineRule="auto"/>
        <w:jc w:val="center"/>
        <w:rPr>
          <w:rFonts w:asciiTheme="majorHAnsi" w:hAnsiTheme="majorHAnsi" w:cstheme="majorHAnsi"/>
          <w:sz w:val="24"/>
          <w:szCs w:val="24"/>
        </w:rPr>
      </w:pPr>
      <w:r>
        <w:rPr>
          <w:rFonts w:asciiTheme="majorHAnsi" w:hAnsiTheme="majorHAnsi" w:cstheme="majorHAnsi"/>
          <w:sz w:val="24"/>
          <w:szCs w:val="24"/>
        </w:rPr>
        <w:t>©</w:t>
      </w:r>
      <w:r w:rsidR="009A5AD2" w:rsidRPr="00734E96">
        <w:rPr>
          <w:rFonts w:asciiTheme="majorHAnsi" w:hAnsiTheme="majorHAnsi" w:cstheme="majorHAnsi"/>
          <w:sz w:val="24"/>
          <w:szCs w:val="24"/>
        </w:rPr>
        <w:t xml:space="preserve"> Copyright by Marcela Olvera </w:t>
      </w:r>
      <w:r w:rsidR="00BA3553">
        <w:rPr>
          <w:rFonts w:asciiTheme="majorHAnsi" w:hAnsiTheme="majorHAnsi" w:cstheme="majorHAnsi"/>
          <w:sz w:val="24"/>
          <w:szCs w:val="24"/>
        </w:rPr>
        <w:t>2024</w:t>
      </w:r>
    </w:p>
    <w:p w14:paraId="73E354E6" w14:textId="77777777" w:rsidR="009A5AD2" w:rsidRPr="00734E96" w:rsidRDefault="009A5AD2" w:rsidP="009A5AD2">
      <w:pPr>
        <w:spacing w:line="240" w:lineRule="auto"/>
        <w:jc w:val="center"/>
        <w:rPr>
          <w:rFonts w:asciiTheme="majorHAnsi" w:hAnsiTheme="majorHAnsi" w:cstheme="majorHAnsi"/>
          <w:sz w:val="24"/>
          <w:szCs w:val="24"/>
        </w:rPr>
      </w:pPr>
      <w:r w:rsidRPr="00734E96">
        <w:rPr>
          <w:rFonts w:asciiTheme="majorHAnsi" w:hAnsiTheme="majorHAnsi" w:cstheme="majorHAnsi"/>
          <w:sz w:val="24"/>
          <w:szCs w:val="24"/>
        </w:rPr>
        <w:t>All Rights Reserved.</w:t>
      </w:r>
    </w:p>
    <w:p w14:paraId="733CFB01" w14:textId="19D1BA9B" w:rsidR="009A5AD2" w:rsidRPr="00734E96" w:rsidRDefault="00BA3553" w:rsidP="009A5AD2">
      <w:pPr>
        <w:spacing w:line="240" w:lineRule="auto"/>
        <w:jc w:val="center"/>
        <w:rPr>
          <w:rFonts w:asciiTheme="majorHAnsi" w:hAnsiTheme="majorHAnsi" w:cstheme="majorHAnsi"/>
          <w:sz w:val="24"/>
          <w:szCs w:val="24"/>
        </w:rPr>
      </w:pPr>
      <w:r>
        <w:rPr>
          <w:rFonts w:asciiTheme="majorHAnsi" w:hAnsiTheme="majorHAnsi" w:cstheme="majorHAnsi"/>
          <w:sz w:val="24"/>
          <w:szCs w:val="24"/>
        </w:rPr>
        <w:t xml:space="preserve">To my </w:t>
      </w:r>
      <w:r w:rsidR="00B9183B">
        <w:rPr>
          <w:rFonts w:asciiTheme="majorHAnsi" w:hAnsiTheme="majorHAnsi" w:cstheme="majorHAnsi"/>
          <w:sz w:val="24"/>
          <w:szCs w:val="24"/>
        </w:rPr>
        <w:t>love</w:t>
      </w:r>
    </w:p>
    <w:p w14:paraId="7DDF3873" w14:textId="77777777" w:rsidR="00E2512A" w:rsidRDefault="00E2512A" w:rsidP="009A5AD2">
      <w:pPr>
        <w:spacing w:line="240" w:lineRule="auto"/>
        <w:rPr>
          <w:rFonts w:asciiTheme="majorHAnsi" w:hAnsiTheme="majorHAnsi" w:cstheme="majorHAnsi"/>
          <w:b/>
          <w:bCs/>
          <w:sz w:val="24"/>
          <w:szCs w:val="24"/>
        </w:rPr>
        <w:sectPr w:rsidR="00E2512A" w:rsidSect="003D4C64">
          <w:footerReference w:type="default" r:id="rId8"/>
          <w:footerReference w:type="first" r:id="rId9"/>
          <w:pgSz w:w="12240" w:h="15840" w:code="1"/>
          <w:pgMar w:top="1440" w:right="1440" w:bottom="1440" w:left="2160" w:header="720" w:footer="720" w:gutter="0"/>
          <w:pgNumType w:fmt="lowerRoman"/>
          <w:cols w:space="720"/>
          <w:titlePg/>
          <w:docGrid w:linePitch="360"/>
        </w:sectPr>
      </w:pPr>
    </w:p>
    <w:p w14:paraId="0C894976" w14:textId="77777777" w:rsidR="009A5AD2" w:rsidRPr="00734E96" w:rsidRDefault="009A5AD2" w:rsidP="009A5AD2">
      <w:pPr>
        <w:spacing w:line="240" w:lineRule="auto"/>
        <w:rPr>
          <w:rFonts w:asciiTheme="majorHAnsi" w:hAnsiTheme="majorHAnsi" w:cstheme="majorHAnsi"/>
          <w:b/>
          <w:bCs/>
          <w:sz w:val="24"/>
          <w:szCs w:val="24"/>
        </w:rPr>
      </w:pPr>
      <w:r w:rsidRPr="00734E96">
        <w:rPr>
          <w:rFonts w:asciiTheme="majorHAnsi" w:hAnsiTheme="majorHAnsi" w:cstheme="majorHAnsi"/>
          <w:b/>
          <w:bCs/>
          <w:sz w:val="24"/>
          <w:szCs w:val="24"/>
        </w:rPr>
        <w:lastRenderedPageBreak/>
        <w:t>Acknowledgements</w:t>
      </w:r>
    </w:p>
    <w:p w14:paraId="252D4837" w14:textId="464DE725" w:rsidR="002F1860" w:rsidRDefault="002F1860" w:rsidP="002F1860">
      <w:pPr>
        <w:spacing w:line="240" w:lineRule="auto"/>
        <w:rPr>
          <w:rFonts w:asciiTheme="majorHAnsi" w:hAnsiTheme="majorHAnsi" w:cstheme="majorHAnsi"/>
          <w:sz w:val="24"/>
          <w:szCs w:val="24"/>
        </w:rPr>
      </w:pPr>
      <w:r>
        <w:rPr>
          <w:rFonts w:asciiTheme="majorHAnsi" w:hAnsiTheme="majorHAnsi" w:cstheme="majorHAnsi"/>
          <w:sz w:val="24"/>
          <w:szCs w:val="24"/>
        </w:rPr>
        <w:t xml:space="preserve">First and </w:t>
      </w:r>
      <w:proofErr w:type="gramStart"/>
      <w:r>
        <w:rPr>
          <w:rFonts w:asciiTheme="majorHAnsi" w:hAnsiTheme="majorHAnsi" w:cstheme="majorHAnsi"/>
          <w:sz w:val="24"/>
          <w:szCs w:val="24"/>
        </w:rPr>
        <w:t>foremost</w:t>
      </w:r>
      <w:proofErr w:type="gramEnd"/>
      <w:r>
        <w:rPr>
          <w:rFonts w:asciiTheme="majorHAnsi" w:hAnsiTheme="majorHAnsi" w:cstheme="majorHAnsi"/>
          <w:sz w:val="24"/>
          <w:szCs w:val="24"/>
        </w:rPr>
        <w:t xml:space="preserve"> I must thank my wonderful advisor Dr. </w:t>
      </w:r>
      <w:r w:rsidR="00EE0DC2">
        <w:rPr>
          <w:rFonts w:asciiTheme="majorHAnsi" w:hAnsiTheme="majorHAnsi" w:cstheme="majorHAnsi"/>
          <w:sz w:val="24"/>
          <w:szCs w:val="24"/>
        </w:rPr>
        <w:t>He</w:t>
      </w:r>
      <w:r>
        <w:rPr>
          <w:rFonts w:asciiTheme="majorHAnsi" w:hAnsiTheme="majorHAnsi" w:cstheme="majorHAnsi"/>
          <w:sz w:val="24"/>
          <w:szCs w:val="24"/>
        </w:rPr>
        <w:t xml:space="preserve">len </w:t>
      </w:r>
      <w:proofErr w:type="spellStart"/>
      <w:r>
        <w:rPr>
          <w:rFonts w:asciiTheme="majorHAnsi" w:hAnsiTheme="majorHAnsi" w:cstheme="majorHAnsi"/>
          <w:sz w:val="24"/>
          <w:szCs w:val="24"/>
        </w:rPr>
        <w:t>Zgurskaya</w:t>
      </w:r>
      <w:proofErr w:type="spellEnd"/>
      <w:r>
        <w:rPr>
          <w:rFonts w:asciiTheme="majorHAnsi" w:hAnsiTheme="majorHAnsi" w:cstheme="majorHAnsi"/>
          <w:sz w:val="24"/>
          <w:szCs w:val="24"/>
        </w:rPr>
        <w:t>. I could not have made it to this long-fought academic milestone without her guidance and support. Thank you for always believing in me. A huge thank you to all of the wonderful and helpful lab mates I have had the pleasure to work with over these seven years.</w:t>
      </w:r>
    </w:p>
    <w:p w14:paraId="55382DB0" w14:textId="77777777" w:rsidR="002F1860" w:rsidRDefault="002F1860" w:rsidP="002F1860">
      <w:pPr>
        <w:spacing w:line="240" w:lineRule="auto"/>
        <w:rPr>
          <w:rFonts w:asciiTheme="majorHAnsi" w:hAnsiTheme="majorHAnsi" w:cstheme="majorHAnsi"/>
          <w:sz w:val="24"/>
          <w:szCs w:val="24"/>
        </w:rPr>
      </w:pPr>
      <w:r>
        <w:rPr>
          <w:rFonts w:asciiTheme="majorHAnsi" w:hAnsiTheme="majorHAnsi" w:cstheme="majorHAnsi"/>
          <w:sz w:val="24"/>
          <w:szCs w:val="24"/>
        </w:rPr>
        <w:tab/>
        <w:t xml:space="preserve">Thank you to my current and former committee members, especially Dr. Valentin </w:t>
      </w:r>
      <w:proofErr w:type="spellStart"/>
      <w:r>
        <w:rPr>
          <w:rFonts w:asciiTheme="majorHAnsi" w:hAnsiTheme="majorHAnsi" w:cstheme="majorHAnsi"/>
          <w:sz w:val="24"/>
          <w:szCs w:val="24"/>
        </w:rPr>
        <w:t>Rybenkov</w:t>
      </w:r>
      <w:proofErr w:type="spellEnd"/>
      <w:r>
        <w:rPr>
          <w:rFonts w:asciiTheme="majorHAnsi" w:hAnsiTheme="majorHAnsi" w:cstheme="majorHAnsi"/>
          <w:sz w:val="24"/>
          <w:szCs w:val="24"/>
        </w:rPr>
        <w:t xml:space="preserve"> and Dr. Christina Bourne, who helped me expand my understanding of their specific fields to complement my biochemical focus. </w:t>
      </w:r>
    </w:p>
    <w:p w14:paraId="673D8C41" w14:textId="77777777" w:rsidR="002F1860" w:rsidRDefault="002F1860" w:rsidP="002F1860">
      <w:pPr>
        <w:spacing w:line="240" w:lineRule="auto"/>
        <w:rPr>
          <w:rFonts w:asciiTheme="majorHAnsi" w:hAnsiTheme="majorHAnsi" w:cstheme="majorHAnsi"/>
          <w:sz w:val="24"/>
          <w:szCs w:val="24"/>
        </w:rPr>
      </w:pPr>
      <w:r>
        <w:rPr>
          <w:rFonts w:asciiTheme="majorHAnsi" w:hAnsiTheme="majorHAnsi" w:cstheme="majorHAnsi"/>
          <w:sz w:val="24"/>
          <w:szCs w:val="24"/>
        </w:rPr>
        <w:tab/>
        <w:t>A colossal thank you to my favorite person in the world: (Dr.!) Jon Michael! Your love and support have been two sturdy pillars throughout this journey. I think it’s pretty neat how brilliantly we work together. I can’t wait to see what we do next.</w:t>
      </w:r>
      <w:r w:rsidRPr="00CB65F8">
        <w:rPr>
          <w:rFonts w:asciiTheme="majorHAnsi" w:hAnsiTheme="majorHAnsi" w:cstheme="majorHAnsi"/>
          <w:sz w:val="24"/>
          <w:szCs w:val="24"/>
        </w:rPr>
        <w:t xml:space="preserve"> </w:t>
      </w:r>
      <w:r>
        <w:rPr>
          <w:rFonts w:asciiTheme="majorHAnsi" w:hAnsiTheme="majorHAnsi" w:cstheme="majorHAnsi"/>
          <w:sz w:val="24"/>
          <w:szCs w:val="24"/>
        </w:rPr>
        <w:t xml:space="preserve">I wish I could lasso the stars to write you a thank you note! </w:t>
      </w:r>
      <w:proofErr w:type="spellStart"/>
      <w:r>
        <w:rPr>
          <w:rFonts w:asciiTheme="majorHAnsi" w:hAnsiTheme="majorHAnsi" w:cstheme="majorHAnsi"/>
          <w:sz w:val="24"/>
          <w:szCs w:val="24"/>
        </w:rPr>
        <w:t>Looooooove</w:t>
      </w:r>
      <w:proofErr w:type="spellEnd"/>
      <w:r>
        <w:rPr>
          <w:rFonts w:asciiTheme="majorHAnsi" w:hAnsiTheme="majorHAnsi" w:cstheme="majorHAnsi"/>
          <w:sz w:val="24"/>
          <w:szCs w:val="24"/>
        </w:rPr>
        <w:t xml:space="preserve"> you forever and ever.</w:t>
      </w:r>
    </w:p>
    <w:p w14:paraId="3F3A9937" w14:textId="77777777" w:rsidR="002F1860" w:rsidRDefault="002F1860" w:rsidP="002F1860">
      <w:pPr>
        <w:spacing w:line="240" w:lineRule="auto"/>
        <w:rPr>
          <w:rFonts w:asciiTheme="majorHAnsi" w:hAnsiTheme="majorHAnsi" w:cstheme="majorHAnsi"/>
          <w:sz w:val="24"/>
          <w:szCs w:val="24"/>
        </w:rPr>
      </w:pPr>
      <w:r>
        <w:rPr>
          <w:rFonts w:asciiTheme="majorHAnsi" w:hAnsiTheme="majorHAnsi" w:cstheme="majorHAnsi"/>
          <w:sz w:val="24"/>
          <w:szCs w:val="24"/>
        </w:rPr>
        <w:tab/>
        <w:t>Thank you to my parents who worked so hard to provide me with a strong academic foundation and love for science. I will always treasure our trips to the many wonderful museums of Chicago, especially the Natural History Museum and the Museum of Science and Industry. Thank you Vero for being the chilliest sister in the world! I am so happy we have found all our little ways to keep in touch over the years – it has been very grounding.</w:t>
      </w:r>
    </w:p>
    <w:p w14:paraId="4614B9A2" w14:textId="77777777" w:rsidR="002F1860" w:rsidRDefault="002F1860" w:rsidP="002F1860">
      <w:pPr>
        <w:spacing w:line="240" w:lineRule="auto"/>
        <w:rPr>
          <w:rFonts w:asciiTheme="majorHAnsi" w:hAnsiTheme="majorHAnsi" w:cstheme="majorHAnsi"/>
          <w:sz w:val="24"/>
          <w:szCs w:val="24"/>
        </w:rPr>
      </w:pPr>
      <w:r>
        <w:rPr>
          <w:rFonts w:asciiTheme="majorHAnsi" w:hAnsiTheme="majorHAnsi" w:cstheme="majorHAnsi"/>
          <w:sz w:val="24"/>
          <w:szCs w:val="24"/>
        </w:rPr>
        <w:tab/>
        <w:t>Thank you to all the amazing friends I have made during my time in Oklahoma (</w:t>
      </w:r>
      <w:proofErr w:type="spellStart"/>
      <w:r>
        <w:rPr>
          <w:rFonts w:asciiTheme="majorHAnsi" w:hAnsiTheme="majorHAnsi" w:cstheme="majorHAnsi"/>
          <w:sz w:val="24"/>
          <w:szCs w:val="24"/>
        </w:rPr>
        <w:t>Partychem</w:t>
      </w:r>
      <w:proofErr w:type="spellEnd"/>
      <w:r>
        <w:rPr>
          <w:rFonts w:asciiTheme="majorHAnsi" w:hAnsiTheme="majorHAnsi" w:cstheme="majorHAnsi"/>
          <w:sz w:val="24"/>
          <w:szCs w:val="24"/>
        </w:rPr>
        <w:t xml:space="preserve">, Kriti + Neda, Biology folks, Tulsa folks). Y’all are my chosen </w:t>
      </w:r>
      <w:proofErr w:type="gramStart"/>
      <w:r>
        <w:rPr>
          <w:rFonts w:asciiTheme="majorHAnsi" w:hAnsiTheme="majorHAnsi" w:cstheme="majorHAnsi"/>
          <w:sz w:val="24"/>
          <w:szCs w:val="24"/>
        </w:rPr>
        <w:t>family</w:t>
      </w:r>
      <w:proofErr w:type="gramEnd"/>
      <w:r>
        <w:rPr>
          <w:rFonts w:asciiTheme="majorHAnsi" w:hAnsiTheme="majorHAnsi" w:cstheme="majorHAnsi"/>
          <w:sz w:val="24"/>
          <w:szCs w:val="24"/>
        </w:rPr>
        <w:t xml:space="preserve"> and you mean the world to me. XOXO</w:t>
      </w:r>
    </w:p>
    <w:p w14:paraId="24224FD9" w14:textId="77777777" w:rsidR="002F1860" w:rsidRPr="00734E96" w:rsidRDefault="002F1860" w:rsidP="002F1860">
      <w:pPr>
        <w:spacing w:line="240" w:lineRule="auto"/>
        <w:ind w:firstLine="720"/>
        <w:rPr>
          <w:rFonts w:asciiTheme="majorHAnsi" w:hAnsiTheme="majorHAnsi" w:cstheme="majorHAnsi"/>
          <w:sz w:val="24"/>
          <w:szCs w:val="24"/>
        </w:rPr>
      </w:pPr>
      <w:r>
        <w:rPr>
          <w:rFonts w:asciiTheme="majorHAnsi" w:hAnsiTheme="majorHAnsi" w:cstheme="majorHAnsi"/>
          <w:sz w:val="24"/>
          <w:szCs w:val="24"/>
        </w:rPr>
        <w:t xml:space="preserve">Thank you to all of our friends and family who hung out with us on discord. I can’t wait to stream the new Nancy Drew game in May! </w:t>
      </w:r>
      <w:proofErr w:type="spellStart"/>
      <w:r>
        <w:rPr>
          <w:rFonts w:asciiTheme="majorHAnsi" w:hAnsiTheme="majorHAnsi" w:cstheme="majorHAnsi"/>
          <w:sz w:val="24"/>
          <w:szCs w:val="24"/>
        </w:rPr>
        <w:t>Boooo</w:t>
      </w:r>
      <w:proofErr w:type="spellEnd"/>
      <w:r>
        <w:rPr>
          <w:rFonts w:asciiTheme="majorHAnsi" w:hAnsiTheme="majorHAnsi" w:cstheme="majorHAnsi"/>
          <w:sz w:val="24"/>
          <w:szCs w:val="24"/>
        </w:rPr>
        <w:t xml:space="preserve"> to amazon, </w:t>
      </w:r>
      <w:proofErr w:type="spellStart"/>
      <w:r>
        <w:rPr>
          <w:rFonts w:asciiTheme="majorHAnsi" w:hAnsiTheme="majorHAnsi" w:cstheme="majorHAnsi"/>
          <w:sz w:val="24"/>
          <w:szCs w:val="24"/>
        </w:rPr>
        <w:t>hulu</w:t>
      </w:r>
      <w:proofErr w:type="spellEnd"/>
      <w:r>
        <w:rPr>
          <w:rFonts w:asciiTheme="majorHAnsi" w:hAnsiTheme="majorHAnsi" w:cstheme="majorHAnsi"/>
          <w:sz w:val="24"/>
          <w:szCs w:val="24"/>
        </w:rPr>
        <w:t xml:space="preserve">, Disney+, </w:t>
      </w:r>
      <w:proofErr w:type="spellStart"/>
      <w:r>
        <w:rPr>
          <w:rFonts w:asciiTheme="majorHAnsi" w:hAnsiTheme="majorHAnsi" w:cstheme="majorHAnsi"/>
          <w:sz w:val="24"/>
          <w:szCs w:val="24"/>
        </w:rPr>
        <w:t>hbo</w:t>
      </w:r>
      <w:proofErr w:type="spellEnd"/>
      <w:r>
        <w:rPr>
          <w:rFonts w:asciiTheme="majorHAnsi" w:hAnsiTheme="majorHAnsi" w:cstheme="majorHAnsi"/>
          <w:sz w:val="24"/>
          <w:szCs w:val="24"/>
        </w:rPr>
        <w:t xml:space="preserve"> max, </w:t>
      </w:r>
      <w:proofErr w:type="spellStart"/>
      <w:r>
        <w:rPr>
          <w:rFonts w:asciiTheme="majorHAnsi" w:hAnsiTheme="majorHAnsi" w:cstheme="majorHAnsi"/>
          <w:sz w:val="24"/>
          <w:szCs w:val="24"/>
        </w:rPr>
        <w:t>youtube</w:t>
      </w:r>
      <w:proofErr w:type="spellEnd"/>
      <w:r>
        <w:rPr>
          <w:rFonts w:asciiTheme="majorHAnsi" w:hAnsiTheme="majorHAnsi" w:cstheme="majorHAnsi"/>
          <w:sz w:val="24"/>
          <w:szCs w:val="24"/>
        </w:rPr>
        <w:t>, etc. who have recently started censoring movie streams. Long live the free internet!</w:t>
      </w:r>
    </w:p>
    <w:p w14:paraId="535E030F" w14:textId="77777777" w:rsidR="002F1860" w:rsidRPr="00734E96" w:rsidRDefault="002F1860" w:rsidP="002F1860">
      <w:pPr>
        <w:spacing w:line="240" w:lineRule="auto"/>
        <w:rPr>
          <w:rFonts w:asciiTheme="majorHAnsi" w:hAnsiTheme="majorHAnsi" w:cstheme="majorHAnsi"/>
          <w:sz w:val="24"/>
          <w:szCs w:val="24"/>
        </w:rPr>
      </w:pPr>
      <w:r>
        <w:rPr>
          <w:rFonts w:asciiTheme="majorHAnsi" w:hAnsiTheme="majorHAnsi" w:cstheme="majorHAnsi"/>
          <w:sz w:val="24"/>
          <w:szCs w:val="24"/>
        </w:rPr>
        <w:t xml:space="preserve">Thank you to the incredible artists and creatives who helped get this dissertation done: Underscores, </w:t>
      </w:r>
      <w:r w:rsidRPr="00734E96">
        <w:rPr>
          <w:rFonts w:asciiTheme="majorHAnsi" w:hAnsiTheme="majorHAnsi" w:cstheme="majorHAnsi"/>
          <w:sz w:val="24"/>
          <w:szCs w:val="24"/>
        </w:rPr>
        <w:t>MUNA,</w:t>
      </w:r>
      <w:r>
        <w:rPr>
          <w:rFonts w:asciiTheme="majorHAnsi" w:hAnsiTheme="majorHAnsi" w:cstheme="majorHAnsi"/>
          <w:sz w:val="24"/>
          <w:szCs w:val="24"/>
        </w:rPr>
        <w:t xml:space="preserve"> Frost Children, </w:t>
      </w:r>
      <w:proofErr w:type="spellStart"/>
      <w:r>
        <w:rPr>
          <w:rFonts w:asciiTheme="majorHAnsi" w:hAnsiTheme="majorHAnsi" w:cstheme="majorHAnsi"/>
          <w:sz w:val="24"/>
          <w:szCs w:val="24"/>
        </w:rPr>
        <w:t>Amaarae</w:t>
      </w:r>
      <w:proofErr w:type="spellEnd"/>
      <w:r>
        <w:rPr>
          <w:rFonts w:asciiTheme="majorHAnsi" w:hAnsiTheme="majorHAnsi" w:cstheme="majorHAnsi"/>
          <w:sz w:val="24"/>
          <w:szCs w:val="24"/>
        </w:rPr>
        <w:t xml:space="preserve">, Flo Milli, Tinashe, </w:t>
      </w:r>
      <w:proofErr w:type="spellStart"/>
      <w:r>
        <w:rPr>
          <w:rFonts w:asciiTheme="majorHAnsi" w:hAnsiTheme="majorHAnsi" w:cstheme="majorHAnsi"/>
          <w:sz w:val="24"/>
          <w:szCs w:val="24"/>
        </w:rPr>
        <w:t>Slayyyter</w:t>
      </w:r>
      <w:proofErr w:type="spellEnd"/>
      <w:r>
        <w:rPr>
          <w:rFonts w:asciiTheme="majorHAnsi" w:hAnsiTheme="majorHAnsi" w:cstheme="majorHAnsi"/>
          <w:sz w:val="24"/>
          <w:szCs w:val="24"/>
        </w:rPr>
        <w:t>,</w:t>
      </w:r>
      <w:r w:rsidRPr="00734E96">
        <w:rPr>
          <w:rFonts w:asciiTheme="majorHAnsi" w:hAnsiTheme="majorHAnsi" w:cstheme="majorHAnsi"/>
          <w:sz w:val="24"/>
          <w:szCs w:val="24"/>
        </w:rPr>
        <w:t xml:space="preserve"> </w:t>
      </w:r>
      <w:r>
        <w:rPr>
          <w:rFonts w:asciiTheme="majorHAnsi" w:hAnsiTheme="majorHAnsi" w:cstheme="majorHAnsi"/>
          <w:sz w:val="24"/>
          <w:szCs w:val="24"/>
        </w:rPr>
        <w:t xml:space="preserve">Mon Laferte, Bomba </w:t>
      </w:r>
      <w:proofErr w:type="spellStart"/>
      <w:r>
        <w:rPr>
          <w:rFonts w:asciiTheme="majorHAnsi" w:hAnsiTheme="majorHAnsi" w:cstheme="majorHAnsi"/>
          <w:sz w:val="24"/>
          <w:szCs w:val="24"/>
        </w:rPr>
        <w:t>Est</w:t>
      </w:r>
      <w:r w:rsidRPr="00F451E9">
        <w:rPr>
          <w:sz w:val="24"/>
          <w:szCs w:val="24"/>
        </w:rPr>
        <w:t>é</w:t>
      </w:r>
      <w:r w:rsidRPr="00F451E9">
        <w:rPr>
          <w:rFonts w:asciiTheme="majorHAnsi" w:hAnsiTheme="majorHAnsi" w:cstheme="majorHAnsi"/>
          <w:sz w:val="24"/>
          <w:szCs w:val="24"/>
        </w:rPr>
        <w:t>reo</w:t>
      </w:r>
      <w:proofErr w:type="spellEnd"/>
      <w:r>
        <w:rPr>
          <w:rFonts w:asciiTheme="majorHAnsi" w:hAnsiTheme="majorHAnsi" w:cstheme="majorHAnsi"/>
          <w:sz w:val="24"/>
          <w:szCs w:val="24"/>
        </w:rPr>
        <w:t xml:space="preserve">, Arca, NSQK, </w:t>
      </w:r>
      <w:r w:rsidRPr="00734E96">
        <w:rPr>
          <w:rFonts w:asciiTheme="majorHAnsi" w:hAnsiTheme="majorHAnsi" w:cstheme="majorHAnsi"/>
          <w:sz w:val="24"/>
          <w:szCs w:val="24"/>
        </w:rPr>
        <w:t>Remap Radio, A More Civilized Age</w:t>
      </w:r>
      <w:r>
        <w:rPr>
          <w:rFonts w:asciiTheme="majorHAnsi" w:hAnsiTheme="majorHAnsi" w:cstheme="majorHAnsi"/>
          <w:sz w:val="24"/>
          <w:szCs w:val="24"/>
        </w:rPr>
        <w:t xml:space="preserve">, Stuff You Should Know, Hades, Animal Crossing, </w:t>
      </w:r>
      <w:proofErr w:type="spellStart"/>
      <w:r>
        <w:rPr>
          <w:rFonts w:asciiTheme="majorHAnsi" w:hAnsiTheme="majorHAnsi" w:cstheme="majorHAnsi"/>
          <w:sz w:val="24"/>
          <w:szCs w:val="24"/>
        </w:rPr>
        <w:t>Baulder’s</w:t>
      </w:r>
      <w:proofErr w:type="spellEnd"/>
      <w:r>
        <w:rPr>
          <w:rFonts w:asciiTheme="majorHAnsi" w:hAnsiTheme="majorHAnsi" w:cstheme="majorHAnsi"/>
          <w:sz w:val="24"/>
          <w:szCs w:val="24"/>
        </w:rPr>
        <w:t xml:space="preserve"> Gate 3, Stardew Valley</w:t>
      </w:r>
    </w:p>
    <w:p w14:paraId="59F2AC1C" w14:textId="77777777" w:rsidR="009A5AD2" w:rsidRDefault="009A5AD2">
      <w:pPr>
        <w:rPr>
          <w:rFonts w:asciiTheme="majorHAnsi" w:hAnsiTheme="majorHAnsi" w:cstheme="majorHAnsi"/>
          <w:sz w:val="24"/>
          <w:szCs w:val="24"/>
        </w:rPr>
      </w:pPr>
    </w:p>
    <w:p w14:paraId="2E3021D6" w14:textId="77777777" w:rsidR="002F1860" w:rsidRPr="00734E96" w:rsidRDefault="002F1860">
      <w:pPr>
        <w:rPr>
          <w:rFonts w:asciiTheme="majorHAnsi" w:hAnsiTheme="majorHAnsi" w:cstheme="majorHAnsi"/>
          <w:sz w:val="24"/>
          <w:szCs w:val="24"/>
        </w:rPr>
      </w:pPr>
    </w:p>
    <w:p w14:paraId="18CA3BE1" w14:textId="77777777" w:rsidR="009A5AD2" w:rsidRPr="00734E96" w:rsidRDefault="009A5AD2">
      <w:pPr>
        <w:rPr>
          <w:rFonts w:asciiTheme="majorHAnsi" w:hAnsiTheme="majorHAnsi" w:cstheme="majorHAnsi"/>
          <w:sz w:val="24"/>
          <w:szCs w:val="24"/>
        </w:rPr>
      </w:pPr>
    </w:p>
    <w:p w14:paraId="2A5EA84E" w14:textId="77777777" w:rsidR="009A5AD2" w:rsidRPr="00734E96" w:rsidRDefault="009A5AD2">
      <w:pPr>
        <w:rPr>
          <w:rFonts w:asciiTheme="majorHAnsi" w:hAnsiTheme="majorHAnsi" w:cstheme="majorHAnsi"/>
          <w:sz w:val="24"/>
          <w:szCs w:val="24"/>
        </w:rPr>
      </w:pPr>
    </w:p>
    <w:p w14:paraId="1571DE6B" w14:textId="77777777" w:rsidR="009A5AD2" w:rsidRPr="00734E96" w:rsidRDefault="009A5AD2">
      <w:pPr>
        <w:rPr>
          <w:rFonts w:asciiTheme="majorHAnsi" w:hAnsiTheme="majorHAnsi" w:cstheme="majorHAnsi"/>
          <w:sz w:val="24"/>
          <w:szCs w:val="24"/>
        </w:rPr>
      </w:pPr>
    </w:p>
    <w:p w14:paraId="456E9796" w14:textId="77777777" w:rsidR="009A5AD2" w:rsidRPr="00734E96" w:rsidRDefault="009A5AD2">
      <w:pPr>
        <w:rPr>
          <w:rFonts w:asciiTheme="majorHAnsi" w:hAnsiTheme="majorHAnsi" w:cstheme="majorHAnsi"/>
          <w:sz w:val="24"/>
          <w:szCs w:val="24"/>
        </w:rPr>
      </w:pPr>
    </w:p>
    <w:p w14:paraId="388CC04D" w14:textId="77777777" w:rsidR="009A5AD2" w:rsidRPr="00734E96" w:rsidRDefault="009A5AD2">
      <w:pPr>
        <w:rPr>
          <w:rFonts w:asciiTheme="majorHAnsi" w:hAnsiTheme="majorHAnsi" w:cstheme="majorHAnsi"/>
          <w:sz w:val="24"/>
          <w:szCs w:val="24"/>
        </w:rPr>
      </w:pPr>
    </w:p>
    <w:p w14:paraId="064C71DA" w14:textId="77777777" w:rsidR="009A5AD2" w:rsidRPr="00734E96" w:rsidRDefault="009A5AD2">
      <w:pPr>
        <w:rPr>
          <w:rFonts w:asciiTheme="majorHAnsi" w:hAnsiTheme="majorHAnsi" w:cstheme="majorHAnsi"/>
          <w:sz w:val="24"/>
          <w:szCs w:val="24"/>
        </w:rPr>
      </w:pPr>
    </w:p>
    <w:p w14:paraId="644A16B6" w14:textId="2BDF2769" w:rsidR="009A5AD2" w:rsidRPr="00734E96" w:rsidRDefault="009A5AD2">
      <w:pPr>
        <w:rPr>
          <w:rFonts w:asciiTheme="majorHAnsi" w:hAnsiTheme="majorHAnsi" w:cstheme="majorHAnsi"/>
          <w:b/>
          <w:bCs/>
          <w:sz w:val="24"/>
          <w:szCs w:val="24"/>
        </w:rPr>
      </w:pPr>
      <w:r w:rsidRPr="00734E96">
        <w:rPr>
          <w:rFonts w:asciiTheme="majorHAnsi" w:hAnsiTheme="majorHAnsi" w:cstheme="majorHAnsi"/>
          <w:b/>
          <w:bCs/>
          <w:sz w:val="24"/>
          <w:szCs w:val="24"/>
        </w:rPr>
        <w:lastRenderedPageBreak/>
        <w:t xml:space="preserve">Table of Contents </w:t>
      </w:r>
    </w:p>
    <w:tbl>
      <w:tblPr>
        <w:tblStyle w:val="TableGrid"/>
        <w:tblW w:w="0" w:type="auto"/>
        <w:tblLook w:val="04A0" w:firstRow="1" w:lastRow="0" w:firstColumn="1" w:lastColumn="0" w:noHBand="0" w:noVBand="1"/>
      </w:tblPr>
      <w:tblGrid>
        <w:gridCol w:w="8630"/>
      </w:tblGrid>
      <w:tr w:rsidR="0062286E" w14:paraId="2AB48F11" w14:textId="77777777" w:rsidTr="00AB4E38">
        <w:trPr>
          <w:trHeight w:val="432"/>
        </w:trPr>
        <w:tc>
          <w:tcPr>
            <w:tcW w:w="8630" w:type="dxa"/>
            <w:vAlign w:val="center"/>
          </w:tcPr>
          <w:p w14:paraId="3E5A567B" w14:textId="77777777" w:rsidR="0062286E" w:rsidRPr="00B03E2B" w:rsidRDefault="0062286E" w:rsidP="004A7526">
            <w:pPr>
              <w:jc w:val="both"/>
              <w:rPr>
                <w:rFonts w:ascii="Times New Roman" w:hAnsi="Times New Roman" w:cs="Times New Roman"/>
                <w:sz w:val="24"/>
                <w:szCs w:val="24"/>
              </w:rPr>
            </w:pPr>
            <w:bookmarkStart w:id="1" w:name="_Hlk155452740"/>
            <w:r w:rsidRPr="00B03E2B">
              <w:rPr>
                <w:rFonts w:ascii="Times New Roman" w:hAnsi="Times New Roman" w:cs="Times New Roman"/>
                <w:sz w:val="24"/>
                <w:szCs w:val="24"/>
              </w:rPr>
              <w:t>Dedication</w:t>
            </w:r>
            <w:r>
              <w:rPr>
                <w:rFonts w:ascii="Times New Roman" w:hAnsi="Times New Roman" w:cs="Times New Roman"/>
                <w:sz w:val="24"/>
                <w:szCs w:val="24"/>
              </w:rPr>
              <w:t xml:space="preserve"> ..</w:t>
            </w:r>
            <w:r w:rsidRPr="00B03E2B">
              <w:rPr>
                <w:rFonts w:ascii="Times New Roman" w:hAnsi="Times New Roman" w:cs="Times New Roman"/>
                <w:sz w:val="24"/>
                <w:szCs w:val="24"/>
              </w:rPr>
              <w:t>…………………………………………………………………………....</w:t>
            </w:r>
            <w:r>
              <w:rPr>
                <w:rFonts w:ascii="Times New Roman" w:hAnsi="Times New Roman" w:cs="Times New Roman"/>
                <w:sz w:val="24"/>
                <w:szCs w:val="24"/>
              </w:rPr>
              <w:t>iii</w:t>
            </w:r>
          </w:p>
        </w:tc>
      </w:tr>
      <w:tr w:rsidR="0062286E" w14:paraId="3C38419F" w14:textId="77777777" w:rsidTr="00AB4E38">
        <w:trPr>
          <w:trHeight w:val="432"/>
        </w:trPr>
        <w:tc>
          <w:tcPr>
            <w:tcW w:w="8630" w:type="dxa"/>
            <w:vAlign w:val="center"/>
          </w:tcPr>
          <w:p w14:paraId="6BE1459B" w14:textId="77777777" w:rsidR="0062286E" w:rsidRPr="00B03E2B" w:rsidRDefault="0062286E" w:rsidP="004A7526">
            <w:pPr>
              <w:jc w:val="both"/>
              <w:rPr>
                <w:rFonts w:ascii="Times New Roman" w:hAnsi="Times New Roman" w:cs="Times New Roman"/>
                <w:sz w:val="24"/>
                <w:szCs w:val="24"/>
              </w:rPr>
            </w:pPr>
            <w:r w:rsidRPr="00B03E2B">
              <w:rPr>
                <w:rFonts w:ascii="Times New Roman" w:hAnsi="Times New Roman" w:cs="Times New Roman"/>
                <w:sz w:val="24"/>
                <w:szCs w:val="24"/>
              </w:rPr>
              <w:t>Acknowledgements</w:t>
            </w:r>
            <w:r>
              <w:rPr>
                <w:rFonts w:ascii="Times New Roman" w:hAnsi="Times New Roman" w:cs="Times New Roman"/>
                <w:sz w:val="24"/>
                <w:szCs w:val="24"/>
              </w:rPr>
              <w:t xml:space="preserve"> ..</w:t>
            </w:r>
            <w:r w:rsidRPr="00B03E2B">
              <w:rPr>
                <w:rFonts w:ascii="Times New Roman" w:hAnsi="Times New Roman" w:cs="Times New Roman"/>
                <w:sz w:val="24"/>
                <w:szCs w:val="24"/>
              </w:rPr>
              <w:t>…………………………………………………………………..</w:t>
            </w:r>
            <w:r>
              <w:rPr>
                <w:rFonts w:ascii="Times New Roman" w:hAnsi="Times New Roman" w:cs="Times New Roman"/>
                <w:sz w:val="24"/>
                <w:szCs w:val="24"/>
              </w:rPr>
              <w:t>iv</w:t>
            </w:r>
          </w:p>
        </w:tc>
      </w:tr>
      <w:tr w:rsidR="0062286E" w14:paraId="3738D409" w14:textId="77777777" w:rsidTr="00AB4E38">
        <w:trPr>
          <w:trHeight w:val="432"/>
        </w:trPr>
        <w:tc>
          <w:tcPr>
            <w:tcW w:w="8630" w:type="dxa"/>
            <w:vAlign w:val="center"/>
          </w:tcPr>
          <w:p w14:paraId="553A4368" w14:textId="77777777" w:rsidR="0062286E" w:rsidRPr="00B03E2B" w:rsidRDefault="0062286E" w:rsidP="004A7526">
            <w:pPr>
              <w:jc w:val="both"/>
              <w:rPr>
                <w:rFonts w:ascii="Times New Roman" w:hAnsi="Times New Roman" w:cs="Times New Roman"/>
                <w:sz w:val="24"/>
                <w:szCs w:val="24"/>
              </w:rPr>
            </w:pPr>
            <w:r>
              <w:rPr>
                <w:rFonts w:ascii="Times New Roman" w:hAnsi="Times New Roman" w:cs="Times New Roman"/>
                <w:sz w:val="24"/>
                <w:szCs w:val="24"/>
              </w:rPr>
              <w:t>Table of Contents………………………………………………………………………..v</w:t>
            </w:r>
          </w:p>
        </w:tc>
      </w:tr>
      <w:tr w:rsidR="0062286E" w14:paraId="02E8ED25" w14:textId="77777777" w:rsidTr="00AB4E38">
        <w:trPr>
          <w:trHeight w:val="432"/>
        </w:trPr>
        <w:tc>
          <w:tcPr>
            <w:tcW w:w="8630" w:type="dxa"/>
            <w:vAlign w:val="center"/>
          </w:tcPr>
          <w:p w14:paraId="1A2B1C49" w14:textId="3CCD905A" w:rsidR="0062286E" w:rsidRPr="00B03E2B" w:rsidRDefault="0062286E" w:rsidP="004A7526">
            <w:pPr>
              <w:jc w:val="both"/>
              <w:rPr>
                <w:rFonts w:ascii="Times New Roman" w:hAnsi="Times New Roman" w:cs="Times New Roman"/>
                <w:sz w:val="24"/>
                <w:szCs w:val="24"/>
              </w:rPr>
            </w:pPr>
            <w:r>
              <w:rPr>
                <w:rFonts w:ascii="Times New Roman" w:hAnsi="Times New Roman" w:cs="Times New Roman"/>
                <w:sz w:val="24"/>
                <w:szCs w:val="24"/>
              </w:rPr>
              <w:t>Dissertation Abstract...………………………………………………………………</w:t>
            </w:r>
            <w:r w:rsidR="00042322">
              <w:rPr>
                <w:rFonts w:ascii="Times New Roman" w:hAnsi="Times New Roman" w:cs="Times New Roman"/>
                <w:sz w:val="24"/>
                <w:szCs w:val="24"/>
              </w:rPr>
              <w:t>..viii</w:t>
            </w:r>
          </w:p>
        </w:tc>
      </w:tr>
      <w:tr w:rsidR="0062286E" w14:paraId="3B6F068F" w14:textId="77777777" w:rsidTr="00AB4E38">
        <w:trPr>
          <w:trHeight w:val="432"/>
        </w:trPr>
        <w:tc>
          <w:tcPr>
            <w:tcW w:w="8630" w:type="dxa"/>
            <w:vAlign w:val="center"/>
          </w:tcPr>
          <w:p w14:paraId="3CDE6900" w14:textId="4E157CF7" w:rsidR="0062286E" w:rsidRPr="00B03E2B" w:rsidRDefault="0062286E" w:rsidP="004A7526">
            <w:pPr>
              <w:jc w:val="both"/>
              <w:rPr>
                <w:rFonts w:ascii="Times New Roman" w:hAnsi="Times New Roman" w:cs="Times New Roman"/>
                <w:sz w:val="24"/>
                <w:szCs w:val="24"/>
              </w:rPr>
            </w:pPr>
            <w:r>
              <w:rPr>
                <w:rFonts w:ascii="Times New Roman" w:hAnsi="Times New Roman" w:cs="Times New Roman"/>
                <w:sz w:val="24"/>
                <w:szCs w:val="24"/>
              </w:rPr>
              <w:t>Chapter One: Introduction  ……………………………………………………………..</w:t>
            </w:r>
            <w:r w:rsidR="00042322">
              <w:rPr>
                <w:rFonts w:ascii="Times New Roman" w:hAnsi="Times New Roman" w:cs="Times New Roman"/>
                <w:sz w:val="24"/>
                <w:szCs w:val="24"/>
              </w:rPr>
              <w:t>1</w:t>
            </w:r>
          </w:p>
        </w:tc>
      </w:tr>
      <w:tr w:rsidR="0062286E" w14:paraId="294F71B8" w14:textId="77777777" w:rsidTr="00AB4E38">
        <w:trPr>
          <w:trHeight w:val="432"/>
        </w:trPr>
        <w:tc>
          <w:tcPr>
            <w:tcW w:w="8630" w:type="dxa"/>
            <w:vAlign w:val="center"/>
          </w:tcPr>
          <w:p w14:paraId="2D5B7976" w14:textId="141EE4B4" w:rsidR="0062286E" w:rsidRPr="00AB4E38" w:rsidRDefault="0062286E" w:rsidP="00AB4E38">
            <w:pPr>
              <w:pStyle w:val="ListParagraph"/>
              <w:numPr>
                <w:ilvl w:val="1"/>
                <w:numId w:val="8"/>
              </w:numPr>
              <w:jc w:val="both"/>
              <w:rPr>
                <w:rFonts w:ascii="Times New Roman" w:hAnsi="Times New Roman" w:cs="Times New Roman"/>
                <w:sz w:val="24"/>
                <w:szCs w:val="24"/>
              </w:rPr>
            </w:pPr>
            <w:r w:rsidRPr="00AB4E38">
              <w:rPr>
                <w:rFonts w:ascii="Times New Roman" w:hAnsi="Times New Roman" w:cs="Times New Roman"/>
                <w:sz w:val="24"/>
                <w:szCs w:val="24"/>
              </w:rPr>
              <w:t>Clinical Multidrug Resistance.……………………………………………...</w:t>
            </w:r>
            <w:r w:rsidR="00042322">
              <w:rPr>
                <w:rFonts w:ascii="Times New Roman" w:hAnsi="Times New Roman" w:cs="Times New Roman"/>
                <w:sz w:val="24"/>
                <w:szCs w:val="24"/>
              </w:rPr>
              <w:t>1</w:t>
            </w:r>
          </w:p>
        </w:tc>
      </w:tr>
      <w:tr w:rsidR="0062286E" w14:paraId="5C15B27B" w14:textId="77777777" w:rsidTr="00AB4E38">
        <w:trPr>
          <w:trHeight w:val="432"/>
        </w:trPr>
        <w:tc>
          <w:tcPr>
            <w:tcW w:w="8630" w:type="dxa"/>
            <w:vAlign w:val="center"/>
          </w:tcPr>
          <w:p w14:paraId="67CA6F1E" w14:textId="400F5BBB" w:rsidR="0062286E" w:rsidRPr="00AB4E38" w:rsidRDefault="00AB4E38" w:rsidP="00AB4E38">
            <w:pPr>
              <w:pStyle w:val="ListParagraph"/>
              <w:numPr>
                <w:ilvl w:val="1"/>
                <w:numId w:val="8"/>
              </w:numPr>
              <w:jc w:val="both"/>
              <w:rPr>
                <w:rFonts w:ascii="Times New Roman" w:hAnsi="Times New Roman" w:cs="Times New Roman"/>
                <w:sz w:val="24"/>
                <w:szCs w:val="24"/>
              </w:rPr>
            </w:pPr>
            <w:r>
              <w:rPr>
                <w:rFonts w:ascii="Times New Roman" w:hAnsi="Times New Roman" w:cs="Times New Roman"/>
                <w:i/>
                <w:iCs/>
                <w:sz w:val="24"/>
                <w:szCs w:val="24"/>
              </w:rPr>
              <w:t xml:space="preserve"> </w:t>
            </w:r>
            <w:r w:rsidR="0062286E" w:rsidRPr="00AB4E38">
              <w:rPr>
                <w:rFonts w:ascii="Times New Roman" w:hAnsi="Times New Roman" w:cs="Times New Roman"/>
                <w:i/>
                <w:iCs/>
                <w:sz w:val="24"/>
                <w:szCs w:val="24"/>
              </w:rPr>
              <w:t xml:space="preserve">Acinetobacter baumannii </w:t>
            </w:r>
            <w:r w:rsidR="0062286E" w:rsidRPr="00AB4E38">
              <w:rPr>
                <w:rFonts w:ascii="Times New Roman" w:hAnsi="Times New Roman" w:cs="Times New Roman"/>
                <w:sz w:val="24"/>
                <w:szCs w:val="24"/>
              </w:rPr>
              <w:t>– A Concerning Human Pathogen.………………7</w:t>
            </w:r>
          </w:p>
        </w:tc>
      </w:tr>
      <w:tr w:rsidR="0062286E" w14:paraId="3A67276E" w14:textId="77777777" w:rsidTr="00AB4E38">
        <w:trPr>
          <w:trHeight w:val="432"/>
        </w:trPr>
        <w:tc>
          <w:tcPr>
            <w:tcW w:w="8630" w:type="dxa"/>
            <w:vAlign w:val="center"/>
          </w:tcPr>
          <w:p w14:paraId="476CF7B1" w14:textId="0452A56A" w:rsidR="0062286E" w:rsidRPr="00AB4E38" w:rsidRDefault="0062286E" w:rsidP="00AB4E38">
            <w:pPr>
              <w:pStyle w:val="ListParagraph"/>
              <w:numPr>
                <w:ilvl w:val="1"/>
                <w:numId w:val="8"/>
              </w:numPr>
              <w:jc w:val="both"/>
              <w:rPr>
                <w:rFonts w:ascii="Times New Roman" w:hAnsi="Times New Roman" w:cs="Times New Roman"/>
                <w:sz w:val="24"/>
                <w:szCs w:val="24"/>
              </w:rPr>
            </w:pPr>
            <w:r w:rsidRPr="00AB4E38">
              <w:rPr>
                <w:rFonts w:ascii="Times New Roman" w:hAnsi="Times New Roman" w:cs="Times New Roman"/>
                <w:sz w:val="24"/>
                <w:szCs w:val="24"/>
              </w:rPr>
              <w:t>Efflux Pumps</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w:t>
            </w:r>
            <w:r w:rsidR="00042322">
              <w:rPr>
                <w:rFonts w:ascii="Times New Roman" w:hAnsi="Times New Roman" w:cs="Times New Roman"/>
                <w:sz w:val="24"/>
                <w:szCs w:val="24"/>
              </w:rPr>
              <w:t>8</w:t>
            </w:r>
          </w:p>
        </w:tc>
      </w:tr>
      <w:tr w:rsidR="0062286E" w14:paraId="68CA4635" w14:textId="77777777" w:rsidTr="00AB4E38">
        <w:trPr>
          <w:trHeight w:val="432"/>
        </w:trPr>
        <w:tc>
          <w:tcPr>
            <w:tcW w:w="8630" w:type="dxa"/>
            <w:vAlign w:val="center"/>
          </w:tcPr>
          <w:p w14:paraId="2260708B" w14:textId="5221119E"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Resistance-Nodulation-Division (RND) Superfamily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w:t>
            </w:r>
            <w:r w:rsidR="00042322">
              <w:rPr>
                <w:rFonts w:ascii="Times New Roman" w:hAnsi="Times New Roman" w:cs="Times New Roman"/>
                <w:sz w:val="24"/>
                <w:szCs w:val="24"/>
              </w:rPr>
              <w:t>…9</w:t>
            </w:r>
            <w:r w:rsidRPr="00AB4E38">
              <w:rPr>
                <w:rFonts w:ascii="Times New Roman" w:hAnsi="Times New Roman" w:cs="Times New Roman"/>
                <w:sz w:val="24"/>
                <w:szCs w:val="24"/>
              </w:rPr>
              <w:t xml:space="preserve">      </w:t>
            </w:r>
          </w:p>
        </w:tc>
      </w:tr>
      <w:tr w:rsidR="0062286E" w14:paraId="5FF6EB9A" w14:textId="77777777" w:rsidTr="00AB4E38">
        <w:trPr>
          <w:trHeight w:val="432"/>
        </w:trPr>
        <w:tc>
          <w:tcPr>
            <w:tcW w:w="8630" w:type="dxa"/>
            <w:vAlign w:val="center"/>
          </w:tcPr>
          <w:p w14:paraId="32F4448F" w14:textId="18636979"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Major Facilitator Superfamily (MFS)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………………………..1</w:t>
            </w:r>
            <w:r w:rsidR="00A16F48">
              <w:rPr>
                <w:rFonts w:ascii="Times New Roman" w:hAnsi="Times New Roman" w:cs="Times New Roman"/>
                <w:sz w:val="24"/>
                <w:szCs w:val="24"/>
              </w:rPr>
              <w:t>5</w:t>
            </w:r>
          </w:p>
        </w:tc>
      </w:tr>
      <w:tr w:rsidR="0062286E" w14:paraId="0ED06CEA" w14:textId="77777777" w:rsidTr="00AB4E38">
        <w:trPr>
          <w:trHeight w:val="432"/>
        </w:trPr>
        <w:tc>
          <w:tcPr>
            <w:tcW w:w="8630" w:type="dxa"/>
            <w:vAlign w:val="center"/>
          </w:tcPr>
          <w:p w14:paraId="61D04ABF" w14:textId="03F3DCBC" w:rsidR="0062286E" w:rsidRPr="00AB4E38" w:rsidRDefault="0062286E" w:rsidP="00AB4E38">
            <w:pPr>
              <w:pStyle w:val="ListParagraph"/>
              <w:numPr>
                <w:ilvl w:val="1"/>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Pathogen Strategies to Survive During Infections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………………………..1</w:t>
            </w:r>
            <w:r w:rsidR="00191FB5">
              <w:rPr>
                <w:rFonts w:ascii="Times New Roman" w:hAnsi="Times New Roman" w:cs="Times New Roman"/>
                <w:sz w:val="24"/>
                <w:szCs w:val="24"/>
              </w:rPr>
              <w:t>8</w:t>
            </w:r>
          </w:p>
        </w:tc>
      </w:tr>
      <w:tr w:rsidR="0062286E" w14:paraId="25F59D9C" w14:textId="77777777" w:rsidTr="00AB4E38">
        <w:trPr>
          <w:trHeight w:val="432"/>
        </w:trPr>
        <w:tc>
          <w:tcPr>
            <w:tcW w:w="8630" w:type="dxa"/>
            <w:vAlign w:val="center"/>
          </w:tcPr>
          <w:p w14:paraId="6CEEF338" w14:textId="19A52AC1"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Heat Shock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…………………………………………………..1</w:t>
            </w:r>
            <w:r w:rsidR="007C227D">
              <w:rPr>
                <w:rFonts w:ascii="Times New Roman" w:hAnsi="Times New Roman" w:cs="Times New Roman"/>
                <w:sz w:val="24"/>
                <w:szCs w:val="24"/>
              </w:rPr>
              <w:t>8</w:t>
            </w:r>
          </w:p>
        </w:tc>
      </w:tr>
      <w:tr w:rsidR="0062286E" w14:paraId="1DAC8A01" w14:textId="77777777" w:rsidTr="00AB4E38">
        <w:trPr>
          <w:trHeight w:val="432"/>
        </w:trPr>
        <w:tc>
          <w:tcPr>
            <w:tcW w:w="8630" w:type="dxa"/>
            <w:vAlign w:val="center"/>
          </w:tcPr>
          <w:p w14:paraId="5AAC43A9" w14:textId="44102CE0"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Low pH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w:t>
            </w:r>
            <w:r w:rsidR="007C227D">
              <w:rPr>
                <w:rFonts w:ascii="Times New Roman" w:hAnsi="Times New Roman" w:cs="Times New Roman"/>
                <w:sz w:val="24"/>
                <w:szCs w:val="24"/>
              </w:rPr>
              <w:t>19</w:t>
            </w:r>
          </w:p>
        </w:tc>
      </w:tr>
      <w:tr w:rsidR="0062286E" w14:paraId="7FDA8590" w14:textId="77777777" w:rsidTr="00AB4E38">
        <w:trPr>
          <w:trHeight w:val="432"/>
        </w:trPr>
        <w:tc>
          <w:tcPr>
            <w:tcW w:w="8630" w:type="dxa"/>
            <w:vAlign w:val="center"/>
          </w:tcPr>
          <w:p w14:paraId="7F371982" w14:textId="26E9FF03"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Low Iron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w:t>
            </w:r>
            <w:r w:rsidR="007C227D">
              <w:rPr>
                <w:rFonts w:ascii="Times New Roman" w:hAnsi="Times New Roman" w:cs="Times New Roman"/>
                <w:sz w:val="24"/>
                <w:szCs w:val="24"/>
              </w:rPr>
              <w:t>20</w:t>
            </w:r>
          </w:p>
        </w:tc>
      </w:tr>
      <w:tr w:rsidR="0062286E" w14:paraId="0746EEEA" w14:textId="77777777" w:rsidTr="00AB4E38">
        <w:trPr>
          <w:trHeight w:val="432"/>
        </w:trPr>
        <w:tc>
          <w:tcPr>
            <w:tcW w:w="8630" w:type="dxa"/>
            <w:vAlign w:val="center"/>
          </w:tcPr>
          <w:p w14:paraId="7D42D088" w14:textId="77469AC5"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Osmotic Pressure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w:t>
            </w:r>
            <w:r w:rsidR="00191FB5">
              <w:rPr>
                <w:rFonts w:ascii="Times New Roman" w:hAnsi="Times New Roman" w:cs="Times New Roman"/>
                <w:sz w:val="24"/>
                <w:szCs w:val="24"/>
              </w:rPr>
              <w:t>2</w:t>
            </w:r>
            <w:r w:rsidR="007C227D">
              <w:rPr>
                <w:rFonts w:ascii="Times New Roman" w:hAnsi="Times New Roman" w:cs="Times New Roman"/>
                <w:sz w:val="24"/>
                <w:szCs w:val="24"/>
              </w:rPr>
              <w:t>1</w:t>
            </w:r>
          </w:p>
        </w:tc>
      </w:tr>
      <w:tr w:rsidR="0062286E" w14:paraId="3A68682A" w14:textId="77777777" w:rsidTr="00AB4E38">
        <w:trPr>
          <w:trHeight w:val="432"/>
        </w:trPr>
        <w:tc>
          <w:tcPr>
            <w:tcW w:w="8630" w:type="dxa"/>
            <w:vAlign w:val="center"/>
          </w:tcPr>
          <w:p w14:paraId="47484413" w14:textId="5BD2B057" w:rsidR="0062286E" w:rsidRPr="00AB4E38" w:rsidRDefault="0062286E" w:rsidP="00AB4E38">
            <w:pPr>
              <w:pStyle w:val="ListParagraph"/>
              <w:numPr>
                <w:ilvl w:val="2"/>
                <w:numId w:val="8"/>
              </w:numPr>
              <w:jc w:val="both"/>
              <w:rPr>
                <w:rFonts w:ascii="Times New Roman" w:hAnsi="Times New Roman" w:cs="Times New Roman"/>
                <w:sz w:val="24"/>
                <w:szCs w:val="24"/>
              </w:rPr>
            </w:pPr>
            <w:r w:rsidRPr="00AB4E38">
              <w:rPr>
                <w:rFonts w:ascii="Times New Roman" w:hAnsi="Times New Roman" w:cs="Times New Roman"/>
                <w:sz w:val="24"/>
                <w:szCs w:val="24"/>
              </w:rPr>
              <w:t xml:space="preserve">Bile Salts  </w:t>
            </w:r>
            <w:r w:rsidR="00AB4E38">
              <w:rPr>
                <w:rFonts w:ascii="Times New Roman" w:hAnsi="Times New Roman" w:cs="Times New Roman"/>
                <w:sz w:val="24"/>
                <w:szCs w:val="24"/>
              </w:rPr>
              <w:t xml:space="preserve">  </w:t>
            </w:r>
            <w:r w:rsidRPr="00AB4E38">
              <w:rPr>
                <w:rFonts w:ascii="Times New Roman" w:hAnsi="Times New Roman" w:cs="Times New Roman"/>
                <w:sz w:val="24"/>
                <w:szCs w:val="24"/>
              </w:rPr>
              <w:t>…………………………………………………….</w:t>
            </w:r>
            <w:r w:rsidR="00191FB5">
              <w:rPr>
                <w:rFonts w:ascii="Times New Roman" w:hAnsi="Times New Roman" w:cs="Times New Roman"/>
                <w:sz w:val="24"/>
                <w:szCs w:val="24"/>
              </w:rPr>
              <w:t>23</w:t>
            </w:r>
          </w:p>
        </w:tc>
      </w:tr>
      <w:tr w:rsidR="00AB4E38" w14:paraId="07A02109" w14:textId="77777777" w:rsidTr="00AB4E38">
        <w:trPr>
          <w:trHeight w:val="432"/>
        </w:trPr>
        <w:tc>
          <w:tcPr>
            <w:tcW w:w="8630" w:type="dxa"/>
            <w:vAlign w:val="center"/>
          </w:tcPr>
          <w:p w14:paraId="29E314C2" w14:textId="26B42CD9" w:rsidR="00AB4E38" w:rsidRPr="00AB4E38" w:rsidRDefault="00AB4E38" w:rsidP="00AB4E38">
            <w:pPr>
              <w:pStyle w:val="ListParagraph"/>
              <w:numPr>
                <w:ilvl w:val="1"/>
                <w:numId w:val="8"/>
              </w:numPr>
              <w:jc w:val="both"/>
              <w:rPr>
                <w:rFonts w:ascii="Times New Roman" w:hAnsi="Times New Roman" w:cs="Times New Roman"/>
                <w:sz w:val="24"/>
                <w:szCs w:val="24"/>
              </w:rPr>
            </w:pPr>
            <w:r>
              <w:rPr>
                <w:rFonts w:ascii="Times New Roman" w:hAnsi="Times New Roman" w:cs="Times New Roman"/>
                <w:sz w:val="24"/>
                <w:szCs w:val="24"/>
              </w:rPr>
              <w:t xml:space="preserve"> </w:t>
            </w:r>
            <w:r w:rsidRPr="00AB4E38">
              <w:rPr>
                <w:rFonts w:ascii="Times New Roman" w:hAnsi="Times New Roman" w:cs="Times New Roman"/>
                <w:sz w:val="24"/>
                <w:szCs w:val="24"/>
              </w:rPr>
              <w:t>Efflux Pump Inhibitors (EPIs)…………………………………………….</w:t>
            </w:r>
            <w:r w:rsidR="00191FB5">
              <w:rPr>
                <w:rFonts w:ascii="Times New Roman" w:hAnsi="Times New Roman" w:cs="Times New Roman"/>
                <w:sz w:val="24"/>
                <w:szCs w:val="24"/>
              </w:rPr>
              <w:t>24</w:t>
            </w:r>
          </w:p>
        </w:tc>
      </w:tr>
      <w:tr w:rsidR="00191FB5" w14:paraId="64609A94" w14:textId="77777777" w:rsidTr="00AB4E38">
        <w:trPr>
          <w:trHeight w:val="432"/>
        </w:trPr>
        <w:tc>
          <w:tcPr>
            <w:tcW w:w="8630" w:type="dxa"/>
            <w:vAlign w:val="center"/>
          </w:tcPr>
          <w:p w14:paraId="6EF91326" w14:textId="4E92E0CA" w:rsidR="00191FB5" w:rsidRDefault="00191FB5" w:rsidP="00AB4E38">
            <w:pPr>
              <w:pStyle w:val="ListParagraph"/>
              <w:numPr>
                <w:ilvl w:val="1"/>
                <w:numId w:val="8"/>
              </w:numPr>
              <w:jc w:val="both"/>
              <w:rPr>
                <w:rFonts w:ascii="Times New Roman" w:hAnsi="Times New Roman" w:cs="Times New Roman"/>
                <w:sz w:val="24"/>
                <w:szCs w:val="24"/>
              </w:rPr>
            </w:pPr>
            <w:r>
              <w:rPr>
                <w:rFonts w:ascii="Times New Roman" w:hAnsi="Times New Roman" w:cs="Times New Roman"/>
                <w:sz w:val="24"/>
                <w:szCs w:val="24"/>
              </w:rPr>
              <w:t xml:space="preserve"> Critical assessment of the literature ………………………………………2</w:t>
            </w:r>
            <w:r w:rsidR="007F5511">
              <w:rPr>
                <w:rFonts w:ascii="Times New Roman" w:hAnsi="Times New Roman" w:cs="Times New Roman"/>
                <w:sz w:val="24"/>
                <w:szCs w:val="24"/>
              </w:rPr>
              <w:t>6</w:t>
            </w:r>
          </w:p>
        </w:tc>
      </w:tr>
      <w:tr w:rsidR="0062286E" w14:paraId="52A359FA" w14:textId="77777777" w:rsidTr="00AB4E38">
        <w:trPr>
          <w:trHeight w:val="432"/>
        </w:trPr>
        <w:tc>
          <w:tcPr>
            <w:tcW w:w="8630" w:type="dxa"/>
            <w:vAlign w:val="center"/>
          </w:tcPr>
          <w:p w14:paraId="5270F63D" w14:textId="20144A81"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Chapter Two: Methods  .……………………………………………………………….2</w:t>
            </w:r>
            <w:r w:rsidR="007F5511">
              <w:rPr>
                <w:rFonts w:ascii="Times New Roman" w:hAnsi="Times New Roman" w:cs="Times New Roman"/>
                <w:sz w:val="24"/>
                <w:szCs w:val="24"/>
              </w:rPr>
              <w:t>7</w:t>
            </w:r>
          </w:p>
        </w:tc>
      </w:tr>
      <w:tr w:rsidR="00CC6C40" w14:paraId="7D254111" w14:textId="77777777" w:rsidTr="00AB4E38">
        <w:trPr>
          <w:trHeight w:val="432"/>
        </w:trPr>
        <w:tc>
          <w:tcPr>
            <w:tcW w:w="8630" w:type="dxa"/>
            <w:vAlign w:val="center"/>
          </w:tcPr>
          <w:p w14:paraId="71AC617F" w14:textId="23550E31" w:rsidR="00CC6C40" w:rsidRDefault="00CC6C40" w:rsidP="004A7526">
            <w:pPr>
              <w:jc w:val="both"/>
              <w:rPr>
                <w:rFonts w:ascii="Times New Roman" w:hAnsi="Times New Roman" w:cs="Times New Roman"/>
                <w:sz w:val="24"/>
                <w:szCs w:val="24"/>
              </w:rPr>
            </w:pPr>
            <w:r>
              <w:rPr>
                <w:rFonts w:ascii="Times New Roman" w:hAnsi="Times New Roman" w:cs="Times New Roman"/>
                <w:sz w:val="24"/>
                <w:szCs w:val="24"/>
              </w:rPr>
              <w:t xml:space="preserve">             2.1. Tables …………………………………………………………………….2</w:t>
            </w:r>
            <w:r w:rsidR="00700675">
              <w:rPr>
                <w:rFonts w:ascii="Times New Roman" w:hAnsi="Times New Roman" w:cs="Times New Roman"/>
                <w:sz w:val="24"/>
                <w:szCs w:val="24"/>
              </w:rPr>
              <w:t>7</w:t>
            </w:r>
          </w:p>
        </w:tc>
      </w:tr>
      <w:tr w:rsidR="0062286E" w14:paraId="55969DD3" w14:textId="77777777" w:rsidTr="00AB4E38">
        <w:trPr>
          <w:trHeight w:val="432"/>
        </w:trPr>
        <w:tc>
          <w:tcPr>
            <w:tcW w:w="8630" w:type="dxa"/>
            <w:vAlign w:val="center"/>
          </w:tcPr>
          <w:p w14:paraId="5FBFA129" w14:textId="4C9ADFBF"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2.2. </w:t>
            </w:r>
            <w:r>
              <w:rPr>
                <w:rFonts w:ascii="Times New Roman" w:hAnsi="Times New Roman" w:cs="Times New Roman"/>
                <w:sz w:val="24"/>
                <w:szCs w:val="24"/>
              </w:rPr>
              <w:t xml:space="preserve">Strains and Growth Conditions </w:t>
            </w:r>
            <w:r w:rsidR="00AB4E38">
              <w:rPr>
                <w:rFonts w:ascii="Times New Roman" w:hAnsi="Times New Roman" w:cs="Times New Roman"/>
                <w:sz w:val="24"/>
                <w:szCs w:val="24"/>
              </w:rPr>
              <w:t xml:space="preserve"> </w:t>
            </w:r>
            <w:r>
              <w:rPr>
                <w:rFonts w:ascii="Times New Roman" w:hAnsi="Times New Roman" w:cs="Times New Roman"/>
                <w:sz w:val="24"/>
                <w:szCs w:val="24"/>
              </w:rPr>
              <w:t>………………………………………….</w:t>
            </w:r>
            <w:r w:rsidR="00700675">
              <w:rPr>
                <w:rFonts w:ascii="Times New Roman" w:hAnsi="Times New Roman" w:cs="Times New Roman"/>
                <w:sz w:val="24"/>
                <w:szCs w:val="24"/>
              </w:rPr>
              <w:t>31</w:t>
            </w:r>
          </w:p>
        </w:tc>
      </w:tr>
      <w:tr w:rsidR="0062286E" w14:paraId="1EBFB3BD" w14:textId="77777777" w:rsidTr="00AB4E38">
        <w:trPr>
          <w:trHeight w:val="432"/>
        </w:trPr>
        <w:tc>
          <w:tcPr>
            <w:tcW w:w="8630" w:type="dxa"/>
            <w:vAlign w:val="center"/>
          </w:tcPr>
          <w:p w14:paraId="0E319221" w14:textId="70F11ED1"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2.3. </w:t>
            </w:r>
            <w:r>
              <w:rPr>
                <w:rFonts w:ascii="Times New Roman" w:hAnsi="Times New Roman" w:cs="Times New Roman"/>
                <w:sz w:val="24"/>
                <w:szCs w:val="24"/>
              </w:rPr>
              <w:t xml:space="preserve">Plasmid Construction </w:t>
            </w:r>
            <w:r w:rsidR="00AB4E38">
              <w:rPr>
                <w:rFonts w:ascii="Times New Roman" w:hAnsi="Times New Roman" w:cs="Times New Roman"/>
                <w:sz w:val="24"/>
                <w:szCs w:val="24"/>
              </w:rPr>
              <w:t xml:space="preserve"> ....</w:t>
            </w:r>
            <w:r>
              <w:rPr>
                <w:rFonts w:ascii="Times New Roman" w:hAnsi="Times New Roman" w:cs="Times New Roman"/>
                <w:sz w:val="24"/>
                <w:szCs w:val="24"/>
              </w:rPr>
              <w:t>…………………………………………………</w:t>
            </w:r>
            <w:r w:rsidR="00191FB5">
              <w:rPr>
                <w:rFonts w:ascii="Times New Roman" w:hAnsi="Times New Roman" w:cs="Times New Roman"/>
                <w:sz w:val="24"/>
                <w:szCs w:val="24"/>
              </w:rPr>
              <w:t>3</w:t>
            </w:r>
            <w:r w:rsidR="007F5511">
              <w:rPr>
                <w:rFonts w:ascii="Times New Roman" w:hAnsi="Times New Roman" w:cs="Times New Roman"/>
                <w:sz w:val="24"/>
                <w:szCs w:val="24"/>
              </w:rPr>
              <w:t>1</w:t>
            </w:r>
          </w:p>
        </w:tc>
      </w:tr>
      <w:tr w:rsidR="0062286E" w14:paraId="4956C013" w14:textId="77777777" w:rsidTr="00AB4E38">
        <w:trPr>
          <w:trHeight w:val="432"/>
        </w:trPr>
        <w:tc>
          <w:tcPr>
            <w:tcW w:w="8630" w:type="dxa"/>
            <w:vAlign w:val="center"/>
          </w:tcPr>
          <w:p w14:paraId="3B5F1288" w14:textId="20B71CC6"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2.4. </w:t>
            </w:r>
            <w:r>
              <w:rPr>
                <w:rFonts w:ascii="Times New Roman" w:hAnsi="Times New Roman" w:cs="Times New Roman"/>
                <w:sz w:val="24"/>
                <w:szCs w:val="24"/>
              </w:rPr>
              <w:t xml:space="preserve">Chromosomal DNA Insertion </w:t>
            </w:r>
            <w:r w:rsidR="00AB4E38">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3</w:t>
            </w:r>
            <w:r w:rsidR="007F5511">
              <w:rPr>
                <w:rFonts w:ascii="Times New Roman" w:hAnsi="Times New Roman" w:cs="Times New Roman"/>
                <w:sz w:val="24"/>
                <w:szCs w:val="24"/>
              </w:rPr>
              <w:t>2</w:t>
            </w:r>
          </w:p>
        </w:tc>
      </w:tr>
      <w:tr w:rsidR="0062286E" w14:paraId="269B63E3" w14:textId="77777777" w:rsidTr="00AB4E38">
        <w:trPr>
          <w:trHeight w:val="432"/>
        </w:trPr>
        <w:tc>
          <w:tcPr>
            <w:tcW w:w="8630" w:type="dxa"/>
            <w:vAlign w:val="center"/>
          </w:tcPr>
          <w:p w14:paraId="20137C7C" w14:textId="7EFF473D"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2.5. </w:t>
            </w:r>
            <w:r>
              <w:rPr>
                <w:rFonts w:ascii="Times New Roman" w:hAnsi="Times New Roman" w:cs="Times New Roman"/>
                <w:sz w:val="24"/>
                <w:szCs w:val="24"/>
              </w:rPr>
              <w:t>Site-Directed Mutagenesis ……………………………………………….</w:t>
            </w:r>
            <w:r w:rsidR="00191FB5">
              <w:rPr>
                <w:rFonts w:ascii="Times New Roman" w:hAnsi="Times New Roman" w:cs="Times New Roman"/>
                <w:sz w:val="24"/>
                <w:szCs w:val="24"/>
              </w:rPr>
              <w:t>3</w:t>
            </w:r>
            <w:r w:rsidR="00700675">
              <w:rPr>
                <w:rFonts w:ascii="Times New Roman" w:hAnsi="Times New Roman" w:cs="Times New Roman"/>
                <w:sz w:val="24"/>
                <w:szCs w:val="24"/>
              </w:rPr>
              <w:t>2</w:t>
            </w:r>
          </w:p>
        </w:tc>
      </w:tr>
      <w:tr w:rsidR="0062286E" w14:paraId="4F8DA3AC" w14:textId="77777777" w:rsidTr="00AB4E38">
        <w:trPr>
          <w:trHeight w:val="432"/>
        </w:trPr>
        <w:tc>
          <w:tcPr>
            <w:tcW w:w="8630" w:type="dxa"/>
            <w:vAlign w:val="center"/>
          </w:tcPr>
          <w:p w14:paraId="3253AFD7" w14:textId="0739E463"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2.6. </w:t>
            </w:r>
            <w:r>
              <w:rPr>
                <w:rFonts w:ascii="Times New Roman" w:hAnsi="Times New Roman" w:cs="Times New Roman"/>
                <w:sz w:val="24"/>
                <w:szCs w:val="24"/>
              </w:rPr>
              <w:t>Minimum Inhibitory Concentration (MIC) Determination ………………</w:t>
            </w:r>
            <w:r w:rsidR="00191FB5">
              <w:rPr>
                <w:rFonts w:ascii="Times New Roman" w:hAnsi="Times New Roman" w:cs="Times New Roman"/>
                <w:sz w:val="24"/>
                <w:szCs w:val="24"/>
              </w:rPr>
              <w:t>3</w:t>
            </w:r>
            <w:r w:rsidR="007F5511">
              <w:rPr>
                <w:rFonts w:ascii="Times New Roman" w:hAnsi="Times New Roman" w:cs="Times New Roman"/>
                <w:sz w:val="24"/>
                <w:szCs w:val="24"/>
              </w:rPr>
              <w:t>3</w:t>
            </w:r>
          </w:p>
        </w:tc>
      </w:tr>
      <w:tr w:rsidR="0062286E" w14:paraId="56B2B0BD" w14:textId="77777777" w:rsidTr="00AB4E38">
        <w:trPr>
          <w:trHeight w:val="432"/>
        </w:trPr>
        <w:tc>
          <w:tcPr>
            <w:tcW w:w="8630" w:type="dxa"/>
            <w:vAlign w:val="center"/>
          </w:tcPr>
          <w:p w14:paraId="07CCCBCA" w14:textId="60F32491"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2.7. </w:t>
            </w:r>
            <w:r>
              <w:rPr>
                <w:rFonts w:ascii="Times New Roman" w:hAnsi="Times New Roman" w:cs="Times New Roman"/>
                <w:sz w:val="24"/>
                <w:szCs w:val="24"/>
              </w:rPr>
              <w:t xml:space="preserve">MPC4 Determination </w:t>
            </w:r>
            <w:r w:rsidR="00AB4E38">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3</w:t>
            </w:r>
            <w:r w:rsidR="00700675">
              <w:rPr>
                <w:rFonts w:ascii="Times New Roman" w:hAnsi="Times New Roman" w:cs="Times New Roman"/>
                <w:sz w:val="24"/>
                <w:szCs w:val="24"/>
              </w:rPr>
              <w:t>3</w:t>
            </w:r>
          </w:p>
        </w:tc>
      </w:tr>
      <w:tr w:rsidR="0062286E" w14:paraId="66E708FE" w14:textId="77777777" w:rsidTr="00AB4E38">
        <w:trPr>
          <w:trHeight w:val="432"/>
        </w:trPr>
        <w:tc>
          <w:tcPr>
            <w:tcW w:w="8630" w:type="dxa"/>
            <w:vAlign w:val="center"/>
          </w:tcPr>
          <w:p w14:paraId="203330E2" w14:textId="11C937E1"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2.8. </w:t>
            </w:r>
            <w:r>
              <w:rPr>
                <w:rFonts w:ascii="Times New Roman" w:hAnsi="Times New Roman" w:cs="Times New Roman"/>
                <w:sz w:val="24"/>
                <w:szCs w:val="24"/>
              </w:rPr>
              <w:t>Growth Curve Determination ……………………………………………</w:t>
            </w:r>
            <w:r w:rsidR="00191FB5">
              <w:rPr>
                <w:rFonts w:ascii="Times New Roman" w:hAnsi="Times New Roman" w:cs="Times New Roman"/>
                <w:sz w:val="24"/>
                <w:szCs w:val="24"/>
              </w:rPr>
              <w:t>3</w:t>
            </w:r>
            <w:r w:rsidR="007F5511">
              <w:rPr>
                <w:rFonts w:ascii="Times New Roman" w:hAnsi="Times New Roman" w:cs="Times New Roman"/>
                <w:sz w:val="24"/>
                <w:szCs w:val="24"/>
              </w:rPr>
              <w:t>4</w:t>
            </w:r>
          </w:p>
        </w:tc>
      </w:tr>
      <w:tr w:rsidR="0062286E" w14:paraId="64060140" w14:textId="77777777" w:rsidTr="00AB4E38">
        <w:trPr>
          <w:trHeight w:val="432"/>
        </w:trPr>
        <w:tc>
          <w:tcPr>
            <w:tcW w:w="8630" w:type="dxa"/>
            <w:vAlign w:val="center"/>
          </w:tcPr>
          <w:p w14:paraId="4850EFA2" w14:textId="17F5212B"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2.9. </w:t>
            </w:r>
            <w:r>
              <w:rPr>
                <w:rFonts w:ascii="Times New Roman" w:hAnsi="Times New Roman" w:cs="Times New Roman"/>
                <w:sz w:val="24"/>
                <w:szCs w:val="24"/>
              </w:rPr>
              <w:t>Membrane Fraction Purification …………………………………………</w:t>
            </w:r>
            <w:r w:rsidR="00191FB5">
              <w:rPr>
                <w:rFonts w:ascii="Times New Roman" w:hAnsi="Times New Roman" w:cs="Times New Roman"/>
                <w:sz w:val="24"/>
                <w:szCs w:val="24"/>
              </w:rPr>
              <w:t>3</w:t>
            </w:r>
            <w:r w:rsidR="00700675">
              <w:rPr>
                <w:rFonts w:ascii="Times New Roman" w:hAnsi="Times New Roman" w:cs="Times New Roman"/>
                <w:sz w:val="24"/>
                <w:szCs w:val="24"/>
              </w:rPr>
              <w:t>4</w:t>
            </w:r>
          </w:p>
        </w:tc>
      </w:tr>
      <w:tr w:rsidR="0062286E" w14:paraId="01426E10" w14:textId="77777777" w:rsidTr="00AB4E38">
        <w:trPr>
          <w:trHeight w:val="432"/>
        </w:trPr>
        <w:tc>
          <w:tcPr>
            <w:tcW w:w="8630" w:type="dxa"/>
            <w:vAlign w:val="center"/>
          </w:tcPr>
          <w:p w14:paraId="556AE790" w14:textId="6D5C92C9"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B4E38">
              <w:rPr>
                <w:rFonts w:ascii="Times New Roman" w:hAnsi="Times New Roman" w:cs="Times New Roman"/>
                <w:sz w:val="24"/>
                <w:szCs w:val="24"/>
              </w:rPr>
              <w:t xml:space="preserve">2.10. </w:t>
            </w:r>
            <w:r>
              <w:rPr>
                <w:rFonts w:ascii="Times New Roman" w:hAnsi="Times New Roman" w:cs="Times New Roman"/>
                <w:sz w:val="24"/>
                <w:szCs w:val="24"/>
              </w:rPr>
              <w:t xml:space="preserve">Protein Concentration Determination </w:t>
            </w:r>
            <w:r w:rsidR="00191FB5">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3</w:t>
            </w:r>
            <w:r w:rsidR="007F5511">
              <w:rPr>
                <w:rFonts w:ascii="Times New Roman" w:hAnsi="Times New Roman" w:cs="Times New Roman"/>
                <w:sz w:val="24"/>
                <w:szCs w:val="24"/>
              </w:rPr>
              <w:t>5</w:t>
            </w:r>
          </w:p>
        </w:tc>
      </w:tr>
      <w:tr w:rsidR="0062286E" w14:paraId="4494BEFE" w14:textId="77777777" w:rsidTr="00AB4E38">
        <w:trPr>
          <w:trHeight w:val="432"/>
        </w:trPr>
        <w:tc>
          <w:tcPr>
            <w:tcW w:w="8630" w:type="dxa"/>
            <w:vAlign w:val="center"/>
          </w:tcPr>
          <w:p w14:paraId="6C84FAC1" w14:textId="307F28F2"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2.11. </w:t>
            </w:r>
            <w:r>
              <w:rPr>
                <w:rFonts w:ascii="Times New Roman" w:hAnsi="Times New Roman" w:cs="Times New Roman"/>
                <w:sz w:val="24"/>
                <w:szCs w:val="24"/>
              </w:rPr>
              <w:t xml:space="preserve">Inner and Outer Membrane Fraction Separation </w:t>
            </w:r>
            <w:r w:rsidR="00AB4E38">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3</w:t>
            </w:r>
            <w:r w:rsidR="00700675">
              <w:rPr>
                <w:rFonts w:ascii="Times New Roman" w:hAnsi="Times New Roman" w:cs="Times New Roman"/>
                <w:sz w:val="24"/>
                <w:szCs w:val="24"/>
              </w:rPr>
              <w:t>5</w:t>
            </w:r>
          </w:p>
        </w:tc>
      </w:tr>
      <w:tr w:rsidR="0062286E" w14:paraId="74C32C92" w14:textId="77777777" w:rsidTr="00AB4E38">
        <w:trPr>
          <w:trHeight w:val="432"/>
        </w:trPr>
        <w:tc>
          <w:tcPr>
            <w:tcW w:w="8630" w:type="dxa"/>
            <w:vAlign w:val="center"/>
          </w:tcPr>
          <w:p w14:paraId="196FE57A" w14:textId="409D3C0A"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2.12. </w:t>
            </w:r>
            <w:r>
              <w:rPr>
                <w:rFonts w:ascii="Times New Roman" w:hAnsi="Times New Roman" w:cs="Times New Roman"/>
                <w:sz w:val="24"/>
                <w:szCs w:val="24"/>
              </w:rPr>
              <w:t>NPN Fluorescent Probe Uptake Assay …………………………………</w:t>
            </w:r>
            <w:r w:rsidR="00191FB5">
              <w:rPr>
                <w:rFonts w:ascii="Times New Roman" w:hAnsi="Times New Roman" w:cs="Times New Roman"/>
                <w:sz w:val="24"/>
                <w:szCs w:val="24"/>
              </w:rPr>
              <w:t>3</w:t>
            </w:r>
            <w:r w:rsidR="007F5511">
              <w:rPr>
                <w:rFonts w:ascii="Times New Roman" w:hAnsi="Times New Roman" w:cs="Times New Roman"/>
                <w:sz w:val="24"/>
                <w:szCs w:val="24"/>
              </w:rPr>
              <w:t>6</w:t>
            </w:r>
          </w:p>
        </w:tc>
      </w:tr>
      <w:tr w:rsidR="0062286E" w14:paraId="38861773" w14:textId="77777777" w:rsidTr="00AB4E38">
        <w:trPr>
          <w:trHeight w:val="432"/>
        </w:trPr>
        <w:tc>
          <w:tcPr>
            <w:tcW w:w="8630" w:type="dxa"/>
            <w:vAlign w:val="center"/>
          </w:tcPr>
          <w:p w14:paraId="7E91C02A" w14:textId="229983AB"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2.13. </w:t>
            </w:r>
            <w:r>
              <w:rPr>
                <w:rFonts w:ascii="Times New Roman" w:hAnsi="Times New Roman" w:cs="Times New Roman"/>
                <w:sz w:val="24"/>
                <w:szCs w:val="24"/>
              </w:rPr>
              <w:t xml:space="preserve">Analysis of Fluorescence Uptake Data  </w:t>
            </w:r>
            <w:r w:rsidR="00AB4E38">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3</w:t>
            </w:r>
            <w:r w:rsidR="007F5511">
              <w:rPr>
                <w:rFonts w:ascii="Times New Roman" w:hAnsi="Times New Roman" w:cs="Times New Roman"/>
                <w:sz w:val="24"/>
                <w:szCs w:val="24"/>
              </w:rPr>
              <w:t>6</w:t>
            </w:r>
          </w:p>
        </w:tc>
      </w:tr>
      <w:tr w:rsidR="0062286E" w14:paraId="7498B8E5" w14:textId="77777777" w:rsidTr="00AB4E38">
        <w:trPr>
          <w:trHeight w:val="432"/>
        </w:trPr>
        <w:tc>
          <w:tcPr>
            <w:tcW w:w="8630" w:type="dxa"/>
            <w:vAlign w:val="center"/>
          </w:tcPr>
          <w:p w14:paraId="0B3E6AED" w14:textId="0FB6D0EE"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2.14. </w:t>
            </w:r>
            <w:r>
              <w:rPr>
                <w:rFonts w:ascii="Times New Roman" w:hAnsi="Times New Roman" w:cs="Times New Roman"/>
                <w:sz w:val="24"/>
                <w:szCs w:val="24"/>
              </w:rPr>
              <w:t xml:space="preserve">Clustering  </w:t>
            </w:r>
            <w:r w:rsidR="00AB4E38">
              <w:rPr>
                <w:rFonts w:ascii="Times New Roman" w:hAnsi="Times New Roman" w:cs="Times New Roman"/>
                <w:sz w:val="24"/>
                <w:szCs w:val="24"/>
              </w:rPr>
              <w:t xml:space="preserve"> .</w:t>
            </w:r>
            <w:r>
              <w:rPr>
                <w:rFonts w:ascii="Times New Roman" w:hAnsi="Times New Roman" w:cs="Times New Roman"/>
                <w:sz w:val="24"/>
                <w:szCs w:val="24"/>
              </w:rPr>
              <w:t>……………………………………………………………..</w:t>
            </w:r>
            <w:r w:rsidR="00191FB5">
              <w:rPr>
                <w:rFonts w:ascii="Times New Roman" w:hAnsi="Times New Roman" w:cs="Times New Roman"/>
                <w:sz w:val="24"/>
                <w:szCs w:val="24"/>
              </w:rPr>
              <w:t>3</w:t>
            </w:r>
            <w:r w:rsidR="00700675">
              <w:rPr>
                <w:rFonts w:ascii="Times New Roman" w:hAnsi="Times New Roman" w:cs="Times New Roman"/>
                <w:sz w:val="24"/>
                <w:szCs w:val="24"/>
              </w:rPr>
              <w:t>6</w:t>
            </w:r>
          </w:p>
        </w:tc>
      </w:tr>
      <w:tr w:rsidR="0062286E" w14:paraId="15F30F5B" w14:textId="77777777" w:rsidTr="00AB4E38">
        <w:trPr>
          <w:trHeight w:val="432"/>
        </w:trPr>
        <w:tc>
          <w:tcPr>
            <w:tcW w:w="8630" w:type="dxa"/>
            <w:vAlign w:val="center"/>
          </w:tcPr>
          <w:p w14:paraId="21FA2F3E" w14:textId="6A130E0A"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2.15. </w:t>
            </w:r>
            <w:r>
              <w:rPr>
                <w:rFonts w:ascii="Times New Roman" w:hAnsi="Times New Roman" w:cs="Times New Roman"/>
                <w:sz w:val="24"/>
                <w:szCs w:val="24"/>
              </w:rPr>
              <w:t>Antigen Preparation for Antibody Production …………………………..</w:t>
            </w:r>
            <w:r w:rsidR="00191FB5">
              <w:rPr>
                <w:rFonts w:ascii="Times New Roman" w:hAnsi="Times New Roman" w:cs="Times New Roman"/>
                <w:sz w:val="24"/>
                <w:szCs w:val="24"/>
              </w:rPr>
              <w:t>3</w:t>
            </w:r>
            <w:r w:rsidR="007F5511">
              <w:rPr>
                <w:rFonts w:ascii="Times New Roman" w:hAnsi="Times New Roman" w:cs="Times New Roman"/>
                <w:sz w:val="24"/>
                <w:szCs w:val="24"/>
              </w:rPr>
              <w:t>7</w:t>
            </w:r>
          </w:p>
        </w:tc>
      </w:tr>
      <w:tr w:rsidR="0062286E" w14:paraId="3A2CCC48" w14:textId="77777777" w:rsidTr="00AB4E38">
        <w:trPr>
          <w:trHeight w:val="432"/>
        </w:trPr>
        <w:tc>
          <w:tcPr>
            <w:tcW w:w="8630" w:type="dxa"/>
            <w:vAlign w:val="center"/>
          </w:tcPr>
          <w:p w14:paraId="28A0C185" w14:textId="5F7228A0"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2.16. </w:t>
            </w:r>
            <w:r>
              <w:rPr>
                <w:rFonts w:ascii="Times New Roman" w:hAnsi="Times New Roman" w:cs="Times New Roman"/>
                <w:sz w:val="24"/>
                <w:szCs w:val="24"/>
              </w:rPr>
              <w:t xml:space="preserve">Protein Structure Modeling  </w:t>
            </w:r>
            <w:r w:rsidR="00AB4E38">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3</w:t>
            </w:r>
            <w:r w:rsidR="007F5511">
              <w:rPr>
                <w:rFonts w:ascii="Times New Roman" w:hAnsi="Times New Roman" w:cs="Times New Roman"/>
                <w:sz w:val="24"/>
                <w:szCs w:val="24"/>
              </w:rPr>
              <w:t>8</w:t>
            </w:r>
          </w:p>
        </w:tc>
      </w:tr>
      <w:tr w:rsidR="0062286E" w14:paraId="65C9AD94" w14:textId="77777777" w:rsidTr="00AB4E38">
        <w:trPr>
          <w:trHeight w:val="432"/>
        </w:trPr>
        <w:tc>
          <w:tcPr>
            <w:tcW w:w="8630" w:type="dxa"/>
            <w:vAlign w:val="center"/>
          </w:tcPr>
          <w:p w14:paraId="63A5AC23" w14:textId="3D1946CD" w:rsidR="0062286E" w:rsidRPr="0052070F"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Chapter 3: Characterization of Two MFS Efflux Pumps, </w:t>
            </w:r>
            <w:proofErr w:type="spellStart"/>
            <w:r>
              <w:rPr>
                <w:rFonts w:ascii="Times New Roman" w:hAnsi="Times New Roman" w:cs="Times New Roman"/>
                <w:sz w:val="24"/>
                <w:szCs w:val="24"/>
              </w:rPr>
              <w:t>AmfAB</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AmfAC</w:t>
            </w:r>
            <w:proofErr w:type="spellEnd"/>
            <w:r>
              <w:rPr>
                <w:rFonts w:ascii="Times New Roman" w:hAnsi="Times New Roman" w:cs="Times New Roman"/>
                <w:sz w:val="24"/>
                <w:szCs w:val="24"/>
              </w:rPr>
              <w:t xml:space="preserve">, from Multidrug Resistant Strain </w:t>
            </w:r>
            <w:r>
              <w:rPr>
                <w:rFonts w:ascii="Times New Roman" w:hAnsi="Times New Roman" w:cs="Times New Roman"/>
                <w:i/>
                <w:iCs/>
                <w:sz w:val="24"/>
                <w:szCs w:val="24"/>
              </w:rPr>
              <w:t>A. baumannii</w:t>
            </w:r>
            <w:r>
              <w:rPr>
                <w:rFonts w:ascii="Times New Roman" w:hAnsi="Times New Roman" w:cs="Times New Roman"/>
                <w:sz w:val="24"/>
                <w:szCs w:val="24"/>
              </w:rPr>
              <w:t xml:space="preserve"> 5075..………………………………………</w:t>
            </w:r>
            <w:r w:rsidR="007F5511">
              <w:rPr>
                <w:rFonts w:ascii="Times New Roman" w:hAnsi="Times New Roman" w:cs="Times New Roman"/>
                <w:sz w:val="24"/>
                <w:szCs w:val="24"/>
              </w:rPr>
              <w:t>39</w:t>
            </w:r>
          </w:p>
        </w:tc>
      </w:tr>
      <w:tr w:rsidR="0062286E" w14:paraId="0F972DDA" w14:textId="77777777" w:rsidTr="00AB4E38">
        <w:trPr>
          <w:trHeight w:val="432"/>
        </w:trPr>
        <w:tc>
          <w:tcPr>
            <w:tcW w:w="8630" w:type="dxa"/>
            <w:vAlign w:val="center"/>
          </w:tcPr>
          <w:p w14:paraId="0514F211" w14:textId="513F1A44"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3.1. </w:t>
            </w:r>
            <w:r>
              <w:rPr>
                <w:rFonts w:ascii="Times New Roman" w:hAnsi="Times New Roman" w:cs="Times New Roman"/>
                <w:sz w:val="24"/>
                <w:szCs w:val="24"/>
              </w:rPr>
              <w:t>Abstract   …………………………………………………………………</w:t>
            </w:r>
            <w:r w:rsidR="007F5511">
              <w:rPr>
                <w:rFonts w:ascii="Times New Roman" w:hAnsi="Times New Roman" w:cs="Times New Roman"/>
                <w:sz w:val="24"/>
                <w:szCs w:val="24"/>
              </w:rPr>
              <w:t>39</w:t>
            </w:r>
          </w:p>
        </w:tc>
      </w:tr>
      <w:tr w:rsidR="0062286E" w14:paraId="2344B5E0" w14:textId="77777777" w:rsidTr="00AB4E38">
        <w:trPr>
          <w:trHeight w:val="432"/>
        </w:trPr>
        <w:tc>
          <w:tcPr>
            <w:tcW w:w="8630" w:type="dxa"/>
            <w:vAlign w:val="center"/>
          </w:tcPr>
          <w:p w14:paraId="35C6B619" w14:textId="2899658D"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3.2. </w:t>
            </w:r>
            <w:r>
              <w:rPr>
                <w:rFonts w:ascii="Times New Roman" w:hAnsi="Times New Roman" w:cs="Times New Roman"/>
                <w:sz w:val="24"/>
                <w:szCs w:val="24"/>
              </w:rPr>
              <w:t xml:space="preserve">Introduction  </w:t>
            </w:r>
            <w:r w:rsidR="00191FB5">
              <w:rPr>
                <w:rFonts w:ascii="Times New Roman" w:hAnsi="Times New Roman" w:cs="Times New Roman"/>
                <w:sz w:val="24"/>
                <w:szCs w:val="24"/>
              </w:rPr>
              <w:t xml:space="preserve"> </w:t>
            </w:r>
            <w:r>
              <w:rPr>
                <w:rFonts w:ascii="Times New Roman" w:hAnsi="Times New Roman" w:cs="Times New Roman"/>
                <w:sz w:val="24"/>
                <w:szCs w:val="24"/>
              </w:rPr>
              <w:t xml:space="preserve"> …………………………………………………………….</w:t>
            </w:r>
            <w:r w:rsidR="00191FB5">
              <w:rPr>
                <w:rFonts w:ascii="Times New Roman" w:hAnsi="Times New Roman" w:cs="Times New Roman"/>
                <w:sz w:val="24"/>
                <w:szCs w:val="24"/>
              </w:rPr>
              <w:t>4</w:t>
            </w:r>
            <w:r w:rsidR="007F5511">
              <w:rPr>
                <w:rFonts w:ascii="Times New Roman" w:hAnsi="Times New Roman" w:cs="Times New Roman"/>
                <w:sz w:val="24"/>
                <w:szCs w:val="24"/>
              </w:rPr>
              <w:t>0</w:t>
            </w:r>
          </w:p>
        </w:tc>
      </w:tr>
      <w:tr w:rsidR="0062286E" w14:paraId="500E9DB3" w14:textId="77777777" w:rsidTr="00AB4E38">
        <w:trPr>
          <w:trHeight w:val="432"/>
        </w:trPr>
        <w:tc>
          <w:tcPr>
            <w:tcW w:w="8630" w:type="dxa"/>
            <w:vAlign w:val="center"/>
          </w:tcPr>
          <w:p w14:paraId="1E020F38" w14:textId="5FF8225A"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AB4E38">
              <w:rPr>
                <w:rFonts w:ascii="Times New Roman" w:hAnsi="Times New Roman" w:cs="Times New Roman"/>
                <w:sz w:val="24"/>
                <w:szCs w:val="24"/>
              </w:rPr>
              <w:t xml:space="preserve">3.3. </w:t>
            </w:r>
            <w:r>
              <w:rPr>
                <w:rFonts w:ascii="Times New Roman" w:hAnsi="Times New Roman" w:cs="Times New Roman"/>
                <w:sz w:val="24"/>
                <w:szCs w:val="24"/>
              </w:rPr>
              <w:t xml:space="preserve">Results </w:t>
            </w:r>
            <w:r w:rsidR="00AB4E38">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4</w:t>
            </w:r>
            <w:r w:rsidR="00CC6C40">
              <w:rPr>
                <w:rFonts w:ascii="Times New Roman" w:hAnsi="Times New Roman" w:cs="Times New Roman"/>
                <w:sz w:val="24"/>
                <w:szCs w:val="24"/>
              </w:rPr>
              <w:t>2</w:t>
            </w:r>
          </w:p>
        </w:tc>
      </w:tr>
      <w:tr w:rsidR="008D1626" w14:paraId="06623AF7" w14:textId="77777777" w:rsidTr="00AB4E38">
        <w:trPr>
          <w:trHeight w:val="432"/>
        </w:trPr>
        <w:tc>
          <w:tcPr>
            <w:tcW w:w="8630" w:type="dxa"/>
            <w:vAlign w:val="center"/>
          </w:tcPr>
          <w:p w14:paraId="53A1EF32" w14:textId="29A98AD7"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3.3.1. Genomic context</w:t>
            </w:r>
            <w:r w:rsidR="00191FB5">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4</w:t>
            </w:r>
            <w:r w:rsidR="00700675">
              <w:rPr>
                <w:rFonts w:ascii="Times New Roman" w:hAnsi="Times New Roman" w:cs="Times New Roman"/>
                <w:sz w:val="24"/>
                <w:szCs w:val="24"/>
              </w:rPr>
              <w:t>1</w:t>
            </w:r>
          </w:p>
        </w:tc>
      </w:tr>
      <w:tr w:rsidR="008D1626" w14:paraId="640295CF" w14:textId="77777777" w:rsidTr="00AB4E38">
        <w:trPr>
          <w:trHeight w:val="432"/>
        </w:trPr>
        <w:tc>
          <w:tcPr>
            <w:tcW w:w="8630" w:type="dxa"/>
            <w:vAlign w:val="center"/>
          </w:tcPr>
          <w:p w14:paraId="2DFD285F" w14:textId="01522562"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3.3.1.1. Genomic context of </w:t>
            </w:r>
            <w:proofErr w:type="spellStart"/>
            <w:r>
              <w:rPr>
                <w:rFonts w:ascii="Times New Roman" w:hAnsi="Times New Roman" w:cs="Times New Roman"/>
                <w:sz w:val="24"/>
                <w:szCs w:val="24"/>
              </w:rPr>
              <w:t>AmfAB</w:t>
            </w:r>
            <w:proofErr w:type="spellEnd"/>
            <w:r>
              <w:rPr>
                <w:rFonts w:ascii="Times New Roman" w:hAnsi="Times New Roman" w:cs="Times New Roman"/>
                <w:sz w:val="24"/>
                <w:szCs w:val="24"/>
              </w:rPr>
              <w:t xml:space="preserve"> </w:t>
            </w:r>
            <w:r w:rsidR="00191FB5">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4</w:t>
            </w:r>
            <w:r w:rsidR="00700675">
              <w:rPr>
                <w:rFonts w:ascii="Times New Roman" w:hAnsi="Times New Roman" w:cs="Times New Roman"/>
                <w:sz w:val="24"/>
                <w:szCs w:val="24"/>
              </w:rPr>
              <w:t>1</w:t>
            </w:r>
          </w:p>
        </w:tc>
      </w:tr>
      <w:tr w:rsidR="008D1626" w14:paraId="3959FA86" w14:textId="77777777" w:rsidTr="00AB4E38">
        <w:trPr>
          <w:trHeight w:val="432"/>
        </w:trPr>
        <w:tc>
          <w:tcPr>
            <w:tcW w:w="8630" w:type="dxa"/>
            <w:vAlign w:val="center"/>
          </w:tcPr>
          <w:p w14:paraId="184F681E" w14:textId="1E4ED0B1"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3.3.1.2. Genomic context of </w:t>
            </w:r>
            <w:proofErr w:type="spellStart"/>
            <w:r>
              <w:rPr>
                <w:rFonts w:ascii="Times New Roman" w:hAnsi="Times New Roman" w:cs="Times New Roman"/>
                <w:sz w:val="24"/>
                <w:szCs w:val="24"/>
              </w:rPr>
              <w:t>AmfCD</w:t>
            </w:r>
            <w:proofErr w:type="spellEnd"/>
            <w:r>
              <w:rPr>
                <w:rFonts w:ascii="Times New Roman" w:hAnsi="Times New Roman" w:cs="Times New Roman"/>
                <w:sz w:val="24"/>
                <w:szCs w:val="24"/>
              </w:rPr>
              <w:t xml:space="preserve"> </w:t>
            </w:r>
            <w:r w:rsidR="00191FB5">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4</w:t>
            </w:r>
            <w:r w:rsidR="007F5511">
              <w:rPr>
                <w:rFonts w:ascii="Times New Roman" w:hAnsi="Times New Roman" w:cs="Times New Roman"/>
                <w:sz w:val="24"/>
                <w:szCs w:val="24"/>
              </w:rPr>
              <w:t>3</w:t>
            </w:r>
          </w:p>
        </w:tc>
      </w:tr>
      <w:tr w:rsidR="00CC6C40" w14:paraId="76FC2BD9" w14:textId="77777777" w:rsidTr="00AB4E38">
        <w:trPr>
          <w:trHeight w:val="432"/>
        </w:trPr>
        <w:tc>
          <w:tcPr>
            <w:tcW w:w="8630" w:type="dxa"/>
            <w:vAlign w:val="center"/>
          </w:tcPr>
          <w:p w14:paraId="04BD8DF9" w14:textId="5034018A" w:rsidR="00CC6C40" w:rsidRPr="00CC6C40" w:rsidRDefault="00CC6C40" w:rsidP="004A7526">
            <w:pPr>
              <w:jc w:val="both"/>
              <w:rPr>
                <w:rFonts w:ascii="Times New Roman" w:hAnsi="Times New Roman" w:cs="Times New Roman"/>
                <w:sz w:val="24"/>
                <w:szCs w:val="24"/>
              </w:rPr>
            </w:pPr>
            <w:r>
              <w:rPr>
                <w:rFonts w:ascii="Times New Roman" w:hAnsi="Times New Roman" w:cs="Times New Roman"/>
                <w:sz w:val="24"/>
                <w:szCs w:val="24"/>
              </w:rPr>
              <w:t xml:space="preserve">                              3.3.1.3. MFS transporters of </w:t>
            </w:r>
            <w:r>
              <w:rPr>
                <w:rFonts w:ascii="Times New Roman" w:hAnsi="Times New Roman" w:cs="Times New Roman"/>
                <w:i/>
                <w:iCs/>
                <w:sz w:val="24"/>
                <w:szCs w:val="24"/>
              </w:rPr>
              <w:t>A. baumannii</w:t>
            </w:r>
            <w:r>
              <w:rPr>
                <w:rFonts w:ascii="Times New Roman" w:hAnsi="Times New Roman" w:cs="Times New Roman"/>
                <w:sz w:val="24"/>
                <w:szCs w:val="24"/>
              </w:rPr>
              <w:t xml:space="preserve"> homologous to </w:t>
            </w:r>
            <w:proofErr w:type="spellStart"/>
            <w:r>
              <w:rPr>
                <w:rFonts w:ascii="Times New Roman" w:hAnsi="Times New Roman" w:cs="Times New Roman"/>
                <w:sz w:val="24"/>
                <w:szCs w:val="24"/>
              </w:rPr>
              <w:t>AmfAB</w:t>
            </w:r>
            <w:proofErr w:type="spellEnd"/>
            <w:r>
              <w:rPr>
                <w:rFonts w:ascii="Times New Roman" w:hAnsi="Times New Roman" w:cs="Times New Roman"/>
                <w:sz w:val="24"/>
                <w:szCs w:val="24"/>
              </w:rPr>
              <w:t xml:space="preserve"> and AmfCD ……………………………………………………………………………4</w:t>
            </w:r>
            <w:r w:rsidR="00700675">
              <w:rPr>
                <w:rFonts w:ascii="Times New Roman" w:hAnsi="Times New Roman" w:cs="Times New Roman"/>
                <w:sz w:val="24"/>
                <w:szCs w:val="24"/>
              </w:rPr>
              <w:t>5</w:t>
            </w:r>
          </w:p>
        </w:tc>
      </w:tr>
      <w:tr w:rsidR="008D1626" w14:paraId="2442BFE2" w14:textId="77777777" w:rsidTr="00AB4E38">
        <w:trPr>
          <w:trHeight w:val="432"/>
        </w:trPr>
        <w:tc>
          <w:tcPr>
            <w:tcW w:w="8630" w:type="dxa"/>
            <w:vAlign w:val="center"/>
          </w:tcPr>
          <w:p w14:paraId="557FD607" w14:textId="46FC8B2E"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3.3.2. Structure predictions of MFS transporters </w:t>
            </w:r>
            <w:r w:rsidR="00191FB5">
              <w:rPr>
                <w:rFonts w:ascii="Times New Roman" w:hAnsi="Times New Roman" w:cs="Times New Roman"/>
                <w:sz w:val="24"/>
                <w:szCs w:val="24"/>
              </w:rPr>
              <w:t>.</w:t>
            </w:r>
            <w:r>
              <w:rPr>
                <w:rFonts w:ascii="Times New Roman" w:hAnsi="Times New Roman" w:cs="Times New Roman"/>
                <w:sz w:val="24"/>
                <w:szCs w:val="24"/>
              </w:rPr>
              <w:t>………………………..</w:t>
            </w:r>
            <w:r w:rsidR="00191FB5">
              <w:rPr>
                <w:rFonts w:ascii="Times New Roman" w:hAnsi="Times New Roman" w:cs="Times New Roman"/>
                <w:sz w:val="24"/>
                <w:szCs w:val="24"/>
              </w:rPr>
              <w:t>4</w:t>
            </w:r>
            <w:r w:rsidR="007F5511">
              <w:rPr>
                <w:rFonts w:ascii="Times New Roman" w:hAnsi="Times New Roman" w:cs="Times New Roman"/>
                <w:sz w:val="24"/>
                <w:szCs w:val="24"/>
              </w:rPr>
              <w:t>6</w:t>
            </w:r>
          </w:p>
        </w:tc>
      </w:tr>
      <w:tr w:rsidR="008D1626" w14:paraId="6B13FBED" w14:textId="77777777" w:rsidTr="00AB4E38">
        <w:trPr>
          <w:trHeight w:val="432"/>
        </w:trPr>
        <w:tc>
          <w:tcPr>
            <w:tcW w:w="8630" w:type="dxa"/>
            <w:vAlign w:val="center"/>
          </w:tcPr>
          <w:p w14:paraId="2793C5B2" w14:textId="683C55C4"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3.3.3. Structure predictions of periplasmic MFPs ………………………..</w:t>
            </w:r>
            <w:r w:rsidR="00CC6C40">
              <w:rPr>
                <w:rFonts w:ascii="Times New Roman" w:hAnsi="Times New Roman" w:cs="Times New Roman"/>
                <w:sz w:val="24"/>
                <w:szCs w:val="24"/>
              </w:rPr>
              <w:t>49</w:t>
            </w:r>
          </w:p>
        </w:tc>
      </w:tr>
      <w:tr w:rsidR="008D1626" w14:paraId="4D93EE51" w14:textId="77777777" w:rsidTr="00AB4E38">
        <w:trPr>
          <w:trHeight w:val="432"/>
        </w:trPr>
        <w:tc>
          <w:tcPr>
            <w:tcW w:w="8630" w:type="dxa"/>
            <w:vAlign w:val="center"/>
          </w:tcPr>
          <w:p w14:paraId="46FC068B" w14:textId="20FE41D6"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3.3.4. MFS pumps do not contribute to antibiotic efflux …………………</w:t>
            </w:r>
            <w:r w:rsidR="00191FB5">
              <w:rPr>
                <w:rFonts w:ascii="Times New Roman" w:hAnsi="Times New Roman" w:cs="Times New Roman"/>
                <w:sz w:val="24"/>
                <w:szCs w:val="24"/>
              </w:rPr>
              <w:t>5</w:t>
            </w:r>
            <w:r w:rsidR="007F5511">
              <w:rPr>
                <w:rFonts w:ascii="Times New Roman" w:hAnsi="Times New Roman" w:cs="Times New Roman"/>
                <w:sz w:val="24"/>
                <w:szCs w:val="24"/>
              </w:rPr>
              <w:t>1</w:t>
            </w:r>
          </w:p>
        </w:tc>
      </w:tr>
      <w:tr w:rsidR="008D1626" w14:paraId="18A0E9F2" w14:textId="77777777" w:rsidTr="00AB4E38">
        <w:trPr>
          <w:trHeight w:val="432"/>
        </w:trPr>
        <w:tc>
          <w:tcPr>
            <w:tcW w:w="8630" w:type="dxa"/>
            <w:vAlign w:val="center"/>
          </w:tcPr>
          <w:p w14:paraId="5CC55028" w14:textId="3D8520E3"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3.3.5. Both </w:t>
            </w:r>
            <w:proofErr w:type="spellStart"/>
            <w:r>
              <w:rPr>
                <w:rFonts w:ascii="Times New Roman" w:hAnsi="Times New Roman" w:cs="Times New Roman"/>
                <w:sz w:val="24"/>
                <w:szCs w:val="24"/>
              </w:rPr>
              <w:t>AmfAB</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AmfCD</w:t>
            </w:r>
            <w:proofErr w:type="spellEnd"/>
            <w:r>
              <w:rPr>
                <w:rFonts w:ascii="Times New Roman" w:hAnsi="Times New Roman" w:cs="Times New Roman"/>
                <w:sz w:val="24"/>
                <w:szCs w:val="24"/>
              </w:rPr>
              <w:t xml:space="preserve"> pumps are important for growth under acidic conditions……………………………………………………………………….</w:t>
            </w:r>
            <w:r w:rsidR="00D26E4D">
              <w:rPr>
                <w:rFonts w:ascii="Times New Roman" w:hAnsi="Times New Roman" w:cs="Times New Roman"/>
                <w:sz w:val="24"/>
                <w:szCs w:val="24"/>
              </w:rPr>
              <w:t>5</w:t>
            </w:r>
            <w:r w:rsidR="007F5511">
              <w:rPr>
                <w:rFonts w:ascii="Times New Roman" w:hAnsi="Times New Roman" w:cs="Times New Roman"/>
                <w:sz w:val="24"/>
                <w:szCs w:val="24"/>
              </w:rPr>
              <w:t>2</w:t>
            </w:r>
          </w:p>
        </w:tc>
      </w:tr>
      <w:tr w:rsidR="008D1626" w14:paraId="466B91DD" w14:textId="77777777" w:rsidTr="00AB4E38">
        <w:trPr>
          <w:trHeight w:val="432"/>
        </w:trPr>
        <w:tc>
          <w:tcPr>
            <w:tcW w:w="8630" w:type="dxa"/>
            <w:vAlign w:val="center"/>
          </w:tcPr>
          <w:p w14:paraId="3D60D22B" w14:textId="541496E7"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3.3.6. Overproduction of MFS pumps do not complement loss of RND pump under virulence related stress conditions ……………………………………….</w:t>
            </w:r>
            <w:r w:rsidR="00D26E4D">
              <w:rPr>
                <w:rFonts w:ascii="Times New Roman" w:hAnsi="Times New Roman" w:cs="Times New Roman"/>
                <w:sz w:val="24"/>
                <w:szCs w:val="24"/>
              </w:rPr>
              <w:t>5</w:t>
            </w:r>
            <w:r w:rsidR="007F5511">
              <w:rPr>
                <w:rFonts w:ascii="Times New Roman" w:hAnsi="Times New Roman" w:cs="Times New Roman"/>
                <w:sz w:val="24"/>
                <w:szCs w:val="24"/>
              </w:rPr>
              <w:t>5</w:t>
            </w:r>
          </w:p>
        </w:tc>
      </w:tr>
      <w:tr w:rsidR="008D1626" w14:paraId="5CFE4D2C" w14:textId="77777777" w:rsidTr="00AB4E38">
        <w:trPr>
          <w:trHeight w:val="432"/>
        </w:trPr>
        <w:tc>
          <w:tcPr>
            <w:tcW w:w="8630" w:type="dxa"/>
            <w:vAlign w:val="center"/>
          </w:tcPr>
          <w:p w14:paraId="317B29C6" w14:textId="27618C01"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3.3.7. Principle component analysis reveals differences between the strains</w:t>
            </w:r>
            <w:r w:rsidR="00D26E4D">
              <w:rPr>
                <w:rFonts w:ascii="Times New Roman" w:hAnsi="Times New Roman" w:cs="Times New Roman"/>
                <w:sz w:val="24"/>
                <w:szCs w:val="24"/>
              </w:rPr>
              <w:t>………………………………………………………………………………….6</w:t>
            </w:r>
            <w:r w:rsidR="007F5511">
              <w:rPr>
                <w:rFonts w:ascii="Times New Roman" w:hAnsi="Times New Roman" w:cs="Times New Roman"/>
                <w:sz w:val="24"/>
                <w:szCs w:val="24"/>
              </w:rPr>
              <w:t>1</w:t>
            </w:r>
          </w:p>
        </w:tc>
      </w:tr>
      <w:tr w:rsidR="008D1626" w14:paraId="102E795C" w14:textId="77777777" w:rsidTr="00AB4E38">
        <w:trPr>
          <w:trHeight w:val="432"/>
        </w:trPr>
        <w:tc>
          <w:tcPr>
            <w:tcW w:w="8630" w:type="dxa"/>
            <w:vAlign w:val="center"/>
          </w:tcPr>
          <w:p w14:paraId="09BF6FBE" w14:textId="3EEBFDA5" w:rsidR="008D1626" w:rsidRP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3.3.8. Efflux pump overproducers modify the permeability barrier of </w:t>
            </w:r>
            <w:r>
              <w:rPr>
                <w:rFonts w:ascii="Times New Roman" w:hAnsi="Times New Roman" w:cs="Times New Roman"/>
                <w:i/>
                <w:iCs/>
                <w:sz w:val="24"/>
                <w:szCs w:val="24"/>
              </w:rPr>
              <w:t>A. baumannii</w:t>
            </w:r>
            <w:r w:rsidR="00D26E4D">
              <w:rPr>
                <w:rFonts w:ascii="Times New Roman" w:hAnsi="Times New Roman" w:cs="Times New Roman"/>
                <w:i/>
                <w:iCs/>
                <w:sz w:val="24"/>
                <w:szCs w:val="24"/>
              </w:rPr>
              <w:t xml:space="preserve"> ..</w:t>
            </w:r>
            <w:r>
              <w:rPr>
                <w:rFonts w:ascii="Times New Roman" w:hAnsi="Times New Roman" w:cs="Times New Roman"/>
                <w:sz w:val="24"/>
                <w:szCs w:val="24"/>
              </w:rPr>
              <w:t>……………………………………………………………………………</w:t>
            </w:r>
            <w:r w:rsidR="00D26E4D">
              <w:rPr>
                <w:rFonts w:ascii="Times New Roman" w:hAnsi="Times New Roman" w:cs="Times New Roman"/>
                <w:sz w:val="24"/>
                <w:szCs w:val="24"/>
              </w:rPr>
              <w:t>6</w:t>
            </w:r>
            <w:r w:rsidR="007F5511">
              <w:rPr>
                <w:rFonts w:ascii="Times New Roman" w:hAnsi="Times New Roman" w:cs="Times New Roman"/>
                <w:sz w:val="24"/>
                <w:szCs w:val="24"/>
              </w:rPr>
              <w:t>1</w:t>
            </w:r>
          </w:p>
        </w:tc>
      </w:tr>
      <w:tr w:rsidR="0062286E" w14:paraId="27BAD235" w14:textId="77777777" w:rsidTr="00AB4E38">
        <w:trPr>
          <w:trHeight w:val="432"/>
        </w:trPr>
        <w:tc>
          <w:tcPr>
            <w:tcW w:w="8630" w:type="dxa"/>
            <w:vAlign w:val="center"/>
          </w:tcPr>
          <w:p w14:paraId="5BC4CB5F" w14:textId="6CD31790"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3.4. </w:t>
            </w:r>
            <w:r>
              <w:rPr>
                <w:rFonts w:ascii="Times New Roman" w:hAnsi="Times New Roman" w:cs="Times New Roman"/>
                <w:sz w:val="24"/>
                <w:szCs w:val="24"/>
              </w:rPr>
              <w:t>Discussion  ……………………………………………………………….6</w:t>
            </w:r>
            <w:r w:rsidR="007F5511">
              <w:rPr>
                <w:rFonts w:ascii="Times New Roman" w:hAnsi="Times New Roman" w:cs="Times New Roman"/>
                <w:sz w:val="24"/>
                <w:szCs w:val="24"/>
              </w:rPr>
              <w:t>3</w:t>
            </w:r>
          </w:p>
        </w:tc>
      </w:tr>
      <w:tr w:rsidR="0062286E" w14:paraId="4FA22321" w14:textId="77777777" w:rsidTr="00AB4E38">
        <w:trPr>
          <w:trHeight w:val="432"/>
        </w:trPr>
        <w:tc>
          <w:tcPr>
            <w:tcW w:w="8630" w:type="dxa"/>
            <w:vAlign w:val="center"/>
          </w:tcPr>
          <w:p w14:paraId="451EF4CD" w14:textId="508DB9FC" w:rsidR="0062286E" w:rsidRPr="00C72BF3"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Chapter 4: Site-Directed Mutagenesis of RND Transporter AdeG from </w:t>
            </w:r>
            <w:r>
              <w:rPr>
                <w:rFonts w:ascii="Times New Roman" w:hAnsi="Times New Roman" w:cs="Times New Roman"/>
                <w:i/>
                <w:iCs/>
                <w:sz w:val="24"/>
                <w:szCs w:val="24"/>
              </w:rPr>
              <w:t>Acinetobacter baumannii</w:t>
            </w:r>
            <w:r>
              <w:rPr>
                <w:rFonts w:ascii="Times New Roman" w:hAnsi="Times New Roman" w:cs="Times New Roman"/>
                <w:sz w:val="24"/>
                <w:szCs w:val="24"/>
              </w:rPr>
              <w:t xml:space="preserve"> Leads to Identification of Amino Acid Residues Essential for Norfloxacin</w:t>
            </w:r>
            <w:r w:rsidR="00E67199">
              <w:rPr>
                <w:rFonts w:ascii="Times New Roman" w:hAnsi="Times New Roman" w:cs="Times New Roman"/>
                <w:sz w:val="24"/>
                <w:szCs w:val="24"/>
              </w:rPr>
              <w:t>, Nalidixic acid,</w:t>
            </w:r>
            <w:r>
              <w:rPr>
                <w:rFonts w:ascii="Times New Roman" w:hAnsi="Times New Roman" w:cs="Times New Roman"/>
                <w:sz w:val="24"/>
                <w:szCs w:val="24"/>
              </w:rPr>
              <w:t xml:space="preserve"> and 1-N-phenylnaphthylamine Efflux </w:t>
            </w:r>
            <w:r w:rsidR="00E67199">
              <w:rPr>
                <w:rFonts w:ascii="Times New Roman" w:hAnsi="Times New Roman" w:cs="Times New Roman"/>
                <w:sz w:val="24"/>
                <w:szCs w:val="24"/>
              </w:rPr>
              <w:t>...…</w:t>
            </w:r>
            <w:r>
              <w:rPr>
                <w:rFonts w:ascii="Times New Roman" w:hAnsi="Times New Roman" w:cs="Times New Roman"/>
                <w:sz w:val="24"/>
                <w:szCs w:val="24"/>
              </w:rPr>
              <w:t>……………………………6</w:t>
            </w:r>
            <w:r w:rsidR="007F5511">
              <w:rPr>
                <w:rFonts w:ascii="Times New Roman" w:hAnsi="Times New Roman" w:cs="Times New Roman"/>
                <w:sz w:val="24"/>
                <w:szCs w:val="24"/>
              </w:rPr>
              <w:t>7</w:t>
            </w:r>
          </w:p>
        </w:tc>
      </w:tr>
      <w:tr w:rsidR="0062286E" w14:paraId="6D905DAD" w14:textId="77777777" w:rsidTr="00AB4E38">
        <w:trPr>
          <w:trHeight w:val="432"/>
        </w:trPr>
        <w:tc>
          <w:tcPr>
            <w:tcW w:w="8630" w:type="dxa"/>
            <w:vAlign w:val="center"/>
          </w:tcPr>
          <w:p w14:paraId="1A2A8DD8" w14:textId="6646618B"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4.1. </w:t>
            </w:r>
            <w:r>
              <w:rPr>
                <w:rFonts w:ascii="Times New Roman" w:hAnsi="Times New Roman" w:cs="Times New Roman"/>
                <w:sz w:val="24"/>
                <w:szCs w:val="24"/>
              </w:rPr>
              <w:t>Abstract  …………………………………………………………………6</w:t>
            </w:r>
            <w:r w:rsidR="007F5511">
              <w:rPr>
                <w:rFonts w:ascii="Times New Roman" w:hAnsi="Times New Roman" w:cs="Times New Roman"/>
                <w:sz w:val="24"/>
                <w:szCs w:val="24"/>
              </w:rPr>
              <w:t>7</w:t>
            </w:r>
          </w:p>
        </w:tc>
      </w:tr>
      <w:tr w:rsidR="0062286E" w14:paraId="38C5778C" w14:textId="77777777" w:rsidTr="00AB4E38">
        <w:trPr>
          <w:trHeight w:val="432"/>
        </w:trPr>
        <w:tc>
          <w:tcPr>
            <w:tcW w:w="8630" w:type="dxa"/>
            <w:vAlign w:val="center"/>
          </w:tcPr>
          <w:p w14:paraId="56669741" w14:textId="19312699"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4.2. </w:t>
            </w:r>
            <w:r>
              <w:rPr>
                <w:rFonts w:ascii="Times New Roman" w:hAnsi="Times New Roman" w:cs="Times New Roman"/>
                <w:sz w:val="24"/>
                <w:szCs w:val="24"/>
              </w:rPr>
              <w:t>Introduction ……………………………………………………………..6</w:t>
            </w:r>
            <w:r w:rsidR="007F5511">
              <w:rPr>
                <w:rFonts w:ascii="Times New Roman" w:hAnsi="Times New Roman" w:cs="Times New Roman"/>
                <w:sz w:val="24"/>
                <w:szCs w:val="24"/>
              </w:rPr>
              <w:t>7</w:t>
            </w:r>
          </w:p>
        </w:tc>
      </w:tr>
      <w:tr w:rsidR="0062286E" w14:paraId="219B2E85" w14:textId="77777777" w:rsidTr="00AB4E38">
        <w:trPr>
          <w:trHeight w:val="432"/>
        </w:trPr>
        <w:tc>
          <w:tcPr>
            <w:tcW w:w="8630" w:type="dxa"/>
            <w:vAlign w:val="center"/>
          </w:tcPr>
          <w:p w14:paraId="0A881506" w14:textId="3DD9E6FC"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D1626">
              <w:rPr>
                <w:rFonts w:ascii="Times New Roman" w:hAnsi="Times New Roman" w:cs="Times New Roman"/>
                <w:sz w:val="24"/>
                <w:szCs w:val="24"/>
              </w:rPr>
              <w:t xml:space="preserve">4.3. </w:t>
            </w:r>
            <w:r>
              <w:rPr>
                <w:rFonts w:ascii="Times New Roman" w:hAnsi="Times New Roman" w:cs="Times New Roman"/>
                <w:sz w:val="24"/>
                <w:szCs w:val="24"/>
              </w:rPr>
              <w:t xml:space="preserve">Results </w:t>
            </w:r>
            <w:r w:rsidR="008D1626">
              <w:rPr>
                <w:rFonts w:ascii="Times New Roman" w:hAnsi="Times New Roman" w:cs="Times New Roman"/>
                <w:sz w:val="24"/>
                <w:szCs w:val="24"/>
              </w:rPr>
              <w:t>....</w:t>
            </w:r>
            <w:r>
              <w:rPr>
                <w:rFonts w:ascii="Times New Roman" w:hAnsi="Times New Roman" w:cs="Times New Roman"/>
                <w:sz w:val="24"/>
                <w:szCs w:val="24"/>
              </w:rPr>
              <w:t>………………………………………………………………..</w:t>
            </w:r>
            <w:r w:rsidR="007F5511">
              <w:rPr>
                <w:rFonts w:ascii="Times New Roman" w:hAnsi="Times New Roman" w:cs="Times New Roman"/>
                <w:sz w:val="24"/>
                <w:szCs w:val="24"/>
              </w:rPr>
              <w:t>69</w:t>
            </w:r>
          </w:p>
        </w:tc>
      </w:tr>
      <w:tr w:rsidR="008D1626" w14:paraId="070780C6" w14:textId="77777777" w:rsidTr="00AB4E38">
        <w:trPr>
          <w:trHeight w:val="432"/>
        </w:trPr>
        <w:tc>
          <w:tcPr>
            <w:tcW w:w="8630" w:type="dxa"/>
            <w:vAlign w:val="center"/>
          </w:tcPr>
          <w:p w14:paraId="15A571B2" w14:textId="17A87282"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4.3.1. Chromosomal integration and expression of AdeG protein variants</w:t>
            </w:r>
            <w:r w:rsidR="00D26E4D">
              <w:rPr>
                <w:rFonts w:ascii="Times New Roman" w:hAnsi="Times New Roman" w:cs="Times New Roman"/>
                <w:sz w:val="24"/>
                <w:szCs w:val="24"/>
              </w:rPr>
              <w:t>………………………………………………………………………………...</w:t>
            </w:r>
            <w:r w:rsidR="007F5511">
              <w:rPr>
                <w:rFonts w:ascii="Times New Roman" w:hAnsi="Times New Roman" w:cs="Times New Roman"/>
                <w:sz w:val="24"/>
                <w:szCs w:val="24"/>
              </w:rPr>
              <w:t>69</w:t>
            </w:r>
          </w:p>
        </w:tc>
      </w:tr>
      <w:tr w:rsidR="008D1626" w14:paraId="4B5C926D" w14:textId="77777777" w:rsidTr="00AB4E38">
        <w:trPr>
          <w:trHeight w:val="432"/>
        </w:trPr>
        <w:tc>
          <w:tcPr>
            <w:tcW w:w="8630" w:type="dxa"/>
            <w:vAlign w:val="center"/>
          </w:tcPr>
          <w:p w14:paraId="5429317E" w14:textId="3D14A0AA"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4.3.2. Functional characterization of mutant AdeG transporters…………</w:t>
            </w:r>
            <w:r w:rsidR="00D26E4D">
              <w:rPr>
                <w:rFonts w:ascii="Times New Roman" w:hAnsi="Times New Roman" w:cs="Times New Roman"/>
                <w:sz w:val="24"/>
                <w:szCs w:val="24"/>
              </w:rPr>
              <w:t>7</w:t>
            </w:r>
            <w:r w:rsidR="007F5511">
              <w:rPr>
                <w:rFonts w:ascii="Times New Roman" w:hAnsi="Times New Roman" w:cs="Times New Roman"/>
                <w:sz w:val="24"/>
                <w:szCs w:val="24"/>
              </w:rPr>
              <w:t>1</w:t>
            </w:r>
          </w:p>
        </w:tc>
      </w:tr>
      <w:tr w:rsidR="00063D04" w14:paraId="3EEC2A25" w14:textId="77777777" w:rsidTr="00AB4E38">
        <w:trPr>
          <w:trHeight w:val="432"/>
        </w:trPr>
        <w:tc>
          <w:tcPr>
            <w:tcW w:w="8630" w:type="dxa"/>
            <w:vAlign w:val="center"/>
          </w:tcPr>
          <w:p w14:paraId="48FA21B6" w14:textId="0646C2EB" w:rsidR="00063D04" w:rsidRDefault="00063D04" w:rsidP="004A7526">
            <w:pPr>
              <w:jc w:val="both"/>
              <w:rPr>
                <w:rFonts w:ascii="Times New Roman" w:hAnsi="Times New Roman" w:cs="Times New Roman"/>
                <w:sz w:val="24"/>
                <w:szCs w:val="24"/>
              </w:rPr>
            </w:pPr>
            <w:r>
              <w:rPr>
                <w:rFonts w:ascii="Times New Roman" w:hAnsi="Times New Roman" w:cs="Times New Roman"/>
                <w:sz w:val="24"/>
                <w:szCs w:val="24"/>
              </w:rPr>
              <w:t xml:space="preserve">                    4.3.3. Kinetic analysis of mutant </w:t>
            </w:r>
            <w:proofErr w:type="spellStart"/>
            <w:r>
              <w:rPr>
                <w:rFonts w:ascii="Times New Roman" w:hAnsi="Times New Roman" w:cs="Times New Roman"/>
                <w:sz w:val="24"/>
                <w:szCs w:val="24"/>
              </w:rPr>
              <w:t>AdeG</w:t>
            </w:r>
            <w:proofErr w:type="spellEnd"/>
            <w:r>
              <w:rPr>
                <w:rFonts w:ascii="Times New Roman" w:hAnsi="Times New Roman" w:cs="Times New Roman"/>
                <w:sz w:val="24"/>
                <w:szCs w:val="24"/>
              </w:rPr>
              <w:t xml:space="preserve"> transporters …………………….7</w:t>
            </w:r>
            <w:r w:rsidR="00652721">
              <w:rPr>
                <w:rFonts w:ascii="Times New Roman" w:hAnsi="Times New Roman" w:cs="Times New Roman"/>
                <w:sz w:val="24"/>
                <w:szCs w:val="24"/>
              </w:rPr>
              <w:t>2</w:t>
            </w:r>
          </w:p>
        </w:tc>
      </w:tr>
      <w:tr w:rsidR="008D1626" w14:paraId="3F2A993B" w14:textId="77777777" w:rsidTr="00AB4E38">
        <w:trPr>
          <w:trHeight w:val="432"/>
        </w:trPr>
        <w:tc>
          <w:tcPr>
            <w:tcW w:w="8630" w:type="dxa"/>
            <w:vAlign w:val="center"/>
          </w:tcPr>
          <w:p w14:paraId="3E82E8D2" w14:textId="3CC12D52" w:rsidR="008D1626" w:rsidRDefault="008D1626" w:rsidP="004A7526">
            <w:pPr>
              <w:jc w:val="both"/>
              <w:rPr>
                <w:rFonts w:ascii="Times New Roman" w:hAnsi="Times New Roman" w:cs="Times New Roman"/>
                <w:sz w:val="24"/>
                <w:szCs w:val="24"/>
              </w:rPr>
            </w:pPr>
            <w:r>
              <w:rPr>
                <w:rFonts w:ascii="Times New Roman" w:hAnsi="Times New Roman" w:cs="Times New Roman"/>
                <w:sz w:val="24"/>
                <w:szCs w:val="24"/>
              </w:rPr>
              <w:t xml:space="preserve">                    4.3.</w:t>
            </w:r>
            <w:r w:rsidR="00063D04">
              <w:rPr>
                <w:rFonts w:ascii="Times New Roman" w:hAnsi="Times New Roman" w:cs="Times New Roman"/>
                <w:sz w:val="24"/>
                <w:szCs w:val="24"/>
              </w:rPr>
              <w:t>4</w:t>
            </w:r>
            <w:r>
              <w:rPr>
                <w:rFonts w:ascii="Times New Roman" w:hAnsi="Times New Roman" w:cs="Times New Roman"/>
                <w:sz w:val="24"/>
                <w:szCs w:val="24"/>
              </w:rPr>
              <w:t>. The effect of mutations in AdeG on the inhibitory activity of SLUPP_1377…………………………………………………………………………</w:t>
            </w:r>
            <w:r w:rsidR="00D26E4D">
              <w:rPr>
                <w:rFonts w:ascii="Times New Roman" w:hAnsi="Times New Roman" w:cs="Times New Roman"/>
                <w:sz w:val="24"/>
                <w:szCs w:val="24"/>
              </w:rPr>
              <w:t>..7</w:t>
            </w:r>
            <w:r w:rsidR="00063D04">
              <w:rPr>
                <w:rFonts w:ascii="Times New Roman" w:hAnsi="Times New Roman" w:cs="Times New Roman"/>
                <w:sz w:val="24"/>
                <w:szCs w:val="24"/>
              </w:rPr>
              <w:t>9</w:t>
            </w:r>
          </w:p>
        </w:tc>
      </w:tr>
      <w:tr w:rsidR="00063D04" w14:paraId="6A5D3FDD" w14:textId="77777777" w:rsidTr="00AB4E38">
        <w:trPr>
          <w:trHeight w:val="432"/>
        </w:trPr>
        <w:tc>
          <w:tcPr>
            <w:tcW w:w="8630" w:type="dxa"/>
            <w:vAlign w:val="center"/>
          </w:tcPr>
          <w:p w14:paraId="19C309D7" w14:textId="753C5967" w:rsidR="00063D04" w:rsidRDefault="00063D04" w:rsidP="004A7526">
            <w:pPr>
              <w:jc w:val="both"/>
              <w:rPr>
                <w:rFonts w:ascii="Times New Roman" w:hAnsi="Times New Roman" w:cs="Times New Roman"/>
                <w:sz w:val="24"/>
                <w:szCs w:val="24"/>
              </w:rPr>
            </w:pPr>
            <w:r>
              <w:rPr>
                <w:rFonts w:ascii="Times New Roman" w:hAnsi="Times New Roman" w:cs="Times New Roman"/>
                <w:sz w:val="24"/>
                <w:szCs w:val="24"/>
              </w:rPr>
              <w:t xml:space="preserve">                    4.3.5. SLUPP_1377 inhibits efflux of NPN in cells overproducing AdeFGH……………………………………………………………………………….83</w:t>
            </w:r>
          </w:p>
        </w:tc>
      </w:tr>
      <w:tr w:rsidR="00063D04" w14:paraId="4B66A503" w14:textId="77777777" w:rsidTr="00AB4E38">
        <w:trPr>
          <w:trHeight w:val="432"/>
        </w:trPr>
        <w:tc>
          <w:tcPr>
            <w:tcW w:w="8630" w:type="dxa"/>
            <w:vAlign w:val="center"/>
          </w:tcPr>
          <w:p w14:paraId="2B1E7B23" w14:textId="74BA73FF" w:rsidR="00063D04" w:rsidRDefault="00063D04" w:rsidP="004A7526">
            <w:pPr>
              <w:jc w:val="both"/>
              <w:rPr>
                <w:rFonts w:ascii="Times New Roman" w:hAnsi="Times New Roman" w:cs="Times New Roman"/>
                <w:sz w:val="24"/>
                <w:szCs w:val="24"/>
              </w:rPr>
            </w:pPr>
            <w:r>
              <w:rPr>
                <w:rFonts w:ascii="Times New Roman" w:hAnsi="Times New Roman" w:cs="Times New Roman"/>
                <w:sz w:val="24"/>
                <w:szCs w:val="24"/>
              </w:rPr>
              <w:t xml:space="preserve">                    4.3.6. Mutations in the substrate binding pockets of AdeG change inhibition efficiency of SLUPP_1377…………………………………………………………….8</w:t>
            </w:r>
            <w:r w:rsidR="007F5511">
              <w:rPr>
                <w:rFonts w:ascii="Times New Roman" w:hAnsi="Times New Roman" w:cs="Times New Roman"/>
                <w:sz w:val="24"/>
                <w:szCs w:val="24"/>
              </w:rPr>
              <w:t>7</w:t>
            </w:r>
          </w:p>
        </w:tc>
      </w:tr>
      <w:tr w:rsidR="0062286E" w14:paraId="15CCA07F" w14:textId="77777777" w:rsidTr="00AB4E38">
        <w:trPr>
          <w:trHeight w:val="432"/>
        </w:trPr>
        <w:tc>
          <w:tcPr>
            <w:tcW w:w="8630" w:type="dxa"/>
            <w:vAlign w:val="center"/>
          </w:tcPr>
          <w:p w14:paraId="595465A7" w14:textId="56C6D522"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4.4. </w:t>
            </w:r>
            <w:r>
              <w:rPr>
                <w:rFonts w:ascii="Times New Roman" w:hAnsi="Times New Roman" w:cs="Times New Roman"/>
                <w:sz w:val="24"/>
                <w:szCs w:val="24"/>
              </w:rPr>
              <w:t xml:space="preserve">Discussion  </w:t>
            </w:r>
            <w:r w:rsidR="008D1626">
              <w:rPr>
                <w:rFonts w:ascii="Times New Roman" w:hAnsi="Times New Roman" w:cs="Times New Roman"/>
                <w:sz w:val="24"/>
                <w:szCs w:val="24"/>
              </w:rPr>
              <w:t>…...</w:t>
            </w:r>
            <w:r>
              <w:rPr>
                <w:rFonts w:ascii="Times New Roman" w:hAnsi="Times New Roman" w:cs="Times New Roman"/>
                <w:sz w:val="24"/>
                <w:szCs w:val="24"/>
              </w:rPr>
              <w:t>………………………………………………………….</w:t>
            </w:r>
            <w:r w:rsidR="00063D04">
              <w:rPr>
                <w:rFonts w:ascii="Times New Roman" w:hAnsi="Times New Roman" w:cs="Times New Roman"/>
                <w:sz w:val="24"/>
                <w:szCs w:val="24"/>
              </w:rPr>
              <w:t>9</w:t>
            </w:r>
            <w:r w:rsidR="007F5511">
              <w:rPr>
                <w:rFonts w:ascii="Times New Roman" w:hAnsi="Times New Roman" w:cs="Times New Roman"/>
                <w:sz w:val="24"/>
                <w:szCs w:val="24"/>
              </w:rPr>
              <w:t>5</w:t>
            </w:r>
          </w:p>
        </w:tc>
      </w:tr>
      <w:tr w:rsidR="0062286E" w14:paraId="3BE08014" w14:textId="77777777" w:rsidTr="00AB4E38">
        <w:trPr>
          <w:trHeight w:val="432"/>
        </w:trPr>
        <w:tc>
          <w:tcPr>
            <w:tcW w:w="8630" w:type="dxa"/>
            <w:vAlign w:val="center"/>
          </w:tcPr>
          <w:p w14:paraId="6635E008" w14:textId="7D21BB90" w:rsidR="0062286E" w:rsidRPr="002667BB"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Chapter 5: Site-Directed Mutagenesis of RND Transporter </w:t>
            </w:r>
            <w:proofErr w:type="spellStart"/>
            <w:r>
              <w:rPr>
                <w:rFonts w:ascii="Times New Roman" w:hAnsi="Times New Roman" w:cs="Times New Roman"/>
                <w:sz w:val="24"/>
                <w:szCs w:val="24"/>
              </w:rPr>
              <w:t>AdeJ</w:t>
            </w:r>
            <w:proofErr w:type="spellEnd"/>
            <w:r>
              <w:rPr>
                <w:rFonts w:ascii="Times New Roman" w:hAnsi="Times New Roman" w:cs="Times New Roman"/>
                <w:sz w:val="24"/>
                <w:szCs w:val="24"/>
              </w:rPr>
              <w:t xml:space="preserve"> from </w:t>
            </w:r>
            <w:r>
              <w:rPr>
                <w:rFonts w:ascii="Times New Roman" w:hAnsi="Times New Roman" w:cs="Times New Roman"/>
                <w:i/>
                <w:iCs/>
                <w:sz w:val="24"/>
                <w:szCs w:val="24"/>
              </w:rPr>
              <w:t>Acinetobacter baumannii</w:t>
            </w:r>
            <w:r>
              <w:rPr>
                <w:rFonts w:ascii="Times New Roman" w:hAnsi="Times New Roman" w:cs="Times New Roman"/>
                <w:sz w:val="24"/>
                <w:szCs w:val="24"/>
              </w:rPr>
              <w:t xml:space="preserve"> Leads to Identification of Amino Acid Residues that Hinder Erythromycin Efflux    ………………………………………………………………………………..</w:t>
            </w:r>
            <w:r w:rsidR="00D26E4D">
              <w:rPr>
                <w:rFonts w:ascii="Times New Roman" w:hAnsi="Times New Roman" w:cs="Times New Roman"/>
                <w:sz w:val="24"/>
                <w:szCs w:val="24"/>
              </w:rPr>
              <w:t>9</w:t>
            </w:r>
            <w:r w:rsidR="007F5511">
              <w:rPr>
                <w:rFonts w:ascii="Times New Roman" w:hAnsi="Times New Roman" w:cs="Times New Roman"/>
                <w:sz w:val="24"/>
                <w:szCs w:val="24"/>
              </w:rPr>
              <w:t>7</w:t>
            </w:r>
          </w:p>
        </w:tc>
      </w:tr>
      <w:tr w:rsidR="0062286E" w14:paraId="09CAA9A2" w14:textId="77777777" w:rsidTr="00AB4E38">
        <w:trPr>
          <w:trHeight w:val="432"/>
        </w:trPr>
        <w:tc>
          <w:tcPr>
            <w:tcW w:w="8630" w:type="dxa"/>
            <w:vAlign w:val="center"/>
          </w:tcPr>
          <w:p w14:paraId="2E9E4BB2" w14:textId="422AE82F"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5.1. </w:t>
            </w:r>
            <w:r>
              <w:rPr>
                <w:rFonts w:ascii="Times New Roman" w:hAnsi="Times New Roman" w:cs="Times New Roman"/>
                <w:sz w:val="24"/>
                <w:szCs w:val="24"/>
              </w:rPr>
              <w:t>Abstract  …………………………………………………………………</w:t>
            </w:r>
            <w:r w:rsidR="00D26E4D">
              <w:rPr>
                <w:rFonts w:ascii="Times New Roman" w:hAnsi="Times New Roman" w:cs="Times New Roman"/>
                <w:sz w:val="24"/>
                <w:szCs w:val="24"/>
              </w:rPr>
              <w:t>9</w:t>
            </w:r>
            <w:r w:rsidR="007F5511">
              <w:rPr>
                <w:rFonts w:ascii="Times New Roman" w:hAnsi="Times New Roman" w:cs="Times New Roman"/>
                <w:sz w:val="24"/>
                <w:szCs w:val="24"/>
              </w:rPr>
              <w:t>7</w:t>
            </w:r>
          </w:p>
        </w:tc>
      </w:tr>
      <w:tr w:rsidR="0062286E" w14:paraId="5BC6FCD5" w14:textId="77777777" w:rsidTr="00AB4E38">
        <w:trPr>
          <w:trHeight w:val="432"/>
        </w:trPr>
        <w:tc>
          <w:tcPr>
            <w:tcW w:w="8630" w:type="dxa"/>
            <w:vAlign w:val="center"/>
          </w:tcPr>
          <w:p w14:paraId="3EDA67A5" w14:textId="1D0C0C43"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5.2. </w:t>
            </w:r>
            <w:r>
              <w:rPr>
                <w:rFonts w:ascii="Times New Roman" w:hAnsi="Times New Roman" w:cs="Times New Roman"/>
                <w:sz w:val="24"/>
                <w:szCs w:val="24"/>
              </w:rPr>
              <w:t xml:space="preserve">Introduction   </w:t>
            </w:r>
            <w:r w:rsidR="008D1626">
              <w:rPr>
                <w:rFonts w:ascii="Times New Roman" w:hAnsi="Times New Roman" w:cs="Times New Roman"/>
                <w:sz w:val="24"/>
                <w:szCs w:val="24"/>
              </w:rPr>
              <w:t xml:space="preserve"> ..</w:t>
            </w:r>
            <w:r>
              <w:rPr>
                <w:rFonts w:ascii="Times New Roman" w:hAnsi="Times New Roman" w:cs="Times New Roman"/>
                <w:sz w:val="24"/>
                <w:szCs w:val="24"/>
              </w:rPr>
              <w:t>…………………………………………………………..</w:t>
            </w:r>
            <w:r w:rsidR="00D26E4D">
              <w:rPr>
                <w:rFonts w:ascii="Times New Roman" w:hAnsi="Times New Roman" w:cs="Times New Roman"/>
                <w:sz w:val="24"/>
                <w:szCs w:val="24"/>
              </w:rPr>
              <w:t>9</w:t>
            </w:r>
            <w:r w:rsidR="007F5511">
              <w:rPr>
                <w:rFonts w:ascii="Times New Roman" w:hAnsi="Times New Roman" w:cs="Times New Roman"/>
                <w:sz w:val="24"/>
                <w:szCs w:val="24"/>
              </w:rPr>
              <w:t>7</w:t>
            </w:r>
          </w:p>
        </w:tc>
      </w:tr>
      <w:tr w:rsidR="0062286E" w14:paraId="1B3D7EC0" w14:textId="77777777" w:rsidTr="00AB4E38">
        <w:trPr>
          <w:trHeight w:val="432"/>
        </w:trPr>
        <w:tc>
          <w:tcPr>
            <w:tcW w:w="8630" w:type="dxa"/>
            <w:vAlign w:val="center"/>
          </w:tcPr>
          <w:p w14:paraId="7BDE53B0" w14:textId="7B581DE1"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5.3. </w:t>
            </w:r>
            <w:r>
              <w:rPr>
                <w:rFonts w:ascii="Times New Roman" w:hAnsi="Times New Roman" w:cs="Times New Roman"/>
                <w:sz w:val="24"/>
                <w:szCs w:val="24"/>
              </w:rPr>
              <w:t xml:space="preserve">Results    </w:t>
            </w:r>
            <w:r w:rsidR="008D1626">
              <w:rPr>
                <w:rFonts w:ascii="Times New Roman" w:hAnsi="Times New Roman" w:cs="Times New Roman"/>
                <w:sz w:val="24"/>
                <w:szCs w:val="24"/>
              </w:rPr>
              <w:t>….</w:t>
            </w:r>
            <w:r>
              <w:rPr>
                <w:rFonts w:ascii="Times New Roman" w:hAnsi="Times New Roman" w:cs="Times New Roman"/>
                <w:sz w:val="24"/>
                <w:szCs w:val="24"/>
              </w:rPr>
              <w:t>……………………………………………………………..</w:t>
            </w:r>
            <w:r w:rsidR="00D26E4D">
              <w:rPr>
                <w:rFonts w:ascii="Times New Roman" w:hAnsi="Times New Roman" w:cs="Times New Roman"/>
                <w:sz w:val="24"/>
                <w:szCs w:val="24"/>
              </w:rPr>
              <w:t>9</w:t>
            </w:r>
            <w:r w:rsidR="007F5511">
              <w:rPr>
                <w:rFonts w:ascii="Times New Roman" w:hAnsi="Times New Roman" w:cs="Times New Roman"/>
                <w:sz w:val="24"/>
                <w:szCs w:val="24"/>
              </w:rPr>
              <w:t>8</w:t>
            </w:r>
          </w:p>
        </w:tc>
      </w:tr>
      <w:tr w:rsidR="0062286E" w14:paraId="6EF9C841" w14:textId="77777777" w:rsidTr="00AB4E38">
        <w:trPr>
          <w:trHeight w:val="432"/>
        </w:trPr>
        <w:tc>
          <w:tcPr>
            <w:tcW w:w="8630" w:type="dxa"/>
            <w:vAlign w:val="center"/>
          </w:tcPr>
          <w:p w14:paraId="21345050" w14:textId="7324ACB5"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w:t>
            </w:r>
            <w:r w:rsidR="008D1626">
              <w:rPr>
                <w:rFonts w:ascii="Times New Roman" w:hAnsi="Times New Roman" w:cs="Times New Roman"/>
                <w:sz w:val="24"/>
                <w:szCs w:val="24"/>
              </w:rPr>
              <w:t xml:space="preserve">5.4. </w:t>
            </w:r>
            <w:r>
              <w:rPr>
                <w:rFonts w:ascii="Times New Roman" w:hAnsi="Times New Roman" w:cs="Times New Roman"/>
                <w:sz w:val="24"/>
                <w:szCs w:val="24"/>
              </w:rPr>
              <w:t>Discussion  ……………………………………………………………</w:t>
            </w:r>
            <w:r w:rsidR="00063D04">
              <w:rPr>
                <w:rFonts w:ascii="Times New Roman" w:hAnsi="Times New Roman" w:cs="Times New Roman"/>
                <w:sz w:val="24"/>
                <w:szCs w:val="24"/>
              </w:rPr>
              <w:t>..10</w:t>
            </w:r>
            <w:r w:rsidR="007F5511">
              <w:rPr>
                <w:rFonts w:ascii="Times New Roman" w:hAnsi="Times New Roman" w:cs="Times New Roman"/>
                <w:sz w:val="24"/>
                <w:szCs w:val="24"/>
              </w:rPr>
              <w:t>2</w:t>
            </w:r>
          </w:p>
        </w:tc>
      </w:tr>
      <w:tr w:rsidR="0062286E" w14:paraId="125D360B" w14:textId="77777777" w:rsidTr="00AB4E38">
        <w:trPr>
          <w:trHeight w:val="432"/>
        </w:trPr>
        <w:tc>
          <w:tcPr>
            <w:tcW w:w="8630" w:type="dxa"/>
            <w:vAlign w:val="center"/>
          </w:tcPr>
          <w:p w14:paraId="7F84527B" w14:textId="3C485633"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Chapter 6: Overall Discussion and Conclusions ……………………………………</w:t>
            </w:r>
            <w:r w:rsidR="00063D04">
              <w:rPr>
                <w:rFonts w:ascii="Times New Roman" w:hAnsi="Times New Roman" w:cs="Times New Roman"/>
                <w:sz w:val="24"/>
                <w:szCs w:val="24"/>
              </w:rPr>
              <w:t>..10</w:t>
            </w:r>
            <w:r w:rsidR="007F5511">
              <w:rPr>
                <w:rFonts w:ascii="Times New Roman" w:hAnsi="Times New Roman" w:cs="Times New Roman"/>
                <w:sz w:val="24"/>
                <w:szCs w:val="24"/>
              </w:rPr>
              <w:t>4</w:t>
            </w:r>
          </w:p>
        </w:tc>
      </w:tr>
      <w:tr w:rsidR="0062286E" w14:paraId="15F1F622" w14:textId="77777777" w:rsidTr="00AB4E38">
        <w:trPr>
          <w:trHeight w:val="432"/>
        </w:trPr>
        <w:tc>
          <w:tcPr>
            <w:tcW w:w="8630" w:type="dxa"/>
            <w:vAlign w:val="center"/>
          </w:tcPr>
          <w:p w14:paraId="1CEEF321" w14:textId="38403D11"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References    .…………………………………………………………………………</w:t>
            </w:r>
            <w:r w:rsidR="00063D04">
              <w:rPr>
                <w:rFonts w:ascii="Times New Roman" w:hAnsi="Times New Roman" w:cs="Times New Roman"/>
                <w:sz w:val="24"/>
                <w:szCs w:val="24"/>
              </w:rPr>
              <w:t>10</w:t>
            </w:r>
            <w:r w:rsidR="007F5511">
              <w:rPr>
                <w:rFonts w:ascii="Times New Roman" w:hAnsi="Times New Roman" w:cs="Times New Roman"/>
                <w:sz w:val="24"/>
                <w:szCs w:val="24"/>
              </w:rPr>
              <w:t>5</w:t>
            </w:r>
          </w:p>
        </w:tc>
      </w:tr>
      <w:tr w:rsidR="0062286E" w14:paraId="7D9F6D33" w14:textId="77777777" w:rsidTr="00AB4E38">
        <w:trPr>
          <w:trHeight w:val="432"/>
        </w:trPr>
        <w:tc>
          <w:tcPr>
            <w:tcW w:w="8630" w:type="dxa"/>
            <w:vAlign w:val="center"/>
          </w:tcPr>
          <w:p w14:paraId="7E7C3237" w14:textId="54986EBC"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Appendices    .………………………………………………………………………</w:t>
            </w:r>
            <w:r w:rsidR="00D26E4D">
              <w:rPr>
                <w:rFonts w:ascii="Times New Roman" w:hAnsi="Times New Roman" w:cs="Times New Roman"/>
                <w:sz w:val="24"/>
                <w:szCs w:val="24"/>
              </w:rPr>
              <w:t>...11</w:t>
            </w:r>
            <w:r w:rsidR="007F5511">
              <w:rPr>
                <w:rFonts w:ascii="Times New Roman" w:hAnsi="Times New Roman" w:cs="Times New Roman"/>
                <w:sz w:val="24"/>
                <w:szCs w:val="24"/>
              </w:rPr>
              <w:t>7</w:t>
            </w:r>
          </w:p>
        </w:tc>
      </w:tr>
      <w:tr w:rsidR="0062286E" w14:paraId="2A6C8345" w14:textId="77777777" w:rsidTr="00AB4E38">
        <w:trPr>
          <w:trHeight w:val="432"/>
        </w:trPr>
        <w:tc>
          <w:tcPr>
            <w:tcW w:w="8630" w:type="dxa"/>
            <w:vAlign w:val="center"/>
          </w:tcPr>
          <w:p w14:paraId="682D3C3B" w14:textId="17EF6ECF"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List of Tables and Figures …………………………………………………</w:t>
            </w:r>
            <w:r w:rsidR="00D26E4D">
              <w:rPr>
                <w:rFonts w:ascii="Times New Roman" w:hAnsi="Times New Roman" w:cs="Times New Roman"/>
                <w:sz w:val="24"/>
                <w:szCs w:val="24"/>
              </w:rPr>
              <w:t>...11</w:t>
            </w:r>
            <w:r w:rsidR="007F5511">
              <w:rPr>
                <w:rFonts w:ascii="Times New Roman" w:hAnsi="Times New Roman" w:cs="Times New Roman"/>
                <w:sz w:val="24"/>
                <w:szCs w:val="24"/>
              </w:rPr>
              <w:t>7</w:t>
            </w:r>
          </w:p>
        </w:tc>
      </w:tr>
      <w:tr w:rsidR="0062286E" w14:paraId="08BAAE17" w14:textId="77777777" w:rsidTr="00AB4E38">
        <w:trPr>
          <w:trHeight w:val="432"/>
        </w:trPr>
        <w:tc>
          <w:tcPr>
            <w:tcW w:w="8630" w:type="dxa"/>
            <w:vAlign w:val="center"/>
          </w:tcPr>
          <w:p w14:paraId="1FF4ADC2" w14:textId="1CA24573" w:rsidR="0062286E" w:rsidRDefault="0062286E" w:rsidP="004A7526">
            <w:pPr>
              <w:jc w:val="both"/>
              <w:rPr>
                <w:rFonts w:ascii="Times New Roman" w:hAnsi="Times New Roman" w:cs="Times New Roman"/>
                <w:sz w:val="24"/>
                <w:szCs w:val="24"/>
              </w:rPr>
            </w:pPr>
            <w:r>
              <w:rPr>
                <w:rFonts w:ascii="Times New Roman" w:hAnsi="Times New Roman" w:cs="Times New Roman"/>
                <w:sz w:val="24"/>
                <w:szCs w:val="24"/>
              </w:rPr>
              <w:t xml:space="preserve">             Nucleotide sequences used for cloning and mutagenesis……………………1</w:t>
            </w:r>
            <w:r w:rsidR="00D26E4D">
              <w:rPr>
                <w:rFonts w:ascii="Times New Roman" w:hAnsi="Times New Roman" w:cs="Times New Roman"/>
                <w:sz w:val="24"/>
                <w:szCs w:val="24"/>
              </w:rPr>
              <w:t>1</w:t>
            </w:r>
            <w:r w:rsidR="007F5511">
              <w:rPr>
                <w:rFonts w:ascii="Times New Roman" w:hAnsi="Times New Roman" w:cs="Times New Roman"/>
                <w:sz w:val="24"/>
                <w:szCs w:val="24"/>
              </w:rPr>
              <w:t>9</w:t>
            </w:r>
          </w:p>
        </w:tc>
      </w:tr>
      <w:bookmarkEnd w:id="1"/>
    </w:tbl>
    <w:p w14:paraId="2FB7B879" w14:textId="77777777" w:rsidR="00E2512A" w:rsidRDefault="00E2512A">
      <w:pPr>
        <w:rPr>
          <w:rFonts w:asciiTheme="majorHAnsi" w:hAnsiTheme="majorHAnsi" w:cstheme="majorHAnsi"/>
          <w:b/>
          <w:bCs/>
          <w:sz w:val="24"/>
          <w:szCs w:val="24"/>
        </w:rPr>
        <w:sectPr w:rsidR="00E2512A" w:rsidSect="003D4C64">
          <w:footerReference w:type="default" r:id="rId10"/>
          <w:pgSz w:w="12240" w:h="15840" w:code="1"/>
          <w:pgMar w:top="1440" w:right="1440" w:bottom="1440" w:left="2160" w:header="720" w:footer="720" w:gutter="0"/>
          <w:pgNumType w:fmt="lowerRoman"/>
          <w:cols w:space="720"/>
          <w:docGrid w:linePitch="360"/>
        </w:sectPr>
      </w:pPr>
    </w:p>
    <w:p w14:paraId="621910BF" w14:textId="151F8C50" w:rsidR="00C836F0" w:rsidRPr="00734E96" w:rsidRDefault="00AB4E38">
      <w:pPr>
        <w:rPr>
          <w:rFonts w:asciiTheme="majorHAnsi" w:hAnsiTheme="majorHAnsi" w:cstheme="majorHAnsi"/>
          <w:b/>
          <w:bCs/>
          <w:sz w:val="24"/>
          <w:szCs w:val="24"/>
        </w:rPr>
      </w:pPr>
      <w:r>
        <w:rPr>
          <w:rFonts w:asciiTheme="majorHAnsi" w:hAnsiTheme="majorHAnsi" w:cstheme="majorHAnsi"/>
          <w:b/>
          <w:bCs/>
          <w:sz w:val="24"/>
          <w:szCs w:val="24"/>
        </w:rPr>
        <w:lastRenderedPageBreak/>
        <w:t xml:space="preserve">Dissertation </w:t>
      </w:r>
      <w:r w:rsidR="00D709BE" w:rsidRPr="00AB4E38">
        <w:rPr>
          <w:rFonts w:asciiTheme="majorHAnsi" w:hAnsiTheme="majorHAnsi" w:cstheme="majorHAnsi"/>
          <w:b/>
          <w:bCs/>
          <w:sz w:val="24"/>
          <w:szCs w:val="24"/>
        </w:rPr>
        <w:t>Abstract</w:t>
      </w:r>
    </w:p>
    <w:p w14:paraId="43EA3800" w14:textId="5387BB91" w:rsidR="00707960" w:rsidRDefault="001B74E3" w:rsidP="00707960">
      <w:pPr>
        <w:spacing w:line="360" w:lineRule="auto"/>
        <w:rPr>
          <w:rFonts w:asciiTheme="majorHAnsi" w:hAnsiTheme="majorHAnsi" w:cstheme="majorHAnsi"/>
          <w:sz w:val="24"/>
          <w:szCs w:val="24"/>
        </w:rPr>
      </w:pPr>
      <w:r>
        <w:rPr>
          <w:rFonts w:asciiTheme="majorHAnsi" w:hAnsiTheme="majorHAnsi" w:cstheme="majorHAnsi"/>
          <w:sz w:val="24"/>
          <w:szCs w:val="24"/>
        </w:rPr>
        <w:tab/>
        <w:t>Originally discovered in soil microbial communities</w:t>
      </w:r>
      <w:r w:rsidR="00D4274E">
        <w:rPr>
          <w:rFonts w:asciiTheme="majorHAnsi" w:hAnsiTheme="majorHAnsi" w:cstheme="majorHAnsi"/>
          <w:sz w:val="24"/>
          <w:szCs w:val="24"/>
        </w:rPr>
        <w:fldChar w:fldCharType="begin"/>
      </w:r>
      <w:r w:rsidR="00D4274E">
        <w:rPr>
          <w:rFonts w:asciiTheme="majorHAnsi" w:hAnsiTheme="majorHAnsi" w:cstheme="majorHAnsi"/>
          <w:sz w:val="24"/>
          <w:szCs w:val="24"/>
        </w:rPr>
        <w:instrText xml:space="preserve"> ADDIN ZOTERO_ITEM CSL_CITATION {"citationID":"WzTL5ymZ","properties":{"formattedCitation":"\\super 1\\nosupersub{}","plainCitation":"1","noteIndex":0},"citationItems":[{"id":1935,"uris":["http://zotero.org/users/1918630/items/Z4DCX5IG"],"itemData":{"id":1935,"type":"article-journal","abstract":"Acinetobacter baumannii has emerged as a highly troublesome pathogen for many institutions globally. As a consequence of its immense ability to acquire or upregulate antibiotic drug resistance determinants, it has justifiably been propelled to the forefront of scientific attention. Apart from its predilection for the seriously ill within intensive care units, A. baumannii has more recently caused a range of infectious syndromes in military personnel injured in the Iraq and Afghanistan conflicts. This review details the significant advances that have been made in our understanding of this remarkable organism over the last 10 years, including current taxonomy and species identification, issues with susceptibility testing, mechanisms of antibiotic resistance, global epidemiology, clinical impact of infection, host-pathogen interactions, and infection control and therapeutic considerations.","container-title":"Clinical Microbiology Reviews","DOI":"10.1128/CMR.00058-07","ISSN":"0893-8512","issue":"3","journalAbbreviation":"Clin Microbiol Rev","note":"PMID: 18625687\nPMCID: PMC2493088","page":"538-582","source":"PubMed Central","title":"Acinetobacter baumannii: Emergence of a Successful Pathogen","title-short":"Acinetobacter baumannii","volume":"21","author":[{"family":"Peleg","given":"Anton Y."},{"family":"Seifert","given":"Harald"},{"family":"Paterson","given":"David L."}],"issued":{"date-parts":[["2008",7]]}}}],"schema":"https://github.com/citation-style-language/schema/raw/master/csl-citation.json"} </w:instrText>
      </w:r>
      <w:r w:rsidR="00D4274E">
        <w:rPr>
          <w:rFonts w:asciiTheme="majorHAnsi" w:hAnsiTheme="majorHAnsi" w:cstheme="majorHAnsi"/>
          <w:sz w:val="24"/>
          <w:szCs w:val="24"/>
        </w:rPr>
        <w:fldChar w:fldCharType="separate"/>
      </w:r>
      <w:r w:rsidR="00D4274E" w:rsidRPr="00D4274E">
        <w:rPr>
          <w:rFonts w:ascii="Times New Roman" w:hAnsi="Times New Roman" w:cs="Times New Roman"/>
          <w:sz w:val="24"/>
          <w:szCs w:val="24"/>
          <w:vertAlign w:val="superscript"/>
        </w:rPr>
        <w:t>1</w:t>
      </w:r>
      <w:r w:rsidR="00D4274E">
        <w:rPr>
          <w:rFonts w:asciiTheme="majorHAnsi" w:hAnsiTheme="majorHAnsi" w:cstheme="majorHAnsi"/>
          <w:sz w:val="24"/>
          <w:szCs w:val="24"/>
        </w:rPr>
        <w:fldChar w:fldCharType="end"/>
      </w:r>
      <w:r w:rsidR="00BB379A">
        <w:rPr>
          <w:rFonts w:asciiTheme="majorHAnsi" w:hAnsiTheme="majorHAnsi" w:cstheme="majorHAnsi"/>
          <w:sz w:val="24"/>
          <w:szCs w:val="24"/>
        </w:rPr>
        <w:t xml:space="preserve">, </w:t>
      </w:r>
      <w:r w:rsidR="00E34235">
        <w:rPr>
          <w:rFonts w:asciiTheme="majorHAnsi" w:hAnsiTheme="majorHAnsi" w:cstheme="majorHAnsi"/>
          <w:sz w:val="24"/>
          <w:szCs w:val="24"/>
        </w:rPr>
        <w:t>reports of</w:t>
      </w:r>
      <w:r w:rsidR="00C418C5">
        <w:rPr>
          <w:rFonts w:asciiTheme="majorHAnsi" w:hAnsiTheme="majorHAnsi" w:cstheme="majorHAnsi"/>
          <w:sz w:val="24"/>
          <w:szCs w:val="24"/>
        </w:rPr>
        <w:t xml:space="preserve"> genus</w:t>
      </w:r>
      <w:r w:rsidR="00E34235">
        <w:rPr>
          <w:rFonts w:asciiTheme="majorHAnsi" w:hAnsiTheme="majorHAnsi" w:cstheme="majorHAnsi"/>
          <w:sz w:val="24"/>
          <w:szCs w:val="24"/>
        </w:rPr>
        <w:t xml:space="preserve"> </w:t>
      </w:r>
      <w:r w:rsidR="00E34235">
        <w:rPr>
          <w:rFonts w:asciiTheme="majorHAnsi" w:hAnsiTheme="majorHAnsi" w:cstheme="majorHAnsi"/>
          <w:i/>
          <w:iCs/>
          <w:sz w:val="24"/>
          <w:szCs w:val="24"/>
        </w:rPr>
        <w:t xml:space="preserve">Acinetobacter </w:t>
      </w:r>
      <w:r w:rsidR="00317ABB">
        <w:rPr>
          <w:rFonts w:asciiTheme="majorHAnsi" w:hAnsiTheme="majorHAnsi" w:cstheme="majorHAnsi"/>
          <w:sz w:val="24"/>
          <w:szCs w:val="24"/>
        </w:rPr>
        <w:t xml:space="preserve">associated infections </w:t>
      </w:r>
      <w:r w:rsidR="00C418C5">
        <w:rPr>
          <w:rFonts w:asciiTheme="majorHAnsi" w:hAnsiTheme="majorHAnsi" w:cstheme="majorHAnsi"/>
          <w:sz w:val="24"/>
          <w:szCs w:val="24"/>
        </w:rPr>
        <w:t>started</w:t>
      </w:r>
      <w:r w:rsidR="00317ABB">
        <w:rPr>
          <w:rFonts w:asciiTheme="majorHAnsi" w:hAnsiTheme="majorHAnsi" w:cstheme="majorHAnsi"/>
          <w:sz w:val="24"/>
          <w:szCs w:val="24"/>
        </w:rPr>
        <w:t xml:space="preserve"> to increase around 1977</w:t>
      </w:r>
      <w:r w:rsidR="00317ABB">
        <w:rPr>
          <w:rFonts w:asciiTheme="majorHAnsi" w:hAnsiTheme="majorHAnsi" w:cstheme="majorHAnsi"/>
          <w:sz w:val="24"/>
          <w:szCs w:val="24"/>
        </w:rPr>
        <w:fldChar w:fldCharType="begin"/>
      </w:r>
      <w:r w:rsidR="00D4274E">
        <w:rPr>
          <w:rFonts w:asciiTheme="majorHAnsi" w:hAnsiTheme="majorHAnsi" w:cstheme="majorHAnsi"/>
          <w:sz w:val="24"/>
          <w:szCs w:val="24"/>
        </w:rPr>
        <w:instrText xml:space="preserve"> ADDIN ZOTERO_ITEM CSL_CITATION {"citationID":"YC1z9zIF","properties":{"formattedCitation":"\\super 2\\nosupersub{}","plainCitation":"2","noteIndex":0},"citationItems":[{"id":1931,"uris":["http://zotero.org/users/1918630/items/96RG28HY"],"itemData":{"id":1931,"type":"article-journal","abstract":"In a retrospective review of 53 patients, 58 episodes of infection due to Acinetobacter calcoaceticus var. anitratus (Herellea vaginicola) were studied. Although the organism is widely distributed in nature, it is of relatively low virulence since colonization is more frequently noted than infection and since most infections occur in patients subjected to the epidemiologic pressures common to nosocomial, gram-negative bacillary infection: prior antibiotic therapy; instrumentation and manipulation (e.g., endotracheal intubation, urinary bladder catheterization, arterial and venous cannulation); surgery; hospitalization, especially with residence in an intensive care unit; severe underlying disease, either systemic (e.g., chronic obstructive pulmonary disease, malignancy) or localized to the infected area (e.g., prior bacterial or aspirational pneumonia, trauma). Pneumonia was the most common infection due to A. calcoaceticus, and occurred only in patients with a tracheostomy or endotracheal tube in place. In over half the 25 patients, more than one lobe was involved and bronchopneumonia was the usual roentgenographic appearance. Cavitation (2 patients) and empyema formation (3 patients) were uncommon. The severity of acinetobacter pneumonia is reflected in the high mortality rate (44% overall, with a 36% mortality rate due primarily to infection). Tracheobronchitis due to A. calcoaceticus was less severe than pneumonia since no patients died primarily as a result of the infection. Urinary tract infections occurred in five patients, none of whom were ill and none of whom died. Urinary bladder catheterization was thought to be responsible for infection in three patients, and in at least four of the five patients infection was restricted to the lower tract. Wound infections were noted in six patients who had undergone surgery and were related to the presence of foreign bodies in the operative site in five of the patients. Surgical debridement and/or drainage of the infected area was the primary therapeutic measure employed in most cases. Only one patient died and this was a result of noninfectious causes. Skin infection due to A. calcoaceticus was seen in two patients, one of whom exhibited fulminant, fatal cellulitis and septicemia in the setting of pancytopenia. All nine patients with acinetobacter septicemia had received antecedent antibiotic therapy, and in all cases intravenous catheters were in place at the time bacteremia occurred. Clinically, seven of the nine patients were in shock. The mortality rate was 44% overall, with a 22% mortality rate due to infection. Although septicemia was thought to be \"line-related\" in five of the nine patients, serious post-bacteremic complications developed in three patients: prosthetic valve endocarditis, suppurative thrombophlebitis and subhepatic abscess.","container-title":"Medicine","DOI":"10.1097/00005792-197703000-00001","ISSN":"0025-7974","issue":"2","journalAbbreviation":"Medicine (Baltimore)","language":"eng","note":"PMID: 846390","page":"79-97","source":"PubMed","title":"Infections with Acinetobacter calcoaceticus (Herellea vaginicola): clinical and laboratory studies","title-short":"Infections with Acinetobacter calcoaceticus (Herellea vaginicola)","volume":"56","author":[{"family":"Glew","given":"R. H."},{"family":"Moellering","given":"R. C."},{"family":"Kunz","given":"L. J."}],"issued":{"date-parts":[["1977",3]]}}}],"schema":"https://github.com/citation-style-language/schema/raw/master/csl-citation.json"} </w:instrText>
      </w:r>
      <w:r w:rsidR="00317ABB">
        <w:rPr>
          <w:rFonts w:asciiTheme="majorHAnsi" w:hAnsiTheme="majorHAnsi" w:cstheme="majorHAnsi"/>
          <w:sz w:val="24"/>
          <w:szCs w:val="24"/>
        </w:rPr>
        <w:fldChar w:fldCharType="separate"/>
      </w:r>
      <w:r w:rsidR="00D4274E" w:rsidRPr="00D4274E">
        <w:rPr>
          <w:rFonts w:ascii="Times New Roman" w:hAnsi="Times New Roman" w:cs="Times New Roman"/>
          <w:sz w:val="24"/>
          <w:szCs w:val="24"/>
          <w:vertAlign w:val="superscript"/>
        </w:rPr>
        <w:t>2</w:t>
      </w:r>
      <w:r w:rsidR="00317ABB">
        <w:rPr>
          <w:rFonts w:asciiTheme="majorHAnsi" w:hAnsiTheme="majorHAnsi" w:cstheme="majorHAnsi"/>
          <w:sz w:val="24"/>
          <w:szCs w:val="24"/>
        </w:rPr>
        <w:fldChar w:fldCharType="end"/>
      </w:r>
      <w:r w:rsidR="00CB433B">
        <w:rPr>
          <w:rFonts w:asciiTheme="majorHAnsi" w:hAnsiTheme="majorHAnsi" w:cstheme="majorHAnsi"/>
          <w:sz w:val="24"/>
          <w:szCs w:val="24"/>
        </w:rPr>
        <w:t xml:space="preserve"> and continued to </w:t>
      </w:r>
      <w:r w:rsidR="00C418C5">
        <w:rPr>
          <w:rFonts w:asciiTheme="majorHAnsi" w:hAnsiTheme="majorHAnsi" w:cstheme="majorHAnsi"/>
          <w:sz w:val="24"/>
          <w:szCs w:val="24"/>
        </w:rPr>
        <w:t xml:space="preserve">climb </w:t>
      </w:r>
      <w:r w:rsidR="00CB433B">
        <w:rPr>
          <w:rFonts w:asciiTheme="majorHAnsi" w:hAnsiTheme="majorHAnsi" w:cstheme="majorHAnsi"/>
          <w:sz w:val="24"/>
          <w:szCs w:val="24"/>
        </w:rPr>
        <w:t>to frightening heights for the next 20 years</w:t>
      </w:r>
      <w:r w:rsidR="00CB433B">
        <w:rPr>
          <w:rFonts w:asciiTheme="majorHAnsi" w:hAnsiTheme="majorHAnsi" w:cstheme="majorHAnsi"/>
          <w:sz w:val="24"/>
          <w:szCs w:val="24"/>
        </w:rPr>
        <w:fldChar w:fldCharType="begin"/>
      </w:r>
      <w:r w:rsidR="00CB433B">
        <w:rPr>
          <w:rFonts w:asciiTheme="majorHAnsi" w:hAnsiTheme="majorHAnsi" w:cstheme="majorHAnsi"/>
          <w:sz w:val="24"/>
          <w:szCs w:val="24"/>
        </w:rPr>
        <w:instrText xml:space="preserve"> ADDIN ZOTERO_ITEM CSL_CITATION {"citationID":"1uIqSMhe","properties":{"formattedCitation":"\\super 3\\nosupersub{}","plainCitation":"3","noteIndex":0},"citationItems":[{"id":1939,"uris":["http://zotero.org/users/1918630/items/6CJCWBP9"],"itemData":{"id":1939,"type":"article-journal","container-title":"CLIN. MICROBIOL. REV.","language":"en","source":"Zotero","title":"Acinetobacter spp. as Nosocomial Pathogens: Microbiological, Clinical, and Epidemiological Features","volume":"9","author":[{"family":"Zin","given":"E Bergogne-Be Re"},{"family":"Towner","given":"K J"}],"issued":{"date-parts":[["1996"]]}}}],"schema":"https://github.com/citation-style-language/schema/raw/master/csl-citation.json"} </w:instrText>
      </w:r>
      <w:r w:rsidR="00CB433B">
        <w:rPr>
          <w:rFonts w:asciiTheme="majorHAnsi" w:hAnsiTheme="majorHAnsi" w:cstheme="majorHAnsi"/>
          <w:sz w:val="24"/>
          <w:szCs w:val="24"/>
        </w:rPr>
        <w:fldChar w:fldCharType="separate"/>
      </w:r>
      <w:r w:rsidR="00CB433B" w:rsidRPr="00CB433B">
        <w:rPr>
          <w:rFonts w:ascii="Times New Roman" w:hAnsi="Times New Roman" w:cs="Times New Roman"/>
          <w:sz w:val="24"/>
          <w:szCs w:val="24"/>
          <w:vertAlign w:val="superscript"/>
        </w:rPr>
        <w:t>3</w:t>
      </w:r>
      <w:r w:rsidR="00CB433B">
        <w:rPr>
          <w:rFonts w:asciiTheme="majorHAnsi" w:hAnsiTheme="majorHAnsi" w:cstheme="majorHAnsi"/>
          <w:sz w:val="24"/>
          <w:szCs w:val="24"/>
        </w:rPr>
        <w:fldChar w:fldCharType="end"/>
      </w:r>
      <w:r w:rsidR="00CB433B">
        <w:rPr>
          <w:rFonts w:asciiTheme="majorHAnsi" w:hAnsiTheme="majorHAnsi" w:cstheme="majorHAnsi"/>
          <w:sz w:val="24"/>
          <w:szCs w:val="24"/>
        </w:rPr>
        <w:t xml:space="preserve"> </w:t>
      </w:r>
      <w:r w:rsidR="00C418C5">
        <w:rPr>
          <w:rFonts w:asciiTheme="majorHAnsi" w:hAnsiTheme="majorHAnsi" w:cstheme="majorHAnsi"/>
          <w:sz w:val="24"/>
          <w:szCs w:val="24"/>
        </w:rPr>
        <w:t>resulting</w:t>
      </w:r>
      <w:r w:rsidR="00CB433B">
        <w:rPr>
          <w:rFonts w:asciiTheme="majorHAnsi" w:hAnsiTheme="majorHAnsi" w:cstheme="majorHAnsi"/>
          <w:sz w:val="24"/>
          <w:szCs w:val="24"/>
        </w:rPr>
        <w:t xml:space="preserve"> in </w:t>
      </w:r>
      <w:r w:rsidR="00CB433B" w:rsidRPr="00CB433B">
        <w:rPr>
          <w:rFonts w:asciiTheme="majorHAnsi" w:hAnsiTheme="majorHAnsi" w:cstheme="majorHAnsi"/>
          <w:i/>
          <w:iCs/>
          <w:sz w:val="24"/>
          <w:szCs w:val="24"/>
        </w:rPr>
        <w:t xml:space="preserve">Acinetobacter </w:t>
      </w:r>
      <w:r w:rsidR="00CB433B">
        <w:rPr>
          <w:rFonts w:asciiTheme="majorHAnsi" w:hAnsiTheme="majorHAnsi" w:cstheme="majorHAnsi"/>
          <w:sz w:val="24"/>
          <w:szCs w:val="24"/>
        </w:rPr>
        <w:t xml:space="preserve">becoming a high </w:t>
      </w:r>
      <w:r w:rsidR="00D741FF">
        <w:rPr>
          <w:rFonts w:asciiTheme="majorHAnsi" w:hAnsiTheme="majorHAnsi" w:cstheme="majorHAnsi"/>
          <w:sz w:val="24"/>
          <w:szCs w:val="24"/>
        </w:rPr>
        <w:t>priority</w:t>
      </w:r>
      <w:r w:rsidR="00CB433B">
        <w:rPr>
          <w:rFonts w:asciiTheme="majorHAnsi" w:hAnsiTheme="majorHAnsi" w:cstheme="majorHAnsi"/>
          <w:sz w:val="24"/>
          <w:szCs w:val="24"/>
        </w:rPr>
        <w:t xml:space="preserve"> target for antibiotic resistance research</w:t>
      </w:r>
      <w:r w:rsidR="00C418C5">
        <w:rPr>
          <w:rFonts w:asciiTheme="majorHAnsi" w:hAnsiTheme="majorHAnsi" w:cstheme="majorHAnsi"/>
          <w:sz w:val="24"/>
          <w:szCs w:val="24"/>
        </w:rPr>
        <w:t>,</w:t>
      </w:r>
      <w:r w:rsidR="00CB433B">
        <w:rPr>
          <w:rFonts w:asciiTheme="majorHAnsi" w:hAnsiTheme="majorHAnsi" w:cstheme="majorHAnsi"/>
          <w:sz w:val="24"/>
          <w:szCs w:val="24"/>
        </w:rPr>
        <w:t xml:space="preserve"> leading to the research detailed here.</w:t>
      </w:r>
      <w:r w:rsidR="00621811">
        <w:rPr>
          <w:rFonts w:asciiTheme="majorHAnsi" w:hAnsiTheme="majorHAnsi" w:cstheme="majorHAnsi"/>
          <w:sz w:val="24"/>
          <w:szCs w:val="24"/>
        </w:rPr>
        <w:t xml:space="preserve"> </w:t>
      </w:r>
      <w:r w:rsidR="007D0439">
        <w:rPr>
          <w:rFonts w:asciiTheme="majorHAnsi" w:hAnsiTheme="majorHAnsi" w:cstheme="majorHAnsi"/>
          <w:i/>
          <w:iCs/>
          <w:sz w:val="24"/>
          <w:szCs w:val="24"/>
        </w:rPr>
        <w:t>A</w:t>
      </w:r>
      <w:r w:rsidR="00AB4E38">
        <w:rPr>
          <w:rFonts w:asciiTheme="majorHAnsi" w:hAnsiTheme="majorHAnsi" w:cstheme="majorHAnsi"/>
          <w:i/>
          <w:iCs/>
          <w:sz w:val="24"/>
          <w:szCs w:val="24"/>
        </w:rPr>
        <w:t>.</w:t>
      </w:r>
      <w:r w:rsidR="007D0439">
        <w:rPr>
          <w:rFonts w:asciiTheme="majorHAnsi" w:hAnsiTheme="majorHAnsi" w:cstheme="majorHAnsi"/>
          <w:i/>
          <w:iCs/>
          <w:sz w:val="24"/>
          <w:szCs w:val="24"/>
        </w:rPr>
        <w:t xml:space="preserve"> </w:t>
      </w:r>
      <w:proofErr w:type="spellStart"/>
      <w:r w:rsidR="007D0439">
        <w:rPr>
          <w:rFonts w:asciiTheme="majorHAnsi" w:hAnsiTheme="majorHAnsi" w:cstheme="majorHAnsi"/>
          <w:i/>
          <w:iCs/>
          <w:sz w:val="24"/>
          <w:szCs w:val="24"/>
        </w:rPr>
        <w:t>bauma</w:t>
      </w:r>
      <w:r w:rsidR="00AF3618">
        <w:rPr>
          <w:rFonts w:asciiTheme="majorHAnsi" w:hAnsiTheme="majorHAnsi" w:cstheme="majorHAnsi"/>
          <w:i/>
          <w:iCs/>
          <w:sz w:val="24"/>
          <w:szCs w:val="24"/>
        </w:rPr>
        <w:t>n</w:t>
      </w:r>
      <w:r w:rsidR="007D0439">
        <w:rPr>
          <w:rFonts w:asciiTheme="majorHAnsi" w:hAnsiTheme="majorHAnsi" w:cstheme="majorHAnsi"/>
          <w:i/>
          <w:iCs/>
          <w:sz w:val="24"/>
          <w:szCs w:val="24"/>
        </w:rPr>
        <w:t>nii</w:t>
      </w:r>
      <w:r w:rsidR="007D0439">
        <w:rPr>
          <w:rFonts w:asciiTheme="majorHAnsi" w:hAnsiTheme="majorHAnsi" w:cstheme="majorHAnsi"/>
          <w:sz w:val="24"/>
          <w:szCs w:val="24"/>
        </w:rPr>
        <w:t>’s</w:t>
      </w:r>
      <w:proofErr w:type="spellEnd"/>
      <w:r w:rsidR="007D0439">
        <w:rPr>
          <w:rFonts w:asciiTheme="majorHAnsi" w:hAnsiTheme="majorHAnsi" w:cstheme="majorHAnsi"/>
          <w:sz w:val="24"/>
          <w:szCs w:val="24"/>
        </w:rPr>
        <w:t xml:space="preserve"> exceptional abilities to evade antimicrobials</w:t>
      </w:r>
      <w:r w:rsidR="00D164CD">
        <w:rPr>
          <w:rFonts w:asciiTheme="majorHAnsi" w:hAnsiTheme="majorHAnsi" w:cstheme="majorHAnsi"/>
          <w:sz w:val="24"/>
          <w:szCs w:val="24"/>
        </w:rPr>
        <w:t xml:space="preserve"> have long been known</w:t>
      </w:r>
      <w:r w:rsidR="007D0439">
        <w:rPr>
          <w:rFonts w:asciiTheme="majorHAnsi" w:hAnsiTheme="majorHAnsi" w:cstheme="majorHAnsi"/>
          <w:sz w:val="24"/>
          <w:szCs w:val="24"/>
        </w:rPr>
        <w:t>, but the details of those mechanisms have for the most part remained unclear.</w:t>
      </w:r>
      <w:r w:rsidR="0084257D">
        <w:rPr>
          <w:rFonts w:asciiTheme="majorHAnsi" w:hAnsiTheme="majorHAnsi" w:cstheme="majorHAnsi"/>
          <w:sz w:val="24"/>
          <w:szCs w:val="24"/>
        </w:rPr>
        <w:t xml:space="preserve"> </w:t>
      </w:r>
      <w:r w:rsidR="007624CF">
        <w:rPr>
          <w:rFonts w:asciiTheme="majorHAnsi" w:hAnsiTheme="majorHAnsi" w:cstheme="majorHAnsi"/>
          <w:sz w:val="24"/>
          <w:szCs w:val="24"/>
        </w:rPr>
        <w:t>The better we can understand the pathogen’s physiology, the more informed our efforts toward alternative treatments can be.</w:t>
      </w:r>
    </w:p>
    <w:p w14:paraId="45104487" w14:textId="2B101551" w:rsidR="00707960" w:rsidRDefault="00707960" w:rsidP="00707960">
      <w:pPr>
        <w:spacing w:line="360" w:lineRule="auto"/>
        <w:ind w:firstLine="720"/>
        <w:rPr>
          <w:rFonts w:asciiTheme="majorHAnsi" w:hAnsiTheme="majorHAnsi" w:cstheme="majorHAnsi"/>
          <w:sz w:val="24"/>
          <w:szCs w:val="24"/>
        </w:rPr>
      </w:pPr>
      <w:r>
        <w:rPr>
          <w:rFonts w:asciiTheme="majorHAnsi" w:hAnsiTheme="majorHAnsi" w:cstheme="majorHAnsi"/>
          <w:sz w:val="24"/>
          <w:szCs w:val="24"/>
        </w:rPr>
        <w:t>T</w:t>
      </w:r>
      <w:r w:rsidR="007624CF">
        <w:rPr>
          <w:rFonts w:asciiTheme="majorHAnsi" w:hAnsiTheme="majorHAnsi" w:cstheme="majorHAnsi"/>
          <w:sz w:val="24"/>
          <w:szCs w:val="24"/>
        </w:rPr>
        <w:t xml:space="preserve">his dissertation </w:t>
      </w:r>
      <w:r w:rsidR="00D164CD">
        <w:rPr>
          <w:rFonts w:asciiTheme="majorHAnsi" w:hAnsiTheme="majorHAnsi" w:cstheme="majorHAnsi"/>
          <w:sz w:val="24"/>
          <w:szCs w:val="24"/>
        </w:rPr>
        <w:t xml:space="preserve">is </w:t>
      </w:r>
      <w:r w:rsidR="007624CF">
        <w:rPr>
          <w:rFonts w:asciiTheme="majorHAnsi" w:hAnsiTheme="majorHAnsi" w:cstheme="majorHAnsi"/>
          <w:sz w:val="24"/>
          <w:szCs w:val="24"/>
        </w:rPr>
        <w:t>focuse</w:t>
      </w:r>
      <w:r w:rsidR="00D164CD">
        <w:rPr>
          <w:rFonts w:asciiTheme="majorHAnsi" w:hAnsiTheme="majorHAnsi" w:cstheme="majorHAnsi"/>
          <w:sz w:val="24"/>
          <w:szCs w:val="24"/>
        </w:rPr>
        <w:t>d</w:t>
      </w:r>
      <w:r w:rsidR="007624CF">
        <w:rPr>
          <w:rFonts w:asciiTheme="majorHAnsi" w:hAnsiTheme="majorHAnsi" w:cstheme="majorHAnsi"/>
          <w:sz w:val="24"/>
          <w:szCs w:val="24"/>
        </w:rPr>
        <w:t xml:space="preserve"> on the role RND and MFS efflux pumps play in </w:t>
      </w:r>
      <w:r w:rsidR="007624CF">
        <w:rPr>
          <w:rFonts w:asciiTheme="majorHAnsi" w:hAnsiTheme="majorHAnsi" w:cstheme="majorHAnsi"/>
          <w:i/>
          <w:iCs/>
          <w:sz w:val="24"/>
          <w:szCs w:val="24"/>
        </w:rPr>
        <w:t>A.</w:t>
      </w:r>
      <w:r w:rsidR="00C0670A">
        <w:rPr>
          <w:rFonts w:asciiTheme="majorHAnsi" w:hAnsiTheme="majorHAnsi" w:cstheme="majorHAnsi"/>
          <w:i/>
          <w:iCs/>
          <w:sz w:val="24"/>
          <w:szCs w:val="24"/>
        </w:rPr>
        <w:t xml:space="preserve"> </w:t>
      </w:r>
      <w:proofErr w:type="spellStart"/>
      <w:r w:rsidR="007624CF">
        <w:rPr>
          <w:rFonts w:asciiTheme="majorHAnsi" w:hAnsiTheme="majorHAnsi" w:cstheme="majorHAnsi"/>
          <w:i/>
          <w:iCs/>
          <w:sz w:val="24"/>
          <w:szCs w:val="24"/>
        </w:rPr>
        <w:t>baumannii</w:t>
      </w:r>
      <w:r w:rsidR="007624CF">
        <w:rPr>
          <w:rFonts w:asciiTheme="majorHAnsi" w:hAnsiTheme="majorHAnsi" w:cstheme="majorHAnsi"/>
          <w:sz w:val="24"/>
          <w:szCs w:val="24"/>
        </w:rPr>
        <w:t>’s</w:t>
      </w:r>
      <w:proofErr w:type="spellEnd"/>
      <w:r w:rsidR="007624CF">
        <w:rPr>
          <w:rFonts w:asciiTheme="majorHAnsi" w:hAnsiTheme="majorHAnsi" w:cstheme="majorHAnsi"/>
          <w:sz w:val="24"/>
          <w:szCs w:val="24"/>
        </w:rPr>
        <w:t xml:space="preserve"> survival strategies under various stress conditions. The first goal was to functionally characterize two putative </w:t>
      </w:r>
      <w:proofErr w:type="spellStart"/>
      <w:r w:rsidR="007624CF">
        <w:rPr>
          <w:rFonts w:asciiTheme="majorHAnsi" w:hAnsiTheme="majorHAnsi" w:cstheme="majorHAnsi"/>
          <w:sz w:val="24"/>
          <w:szCs w:val="24"/>
        </w:rPr>
        <w:t>EmrAB</w:t>
      </w:r>
      <w:proofErr w:type="spellEnd"/>
      <w:r w:rsidR="007624CF">
        <w:rPr>
          <w:rFonts w:asciiTheme="majorHAnsi" w:hAnsiTheme="majorHAnsi" w:cstheme="majorHAnsi"/>
          <w:sz w:val="24"/>
          <w:szCs w:val="24"/>
        </w:rPr>
        <w:t xml:space="preserve">-like MFS pumps, identified as being overproduced in RND efflux deficient strains of </w:t>
      </w:r>
      <w:r w:rsidR="007624CF">
        <w:rPr>
          <w:rFonts w:asciiTheme="majorHAnsi" w:hAnsiTheme="majorHAnsi" w:cstheme="majorHAnsi"/>
          <w:i/>
          <w:iCs/>
          <w:sz w:val="24"/>
          <w:szCs w:val="24"/>
        </w:rPr>
        <w:t>A. baumannii</w:t>
      </w:r>
      <w:r w:rsidR="007624CF">
        <w:rPr>
          <w:rFonts w:asciiTheme="majorHAnsi" w:hAnsiTheme="majorHAnsi" w:cstheme="majorHAnsi"/>
          <w:sz w:val="24"/>
          <w:szCs w:val="24"/>
        </w:rPr>
        <w:t xml:space="preserve">, and to gain insight into their role in bacterial stress responses. The second goal was to </w:t>
      </w:r>
      <w:r w:rsidR="00DC6096">
        <w:rPr>
          <w:rFonts w:asciiTheme="majorHAnsi" w:hAnsiTheme="majorHAnsi" w:cstheme="majorHAnsi"/>
          <w:sz w:val="24"/>
          <w:szCs w:val="24"/>
        </w:rPr>
        <w:t>better understand the substrate recognition of</w:t>
      </w:r>
      <w:r w:rsidR="005F7559">
        <w:rPr>
          <w:rFonts w:asciiTheme="majorHAnsi" w:hAnsiTheme="majorHAnsi" w:cstheme="majorHAnsi"/>
          <w:sz w:val="24"/>
          <w:szCs w:val="24"/>
        </w:rPr>
        <w:t xml:space="preserve"> two</w:t>
      </w:r>
      <w:r w:rsidR="00DC6096">
        <w:rPr>
          <w:rFonts w:asciiTheme="majorHAnsi" w:hAnsiTheme="majorHAnsi" w:cstheme="majorHAnsi"/>
          <w:sz w:val="24"/>
          <w:szCs w:val="24"/>
        </w:rPr>
        <w:t xml:space="preserve"> RND pumps in </w:t>
      </w:r>
      <w:r w:rsidR="00DC6096">
        <w:rPr>
          <w:rFonts w:asciiTheme="majorHAnsi" w:hAnsiTheme="majorHAnsi" w:cstheme="majorHAnsi"/>
          <w:i/>
          <w:iCs/>
          <w:sz w:val="24"/>
          <w:szCs w:val="24"/>
        </w:rPr>
        <w:t>A. baumannii</w:t>
      </w:r>
      <w:r w:rsidR="005F7559">
        <w:rPr>
          <w:rFonts w:asciiTheme="majorHAnsi" w:hAnsiTheme="majorHAnsi" w:cstheme="majorHAnsi"/>
          <w:i/>
          <w:iCs/>
          <w:sz w:val="24"/>
          <w:szCs w:val="24"/>
        </w:rPr>
        <w:t xml:space="preserve">, </w:t>
      </w:r>
      <w:proofErr w:type="spellStart"/>
      <w:r w:rsidR="005F7559">
        <w:rPr>
          <w:rFonts w:asciiTheme="majorHAnsi" w:hAnsiTheme="majorHAnsi" w:cstheme="majorHAnsi"/>
          <w:sz w:val="24"/>
          <w:szCs w:val="24"/>
        </w:rPr>
        <w:t>AdeG</w:t>
      </w:r>
      <w:proofErr w:type="spellEnd"/>
      <w:r w:rsidR="005F7559">
        <w:rPr>
          <w:rFonts w:asciiTheme="majorHAnsi" w:hAnsiTheme="majorHAnsi" w:cstheme="majorHAnsi"/>
          <w:sz w:val="24"/>
          <w:szCs w:val="24"/>
        </w:rPr>
        <w:t xml:space="preserve"> of </w:t>
      </w:r>
      <w:proofErr w:type="spellStart"/>
      <w:r w:rsidR="005F7559">
        <w:rPr>
          <w:rFonts w:asciiTheme="majorHAnsi" w:hAnsiTheme="majorHAnsi" w:cstheme="majorHAnsi"/>
          <w:sz w:val="24"/>
          <w:szCs w:val="24"/>
        </w:rPr>
        <w:t>AdeFGH</w:t>
      </w:r>
      <w:proofErr w:type="spellEnd"/>
      <w:r w:rsidR="005F7559">
        <w:rPr>
          <w:rFonts w:asciiTheme="majorHAnsi" w:hAnsiTheme="majorHAnsi" w:cstheme="majorHAnsi"/>
          <w:sz w:val="24"/>
          <w:szCs w:val="24"/>
        </w:rPr>
        <w:t xml:space="preserve"> and </w:t>
      </w:r>
      <w:proofErr w:type="spellStart"/>
      <w:r w:rsidR="005F7559">
        <w:rPr>
          <w:rFonts w:asciiTheme="majorHAnsi" w:hAnsiTheme="majorHAnsi" w:cstheme="majorHAnsi"/>
          <w:sz w:val="24"/>
          <w:szCs w:val="24"/>
        </w:rPr>
        <w:t>AdeJ</w:t>
      </w:r>
      <w:proofErr w:type="spellEnd"/>
      <w:r w:rsidR="005F7559">
        <w:rPr>
          <w:rFonts w:asciiTheme="majorHAnsi" w:hAnsiTheme="majorHAnsi" w:cstheme="majorHAnsi"/>
          <w:sz w:val="24"/>
          <w:szCs w:val="24"/>
        </w:rPr>
        <w:t xml:space="preserve"> of </w:t>
      </w:r>
      <w:proofErr w:type="spellStart"/>
      <w:r w:rsidR="005F7559">
        <w:rPr>
          <w:rFonts w:asciiTheme="majorHAnsi" w:hAnsiTheme="majorHAnsi" w:cstheme="majorHAnsi"/>
          <w:sz w:val="24"/>
          <w:szCs w:val="24"/>
        </w:rPr>
        <w:t>AdeIJK</w:t>
      </w:r>
      <w:proofErr w:type="spellEnd"/>
      <w:r w:rsidR="005F7559">
        <w:rPr>
          <w:rFonts w:asciiTheme="majorHAnsi" w:hAnsiTheme="majorHAnsi" w:cstheme="majorHAnsi"/>
          <w:sz w:val="24"/>
          <w:szCs w:val="24"/>
        </w:rPr>
        <w:t>,</w:t>
      </w:r>
      <w:r w:rsidR="00DC6096">
        <w:rPr>
          <w:rFonts w:asciiTheme="majorHAnsi" w:hAnsiTheme="majorHAnsi" w:cstheme="majorHAnsi"/>
          <w:sz w:val="24"/>
          <w:szCs w:val="24"/>
        </w:rPr>
        <w:t xml:space="preserve"> and how specific binding pocket residues impact substrate specificity and export efficiency.</w:t>
      </w:r>
      <w:r w:rsidR="0001088D">
        <w:rPr>
          <w:rFonts w:asciiTheme="majorHAnsi" w:hAnsiTheme="majorHAnsi" w:cstheme="majorHAnsi"/>
          <w:sz w:val="24"/>
          <w:szCs w:val="24"/>
        </w:rPr>
        <w:t xml:space="preserve"> </w:t>
      </w:r>
      <w:r w:rsidR="00E07550">
        <w:rPr>
          <w:rFonts w:asciiTheme="majorHAnsi" w:hAnsiTheme="majorHAnsi" w:cstheme="majorHAnsi"/>
          <w:sz w:val="24"/>
          <w:szCs w:val="24"/>
        </w:rPr>
        <w:t>I used biochemical methods such as cloning, mutagenesis, antibiotic susceptibility assays</w:t>
      </w:r>
      <w:r w:rsidR="001D019B">
        <w:rPr>
          <w:rFonts w:asciiTheme="majorHAnsi" w:hAnsiTheme="majorHAnsi" w:cstheme="majorHAnsi"/>
          <w:sz w:val="24"/>
          <w:szCs w:val="24"/>
        </w:rPr>
        <w:t>, inhibition studies</w:t>
      </w:r>
      <w:r w:rsidR="00E07550">
        <w:rPr>
          <w:rFonts w:asciiTheme="majorHAnsi" w:hAnsiTheme="majorHAnsi" w:cstheme="majorHAnsi"/>
          <w:sz w:val="24"/>
          <w:szCs w:val="24"/>
        </w:rPr>
        <w:t xml:space="preserve">, and fluorescence uptake assays to accomplish these goals. </w:t>
      </w:r>
      <w:r w:rsidR="0001088D">
        <w:rPr>
          <w:rFonts w:asciiTheme="majorHAnsi" w:hAnsiTheme="majorHAnsi" w:cstheme="majorHAnsi"/>
          <w:sz w:val="24"/>
          <w:szCs w:val="24"/>
        </w:rPr>
        <w:t>I coupled these biochemical results with genetic and structural analyses to comp</w:t>
      </w:r>
      <w:r w:rsidR="00524E46">
        <w:rPr>
          <w:rFonts w:asciiTheme="majorHAnsi" w:hAnsiTheme="majorHAnsi" w:cstheme="majorHAnsi"/>
          <w:sz w:val="24"/>
          <w:szCs w:val="24"/>
        </w:rPr>
        <w:t xml:space="preserve">ose a more refined picture of </w:t>
      </w:r>
      <w:r>
        <w:rPr>
          <w:rFonts w:asciiTheme="majorHAnsi" w:hAnsiTheme="majorHAnsi" w:cstheme="majorHAnsi"/>
          <w:sz w:val="24"/>
          <w:szCs w:val="24"/>
        </w:rPr>
        <w:t xml:space="preserve">how multidrug efflux protects </w:t>
      </w:r>
      <w:r>
        <w:rPr>
          <w:rFonts w:asciiTheme="majorHAnsi" w:hAnsiTheme="majorHAnsi" w:cstheme="majorHAnsi"/>
          <w:i/>
          <w:iCs/>
          <w:sz w:val="24"/>
          <w:szCs w:val="24"/>
        </w:rPr>
        <w:t>A. baumannii</w:t>
      </w:r>
      <w:r>
        <w:rPr>
          <w:rFonts w:asciiTheme="majorHAnsi" w:hAnsiTheme="majorHAnsi" w:cstheme="majorHAnsi"/>
          <w:sz w:val="24"/>
          <w:szCs w:val="24"/>
        </w:rPr>
        <w:t xml:space="preserve"> against extracellular stressors. </w:t>
      </w:r>
    </w:p>
    <w:p w14:paraId="07BBD4C1" w14:textId="6192E219" w:rsidR="00C836F0" w:rsidRDefault="00707960" w:rsidP="000A7697">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I found that while the two newly characterized MFS family efflux pumps,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and </w:t>
      </w:r>
      <w:proofErr w:type="spellStart"/>
      <w:r>
        <w:rPr>
          <w:rFonts w:asciiTheme="majorHAnsi" w:hAnsiTheme="majorHAnsi" w:cstheme="majorHAnsi"/>
          <w:sz w:val="24"/>
          <w:szCs w:val="24"/>
        </w:rPr>
        <w:t>AmfCD</w:t>
      </w:r>
      <w:proofErr w:type="spellEnd"/>
      <w:r>
        <w:rPr>
          <w:rFonts w:asciiTheme="majorHAnsi" w:hAnsiTheme="majorHAnsi" w:cstheme="majorHAnsi"/>
          <w:sz w:val="24"/>
          <w:szCs w:val="24"/>
        </w:rPr>
        <w:t xml:space="preserve">, do not contribute to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’s</w:t>
      </w:r>
      <w:proofErr w:type="spellEnd"/>
      <w:r>
        <w:rPr>
          <w:rFonts w:asciiTheme="majorHAnsi" w:hAnsiTheme="majorHAnsi" w:cstheme="majorHAnsi"/>
          <w:sz w:val="24"/>
          <w:szCs w:val="24"/>
        </w:rPr>
        <w:t xml:space="preserve"> antibiotic non-susceptibility phenotypes, they are critical for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’s</w:t>
      </w:r>
      <w:proofErr w:type="spellEnd"/>
      <w:r>
        <w:rPr>
          <w:rFonts w:asciiTheme="majorHAnsi" w:hAnsiTheme="majorHAnsi" w:cstheme="majorHAnsi"/>
          <w:sz w:val="24"/>
          <w:szCs w:val="24"/>
        </w:rPr>
        <w:t xml:space="preserve"> survival under acidic conditions.</w:t>
      </w:r>
      <w:r w:rsidRPr="00707960">
        <w:rPr>
          <w:rFonts w:asciiTheme="majorHAnsi" w:hAnsiTheme="majorHAnsi" w:cstheme="majorHAnsi"/>
          <w:sz w:val="24"/>
          <w:szCs w:val="24"/>
        </w:rPr>
        <w:t xml:space="preserve"> </w:t>
      </w:r>
      <w:r w:rsidR="001D019B">
        <w:rPr>
          <w:rFonts w:asciiTheme="majorHAnsi" w:hAnsiTheme="majorHAnsi" w:cstheme="majorHAnsi"/>
          <w:sz w:val="24"/>
          <w:szCs w:val="24"/>
        </w:rPr>
        <w:t>These</w:t>
      </w:r>
      <w:r>
        <w:rPr>
          <w:rFonts w:asciiTheme="majorHAnsi" w:hAnsiTheme="majorHAnsi" w:cstheme="majorHAnsi"/>
          <w:sz w:val="24"/>
          <w:szCs w:val="24"/>
        </w:rPr>
        <w:t xml:space="preserve"> results also suggest that these two MFS transporters contribute to stress survival by modification of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’s</w:t>
      </w:r>
      <w:proofErr w:type="spellEnd"/>
      <w:r>
        <w:rPr>
          <w:rFonts w:asciiTheme="majorHAnsi" w:hAnsiTheme="majorHAnsi" w:cstheme="majorHAnsi"/>
          <w:sz w:val="24"/>
          <w:szCs w:val="24"/>
        </w:rPr>
        <w:t xml:space="preserve"> permeability barrier as a method of keeping stressors out of the cell.</w:t>
      </w:r>
      <w:r w:rsidRPr="00707960">
        <w:rPr>
          <w:rFonts w:asciiTheme="majorHAnsi" w:hAnsiTheme="majorHAnsi" w:cstheme="majorHAnsi"/>
          <w:sz w:val="24"/>
          <w:szCs w:val="24"/>
        </w:rPr>
        <w:t xml:space="preserve"> </w:t>
      </w:r>
      <w:r w:rsidR="001D019B">
        <w:rPr>
          <w:rFonts w:asciiTheme="majorHAnsi" w:hAnsiTheme="majorHAnsi" w:cstheme="majorHAnsi"/>
          <w:sz w:val="24"/>
          <w:szCs w:val="24"/>
        </w:rPr>
        <w:t>I</w:t>
      </w:r>
      <w:r>
        <w:rPr>
          <w:rFonts w:asciiTheme="majorHAnsi" w:hAnsiTheme="majorHAnsi" w:cstheme="majorHAnsi"/>
          <w:sz w:val="24"/>
          <w:szCs w:val="24"/>
        </w:rPr>
        <w:t xml:space="preserve"> also found several </w:t>
      </w:r>
      <w:proofErr w:type="spellStart"/>
      <w:r>
        <w:rPr>
          <w:rFonts w:asciiTheme="majorHAnsi" w:hAnsiTheme="majorHAnsi" w:cstheme="majorHAnsi"/>
          <w:sz w:val="24"/>
          <w:szCs w:val="24"/>
        </w:rPr>
        <w:t>AdeG</w:t>
      </w:r>
      <w:proofErr w:type="spellEnd"/>
      <w:r>
        <w:rPr>
          <w:rFonts w:asciiTheme="majorHAnsi" w:hAnsiTheme="majorHAnsi" w:cstheme="majorHAnsi"/>
          <w:sz w:val="24"/>
          <w:szCs w:val="24"/>
        </w:rPr>
        <w:t xml:space="preserve"> </w:t>
      </w:r>
      <w:r w:rsidR="000358FD">
        <w:rPr>
          <w:rFonts w:asciiTheme="majorHAnsi" w:hAnsiTheme="majorHAnsi" w:cstheme="majorHAnsi"/>
          <w:sz w:val="24"/>
          <w:szCs w:val="24"/>
        </w:rPr>
        <w:t xml:space="preserve">substrate </w:t>
      </w:r>
      <w:r>
        <w:rPr>
          <w:rFonts w:asciiTheme="majorHAnsi" w:hAnsiTheme="majorHAnsi" w:cstheme="majorHAnsi"/>
          <w:sz w:val="24"/>
          <w:szCs w:val="24"/>
        </w:rPr>
        <w:t>binding pocket residues that are implicated in the export of nalidixic acid, norfloxacin, and the fluorescent probe NPN</w:t>
      </w:r>
      <w:r w:rsidR="005F7559">
        <w:rPr>
          <w:rFonts w:asciiTheme="majorHAnsi" w:hAnsiTheme="majorHAnsi" w:cstheme="majorHAnsi"/>
          <w:sz w:val="24"/>
          <w:szCs w:val="24"/>
        </w:rPr>
        <w:t xml:space="preserve">. Additionally, I used AdeG to characterize kinetic parameters of the putative efflux pump inhibitor, SLUPP_1377. </w:t>
      </w:r>
      <w:r>
        <w:rPr>
          <w:rFonts w:asciiTheme="majorHAnsi" w:hAnsiTheme="majorHAnsi" w:cstheme="majorHAnsi"/>
          <w:sz w:val="24"/>
          <w:szCs w:val="24"/>
        </w:rPr>
        <w:t xml:space="preserve">And lastly, we found that the two </w:t>
      </w:r>
      <w:proofErr w:type="spellStart"/>
      <w:r>
        <w:rPr>
          <w:rFonts w:asciiTheme="majorHAnsi" w:hAnsiTheme="majorHAnsi" w:cstheme="majorHAnsi"/>
          <w:sz w:val="24"/>
          <w:szCs w:val="24"/>
        </w:rPr>
        <w:t>AdeJ</w:t>
      </w:r>
      <w:proofErr w:type="spellEnd"/>
      <w:r>
        <w:rPr>
          <w:rFonts w:asciiTheme="majorHAnsi" w:hAnsiTheme="majorHAnsi" w:cstheme="majorHAnsi"/>
          <w:sz w:val="24"/>
          <w:szCs w:val="24"/>
        </w:rPr>
        <w:t xml:space="preserve"> mutants </w:t>
      </w:r>
      <w:r w:rsidR="00D164CD">
        <w:rPr>
          <w:rFonts w:asciiTheme="majorHAnsi" w:hAnsiTheme="majorHAnsi" w:cstheme="majorHAnsi"/>
          <w:sz w:val="24"/>
          <w:szCs w:val="24"/>
        </w:rPr>
        <w:t>(</w:t>
      </w:r>
      <w:r>
        <w:rPr>
          <w:rFonts w:asciiTheme="majorHAnsi" w:hAnsiTheme="majorHAnsi" w:cstheme="majorHAnsi"/>
          <w:sz w:val="24"/>
          <w:szCs w:val="24"/>
        </w:rPr>
        <w:t xml:space="preserve">R701A and </w:t>
      </w:r>
      <w:r>
        <w:rPr>
          <w:rFonts w:asciiTheme="majorHAnsi" w:hAnsiTheme="majorHAnsi" w:cstheme="majorHAnsi"/>
          <w:sz w:val="24"/>
          <w:szCs w:val="24"/>
        </w:rPr>
        <w:lastRenderedPageBreak/>
        <w:t>F136A</w:t>
      </w:r>
      <w:r w:rsidR="00D164CD">
        <w:rPr>
          <w:rFonts w:asciiTheme="majorHAnsi" w:hAnsiTheme="majorHAnsi" w:cstheme="majorHAnsi"/>
          <w:sz w:val="24"/>
          <w:szCs w:val="24"/>
        </w:rPr>
        <w:t>)</w:t>
      </w:r>
      <w:r>
        <w:rPr>
          <w:rFonts w:asciiTheme="majorHAnsi" w:hAnsiTheme="majorHAnsi" w:cstheme="majorHAnsi"/>
          <w:sz w:val="24"/>
          <w:szCs w:val="24"/>
        </w:rPr>
        <w:t xml:space="preserve"> improved the export efficiency of erythromycin, perhaps by better accommodating the antibiotic into the transporter binding pocket.</w:t>
      </w:r>
      <w:r w:rsidR="000A7697">
        <w:rPr>
          <w:rFonts w:asciiTheme="majorHAnsi" w:hAnsiTheme="majorHAnsi" w:cstheme="majorHAnsi"/>
          <w:sz w:val="24"/>
          <w:szCs w:val="24"/>
        </w:rPr>
        <w:t xml:space="preserve"> Thi</w:t>
      </w:r>
      <w:r w:rsidR="005F7559">
        <w:rPr>
          <w:rFonts w:asciiTheme="majorHAnsi" w:hAnsiTheme="majorHAnsi" w:cstheme="majorHAnsi"/>
          <w:sz w:val="24"/>
          <w:szCs w:val="24"/>
        </w:rPr>
        <w:t xml:space="preserve">s work provides new insight into the roles multidrug efflux pumps play in bacterial physiology, </w:t>
      </w:r>
      <w:r w:rsidR="000A7697">
        <w:rPr>
          <w:rFonts w:asciiTheme="majorHAnsi" w:hAnsiTheme="majorHAnsi" w:cstheme="majorHAnsi"/>
          <w:sz w:val="24"/>
          <w:szCs w:val="24"/>
        </w:rPr>
        <w:t xml:space="preserve">potential new drug targets which are vital for survival under acidic stress, and informed EPI development strategies from a more detailed model of the </w:t>
      </w:r>
      <w:proofErr w:type="spellStart"/>
      <w:r w:rsidR="000A7697">
        <w:rPr>
          <w:rFonts w:asciiTheme="majorHAnsi" w:hAnsiTheme="majorHAnsi" w:cstheme="majorHAnsi"/>
          <w:sz w:val="24"/>
          <w:szCs w:val="24"/>
        </w:rPr>
        <w:t>AdeG</w:t>
      </w:r>
      <w:proofErr w:type="spellEnd"/>
      <w:r w:rsidR="000A7697">
        <w:rPr>
          <w:rFonts w:asciiTheme="majorHAnsi" w:hAnsiTheme="majorHAnsi" w:cstheme="majorHAnsi"/>
          <w:sz w:val="24"/>
          <w:szCs w:val="24"/>
        </w:rPr>
        <w:t xml:space="preserve"> and </w:t>
      </w:r>
      <w:proofErr w:type="spellStart"/>
      <w:r w:rsidR="000A7697">
        <w:rPr>
          <w:rFonts w:asciiTheme="majorHAnsi" w:hAnsiTheme="majorHAnsi" w:cstheme="majorHAnsi"/>
          <w:sz w:val="24"/>
          <w:szCs w:val="24"/>
        </w:rPr>
        <w:t>AdeJ</w:t>
      </w:r>
      <w:proofErr w:type="spellEnd"/>
      <w:r w:rsidR="000A7697">
        <w:rPr>
          <w:rFonts w:asciiTheme="majorHAnsi" w:hAnsiTheme="majorHAnsi" w:cstheme="majorHAnsi"/>
          <w:sz w:val="24"/>
          <w:szCs w:val="24"/>
        </w:rPr>
        <w:t xml:space="preserve"> binding pockets. </w:t>
      </w:r>
    </w:p>
    <w:p w14:paraId="73D0DD34" w14:textId="77777777" w:rsidR="00115CF1" w:rsidRDefault="00115CF1" w:rsidP="000A7697">
      <w:pPr>
        <w:spacing w:line="360" w:lineRule="auto"/>
        <w:ind w:firstLine="720"/>
        <w:rPr>
          <w:rFonts w:asciiTheme="majorHAnsi" w:hAnsiTheme="majorHAnsi" w:cstheme="majorHAnsi"/>
          <w:sz w:val="24"/>
          <w:szCs w:val="24"/>
        </w:rPr>
        <w:sectPr w:rsidR="00115CF1" w:rsidSect="003D4C64">
          <w:pgSz w:w="12240" w:h="15840" w:code="1"/>
          <w:pgMar w:top="1440" w:right="1440" w:bottom="1440" w:left="2160" w:header="720" w:footer="720" w:gutter="0"/>
          <w:pgNumType w:fmt="lowerRoman"/>
          <w:cols w:space="720"/>
          <w:docGrid w:linePitch="360"/>
        </w:sectPr>
      </w:pPr>
    </w:p>
    <w:p w14:paraId="39C06290" w14:textId="77777777" w:rsidR="00115CF1" w:rsidRPr="00621811" w:rsidRDefault="00115CF1" w:rsidP="000A7697">
      <w:pPr>
        <w:spacing w:line="360" w:lineRule="auto"/>
        <w:ind w:firstLine="720"/>
        <w:rPr>
          <w:rFonts w:asciiTheme="majorHAnsi" w:hAnsiTheme="majorHAnsi" w:cstheme="majorHAnsi"/>
          <w:sz w:val="24"/>
          <w:szCs w:val="24"/>
        </w:rPr>
      </w:pPr>
    </w:p>
    <w:p w14:paraId="6B1F1A5B" w14:textId="15BC84F0" w:rsidR="00C836F0" w:rsidRPr="004E2D1D" w:rsidRDefault="00D709BE" w:rsidP="004E2D1D">
      <w:pPr>
        <w:rPr>
          <w:rFonts w:asciiTheme="majorHAnsi" w:hAnsiTheme="majorHAnsi" w:cstheme="majorHAnsi"/>
          <w:b/>
          <w:bCs/>
          <w:sz w:val="24"/>
          <w:szCs w:val="24"/>
        </w:rPr>
      </w:pPr>
      <w:bookmarkStart w:id="2" w:name="_Hlk152173329"/>
      <w:bookmarkStart w:id="3" w:name="_Hlk151976527"/>
      <w:bookmarkStart w:id="4" w:name="_Hlk152177588"/>
      <w:bookmarkStart w:id="5" w:name="_Hlk151994753"/>
      <w:r w:rsidRPr="004E2D1D">
        <w:rPr>
          <w:rFonts w:asciiTheme="majorHAnsi" w:hAnsiTheme="majorHAnsi" w:cstheme="majorHAnsi"/>
          <w:b/>
          <w:bCs/>
          <w:sz w:val="24"/>
          <w:szCs w:val="24"/>
        </w:rPr>
        <w:t>Chapter 1: Introduction</w:t>
      </w:r>
    </w:p>
    <w:p w14:paraId="4AF1F948" w14:textId="512FCF13" w:rsidR="00FC4F70" w:rsidRPr="00FC4F70" w:rsidRDefault="009826EC"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The following literature review </w:t>
      </w:r>
      <w:r w:rsidR="00B94232">
        <w:rPr>
          <w:rFonts w:asciiTheme="majorHAnsi" w:hAnsiTheme="majorHAnsi" w:cstheme="majorHAnsi"/>
          <w:sz w:val="24"/>
          <w:szCs w:val="24"/>
        </w:rPr>
        <w:t xml:space="preserve">in part covers </w:t>
      </w:r>
      <w:r>
        <w:rPr>
          <w:rFonts w:asciiTheme="majorHAnsi" w:hAnsiTheme="majorHAnsi" w:cstheme="majorHAnsi"/>
          <w:sz w:val="24"/>
          <w:szCs w:val="24"/>
        </w:rPr>
        <w:t>the escalating concern of Multidrug Resistance (MDR), particularly among the ESKAPE pathogen</w:t>
      </w:r>
      <w:r w:rsidR="003409EA">
        <w:rPr>
          <w:rFonts w:asciiTheme="majorHAnsi" w:hAnsiTheme="majorHAnsi" w:cstheme="majorHAnsi"/>
          <w:sz w:val="24"/>
          <w:szCs w:val="24"/>
        </w:rPr>
        <w:t xml:space="preserve"> </w:t>
      </w:r>
      <w:r w:rsidR="003409EA">
        <w:rPr>
          <w:rFonts w:asciiTheme="majorHAnsi" w:hAnsiTheme="majorHAnsi" w:cstheme="majorHAnsi"/>
          <w:i/>
          <w:iCs/>
          <w:sz w:val="24"/>
          <w:szCs w:val="24"/>
        </w:rPr>
        <w:t>Acinet</w:t>
      </w:r>
      <w:r>
        <w:rPr>
          <w:rFonts w:asciiTheme="majorHAnsi" w:hAnsiTheme="majorHAnsi" w:cstheme="majorHAnsi"/>
          <w:i/>
          <w:iCs/>
          <w:sz w:val="24"/>
          <w:szCs w:val="24"/>
        </w:rPr>
        <w:t>obacter baumannii</w:t>
      </w:r>
      <w:r>
        <w:rPr>
          <w:rFonts w:asciiTheme="majorHAnsi" w:hAnsiTheme="majorHAnsi" w:cstheme="majorHAnsi"/>
          <w:sz w:val="24"/>
          <w:szCs w:val="24"/>
        </w:rPr>
        <w:t>. Th</w:t>
      </w:r>
      <w:r w:rsidR="003409EA">
        <w:rPr>
          <w:rFonts w:asciiTheme="majorHAnsi" w:hAnsiTheme="majorHAnsi" w:cstheme="majorHAnsi"/>
          <w:sz w:val="24"/>
          <w:szCs w:val="24"/>
        </w:rPr>
        <w:t>is</w:t>
      </w:r>
      <w:r>
        <w:rPr>
          <w:rFonts w:asciiTheme="majorHAnsi" w:hAnsiTheme="majorHAnsi" w:cstheme="majorHAnsi"/>
          <w:sz w:val="24"/>
          <w:szCs w:val="24"/>
        </w:rPr>
        <w:t xml:space="preserve"> pathogen</w:t>
      </w:r>
      <w:r w:rsidR="003409EA">
        <w:rPr>
          <w:rFonts w:asciiTheme="majorHAnsi" w:hAnsiTheme="majorHAnsi" w:cstheme="majorHAnsi"/>
          <w:sz w:val="24"/>
          <w:szCs w:val="24"/>
        </w:rPr>
        <w:t xml:space="preserve"> is</w:t>
      </w:r>
      <w:r>
        <w:rPr>
          <w:rFonts w:asciiTheme="majorHAnsi" w:hAnsiTheme="majorHAnsi" w:cstheme="majorHAnsi"/>
          <w:sz w:val="24"/>
          <w:szCs w:val="24"/>
        </w:rPr>
        <w:t xml:space="preserve"> notorious for causing nosocomial infections, leading to</w:t>
      </w:r>
      <w:r w:rsidR="00B94232">
        <w:rPr>
          <w:rFonts w:asciiTheme="majorHAnsi" w:hAnsiTheme="majorHAnsi" w:cstheme="majorHAnsi"/>
          <w:sz w:val="24"/>
          <w:szCs w:val="24"/>
        </w:rPr>
        <w:t xml:space="preserve"> increased mortality rates, longer hospital stays, and higher healthcare costs.</w:t>
      </w:r>
      <w:r w:rsidR="004F5C1A">
        <w:rPr>
          <w:rFonts w:asciiTheme="majorHAnsi" w:hAnsiTheme="majorHAnsi" w:cstheme="majorHAnsi"/>
          <w:sz w:val="24"/>
          <w:szCs w:val="24"/>
        </w:rPr>
        <w:fldChar w:fldCharType="begin"/>
      </w:r>
      <w:r w:rsidR="004F5C1A">
        <w:rPr>
          <w:rFonts w:asciiTheme="majorHAnsi" w:hAnsiTheme="majorHAnsi" w:cstheme="majorHAnsi"/>
          <w:sz w:val="24"/>
          <w:szCs w:val="24"/>
        </w:rPr>
        <w:instrText xml:space="preserve"> ADDIN ZOTERO_ITEM CSL_CITATION {"citationID":"BjcDXjrl","properties":{"formattedCitation":"\\super 4\\nosupersub{}","plainCitation":"4","noteIndex":0},"citationItems":[{"id":1588,"uris":["http://zotero.org/users/1918630/items/8J3ERKFV"],"itemData":{"id":1588,"type":"article-journal","abstract":"Acinetobacter baumannii is a Gram-negative, opportunistic pathogen, causing severe infections difficult to treat. The A. baumannii infection rate has increased year by year in human medicine and it is also considered as a major cause of nosocomial infections worldwide. This bacterium, also well known for its ability to form biofilms, has a strong environmental adaptability and the characteristics of multi-drug resistance. Indeed, strains showing fully resistant profiles represent a worrisome problem in clinical therapeutic treatment. Furthermore, A. baumannii-associated veterinary nosocomial infections has been reported in recent literature. Particularly, carbapenem-resistant A. baumannii can be considered an emerging opportunistic pathogen in human medicine as well as in veterinary medicine.","container-title":"Pathogens","DOI":"10.3390/pathogens10020127","ISSN":"2076-0817","issue":"2","journalAbbreviation":"Pathogens","note":"PMID: 33513701\nPMCID: PMC7911418","page":"127","source":"PubMed Central","title":"Acinetobacter baumannii: Its Clinical Significance in Human and Veterinary Medicine","title-short":"Acinetobacter baumannii","volume":"10","author":[{"family":"Nocera","given":"Francesca Paola"},{"family":"Attili","given":"Anna-Rita"},{"family":"De Martino","given":"Luisa"}],"issued":{"date-parts":[["2021",1,27]]}}}],"schema":"https://github.com/citation-style-language/schema/raw/master/csl-citation.json"} </w:instrText>
      </w:r>
      <w:r w:rsidR="004F5C1A">
        <w:rPr>
          <w:rFonts w:asciiTheme="majorHAnsi" w:hAnsiTheme="majorHAnsi" w:cstheme="majorHAnsi"/>
          <w:sz w:val="24"/>
          <w:szCs w:val="24"/>
        </w:rPr>
        <w:fldChar w:fldCharType="separate"/>
      </w:r>
      <w:r w:rsidR="004F5C1A" w:rsidRPr="004F5C1A">
        <w:rPr>
          <w:rFonts w:ascii="Times New Roman" w:hAnsi="Times New Roman" w:cs="Times New Roman"/>
          <w:sz w:val="24"/>
          <w:szCs w:val="24"/>
          <w:vertAlign w:val="superscript"/>
        </w:rPr>
        <w:t>4</w:t>
      </w:r>
      <w:r w:rsidR="004F5C1A">
        <w:rPr>
          <w:rFonts w:asciiTheme="majorHAnsi" w:hAnsiTheme="majorHAnsi" w:cstheme="majorHAnsi"/>
          <w:sz w:val="24"/>
          <w:szCs w:val="24"/>
        </w:rPr>
        <w:fldChar w:fldCharType="end"/>
      </w:r>
      <w:r w:rsidR="00B94232">
        <w:rPr>
          <w:rFonts w:asciiTheme="majorHAnsi" w:hAnsiTheme="majorHAnsi" w:cstheme="majorHAnsi"/>
          <w:sz w:val="24"/>
          <w:szCs w:val="24"/>
        </w:rPr>
        <w:t xml:space="preserve"> </w:t>
      </w:r>
      <w:r w:rsidR="00B94232">
        <w:rPr>
          <w:rFonts w:asciiTheme="majorHAnsi" w:hAnsiTheme="majorHAnsi" w:cstheme="majorHAnsi"/>
          <w:i/>
          <w:iCs/>
          <w:sz w:val="24"/>
          <w:szCs w:val="24"/>
        </w:rPr>
        <w:t>A. baumannii</w:t>
      </w:r>
      <w:r w:rsidR="003409EA">
        <w:rPr>
          <w:rFonts w:asciiTheme="majorHAnsi" w:hAnsiTheme="majorHAnsi" w:cstheme="majorHAnsi"/>
          <w:i/>
          <w:iCs/>
          <w:sz w:val="24"/>
          <w:szCs w:val="24"/>
        </w:rPr>
        <w:t xml:space="preserve"> </w:t>
      </w:r>
      <w:r w:rsidR="003409EA">
        <w:rPr>
          <w:rFonts w:asciiTheme="majorHAnsi" w:hAnsiTheme="majorHAnsi" w:cstheme="majorHAnsi"/>
          <w:sz w:val="24"/>
          <w:szCs w:val="24"/>
        </w:rPr>
        <w:t>is of particular interest to this dissertation</w:t>
      </w:r>
      <w:r w:rsidR="00B94232">
        <w:rPr>
          <w:rFonts w:asciiTheme="majorHAnsi" w:hAnsiTheme="majorHAnsi" w:cstheme="majorHAnsi"/>
          <w:sz w:val="24"/>
          <w:szCs w:val="24"/>
        </w:rPr>
        <w:t>,</w:t>
      </w:r>
      <w:r w:rsidR="003409EA">
        <w:rPr>
          <w:rFonts w:asciiTheme="majorHAnsi" w:hAnsiTheme="majorHAnsi" w:cstheme="majorHAnsi"/>
          <w:sz w:val="24"/>
          <w:szCs w:val="24"/>
        </w:rPr>
        <w:t xml:space="preserve"> and it is</w:t>
      </w:r>
      <w:r w:rsidR="00B94232">
        <w:rPr>
          <w:rFonts w:asciiTheme="majorHAnsi" w:hAnsiTheme="majorHAnsi" w:cstheme="majorHAnsi"/>
          <w:sz w:val="24"/>
          <w:szCs w:val="24"/>
        </w:rPr>
        <w:t xml:space="preserve"> a Gram-negative pathogen responsible for a variety of infections. The chromosomes of</w:t>
      </w:r>
      <w:r w:rsidR="00B94232" w:rsidRPr="00B94232">
        <w:rPr>
          <w:rFonts w:asciiTheme="majorHAnsi" w:hAnsiTheme="majorHAnsi" w:cstheme="majorHAnsi"/>
          <w:sz w:val="24"/>
          <w:szCs w:val="24"/>
        </w:rPr>
        <w:t xml:space="preserve"> </w:t>
      </w:r>
      <w:r w:rsidR="00B94232">
        <w:rPr>
          <w:rFonts w:asciiTheme="majorHAnsi" w:hAnsiTheme="majorHAnsi" w:cstheme="majorHAnsi"/>
          <w:sz w:val="24"/>
          <w:szCs w:val="24"/>
        </w:rPr>
        <w:t xml:space="preserve">drug resistant and drug susceptible </w:t>
      </w:r>
      <w:r w:rsidR="00B94232">
        <w:rPr>
          <w:rFonts w:asciiTheme="majorHAnsi" w:hAnsiTheme="majorHAnsi" w:cstheme="majorHAnsi"/>
          <w:i/>
          <w:iCs/>
          <w:sz w:val="24"/>
          <w:szCs w:val="24"/>
        </w:rPr>
        <w:t xml:space="preserve">A. baumannii </w:t>
      </w:r>
      <w:r w:rsidR="00B94232">
        <w:rPr>
          <w:rFonts w:asciiTheme="majorHAnsi" w:hAnsiTheme="majorHAnsi" w:cstheme="majorHAnsi"/>
          <w:sz w:val="24"/>
          <w:szCs w:val="24"/>
        </w:rPr>
        <w:t xml:space="preserve">strains encode efflux pumps, which aid in conferring antibiotic resistance. In addition to discussing the typical structure and mechanisms of </w:t>
      </w:r>
      <w:r w:rsidR="00761967">
        <w:rPr>
          <w:rFonts w:asciiTheme="majorHAnsi" w:hAnsiTheme="majorHAnsi" w:cstheme="majorHAnsi"/>
          <w:sz w:val="24"/>
          <w:szCs w:val="24"/>
        </w:rPr>
        <w:t xml:space="preserve">Resistance-Nodulation-Division </w:t>
      </w:r>
      <w:r w:rsidR="00B94232">
        <w:rPr>
          <w:rFonts w:asciiTheme="majorHAnsi" w:hAnsiTheme="majorHAnsi" w:cstheme="majorHAnsi"/>
          <w:sz w:val="24"/>
          <w:szCs w:val="24"/>
        </w:rPr>
        <w:t xml:space="preserve">(RND) and </w:t>
      </w:r>
      <w:r w:rsidR="00761967">
        <w:rPr>
          <w:rFonts w:asciiTheme="majorHAnsi" w:hAnsiTheme="majorHAnsi" w:cstheme="majorHAnsi"/>
          <w:sz w:val="24"/>
          <w:szCs w:val="24"/>
        </w:rPr>
        <w:t xml:space="preserve">Major Facilitator Superfamily </w:t>
      </w:r>
      <w:r w:rsidR="00B94232">
        <w:rPr>
          <w:rFonts w:asciiTheme="majorHAnsi" w:hAnsiTheme="majorHAnsi" w:cstheme="majorHAnsi"/>
          <w:sz w:val="24"/>
          <w:szCs w:val="24"/>
        </w:rPr>
        <w:t>(MFS) pumps, this review will also br</w:t>
      </w:r>
      <w:r w:rsidR="00761967">
        <w:rPr>
          <w:rFonts w:asciiTheme="majorHAnsi" w:hAnsiTheme="majorHAnsi" w:cstheme="majorHAnsi"/>
          <w:sz w:val="24"/>
          <w:szCs w:val="24"/>
        </w:rPr>
        <w:t xml:space="preserve">iefly examine Efflux Pump Inhibitors (EPIs) and their potential as alternative treatments for MDR bacterial infections. </w:t>
      </w:r>
      <w:r w:rsidR="00B94232">
        <w:rPr>
          <w:rFonts w:asciiTheme="majorHAnsi" w:hAnsiTheme="majorHAnsi" w:cstheme="majorHAnsi"/>
          <w:sz w:val="24"/>
          <w:szCs w:val="24"/>
        </w:rPr>
        <w:t xml:space="preserve">The review </w:t>
      </w:r>
      <w:r w:rsidR="00761967">
        <w:rPr>
          <w:rFonts w:asciiTheme="majorHAnsi" w:hAnsiTheme="majorHAnsi" w:cstheme="majorHAnsi"/>
          <w:sz w:val="24"/>
          <w:szCs w:val="24"/>
        </w:rPr>
        <w:t xml:space="preserve">will also cover the various strategies bacterial pathogens have evolved to survive under stressful conditions posed by the host environments during infection. </w:t>
      </w:r>
      <w:r w:rsidR="00FC4F70">
        <w:rPr>
          <w:rFonts w:asciiTheme="majorHAnsi" w:hAnsiTheme="majorHAnsi" w:cstheme="majorHAnsi"/>
          <w:sz w:val="24"/>
          <w:szCs w:val="24"/>
        </w:rPr>
        <w:t>As this review will lay out, p</w:t>
      </w:r>
      <w:r w:rsidR="00761967">
        <w:rPr>
          <w:rFonts w:asciiTheme="majorHAnsi" w:hAnsiTheme="majorHAnsi" w:cstheme="majorHAnsi"/>
          <w:sz w:val="24"/>
          <w:szCs w:val="24"/>
        </w:rPr>
        <w:t xml:space="preserve">athogenic bacteria like </w:t>
      </w:r>
      <w:r w:rsidR="00761967">
        <w:rPr>
          <w:rFonts w:asciiTheme="majorHAnsi" w:hAnsiTheme="majorHAnsi" w:cstheme="majorHAnsi"/>
          <w:i/>
          <w:iCs/>
          <w:sz w:val="24"/>
          <w:szCs w:val="24"/>
        </w:rPr>
        <w:t>A</w:t>
      </w:r>
      <w:r w:rsidR="000D71CE">
        <w:rPr>
          <w:rFonts w:asciiTheme="majorHAnsi" w:hAnsiTheme="majorHAnsi" w:cstheme="majorHAnsi"/>
          <w:i/>
          <w:iCs/>
          <w:sz w:val="24"/>
          <w:szCs w:val="24"/>
        </w:rPr>
        <w:t>.</w:t>
      </w:r>
      <w:r w:rsidR="00761967">
        <w:rPr>
          <w:rFonts w:asciiTheme="majorHAnsi" w:hAnsiTheme="majorHAnsi" w:cstheme="majorHAnsi"/>
          <w:i/>
          <w:iCs/>
          <w:sz w:val="24"/>
          <w:szCs w:val="24"/>
        </w:rPr>
        <w:t xml:space="preserve"> baumannii</w:t>
      </w:r>
      <w:r w:rsidR="00761967">
        <w:rPr>
          <w:rFonts w:asciiTheme="majorHAnsi" w:hAnsiTheme="majorHAnsi" w:cstheme="majorHAnsi"/>
          <w:sz w:val="24"/>
          <w:szCs w:val="24"/>
        </w:rPr>
        <w:t xml:space="preserve"> utilize a wide range of tools in </w:t>
      </w:r>
      <w:r w:rsidR="00C158D7">
        <w:rPr>
          <w:rFonts w:asciiTheme="majorHAnsi" w:hAnsiTheme="majorHAnsi" w:cstheme="majorHAnsi"/>
          <w:sz w:val="24"/>
          <w:szCs w:val="24"/>
        </w:rPr>
        <w:t>their mo</w:t>
      </w:r>
      <w:r w:rsidR="00761967">
        <w:rPr>
          <w:rFonts w:asciiTheme="majorHAnsi" w:hAnsiTheme="majorHAnsi" w:cstheme="majorHAnsi"/>
          <w:sz w:val="24"/>
          <w:szCs w:val="24"/>
        </w:rPr>
        <w:t xml:space="preserve">lecular arsenal </w:t>
      </w:r>
      <w:r w:rsidR="00FC4F70">
        <w:rPr>
          <w:rFonts w:asciiTheme="majorHAnsi" w:hAnsiTheme="majorHAnsi" w:cstheme="majorHAnsi"/>
          <w:sz w:val="24"/>
          <w:szCs w:val="24"/>
        </w:rPr>
        <w:t xml:space="preserve">to adapt to stressors like antimicrobial agents, heat shock, low pH, low iron, osmotic pressure, and bile stress. We lay this foundation in order to later go in depth into how substrate efflux and membrane permeability impact </w:t>
      </w:r>
      <w:r w:rsidR="00FC4F70">
        <w:rPr>
          <w:rFonts w:asciiTheme="majorHAnsi" w:hAnsiTheme="majorHAnsi" w:cstheme="majorHAnsi"/>
          <w:i/>
          <w:iCs/>
          <w:sz w:val="24"/>
          <w:szCs w:val="24"/>
        </w:rPr>
        <w:t xml:space="preserve">A. </w:t>
      </w:r>
      <w:proofErr w:type="spellStart"/>
      <w:r w:rsidR="00FC4F70">
        <w:rPr>
          <w:rFonts w:asciiTheme="majorHAnsi" w:hAnsiTheme="majorHAnsi" w:cstheme="majorHAnsi"/>
          <w:i/>
          <w:iCs/>
          <w:sz w:val="24"/>
          <w:szCs w:val="24"/>
        </w:rPr>
        <w:t>baumannii</w:t>
      </w:r>
      <w:r w:rsidR="00FC4F70">
        <w:rPr>
          <w:rFonts w:asciiTheme="majorHAnsi" w:hAnsiTheme="majorHAnsi" w:cstheme="majorHAnsi"/>
          <w:sz w:val="24"/>
          <w:szCs w:val="24"/>
        </w:rPr>
        <w:t>’s</w:t>
      </w:r>
      <w:proofErr w:type="spellEnd"/>
      <w:r w:rsidR="00FC4F70">
        <w:rPr>
          <w:rFonts w:asciiTheme="majorHAnsi" w:hAnsiTheme="majorHAnsi" w:cstheme="majorHAnsi"/>
          <w:sz w:val="24"/>
          <w:szCs w:val="24"/>
        </w:rPr>
        <w:t xml:space="preserve"> survival and fitness under stress.</w:t>
      </w:r>
    </w:p>
    <w:p w14:paraId="7AC19025" w14:textId="55A67745" w:rsidR="00D36EE3" w:rsidRPr="00D36EE3" w:rsidRDefault="004E2D1D" w:rsidP="00C836F0">
      <w:pPr>
        <w:rPr>
          <w:rFonts w:asciiTheme="majorHAnsi" w:hAnsiTheme="majorHAnsi" w:cstheme="majorHAnsi"/>
          <w:sz w:val="24"/>
          <w:szCs w:val="24"/>
          <w:u w:val="single"/>
        </w:rPr>
      </w:pPr>
      <w:r>
        <w:rPr>
          <w:rFonts w:asciiTheme="majorHAnsi" w:hAnsiTheme="majorHAnsi" w:cstheme="majorHAnsi"/>
          <w:sz w:val="24"/>
          <w:szCs w:val="24"/>
          <w:u w:val="single"/>
        </w:rPr>
        <w:t>1.1</w:t>
      </w:r>
      <w:r w:rsidR="00F12176">
        <w:rPr>
          <w:rFonts w:asciiTheme="majorHAnsi" w:hAnsiTheme="majorHAnsi" w:cstheme="majorHAnsi"/>
          <w:sz w:val="24"/>
          <w:szCs w:val="24"/>
          <w:u w:val="single"/>
        </w:rPr>
        <w:t>.</w:t>
      </w:r>
      <w:r>
        <w:rPr>
          <w:rFonts w:asciiTheme="majorHAnsi" w:hAnsiTheme="majorHAnsi" w:cstheme="majorHAnsi"/>
          <w:sz w:val="24"/>
          <w:szCs w:val="24"/>
          <w:u w:val="single"/>
        </w:rPr>
        <w:t xml:space="preserve"> </w:t>
      </w:r>
      <w:r w:rsidR="00F700DF" w:rsidRPr="00F700DF">
        <w:rPr>
          <w:rFonts w:asciiTheme="majorHAnsi" w:hAnsiTheme="majorHAnsi" w:cstheme="majorHAnsi"/>
          <w:sz w:val="24"/>
          <w:szCs w:val="24"/>
          <w:u w:val="single"/>
        </w:rPr>
        <w:t xml:space="preserve">Clinical </w:t>
      </w:r>
      <w:r>
        <w:rPr>
          <w:rFonts w:asciiTheme="majorHAnsi" w:hAnsiTheme="majorHAnsi" w:cstheme="majorHAnsi"/>
          <w:sz w:val="24"/>
          <w:szCs w:val="24"/>
          <w:u w:val="single"/>
        </w:rPr>
        <w:t>m</w:t>
      </w:r>
      <w:r w:rsidR="00F700DF" w:rsidRPr="00F700DF">
        <w:rPr>
          <w:rFonts w:asciiTheme="majorHAnsi" w:hAnsiTheme="majorHAnsi" w:cstheme="majorHAnsi"/>
          <w:sz w:val="24"/>
          <w:szCs w:val="24"/>
          <w:u w:val="single"/>
        </w:rPr>
        <w:t xml:space="preserve">ultidrug </w:t>
      </w:r>
      <w:r>
        <w:rPr>
          <w:rFonts w:asciiTheme="majorHAnsi" w:hAnsiTheme="majorHAnsi" w:cstheme="majorHAnsi"/>
          <w:sz w:val="24"/>
          <w:szCs w:val="24"/>
          <w:u w:val="single"/>
        </w:rPr>
        <w:t>r</w:t>
      </w:r>
      <w:r w:rsidR="00F700DF" w:rsidRPr="00F700DF">
        <w:rPr>
          <w:rFonts w:asciiTheme="majorHAnsi" w:hAnsiTheme="majorHAnsi" w:cstheme="majorHAnsi"/>
          <w:sz w:val="24"/>
          <w:szCs w:val="24"/>
          <w:u w:val="single"/>
        </w:rPr>
        <w:t>esistance</w:t>
      </w:r>
    </w:p>
    <w:p w14:paraId="03A0B0AD" w14:textId="54477E6A" w:rsidR="0049594E" w:rsidRDefault="00153E00" w:rsidP="006E0609">
      <w:pPr>
        <w:spacing w:line="360" w:lineRule="auto"/>
        <w:ind w:firstLine="720"/>
        <w:rPr>
          <w:rFonts w:asciiTheme="majorHAnsi" w:hAnsiTheme="majorHAnsi" w:cstheme="majorHAnsi"/>
          <w:sz w:val="24"/>
          <w:szCs w:val="24"/>
        </w:rPr>
      </w:pPr>
      <w:r>
        <w:rPr>
          <w:rFonts w:asciiTheme="majorHAnsi" w:hAnsiTheme="majorHAnsi" w:cstheme="majorHAnsi"/>
          <w:sz w:val="24"/>
          <w:szCs w:val="24"/>
        </w:rPr>
        <w:t>Pathogenic bacteria have a variety of mechanisms</w:t>
      </w:r>
      <w:r w:rsidR="00D164CD">
        <w:rPr>
          <w:rFonts w:asciiTheme="majorHAnsi" w:hAnsiTheme="majorHAnsi" w:cstheme="majorHAnsi"/>
          <w:sz w:val="24"/>
          <w:szCs w:val="24"/>
        </w:rPr>
        <w:t xml:space="preserve"> to counteract </w:t>
      </w:r>
      <w:r>
        <w:rPr>
          <w:rFonts w:asciiTheme="majorHAnsi" w:hAnsiTheme="majorHAnsi" w:cstheme="majorHAnsi"/>
          <w:sz w:val="24"/>
          <w:szCs w:val="24"/>
        </w:rPr>
        <w:t xml:space="preserve">antimicrobial </w:t>
      </w:r>
      <w:r w:rsidR="00D164CD">
        <w:rPr>
          <w:rFonts w:asciiTheme="majorHAnsi" w:hAnsiTheme="majorHAnsi" w:cstheme="majorHAnsi"/>
          <w:sz w:val="24"/>
          <w:szCs w:val="24"/>
        </w:rPr>
        <w:t>compounds</w:t>
      </w:r>
      <w:r w:rsidR="0032651C">
        <w:rPr>
          <w:rFonts w:asciiTheme="majorHAnsi" w:hAnsiTheme="majorHAnsi" w:cstheme="majorHAnsi"/>
          <w:sz w:val="24"/>
          <w:szCs w:val="24"/>
        </w:rPr>
        <w:t>.</w:t>
      </w:r>
      <w:r w:rsidR="0001485C">
        <w:rPr>
          <w:rFonts w:asciiTheme="majorHAnsi" w:hAnsiTheme="majorHAnsi" w:cstheme="majorHAnsi"/>
          <w:sz w:val="24"/>
          <w:szCs w:val="24"/>
        </w:rPr>
        <w:t xml:space="preserve"> </w:t>
      </w:r>
      <w:r w:rsidR="006E0609">
        <w:rPr>
          <w:rFonts w:asciiTheme="majorHAnsi" w:hAnsiTheme="majorHAnsi" w:cstheme="majorHAnsi"/>
          <w:sz w:val="24"/>
          <w:szCs w:val="24"/>
        </w:rPr>
        <w:t xml:space="preserve">These mechanisms can take place within the cell (target/drug modifications) and as part of the cell envelope (target modifications and influx/efflux alteration). </w:t>
      </w:r>
      <w:r w:rsidR="00D75A6C">
        <w:rPr>
          <w:rFonts w:asciiTheme="majorHAnsi" w:hAnsiTheme="majorHAnsi" w:cstheme="majorHAnsi"/>
          <w:sz w:val="24"/>
          <w:szCs w:val="24"/>
        </w:rPr>
        <w:t>Some bacteria can alter the molecular targets that antibiotics typically interact with or bind to. For instance, erythromycin is a macrolide antibiotic that works by binding to the bacterial ribosome, but some bacteria can modify the ribosome’s structure via methylation, reducing the drug’s ability to bind to it, and thus conferring</w:t>
      </w:r>
      <w:r w:rsidR="0049594E">
        <w:rPr>
          <w:rFonts w:asciiTheme="majorHAnsi" w:hAnsiTheme="majorHAnsi" w:cstheme="majorHAnsi"/>
          <w:sz w:val="24"/>
          <w:szCs w:val="24"/>
        </w:rPr>
        <w:t xml:space="preserve"> </w:t>
      </w:r>
      <w:r w:rsidR="00D75A6C">
        <w:rPr>
          <w:rFonts w:asciiTheme="majorHAnsi" w:hAnsiTheme="majorHAnsi" w:cstheme="majorHAnsi"/>
          <w:sz w:val="24"/>
          <w:szCs w:val="24"/>
        </w:rPr>
        <w:t>resistance to erythromycin</w:t>
      </w:r>
      <w:r w:rsidR="00ED2DB0">
        <w:rPr>
          <w:rFonts w:asciiTheme="majorHAnsi" w:hAnsiTheme="majorHAnsi" w:cstheme="majorHAnsi"/>
          <w:sz w:val="24"/>
          <w:szCs w:val="24"/>
        </w:rPr>
        <w:t xml:space="preserve"> (</w:t>
      </w:r>
      <w:r>
        <w:rPr>
          <w:rFonts w:asciiTheme="majorHAnsi" w:hAnsiTheme="majorHAnsi" w:cstheme="majorHAnsi"/>
          <w:b/>
          <w:bCs/>
          <w:sz w:val="24"/>
          <w:szCs w:val="24"/>
        </w:rPr>
        <w:t>Fig</w:t>
      </w:r>
      <w:r w:rsidR="00605897">
        <w:rPr>
          <w:rFonts w:asciiTheme="majorHAnsi" w:hAnsiTheme="majorHAnsi" w:cstheme="majorHAnsi"/>
          <w:b/>
          <w:bCs/>
          <w:sz w:val="24"/>
          <w:szCs w:val="24"/>
        </w:rPr>
        <w:t>ure</w:t>
      </w:r>
      <w:r>
        <w:rPr>
          <w:rFonts w:asciiTheme="majorHAnsi" w:hAnsiTheme="majorHAnsi" w:cstheme="majorHAnsi"/>
          <w:b/>
          <w:bCs/>
          <w:sz w:val="24"/>
          <w:szCs w:val="24"/>
        </w:rPr>
        <w:t xml:space="preserve"> 1.</w:t>
      </w:r>
      <w:r w:rsidR="0049594E">
        <w:rPr>
          <w:rFonts w:asciiTheme="majorHAnsi" w:hAnsiTheme="majorHAnsi" w:cstheme="majorHAnsi"/>
          <w:b/>
          <w:bCs/>
          <w:sz w:val="24"/>
          <w:szCs w:val="24"/>
        </w:rPr>
        <w:t>1</w:t>
      </w:r>
      <w:r w:rsidR="00ED2DB0">
        <w:rPr>
          <w:rFonts w:asciiTheme="majorHAnsi" w:hAnsiTheme="majorHAnsi" w:cstheme="majorHAnsi"/>
          <w:b/>
          <w:bCs/>
          <w:sz w:val="24"/>
          <w:szCs w:val="24"/>
        </w:rPr>
        <w:softHyphen/>
      </w:r>
      <w:r w:rsidR="00ED2DB0" w:rsidRPr="00ED2DB0">
        <w:rPr>
          <w:rFonts w:asciiTheme="majorHAnsi" w:hAnsiTheme="majorHAnsi" w:cstheme="majorHAnsi"/>
          <w:sz w:val="24"/>
          <w:szCs w:val="24"/>
        </w:rPr>
        <w:t>)</w:t>
      </w:r>
      <w:r w:rsidR="00D75A6C">
        <w:rPr>
          <w:rFonts w:asciiTheme="majorHAnsi" w:hAnsiTheme="majorHAnsi" w:cstheme="majorHAnsi"/>
          <w:sz w:val="24"/>
          <w:szCs w:val="24"/>
        </w:rPr>
        <w:t>.</w:t>
      </w:r>
      <w:r w:rsidR="00ED2DB0">
        <w:rPr>
          <w:rFonts w:asciiTheme="majorHAnsi" w:hAnsiTheme="majorHAnsi" w:cstheme="majorHAnsi"/>
          <w:sz w:val="24"/>
          <w:szCs w:val="24"/>
        </w:rPr>
        <w:t xml:space="preserve"> </w:t>
      </w:r>
    </w:p>
    <w:p w14:paraId="19F7AB59" w14:textId="30BAA6E0" w:rsidR="0049594E" w:rsidRDefault="0049594E" w:rsidP="0049594E">
      <w:pPr>
        <w:jc w:val="center"/>
        <w:rPr>
          <w:rFonts w:asciiTheme="majorHAnsi" w:hAnsiTheme="majorHAnsi" w:cstheme="majorHAnsi"/>
          <w:sz w:val="24"/>
          <w:szCs w:val="24"/>
        </w:rPr>
      </w:pPr>
      <w:r w:rsidRPr="001A7E34">
        <w:rPr>
          <w:rFonts w:asciiTheme="majorHAnsi" w:hAnsiTheme="majorHAnsi" w:cstheme="majorHAnsi"/>
          <w:noProof/>
          <w:sz w:val="24"/>
          <w:szCs w:val="24"/>
        </w:rPr>
        <w:lastRenderedPageBreak/>
        <w:drawing>
          <wp:inline distT="0" distB="0" distL="0" distR="0" wp14:anchorId="067D0C9B" wp14:editId="06594A2A">
            <wp:extent cx="3291840" cy="2705703"/>
            <wp:effectExtent l="0" t="0" r="0" b="0"/>
            <wp:docPr id="207753581" name="Picture 1" descr="A diagram of methamphetam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09306" name="Picture 1" descr="A diagram of methamphetamine&#10;&#10;Description automatically generated"/>
                    <pic:cNvPicPr/>
                  </pic:nvPicPr>
                  <pic:blipFill>
                    <a:blip r:embed="rId11"/>
                    <a:stretch>
                      <a:fillRect/>
                    </a:stretch>
                  </pic:blipFill>
                  <pic:spPr>
                    <a:xfrm>
                      <a:off x="0" y="0"/>
                      <a:ext cx="3297901" cy="2710685"/>
                    </a:xfrm>
                    <a:prstGeom prst="rect">
                      <a:avLst/>
                    </a:prstGeom>
                  </pic:spPr>
                </pic:pic>
              </a:graphicData>
            </a:graphic>
          </wp:inline>
        </w:drawing>
      </w:r>
    </w:p>
    <w:p w14:paraId="4D7527AF" w14:textId="77777777" w:rsidR="0049594E" w:rsidRPr="00985987" w:rsidRDefault="0049594E" w:rsidP="0049594E">
      <w:pPr>
        <w:jc w:val="both"/>
        <w:rPr>
          <w:rFonts w:asciiTheme="majorHAnsi" w:hAnsiTheme="majorHAnsi" w:cstheme="majorHAnsi"/>
          <w:b/>
          <w:bCs/>
          <w:sz w:val="24"/>
          <w:szCs w:val="24"/>
        </w:rPr>
      </w:pPr>
      <w:r>
        <w:rPr>
          <w:rFonts w:asciiTheme="majorHAnsi" w:hAnsiTheme="majorHAnsi" w:cstheme="majorHAnsi"/>
          <w:b/>
          <w:bCs/>
          <w:sz w:val="24"/>
          <w:szCs w:val="24"/>
        </w:rPr>
        <w:t xml:space="preserve">Figure 1.1 - </w:t>
      </w:r>
      <w:r>
        <w:rPr>
          <w:rFonts w:asciiTheme="majorHAnsi" w:hAnsiTheme="majorHAnsi" w:cstheme="majorHAnsi"/>
          <w:sz w:val="24"/>
          <w:szCs w:val="24"/>
        </w:rPr>
        <w:t xml:space="preserve"> </w:t>
      </w:r>
      <w:r>
        <w:rPr>
          <w:rFonts w:asciiTheme="majorHAnsi" w:hAnsiTheme="majorHAnsi" w:cstheme="majorHAnsi"/>
          <w:b/>
          <w:bCs/>
          <w:sz w:val="24"/>
          <w:szCs w:val="24"/>
        </w:rPr>
        <w:t>Representation of methylation of 16S and 23S ribosomal RNA</w:t>
      </w:r>
    </w:p>
    <w:p w14:paraId="228040D0" w14:textId="112BA91F" w:rsidR="0049594E" w:rsidRDefault="0049594E" w:rsidP="0049594E">
      <w:pPr>
        <w:jc w:val="both"/>
        <w:rPr>
          <w:rFonts w:asciiTheme="majorHAnsi" w:hAnsiTheme="majorHAnsi" w:cstheme="majorHAnsi"/>
          <w:sz w:val="24"/>
          <w:szCs w:val="24"/>
        </w:rPr>
      </w:pPr>
      <w:r>
        <w:rPr>
          <w:rFonts w:asciiTheme="majorHAnsi" w:hAnsiTheme="majorHAnsi" w:cstheme="majorHAnsi"/>
          <w:sz w:val="24"/>
          <w:szCs w:val="24"/>
        </w:rPr>
        <w:t>An illustrated representation of an example of drug target modification: methylation of 16S and 23S prokaryotic ribosomal RNA. Antibiotic molecules that normally target the 16S and 23S subunits cannot bind due to the methylated RNA.</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{"citationID":"LeYQOUpS","properties":{"formattedCitation":"\\super 5\\nosupersub{}","plainCitation":"5","noteIndex":0},"citationItems":[{"id":1990,"uris":["http://zotero.org/users/1918630/items/9FDTN92V"],"itemData":{"id":1990,"type":"chapter","abstract":"RNA modification enzymes in the manifestation of methyltransferases play a major role in antibiotic resistance in bacteria. The ribosome modifications are almost exclusively methylation of either the 2'-O-ribose position or various positions on the bases. A wealth of information on antibiotic resistance caused by methylation of rRNA has been revealed during the last ten years. Modifications at eight 23S rRNA nucleotides (G748, A1067, C1920, A2058, G2470, U2479, A2503 and G2535) on the large ribosomal subunit have so far been revealed as antibiotic resistance determinants. In addition, the absence of intrinsic methylation can also lead to reduced antibiotic susceptibility. Antibiotics typically bind to regions of functional importance and sterically block binding of interacting molecules and/or hinder structural rearrangements needed for ribosome activity. The RNA methyltransferases all act at RNA placed at or near the binding site of the antibiotic to which they confer resistance. The structures of about half of the methyltransferases associated with antibiotic resistance and known to act on 23S rRNA have been determined, but there is at present only limited information on the interaction of the methyltransferases with their RNA targets and the timing of the methylation reactions during ribosome assembly.","container-title":"Madame Curie Bioscience Database [Internet]","language":"en","publisher":"Landes Bioscience","source":"www.ncbi.nlm.nih.gov","title":"Antibiotic Resistance in Bacteria Caused by Modified Nucleosides in 23S Ribosomal RNA","URL":"https://www.ncbi.nlm.nih.gov/books/NBK6514/","author":[{"family":"Vester","given":"Birte"},{"family":"Long","given":"Katherine S."}],"accessed":{"date-parts":[["2024",1,16]]},"issued":{"date-parts":[["2013"]]}}}],"schema":"https://github.com/citation-style-language/schema/raw/master/csl-citation.json"}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5</w:t>
      </w:r>
      <w:r>
        <w:rPr>
          <w:rFonts w:asciiTheme="majorHAnsi" w:hAnsiTheme="majorHAnsi" w:cstheme="majorHAnsi"/>
          <w:sz w:val="24"/>
          <w:szCs w:val="24"/>
        </w:rPr>
        <w:fldChar w:fldCharType="end"/>
      </w:r>
    </w:p>
    <w:p w14:paraId="15B88808" w14:textId="77777777" w:rsidR="006E0609" w:rsidRPr="00003D2E" w:rsidRDefault="006E0609" w:rsidP="0049594E">
      <w:pPr>
        <w:jc w:val="both"/>
        <w:rPr>
          <w:rFonts w:asciiTheme="majorHAnsi" w:hAnsiTheme="majorHAnsi" w:cstheme="majorHAnsi"/>
          <w:b/>
          <w:bCs/>
          <w:sz w:val="24"/>
          <w:szCs w:val="24"/>
        </w:rPr>
      </w:pPr>
    </w:p>
    <w:p w14:paraId="7CC828FB" w14:textId="79EA8615" w:rsidR="0049594E" w:rsidRDefault="0049594E" w:rsidP="0049594E">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Bacteria can also produce enzymes that modify the antibiotic’s chemical structure, rendering it ineffective. For example, </w:t>
      </w:r>
      <w:r w:rsidRPr="00FA3D86">
        <w:rPr>
          <w:rFonts w:cstheme="minorHAnsi"/>
          <w:sz w:val="24"/>
          <w:szCs w:val="24"/>
        </w:rPr>
        <w:t>β-lactamases</w:t>
      </w:r>
      <w:r>
        <w:rPr>
          <w:rFonts w:asciiTheme="majorHAnsi" w:hAnsiTheme="majorHAnsi" w:cstheme="majorHAnsi"/>
          <w:sz w:val="24"/>
          <w:szCs w:val="24"/>
        </w:rPr>
        <w:t xml:space="preserve"> are enzymes produced by some bacteria that break down </w:t>
      </w:r>
      <w:r w:rsidRPr="00FA3D86">
        <w:rPr>
          <w:rFonts w:cstheme="minorHAnsi"/>
          <w:sz w:val="24"/>
          <w:szCs w:val="24"/>
        </w:rPr>
        <w:t>β-lactam</w:t>
      </w:r>
      <w:r>
        <w:rPr>
          <w:rFonts w:asciiTheme="majorHAnsi" w:hAnsiTheme="majorHAnsi" w:cstheme="majorHAnsi"/>
          <w:sz w:val="24"/>
          <w:szCs w:val="24"/>
        </w:rPr>
        <w:t xml:space="preserve"> antibiotics like </w:t>
      </w:r>
      <w:proofErr w:type="spellStart"/>
      <w:r>
        <w:rPr>
          <w:rFonts w:asciiTheme="majorHAnsi" w:hAnsiTheme="majorHAnsi" w:cstheme="majorHAnsi"/>
          <w:sz w:val="24"/>
          <w:szCs w:val="24"/>
        </w:rPr>
        <w:t>penicillins</w:t>
      </w:r>
      <w:proofErr w:type="spellEnd"/>
      <w:r>
        <w:rPr>
          <w:rFonts w:asciiTheme="majorHAnsi" w:hAnsiTheme="majorHAnsi" w:cstheme="majorHAnsi"/>
          <w:sz w:val="24"/>
          <w:szCs w:val="24"/>
        </w:rPr>
        <w:t xml:space="preserve"> and carbapenems (</w:t>
      </w:r>
      <w:r>
        <w:rPr>
          <w:rFonts w:asciiTheme="majorHAnsi" w:hAnsiTheme="majorHAnsi" w:cstheme="majorHAnsi"/>
          <w:b/>
          <w:bCs/>
          <w:sz w:val="24"/>
          <w:szCs w:val="24"/>
        </w:rPr>
        <w:t>Figure 1.2</w:t>
      </w:r>
      <w:r>
        <w:rPr>
          <w:rFonts w:asciiTheme="majorHAnsi" w:hAnsiTheme="majorHAnsi" w:cstheme="majorHAnsi"/>
          <w:sz w:val="24"/>
          <w:szCs w:val="24"/>
        </w:rPr>
        <w:t xml:space="preserve">). In carbapenem-resistant </w:t>
      </w:r>
      <w:r>
        <w:rPr>
          <w:rFonts w:asciiTheme="majorHAnsi" w:hAnsiTheme="majorHAnsi" w:cstheme="majorHAnsi"/>
          <w:i/>
          <w:iCs/>
          <w:sz w:val="24"/>
          <w:szCs w:val="24"/>
        </w:rPr>
        <w:t xml:space="preserve">A. </w:t>
      </w:r>
      <w:r w:rsidRPr="009A49E4">
        <w:rPr>
          <w:rFonts w:asciiTheme="majorHAnsi" w:hAnsiTheme="majorHAnsi" w:cstheme="majorHAnsi"/>
          <w:i/>
          <w:iCs/>
          <w:sz w:val="24"/>
          <w:szCs w:val="24"/>
        </w:rPr>
        <w:t>baumannii</w:t>
      </w:r>
      <w:r>
        <w:rPr>
          <w:rFonts w:asciiTheme="majorHAnsi" w:hAnsiTheme="majorHAnsi" w:cstheme="majorHAnsi"/>
          <w:i/>
          <w:iCs/>
          <w:sz w:val="24"/>
          <w:szCs w:val="24"/>
        </w:rPr>
        <w:t xml:space="preserve"> </w:t>
      </w:r>
      <w:r>
        <w:rPr>
          <w:rFonts w:asciiTheme="majorHAnsi" w:hAnsiTheme="majorHAnsi" w:cstheme="majorHAnsi"/>
          <w:sz w:val="24"/>
          <w:szCs w:val="24"/>
        </w:rPr>
        <w:t>(</w:t>
      </w:r>
      <w:proofErr w:type="spellStart"/>
      <w:r>
        <w:rPr>
          <w:rFonts w:asciiTheme="majorHAnsi" w:hAnsiTheme="majorHAnsi" w:cstheme="majorHAnsi"/>
          <w:sz w:val="24"/>
          <w:szCs w:val="24"/>
        </w:rPr>
        <w:t>CRAb</w:t>
      </w:r>
      <w:proofErr w:type="spellEnd"/>
      <w:r>
        <w:rPr>
          <w:rFonts w:asciiTheme="majorHAnsi" w:hAnsiTheme="majorHAnsi" w:cstheme="majorHAnsi"/>
          <w:sz w:val="24"/>
          <w:szCs w:val="24"/>
        </w:rPr>
        <w:t xml:space="preserve">), the most significant resistance mechanism appears to be the production of </w:t>
      </w:r>
      <w:proofErr w:type="spellStart"/>
      <w:r>
        <w:rPr>
          <w:rFonts w:asciiTheme="majorHAnsi" w:hAnsiTheme="majorHAnsi" w:cstheme="majorHAnsi"/>
          <w:sz w:val="24"/>
          <w:szCs w:val="24"/>
        </w:rPr>
        <w:t>carbapenemases</w:t>
      </w:r>
      <w:proofErr w:type="spellEnd"/>
      <w:r>
        <w:rPr>
          <w:rFonts w:asciiTheme="majorHAnsi" w:hAnsiTheme="majorHAnsi" w:cstheme="majorHAnsi"/>
          <w:sz w:val="24"/>
          <w:szCs w:val="24"/>
        </w:rPr>
        <w:t xml:space="preserve"> which can hydrolyze carbapenems and other </w:t>
      </w:r>
      <w:r>
        <w:rPr>
          <w:rFonts w:ascii="Calibri" w:hAnsi="Calibri" w:cs="Calibri"/>
          <w:sz w:val="24"/>
          <w:szCs w:val="24"/>
        </w:rPr>
        <w:t>β</w:t>
      </w:r>
      <w:r>
        <w:rPr>
          <w:rFonts w:asciiTheme="majorHAnsi" w:hAnsiTheme="majorHAnsi" w:cstheme="majorHAnsi"/>
          <w:sz w:val="24"/>
          <w:szCs w:val="24"/>
        </w:rPr>
        <w:t>-lactams.</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{"citationID":"0yYE1ssa","properties":{"formattedCitation":"\\super 6\\nosupersub{}","plainCitation":"6","noteIndex":0},"citationItems":[{"id":1910,"uris":["http://zotero.org/users/1918630/items/MBBCIUT9"],"itemData":{"id":1910,"type":"article-journal","abstract":"Carbapenem-resistant Acinetobacter baumannii (CRAb) is an urgent public health threat, according to the CDC. This pathogen has few treatment options and causes severe nosocomial infections with &gt; 50% fatality rate. Although previous studies have examined the proteome of CRAb, there have been no focused analyses of dynamic changes to β-lactamase expression that may occur due to drug exposure. Here, we present our initial proteomic study of variation in β-lactamase expression that occurs in CRAb with different β-lactam antibiotics. Briefly, drug resistance to Ab (ATCC 19606) was induced by the administration of various classes of β-lactam antibiotics, and the cell-free supernatant was isolated, concentrated, separated by SDS-PAGE, digested with trypsin, and identified by label-free LC–MS-based quantitative proteomics. Thirteen proteins were identified and evaluated using a 1789 sequence database of Ab β-lactamases from UniProt, the majority of which were Class C β-lactamases (≥ 80%). Importantly, different antibiotics, even those of the same class (e.g. penicillin and amoxicillin), induced non-equivalent responses comprising various isoforms of Class C and D serine-β-lactamases, resulting in unique resistomes. These results open the door to a new approach of analyzing and studying the problem of multi-drug resistance in bacteria that rely strongly on β-lactamase expression.","container-title":"Scientific Reports","DOI":"10.1038/s41598-023-36475-9","ISSN":"2045-2322","issue":"1","journalAbbreviation":"Sci Rep","language":"en","license":"2023 The Author(s)","note":"number: 1\npublisher: Nature Publishing Group","page":"9177","source":"www.nature.com","title":"A novel strategy to characterize the pattern of β-lactam antibiotic-induced drug resistance in Acinetobacter baumannii","volume":"13","author":[{"family":"Hillyer","given":"Trae"},{"family":"Benin","given":"Bogdan M."},{"family":"Sun","given":"Chuanqi"},{"family":"Aguirre","given":"Noah"},{"family":"Willard","given":"Belinda"},{"family":"Sham","given":"Yuk Yin"},{"family":"Shin","given":"Woo Shik"}],"issued":{"date-parts":[["2023",6,6]]}}}],"schema":"https://github.com/citation-style-language/schema/raw/master/csl-citation.json"}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6</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sidRPr="009A49E4">
        <w:rPr>
          <w:rFonts w:asciiTheme="majorHAnsi" w:hAnsiTheme="majorHAnsi" w:cstheme="majorHAnsi"/>
          <w:sz w:val="24"/>
          <w:szCs w:val="24"/>
        </w:rPr>
        <w:t>Another</w:t>
      </w:r>
      <w:r>
        <w:rPr>
          <w:rFonts w:asciiTheme="majorHAnsi" w:hAnsiTheme="majorHAnsi" w:cstheme="majorHAnsi"/>
          <w:sz w:val="24"/>
          <w:szCs w:val="24"/>
        </w:rPr>
        <w:t xml:space="preserve"> example is aminoglycoside-modifying enzymes which alter aminoglycoside antibiotics like gentamicin and streptomycin.</w:t>
      </w:r>
    </w:p>
    <w:p w14:paraId="6AD9D45D" w14:textId="226F3D10" w:rsidR="0001485C" w:rsidRDefault="0001485C" w:rsidP="0049594E">
      <w:pPr>
        <w:spacing w:line="360" w:lineRule="auto"/>
        <w:ind w:firstLine="720"/>
        <w:rPr>
          <w:rFonts w:asciiTheme="majorHAnsi" w:hAnsiTheme="majorHAnsi" w:cstheme="majorHAnsi"/>
          <w:sz w:val="24"/>
          <w:szCs w:val="24"/>
        </w:rPr>
      </w:pPr>
    </w:p>
    <w:p w14:paraId="1C8BA94F" w14:textId="1A3CAE2F" w:rsidR="0049594E" w:rsidRDefault="0049594E" w:rsidP="0049594E">
      <w:pPr>
        <w:spacing w:line="360" w:lineRule="auto"/>
        <w:jc w:val="center"/>
        <w:rPr>
          <w:rFonts w:asciiTheme="majorHAnsi" w:hAnsiTheme="majorHAnsi" w:cstheme="majorHAnsi"/>
          <w:sz w:val="24"/>
          <w:szCs w:val="24"/>
        </w:rPr>
      </w:pPr>
      <w:r w:rsidRPr="001A7E34">
        <w:rPr>
          <w:rFonts w:asciiTheme="majorHAnsi" w:hAnsiTheme="majorHAnsi" w:cstheme="majorHAnsi"/>
          <w:noProof/>
          <w:sz w:val="24"/>
          <w:szCs w:val="24"/>
        </w:rPr>
        <w:lastRenderedPageBreak/>
        <w:drawing>
          <wp:inline distT="0" distB="0" distL="0" distR="0" wp14:anchorId="24F2FC1F" wp14:editId="18BEE9D6">
            <wp:extent cx="2842260" cy="2334146"/>
            <wp:effectExtent l="0" t="0" r="0" b="0"/>
            <wp:docPr id="141308723" name="Picture 1" descr="A diagram of lact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33692" name="Picture 1" descr="A diagram of lactam&#10;&#10;Description automatically generated"/>
                    <pic:cNvPicPr/>
                  </pic:nvPicPr>
                  <pic:blipFill>
                    <a:blip r:embed="rId12"/>
                    <a:stretch>
                      <a:fillRect/>
                    </a:stretch>
                  </pic:blipFill>
                  <pic:spPr>
                    <a:xfrm>
                      <a:off x="0" y="0"/>
                      <a:ext cx="2844313" cy="2335832"/>
                    </a:xfrm>
                    <a:prstGeom prst="rect">
                      <a:avLst/>
                    </a:prstGeom>
                  </pic:spPr>
                </pic:pic>
              </a:graphicData>
            </a:graphic>
          </wp:inline>
        </w:drawing>
      </w:r>
    </w:p>
    <w:p w14:paraId="5959EA39" w14:textId="77777777" w:rsidR="0049594E" w:rsidRPr="00D709BE" w:rsidRDefault="0049594E" w:rsidP="0049594E">
      <w:pPr>
        <w:jc w:val="both"/>
        <w:rPr>
          <w:rFonts w:asciiTheme="majorHAnsi" w:hAnsiTheme="majorHAnsi" w:cstheme="majorHAnsi"/>
          <w:b/>
          <w:bCs/>
          <w:sz w:val="24"/>
          <w:szCs w:val="24"/>
        </w:rPr>
      </w:pPr>
      <w:r>
        <w:rPr>
          <w:rFonts w:asciiTheme="majorHAnsi" w:hAnsiTheme="majorHAnsi" w:cstheme="majorHAnsi"/>
          <w:b/>
          <w:bCs/>
          <w:sz w:val="24"/>
          <w:szCs w:val="24"/>
        </w:rPr>
        <w:t>Figure 1.2</w:t>
      </w:r>
      <w:r>
        <w:rPr>
          <w:rFonts w:asciiTheme="majorHAnsi" w:hAnsiTheme="majorHAnsi" w:cstheme="majorHAnsi"/>
          <w:sz w:val="24"/>
          <w:szCs w:val="24"/>
        </w:rPr>
        <w:t xml:space="preserve"> </w:t>
      </w:r>
      <w:r>
        <w:rPr>
          <w:rFonts w:asciiTheme="majorHAnsi" w:hAnsiTheme="majorHAnsi" w:cstheme="majorHAnsi"/>
          <w:b/>
          <w:bCs/>
          <w:sz w:val="24"/>
          <w:szCs w:val="24"/>
        </w:rPr>
        <w:t xml:space="preserve">– Representation of </w:t>
      </w:r>
      <w:r w:rsidRPr="00D709BE">
        <w:rPr>
          <w:rFonts w:cstheme="minorHAnsi"/>
          <w:b/>
          <w:bCs/>
          <w:sz w:val="24"/>
          <w:szCs w:val="24"/>
        </w:rPr>
        <w:t>β-lactam modification by</w:t>
      </w:r>
      <w:r w:rsidRPr="00D709BE">
        <w:rPr>
          <w:rFonts w:ascii="Calibri" w:hAnsi="Calibri" w:cs="Calibri"/>
          <w:b/>
          <w:bCs/>
          <w:sz w:val="24"/>
          <w:szCs w:val="24"/>
        </w:rPr>
        <w:t xml:space="preserve"> </w:t>
      </w:r>
      <w:r w:rsidRPr="00E34956">
        <w:rPr>
          <w:rFonts w:cstheme="minorHAnsi"/>
          <w:b/>
          <w:bCs/>
          <w:sz w:val="24"/>
          <w:szCs w:val="24"/>
        </w:rPr>
        <w:t>β-lactamase</w:t>
      </w:r>
    </w:p>
    <w:p w14:paraId="170C7D1C" w14:textId="0D82B946" w:rsidR="006E0609" w:rsidRDefault="0049594E" w:rsidP="006E0609">
      <w:pPr>
        <w:spacing w:line="240" w:lineRule="auto"/>
        <w:rPr>
          <w:rFonts w:asciiTheme="majorHAnsi" w:hAnsiTheme="majorHAnsi" w:cstheme="majorHAnsi"/>
          <w:sz w:val="24"/>
          <w:szCs w:val="24"/>
        </w:rPr>
      </w:pPr>
      <w:r>
        <w:rPr>
          <w:rFonts w:asciiTheme="majorHAnsi" w:hAnsiTheme="majorHAnsi" w:cstheme="majorHAnsi"/>
          <w:sz w:val="24"/>
          <w:szCs w:val="24"/>
        </w:rPr>
        <w:t>An illustrated representation of an example enzymatic modification of a drug molecule</w:t>
      </w:r>
      <w:r w:rsidRPr="002455C9">
        <w:rPr>
          <w:rFonts w:cstheme="minorHAnsi"/>
          <w:sz w:val="24"/>
          <w:szCs w:val="24"/>
        </w:rPr>
        <w:t>: β-lactam modification by</w:t>
      </w:r>
      <w:r>
        <w:rPr>
          <w:rFonts w:ascii="Calibri" w:hAnsi="Calibri" w:cs="Calibri"/>
          <w:sz w:val="24"/>
          <w:szCs w:val="24"/>
        </w:rPr>
        <w:t xml:space="preserve"> β</w:t>
      </w:r>
      <w:r>
        <w:rPr>
          <w:rFonts w:asciiTheme="majorHAnsi" w:hAnsiTheme="majorHAnsi" w:cstheme="majorHAnsi"/>
          <w:sz w:val="24"/>
          <w:szCs w:val="24"/>
        </w:rPr>
        <w:t xml:space="preserve">-lactamase. The </w:t>
      </w:r>
      <w:r w:rsidRPr="002455C9">
        <w:rPr>
          <w:rFonts w:cstheme="minorHAnsi"/>
          <w:sz w:val="24"/>
          <w:szCs w:val="24"/>
        </w:rPr>
        <w:t>β-lactam</w:t>
      </w:r>
      <w:r>
        <w:rPr>
          <w:rFonts w:cstheme="minorHAnsi"/>
          <w:sz w:val="24"/>
          <w:szCs w:val="24"/>
        </w:rPr>
        <w:t xml:space="preserve"> molecule (yellow circle) is enzymatically altered by the </w:t>
      </w:r>
      <w:r>
        <w:rPr>
          <w:rFonts w:ascii="Calibri" w:hAnsi="Calibri" w:cs="Calibri"/>
          <w:sz w:val="24"/>
          <w:szCs w:val="24"/>
        </w:rPr>
        <w:t>β</w:t>
      </w:r>
      <w:r>
        <w:rPr>
          <w:rFonts w:asciiTheme="majorHAnsi" w:hAnsiTheme="majorHAnsi" w:cstheme="majorHAnsi"/>
          <w:sz w:val="24"/>
          <w:szCs w:val="24"/>
        </w:rPr>
        <w:t>-lactamase and is released in an inactivated state (orange diamond).</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{"citationID":"x0iJJbkl","properties":{"formattedCitation":"\\super 7\\nosupersub{}","plainCitation":"7","noteIndex":0},"citationItems":[{"id":1992,"uris":["http://zotero.org/users/1918630/items/CHZJ6EUZ"],"itemData":{"id":1992,"type":"article-journal","abstract":"β-Lactams are the most widely used class of antibiotics. Since the discovery of benzylpenicillin in the 1920s, thousands of new penicillin derivatives and related β-lactam classes of cephalosporins, cephamycins, monobactams, and carbapenems have been discovered. Each new class of β-lactam has been developed either to increase the spectrum of activity to include additional bacterial species or to address specific resistance mechanisms that have arisen in the targeted bacterial population. Resistance to β-lactams is primarily because of bacterially produced β-lactamase enzymes that hydrolyze the β-lactam ring, thereby inactivating the drug. The newest effort to circumvent resistance is the development of novel broad-spectrum β-lactamase inhibitors that work against many problematic β-lactamases, including cephalosporinases and serine-based carbapenemases, which severely limit therapeutic options. This work provides a comprehensive overview of β-lactam antibiotics that are currently in use, as well as a look ahead to several new compounds that are in the development pipeline., The most widely used antibiotics are the β-lactams (e.g., penicillin). Efforts to develop broad-spectrum inhibitors of bacterially produced β-lactamase enzymes may curb resistance to this important class of antibiotics.","container-title":"Cold Spring Harbor Perspectives in Medicine","DOI":"10.1101/cshperspect.a025247","ISSN":"2157-1422","issue":"8","journalAbbreviation":"Cold Spring Harb Perspect Med","note":"PMID: 27329032\nPMCID: PMC4968164","page":"a025247","source":"PubMed Central","title":"β-Lactams and β-Lactamase Inhibitors: An Overview","title-short":"β-Lactams and β-Lactamase Inhibitors","volume":"6","author":[{"family":"Bush","given":"Karen"},{"family":"Bradford","given":"Patricia A."}],"issued":{"date-parts":[["2016",8]]}}}],"schema":"https://github.com/citation-style-language/schema/raw/master/csl-citation.json"}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7</w:t>
      </w:r>
      <w:r>
        <w:rPr>
          <w:rFonts w:asciiTheme="majorHAnsi" w:hAnsiTheme="majorHAnsi" w:cstheme="majorHAnsi"/>
          <w:sz w:val="24"/>
          <w:szCs w:val="24"/>
        </w:rPr>
        <w:fldChar w:fldCharType="end"/>
      </w:r>
    </w:p>
    <w:p w14:paraId="058B0EFE" w14:textId="1868B603" w:rsidR="006E0609" w:rsidRDefault="006E0609" w:rsidP="006E0609">
      <w:pPr>
        <w:spacing w:line="360" w:lineRule="auto"/>
        <w:ind w:firstLine="720"/>
        <w:rPr>
          <w:rFonts w:asciiTheme="majorHAnsi" w:hAnsiTheme="majorHAnsi" w:cstheme="majorHAnsi"/>
          <w:sz w:val="24"/>
          <w:szCs w:val="24"/>
        </w:rPr>
      </w:pPr>
      <w:r>
        <w:rPr>
          <w:rFonts w:asciiTheme="majorHAnsi" w:hAnsiTheme="majorHAnsi" w:cstheme="majorHAnsi"/>
          <w:sz w:val="24"/>
          <w:szCs w:val="24"/>
        </w:rPr>
        <w:t>Other examples of drug target modification can be found in the Gram-negative cell envelope (</w:t>
      </w:r>
      <w:r>
        <w:rPr>
          <w:rFonts w:asciiTheme="majorHAnsi" w:hAnsiTheme="majorHAnsi" w:cstheme="majorHAnsi"/>
          <w:b/>
          <w:bCs/>
          <w:sz w:val="24"/>
          <w:szCs w:val="24"/>
        </w:rPr>
        <w:t>Figure 1.3)</w:t>
      </w:r>
      <w:r>
        <w:rPr>
          <w:rFonts w:asciiTheme="majorHAnsi" w:hAnsiTheme="majorHAnsi" w:cstheme="majorHAnsi"/>
          <w:sz w:val="24"/>
          <w:szCs w:val="24"/>
        </w:rPr>
        <w:t xml:space="preserve">, like the addition of </w:t>
      </w:r>
      <w:proofErr w:type="spellStart"/>
      <w:r>
        <w:rPr>
          <w:rFonts w:asciiTheme="majorHAnsi" w:hAnsiTheme="majorHAnsi" w:cstheme="majorHAnsi"/>
          <w:sz w:val="24"/>
          <w:szCs w:val="24"/>
        </w:rPr>
        <w:t>phosphoethanolamine</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PEtN</w:t>
      </w:r>
      <w:proofErr w:type="spellEnd"/>
      <w:r>
        <w:rPr>
          <w:rFonts w:asciiTheme="majorHAnsi" w:hAnsiTheme="majorHAnsi" w:cstheme="majorHAnsi"/>
          <w:sz w:val="24"/>
          <w:szCs w:val="24"/>
        </w:rPr>
        <w:t>) to the 4’phosphate or 1-phosphate group of the lipid A segment of the LPS molecule, which leads to resistance against colistin.</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{"citationID":"Y58gZVN4","properties":{"formattedCitation":"\\super 8\\nosupersub{}","plainCitation":"8","noteIndex":0},"citationItems":[{"id":1757,"uris":["http://zotero.org/users/1918630/items/CER6WFLH"],"itemData":{"id":1757,"type":"article-journal","abstract":"Acinetobacter baumannii is recognized as a clinically significant pathogen causing a wide spectrum of nosocomial infections. Colistin was considered a last-resort antibiotic for the treatment of infections caused by multidrug-resistant A. baumannii. Since the reintroduction of colistin, a number of mechanisms of colistin resistance in A. baumannii have been reported, including complete loss of LPS by inactivation of the biosynthetic pathway, modifications of target LPS driven by the addition of phosphoethanolamine (PEtN) moieties to lipid A mediated by the chromosomal pmrCAB operon and eptA gene-encoded enzymes or plasmid-encoded mcr genes and efflux of colistin from the cell. In addition to resistance to colistin, widespread heteroresistance is another feature of A. baumannii that leads to colistin treatment failure. This review aims to present a critical assessment of relevant published (&gt;50 experimental papers) up-to-date knowledge on the molecular mechanisms of colistin resistance in A. baumannii with a detailed review of implicated mutations and the global distribution of colistin-resistant strains.","container-title":"Antibiotics","DOI":"10.3390/antibiotics12030516","ISSN":"2079-6382","issue":"3","language":"en","license":"http://creativecommons.org/licenses/by/3.0/","note":"number: 3\npublisher: Multidisciplinary Digital Publishing Institute","page":"516","source":"www.mdpi.com","title":"Colistin Resistance in Acinetobacter baumannii: Molecular Mechanisms and Epidemiology","title-short":"Colistin Resistance in Acinetobacter baumannii","volume":"12","author":[{"family":"Novović","given":"Katarina"},{"family":"Jovčić","given":"Branko"}],"issued":{"date-parts":[["2023",3]]}}}],"schema":"https://github.com/citation-style-language/schema/raw/master/csl-citation.json"}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8</w:t>
      </w:r>
      <w:r>
        <w:rPr>
          <w:rFonts w:asciiTheme="majorHAnsi" w:hAnsiTheme="majorHAnsi" w:cstheme="majorHAnsi"/>
          <w:sz w:val="24"/>
          <w:szCs w:val="24"/>
        </w:rPr>
        <w:fldChar w:fldCharType="end"/>
      </w:r>
      <w:r>
        <w:rPr>
          <w:rFonts w:asciiTheme="majorHAnsi" w:hAnsiTheme="majorHAnsi" w:cstheme="majorHAnsi"/>
          <w:sz w:val="24"/>
          <w:szCs w:val="24"/>
        </w:rPr>
        <w:t xml:space="preserve"> Under colistin susceptible circumstances, the positively charged moiety of colistin interacts with the negatively charged phosphate groups of the lipid A segments of LPS. This initial interaction first displaces the calcium</w:t>
      </w:r>
      <w:r w:rsidRPr="0001485C">
        <w:rPr>
          <w:rFonts w:asciiTheme="majorHAnsi" w:hAnsiTheme="majorHAnsi" w:cstheme="majorHAnsi"/>
          <w:sz w:val="24"/>
          <w:szCs w:val="24"/>
        </w:rPr>
        <w:t xml:space="preserve"> </w:t>
      </w:r>
      <w:r>
        <w:rPr>
          <w:rFonts w:asciiTheme="majorHAnsi" w:hAnsiTheme="majorHAnsi" w:cstheme="majorHAnsi"/>
          <w:sz w:val="24"/>
          <w:szCs w:val="24"/>
        </w:rPr>
        <w:t>and magnesium divalent cations that are normally electrostatically bound to the LPS and are crucial for the integrity of the bacterial outer membrane.</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{"citationID":"gPF2xDv8","properties":{"formattedCitation":"\\super 9\\nosupersub{}","plainCitation":"9","noteIndex":0},"citationItems":[{"id":2033,"uris":["http://zotero.org/users/1918630/items/VZ5YJS2R"],"itemData":{"id":2033,"type":"article-journal","abstract":"BACKGROUND: Polymyxin B sulfate and colistin, also known as colistimethate, have not been used for many years because less toxic antimicrobials are available. Gram-negative bacteria that are resistant to the aminoglycosides, beta-lactams, and fluoroquinolones are becoming more common. These bacteria are often susceptible to the polymyxins.\nOBJECTIVE: To present a review of the chemistry, antibacterial spectrum, dosing, pharmacokinetics, toxicity, and indications for polymyxin B sulfate and colistin.\nDATA SOURCE: A MEDLINE search (1966-1998) of the English-language literature was performed to identify primary literature on the polymyxins. Older citations ( 1949-1965) were identified through the bibliographies of these articles.\nSTUDY SELECTION: All available reports of in vitro antibacterial activity, animal and clinical trials, and case reports were reviewed.\nDATA SYNTHESIS: The polymyxins are amphipathic molecules that interact with lipopolysaccharide in the bacterial outer membrane. They have potent antiendotoxic properties and antibacterial activity against Pseudomonas aeruginosa and many of the Enterobacteriaceae. Polymyxin B and colistin are usually given at a dose of 1.5-2.5 and 5 mg/kg/d, respectively, in two divided doses. Dosing must be altered in renal failure since the kidney is the primary route of elimination. Distribution into pleural fluid, joints, and cerebrospinal fluid is poor. Toxic effects involve the kidney and central nervous system. The polymyxins are recommended for serious systemic infections caused by gram-negative bacteria that are resistant to other agents.\nCONCLUSIONS: Polymyxin B sulfate and colistin have a role in the therapy of multidrug-resistant gram-negative bacterial infections.","container-title":"The Annals of Pharmacotherapy","DOI":"10.1345/aph.18426","ISSN":"1060-0280","issue":"9","journalAbbreviation":"Ann Pharmacother","language":"eng","note":"PMID: 10492501","page":"960-967","source":"PubMed","title":"Polymyxin B sulfate and colistin: old antibiotics for emerging multiresistant gram-negative bacteria","title-short":"Polymyxin B sulfate and colistin","volume":"33","author":[{"family":"Evans","given":"M. E."},{"family":"Feola","given":"D. J."},{"family":"Rapp","given":"R. P."}],"issued":{"date-parts":[["1999",9]]}}}],"schema":"https://github.com/citation-style-language/schema/raw/master/csl-citation.json"}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9</w:t>
      </w:r>
      <w:r>
        <w:rPr>
          <w:rFonts w:asciiTheme="majorHAnsi" w:hAnsiTheme="majorHAnsi" w:cstheme="majorHAnsi"/>
          <w:sz w:val="24"/>
          <w:szCs w:val="24"/>
        </w:rPr>
        <w:fldChar w:fldCharType="end"/>
      </w:r>
      <w:r>
        <w:rPr>
          <w:rFonts w:asciiTheme="majorHAnsi" w:hAnsiTheme="majorHAnsi" w:cstheme="majorHAnsi"/>
          <w:sz w:val="24"/>
          <w:szCs w:val="24"/>
        </w:rPr>
        <w:t xml:space="preserve"> Then the hydrophobic acyl fatty chain of the colistin molecule penetrates between the lipids of the outer membrane, leading to permeabilization and subsequent cell lysis. The addition of a </w:t>
      </w:r>
      <w:proofErr w:type="spellStart"/>
      <w:r>
        <w:rPr>
          <w:rFonts w:asciiTheme="majorHAnsi" w:hAnsiTheme="majorHAnsi" w:cstheme="majorHAnsi"/>
          <w:sz w:val="24"/>
          <w:szCs w:val="24"/>
        </w:rPr>
        <w:t>PEtN</w:t>
      </w:r>
      <w:proofErr w:type="spellEnd"/>
      <w:r>
        <w:rPr>
          <w:rFonts w:asciiTheme="majorHAnsi" w:hAnsiTheme="majorHAnsi" w:cstheme="majorHAnsi"/>
          <w:sz w:val="24"/>
          <w:szCs w:val="24"/>
        </w:rPr>
        <w:t xml:space="preserve"> moiety to lipid A of LPS has been seen as a result of mutations and overexpression of </w:t>
      </w:r>
      <w:proofErr w:type="spellStart"/>
      <w:r>
        <w:rPr>
          <w:rFonts w:asciiTheme="majorHAnsi" w:hAnsiTheme="majorHAnsi" w:cstheme="majorHAnsi"/>
          <w:i/>
          <w:iCs/>
          <w:sz w:val="24"/>
          <w:szCs w:val="24"/>
        </w:rPr>
        <w:t>pmrCAB</w:t>
      </w:r>
      <w:proofErr w:type="spellEnd"/>
      <w:r>
        <w:rPr>
          <w:rFonts w:asciiTheme="majorHAnsi" w:hAnsiTheme="majorHAnsi" w:cstheme="majorHAnsi"/>
          <w:sz w:val="24"/>
          <w:szCs w:val="24"/>
        </w:rPr>
        <w:t xml:space="preserve">, </w:t>
      </w:r>
      <w:proofErr w:type="spellStart"/>
      <w:r>
        <w:rPr>
          <w:rFonts w:asciiTheme="majorHAnsi" w:hAnsiTheme="majorHAnsi" w:cstheme="majorHAnsi"/>
          <w:i/>
          <w:iCs/>
          <w:sz w:val="24"/>
          <w:szCs w:val="24"/>
        </w:rPr>
        <w:t>eptA</w:t>
      </w:r>
      <w:proofErr w:type="spellEnd"/>
      <w:r>
        <w:rPr>
          <w:rFonts w:asciiTheme="majorHAnsi" w:hAnsiTheme="majorHAnsi" w:cstheme="majorHAnsi"/>
          <w:i/>
          <w:iCs/>
          <w:sz w:val="24"/>
          <w:szCs w:val="24"/>
        </w:rPr>
        <w:t xml:space="preserve">, </w:t>
      </w:r>
      <w:r>
        <w:rPr>
          <w:rFonts w:asciiTheme="majorHAnsi" w:hAnsiTheme="majorHAnsi" w:cstheme="majorHAnsi"/>
          <w:sz w:val="24"/>
          <w:szCs w:val="24"/>
        </w:rPr>
        <w:t xml:space="preserve">or the presence of plasmid-mediated </w:t>
      </w:r>
      <w:proofErr w:type="spellStart"/>
      <w:r>
        <w:rPr>
          <w:rFonts w:asciiTheme="majorHAnsi" w:hAnsiTheme="majorHAnsi" w:cstheme="majorHAnsi"/>
          <w:i/>
          <w:iCs/>
          <w:sz w:val="24"/>
          <w:szCs w:val="24"/>
        </w:rPr>
        <w:t>mcr</w:t>
      </w:r>
      <w:proofErr w:type="spellEnd"/>
      <w:r>
        <w:rPr>
          <w:rFonts w:asciiTheme="majorHAnsi" w:hAnsiTheme="majorHAnsi" w:cstheme="majorHAnsi"/>
          <w:i/>
          <w:iCs/>
          <w:sz w:val="24"/>
          <w:szCs w:val="24"/>
        </w:rPr>
        <w:t xml:space="preserve"> </w:t>
      </w:r>
      <w:r>
        <w:rPr>
          <w:rFonts w:asciiTheme="majorHAnsi" w:hAnsiTheme="majorHAnsi" w:cstheme="majorHAnsi"/>
          <w:sz w:val="24"/>
          <w:szCs w:val="24"/>
        </w:rPr>
        <w:t xml:space="preserve">genes. In </w:t>
      </w:r>
      <w:r>
        <w:rPr>
          <w:rFonts w:asciiTheme="majorHAnsi" w:hAnsiTheme="majorHAnsi" w:cstheme="majorHAnsi"/>
          <w:i/>
          <w:iCs/>
          <w:sz w:val="24"/>
          <w:szCs w:val="24"/>
        </w:rPr>
        <w:t>A, baumannii</w:t>
      </w:r>
      <w:r>
        <w:rPr>
          <w:rFonts w:asciiTheme="majorHAnsi" w:hAnsiTheme="majorHAnsi" w:cstheme="majorHAnsi"/>
          <w:sz w:val="24"/>
          <w:szCs w:val="24"/>
        </w:rPr>
        <w:t xml:space="preserve"> cells with LPS that have this </w:t>
      </w:r>
      <w:proofErr w:type="spellStart"/>
      <w:r>
        <w:rPr>
          <w:rFonts w:asciiTheme="majorHAnsi" w:hAnsiTheme="majorHAnsi" w:cstheme="majorHAnsi"/>
          <w:sz w:val="24"/>
          <w:szCs w:val="24"/>
        </w:rPr>
        <w:t>PEtN</w:t>
      </w:r>
      <w:proofErr w:type="spellEnd"/>
      <w:r>
        <w:rPr>
          <w:rFonts w:asciiTheme="majorHAnsi" w:hAnsiTheme="majorHAnsi" w:cstheme="majorHAnsi"/>
          <w:sz w:val="24"/>
          <w:szCs w:val="24"/>
        </w:rPr>
        <w:t xml:space="preserve"> addition, the overall charge of the LPS region becomes positive, which then repulses the cationic colistin and thus conferring resistance to colistin.</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{"citationID":"Xw84BxcT","properties":{"formattedCitation":"\\super 8\\nosupersub{}","plainCitation":"8","noteIndex":0},"citationItems":[{"id":1757,"uris":["http://zotero.org/users/1918630/items/CER6WFLH"],"itemData":{"id":1757,"type":"article-journal","abstract":"Acinetobacter baumannii is recognized as a clinically significant pathogen causing a wide spectrum of nosocomial infections. Colistin was considered a last-resort antibiotic for the treatment of infections caused by multidrug-resistant A. baumannii. Since the reintroduction of colistin, a number of mechanisms of colistin resistance in A. baumannii have been reported, including complete loss of LPS by inactivation of the biosynthetic pathway, modifications of target LPS driven by the addition of phosphoethanolamine (PEtN) moieties to lipid A mediated by the chromosomal pmrCAB operon and eptA gene-encoded enzymes or plasmid-encoded mcr genes and efflux of colistin from the cell. In addition to resistance to colistin, widespread heteroresistance is another feature of A. baumannii that leads to colistin treatment failure. This review aims to present a critical assessment of relevant published (&gt;50 experimental papers) up-to-date knowledge on the molecular mechanisms of colistin resistance in A. baumannii with a detailed review of implicated mutations and the global distribution of colistin-resistant strains.","container-title":"Antibiotics","DOI":"10.3390/antibiotics12030516","ISSN":"2079-6382","issue":"3","language":"en","license":"http://creativecommons.org/licenses/by/3.0/","note":"number: 3\npublisher: Multidisciplinary Digital Publishing Institute","page":"516","source":"www.mdpi.com","title":"Colistin Resistance in Acinetobacter baumannii: Molecular Mechanisms and Epidemiology","title-short":"Colistin Resistance in Acinetobacter baumannii","volume":"12","author":[{"family":"Novović","given":"Katarina"},{"family":"Jovčić","given":"Branko"}],"issued":{"date-parts":[["2023",3]]}}}],"schema":"https://github.com/citation-style-language/schema/raw/master/csl-citation.json"}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8</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Pr>
          <w:rFonts w:asciiTheme="majorHAnsi" w:hAnsiTheme="majorHAnsi" w:cstheme="majorHAnsi"/>
          <w:sz w:val="24"/>
          <w:szCs w:val="24"/>
        </w:rPr>
        <w:tab/>
      </w:r>
      <w:r>
        <w:rPr>
          <w:rFonts w:asciiTheme="majorHAnsi" w:hAnsiTheme="majorHAnsi" w:cstheme="majorHAnsi"/>
          <w:sz w:val="24"/>
          <w:szCs w:val="24"/>
        </w:rPr>
        <w:tab/>
      </w:r>
    </w:p>
    <w:p w14:paraId="697B6259" w14:textId="42CAC84B" w:rsidR="0049594E" w:rsidRPr="00FD4651" w:rsidRDefault="0049594E" w:rsidP="0049594E">
      <w:pPr>
        <w:jc w:val="both"/>
        <w:rPr>
          <w:rFonts w:asciiTheme="majorHAnsi" w:hAnsiTheme="majorHAnsi" w:cstheme="majorHAnsi"/>
          <w:sz w:val="24"/>
          <w:szCs w:val="24"/>
        </w:rPr>
      </w:pPr>
    </w:p>
    <w:p w14:paraId="628E6F19" w14:textId="62A1D711" w:rsidR="0001485C" w:rsidRDefault="0001485C" w:rsidP="006E0609">
      <w:pPr>
        <w:spacing w:line="360" w:lineRule="auto"/>
        <w:ind w:firstLine="720"/>
        <w:rPr>
          <w:rFonts w:asciiTheme="majorHAnsi" w:hAnsiTheme="majorHAnsi" w:cstheme="majorHAnsi"/>
          <w:sz w:val="24"/>
          <w:szCs w:val="24"/>
        </w:rPr>
      </w:pPr>
      <w:r>
        <w:rPr>
          <w:rFonts w:asciiTheme="majorHAnsi" w:hAnsiTheme="majorHAnsi" w:cstheme="majorHAnsi"/>
          <w:sz w:val="24"/>
          <w:szCs w:val="24"/>
        </w:rPr>
        <w:lastRenderedPageBreak/>
        <w:t xml:space="preserve">Also seen in </w:t>
      </w:r>
      <w:r>
        <w:rPr>
          <w:rFonts w:asciiTheme="majorHAnsi" w:hAnsiTheme="majorHAnsi" w:cstheme="majorHAnsi"/>
          <w:b/>
          <w:bCs/>
          <w:sz w:val="24"/>
          <w:szCs w:val="24"/>
        </w:rPr>
        <w:t>Figure 1.3</w:t>
      </w:r>
      <w:r>
        <w:rPr>
          <w:rFonts w:asciiTheme="majorHAnsi" w:hAnsiTheme="majorHAnsi" w:cstheme="majorHAnsi"/>
          <w:sz w:val="24"/>
          <w:szCs w:val="24"/>
        </w:rPr>
        <w:t xml:space="preserve"> is the modification of penicillin-binding proteins (PBPs) leading to reduced susceptibility </w:t>
      </w:r>
      <w:r w:rsidRPr="00E34956">
        <w:rPr>
          <w:rFonts w:cstheme="minorHAnsi"/>
          <w:sz w:val="24"/>
          <w:szCs w:val="24"/>
        </w:rPr>
        <w:t>to β-lactams</w:t>
      </w:r>
      <w:r>
        <w:rPr>
          <w:rFonts w:asciiTheme="majorHAnsi" w:hAnsiTheme="majorHAnsi" w:cstheme="majorHAnsi"/>
          <w:sz w:val="24"/>
          <w:szCs w:val="24"/>
        </w:rPr>
        <w:t>. PBPs are a family of enzymes that catalyze the synthesis of peptidoglycan, the polymer made up of repeating N-acetylglucosamine and N-acetylmuramic acid residues cross-linked by short peptide chains.</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{"citationID":"fbpmmUVj","properties":{"formattedCitation":"\\super 10\\nosupersub{}","plainCitation":"10","noteIndex":0},"citationItems":[{"id":2035,"uris":["http://zotero.org/users/1918630/items/UBY5ULS8"],"itemData":{"id":2035,"type":"article-journal","abstract":"Penicillin-binding proteins (PBPs) have been scrutinized for over 40 years. Recent structural information on PBPs together with the ongoing long-term biochemical experimental investigations, and results from more recent techniques such as protein localization by green fluorescent protein-fusion immunofluorescence or double-hybrid assay, have brought our understanding of the last stages of the peptidoglycan biosynthesis to an outstanding level that allows a broad outlook on the properties of these enzymes. Details are emerging regarding the interaction between the peptidoglycan-synthesizing PBPs and the peptidoglycan, their mesh net-like product that surrounds and protects bacteria. This review focuses on the detailed structure of PBPs and their implication in peptidoglycan synthesis, maturation and recycling. An overview of the content in PBPs of some bacteria is provided with an emphasis on comparing the biochemical properties of homologous PBPs (orthologues) belonging to different bacteria.","container-title":"FEMS Microbiology Reviews","DOI":"10.1111/j.1574-6976.2008.00105.x","ISSN":"0168-6445","issue":"2","journalAbbreviation":"FEMS Microbiology Reviews","page":"234-258","source":"Silverchair","title":"The penicillin-binding proteins: structure and role in peptidoglycan biosynthesis","title-short":"The penicillin-binding proteins","volume":"32","author":[{"family":"Sauvage","given":"Eric"},{"family":"Kerff","given":"Frédéric"},{"family":"Terrak","given":"Mohammed"},{"family":"Ayala","given":"Juan A."},{"family":"Charlier","given":"Paulette"}],"issued":{"date-parts":[["2008",3,1]]}}}],"schema":"https://github.com/citation-style-language/schema/raw/master/csl-citation.json"}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10</w:t>
      </w:r>
      <w:r>
        <w:rPr>
          <w:rFonts w:asciiTheme="majorHAnsi" w:hAnsiTheme="majorHAnsi" w:cstheme="majorHAnsi"/>
          <w:sz w:val="24"/>
          <w:szCs w:val="24"/>
        </w:rPr>
        <w:fldChar w:fldCharType="end"/>
      </w:r>
      <w:r>
        <w:rPr>
          <w:rFonts w:asciiTheme="majorHAnsi" w:hAnsiTheme="majorHAnsi" w:cstheme="majorHAnsi"/>
          <w:sz w:val="24"/>
          <w:szCs w:val="24"/>
        </w:rPr>
        <w:t xml:space="preserve"> Peptidoglycan makes up the Gram-negative bacterial cell wall and provides major structural support for the cell. Properly functioning PBPs catalyze the polymerization of the glycan chain and the cross-linking the peptide stems to create the cell wall that gives the cell shape and support. </w:t>
      </w:r>
      <w:r w:rsidRPr="000F556E">
        <w:rPr>
          <w:rFonts w:cstheme="minorHAnsi"/>
          <w:sz w:val="24"/>
          <w:szCs w:val="24"/>
        </w:rPr>
        <w:t>β-lactam</w:t>
      </w:r>
      <w:r>
        <w:rPr>
          <w:rFonts w:asciiTheme="majorHAnsi" w:hAnsiTheme="majorHAnsi" w:cstheme="majorHAnsi"/>
          <w:sz w:val="24"/>
          <w:szCs w:val="24"/>
        </w:rPr>
        <w:t xml:space="preserve"> antibiotics have a molecular structure that is similar to the PBP’s normal substrate – the D-Ala-D-Ala peptide stem ends. When a </w:t>
      </w:r>
      <w:r w:rsidRPr="00FA3D86">
        <w:rPr>
          <w:rFonts w:cstheme="minorHAnsi"/>
          <w:sz w:val="24"/>
          <w:szCs w:val="24"/>
        </w:rPr>
        <w:t>β-lactam</w:t>
      </w:r>
      <w:r>
        <w:rPr>
          <w:rFonts w:asciiTheme="majorHAnsi" w:hAnsiTheme="majorHAnsi" w:cstheme="majorHAnsi"/>
          <w:sz w:val="24"/>
          <w:szCs w:val="24"/>
        </w:rPr>
        <w:t xml:space="preserve"> molecule binds to the PBP’s enzymatic active site, it inhibits the PBP enzyme from polymerizing the peptidoglycan, leaving the cell vulnerable to cytoplasmic leakage and cell rupture. There</w:t>
      </w:r>
      <w:r w:rsidR="006E0609">
        <w:rPr>
          <w:rFonts w:asciiTheme="majorHAnsi" w:hAnsiTheme="majorHAnsi" w:cstheme="majorHAnsi"/>
          <w:sz w:val="24"/>
          <w:szCs w:val="24"/>
        </w:rPr>
        <w:t xml:space="preserve"> </w:t>
      </w:r>
      <w:r>
        <w:rPr>
          <w:rFonts w:asciiTheme="majorHAnsi" w:hAnsiTheme="majorHAnsi" w:cstheme="majorHAnsi"/>
          <w:sz w:val="24"/>
          <w:szCs w:val="24"/>
        </w:rPr>
        <w:t xml:space="preserve">have been a few reports of </w:t>
      </w:r>
      <w:r>
        <w:rPr>
          <w:rFonts w:asciiTheme="majorHAnsi" w:hAnsiTheme="majorHAnsi" w:cstheme="majorHAnsi"/>
          <w:i/>
          <w:iCs/>
          <w:sz w:val="24"/>
          <w:szCs w:val="24"/>
        </w:rPr>
        <w:t>A. baumannii</w:t>
      </w:r>
      <w:r>
        <w:rPr>
          <w:rFonts w:asciiTheme="majorHAnsi" w:hAnsiTheme="majorHAnsi" w:cstheme="majorHAnsi"/>
          <w:sz w:val="24"/>
          <w:szCs w:val="24"/>
        </w:rPr>
        <w:t xml:space="preserve"> strains containing PBP mutations that conferred resistance to </w:t>
      </w:r>
      <w:r>
        <w:rPr>
          <w:rFonts w:ascii="Calibri" w:hAnsi="Calibri" w:cs="Calibri"/>
          <w:sz w:val="24"/>
          <w:szCs w:val="24"/>
        </w:rPr>
        <w:t>β</w:t>
      </w:r>
      <w:r>
        <w:rPr>
          <w:rFonts w:asciiTheme="majorHAnsi" w:hAnsiTheme="majorHAnsi" w:cstheme="majorHAnsi"/>
          <w:sz w:val="24"/>
          <w:szCs w:val="24"/>
        </w:rPr>
        <w:t>-lactams.</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{"citationID":"1Cq34OBp","properties":{"formattedCitation":"\\super 11\\nosupersub{}","plainCitation":"11","noteIndex":0},"citationItems":[{"id":1900,"uris":["http://zotero.org/users/1918630/items/4RSQRE8H"],"itemData":{"id":1900,"type":"article-journal","abstract":"There is limited information on the role of penicillin-binding proteins (PBPs) in the resistance of Acinetobacter baumannii to β-lactams. This study presents an analysis of the allelic variations of PBP genes in A. baumannii isolates. Twenty-six A. baumannii clinical isolates (susceptible or resistant to carbapenems) from three teaching hospitals in Spain were included. The antimicrobial susceptibility profile, clonal pattern, and genomic species identification were also evaluated. Based on the six complete genomes of A. baumannii, the PBP genes were identified, and primers were designed for each gene. The nucleotide sequences of the genes identified that encode PBPs and the corresponding amino acid sequences were compared with those of ATCC 17978. Seven PBP genes and one monofunctional transglycosylase (MGT) gene were identified in the six genomes, encoding (i) four high-molecular-mass proteins (two of class A, PBP1a [ponA] and PBP1b [mrcB], and two of class B, PBP2 [pbpA or mrdA] and PBP3 [ftsI]), (ii) three low-molecular-mass proteins (two of type 5, PBP5/6 [dacC] and PBP6b [dacD], and one of type 7 (PBP7/8 [pbpG]), and (iii) a monofunctional enzyme (MtgA [mtgA]). Hot spot mutation regions were observed, although most of the allelic changes found translated into silent mutations. The amino acid consensus sequences corresponding to the PBP genes in the genomes and the clinical isolates were highly conserved. The changes found in amino acid sequences were associated with concrete clonal patterns but were not directly related to susceptibility or resistance to β-lactams. An insertion sequence disrupting the gene encoding PBP6b was identified in an endemic carbapenem-resistant clone in one of the participant hospitals.","container-title":"Antimicrobial Agents and Chemotherapy","DOI":"10.1128/AAC.00459-11","ISSN":"0066-4804","issue":"12","journalAbbreviation":"Antimicrob Agents Chemother","note":"PMID: 21947403\nPMCID: PMC3232777","page":"5907-5913","source":"PubMed Central","title":"Analysis of Genes Encoding Penicillin-Binding Proteins in Clinical Isolates of Acinetobacter baumannii </w:instrText>
      </w:r>
      <w:r w:rsidR="002C3B0E">
        <w:rPr>
          <w:rFonts w:ascii="Cambria Math" w:hAnsi="Cambria Math" w:cs="Cambria Math"/>
          <w:sz w:val="24"/>
          <w:szCs w:val="24"/>
        </w:rPr>
        <w:instrText>▿</w:instrText>
      </w:r>
      <w:r w:rsidR="002C3B0E">
        <w:rPr>
          <w:rFonts w:asciiTheme="majorHAnsi" w:hAnsiTheme="majorHAnsi" w:cstheme="majorHAnsi"/>
          <w:sz w:val="24"/>
          <w:szCs w:val="24"/>
        </w:rPr>
        <w:instrText>","volume":"55","author":[{"family":"Cay</w:instrText>
      </w:r>
      <w:r w:rsidR="002C3B0E">
        <w:rPr>
          <w:rFonts w:ascii="Times New Roman" w:hAnsi="Times New Roman" w:cs="Times New Roman"/>
          <w:sz w:val="24"/>
          <w:szCs w:val="24"/>
        </w:rPr>
        <w:instrText>ô</w:instrText>
      </w:r>
      <w:r w:rsidR="002C3B0E">
        <w:rPr>
          <w:rFonts w:asciiTheme="majorHAnsi" w:hAnsiTheme="majorHAnsi" w:cstheme="majorHAnsi"/>
          <w:sz w:val="24"/>
          <w:szCs w:val="24"/>
        </w:rPr>
        <w:instrText>","given":"Rodrigo"},{"family":"Rodr</w:instrText>
      </w:r>
      <w:r w:rsidR="002C3B0E">
        <w:rPr>
          <w:rFonts w:ascii="Times New Roman" w:hAnsi="Times New Roman" w:cs="Times New Roman"/>
          <w:sz w:val="24"/>
          <w:szCs w:val="24"/>
        </w:rPr>
        <w:instrText>í</w:instrText>
      </w:r>
      <w:r w:rsidR="002C3B0E">
        <w:rPr>
          <w:rFonts w:asciiTheme="majorHAnsi" w:hAnsiTheme="majorHAnsi" w:cstheme="majorHAnsi"/>
          <w:sz w:val="24"/>
          <w:szCs w:val="24"/>
        </w:rPr>
        <w:instrText>guez","given":"Mar</w:instrText>
      </w:r>
      <w:r w:rsidR="002C3B0E">
        <w:rPr>
          <w:rFonts w:ascii="Times New Roman" w:hAnsi="Times New Roman" w:cs="Times New Roman"/>
          <w:sz w:val="24"/>
          <w:szCs w:val="24"/>
        </w:rPr>
        <w:instrText>í</w:instrText>
      </w:r>
      <w:r w:rsidR="002C3B0E">
        <w:rPr>
          <w:rFonts w:asciiTheme="majorHAnsi" w:hAnsiTheme="majorHAnsi" w:cstheme="majorHAnsi"/>
          <w:sz w:val="24"/>
          <w:szCs w:val="24"/>
        </w:rPr>
        <w:instrText xml:space="preserve">a-Cruz"},{"family":"Espinal","given":"Paula"},{"family":"Fernández-Cuenca","given":"Felipe"},{"family":"Ocampo-Sosa","given":"Alain A."},{"family":"Pascual","given":"Álvaro"},{"family":"Ayala","given":"Juan A."},{"family":"Vila","given":"Jordi"},{"family":"Martínez-Martínez","given":"Luis"}],"issued":{"date-parts":[["2011",12]]}}}],"schema":"https://github.com/citation-style-language/schema/raw/master/csl-citation.json"}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11</w:t>
      </w:r>
      <w:r>
        <w:rPr>
          <w:rFonts w:asciiTheme="majorHAnsi" w:hAnsiTheme="majorHAnsi" w:cstheme="majorHAnsi"/>
          <w:sz w:val="24"/>
          <w:szCs w:val="24"/>
        </w:rPr>
        <w:fldChar w:fldCharType="end"/>
      </w:r>
      <w:r w:rsidRPr="0001485C">
        <w:rPr>
          <w:rFonts w:asciiTheme="majorHAnsi" w:hAnsiTheme="majorHAnsi" w:cstheme="majorHAnsi"/>
          <w:sz w:val="24"/>
          <w:szCs w:val="24"/>
        </w:rPr>
        <w:t xml:space="preserve"> </w:t>
      </w:r>
    </w:p>
    <w:p w14:paraId="57BBA01F" w14:textId="53FAA82B" w:rsidR="0001485C" w:rsidRDefault="0001485C" w:rsidP="00130784">
      <w:pPr>
        <w:spacing w:line="360" w:lineRule="auto"/>
        <w:ind w:firstLine="720"/>
        <w:rPr>
          <w:rFonts w:asciiTheme="majorHAnsi" w:hAnsiTheme="majorHAnsi" w:cstheme="majorHAnsi"/>
          <w:sz w:val="24"/>
          <w:szCs w:val="24"/>
        </w:rPr>
      </w:pPr>
      <w:r w:rsidRPr="00D36EE3">
        <w:rPr>
          <w:rFonts w:asciiTheme="majorHAnsi" w:hAnsiTheme="majorHAnsi" w:cstheme="majorHAnsi"/>
          <w:b/>
          <w:bCs/>
          <w:noProof/>
          <w:sz w:val="24"/>
          <w:szCs w:val="24"/>
        </w:rPr>
        <w:drawing>
          <wp:inline distT="0" distB="0" distL="0" distR="0" wp14:anchorId="52124A78" wp14:editId="1C24B1F1">
            <wp:extent cx="5486400" cy="2927985"/>
            <wp:effectExtent l="0" t="0" r="0" b="0"/>
            <wp:docPr id="1783418789" name="Picture 1" descr="A diagram of a cell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618932" name="Picture 1" descr="A diagram of a cell line&#10;&#10;Description automatically generated"/>
                    <pic:cNvPicPr/>
                  </pic:nvPicPr>
                  <pic:blipFill>
                    <a:blip r:embed="rId13"/>
                    <a:stretch>
                      <a:fillRect/>
                    </a:stretch>
                  </pic:blipFill>
                  <pic:spPr>
                    <a:xfrm>
                      <a:off x="0" y="0"/>
                      <a:ext cx="5486400" cy="2927985"/>
                    </a:xfrm>
                    <a:prstGeom prst="rect">
                      <a:avLst/>
                    </a:prstGeom>
                  </pic:spPr>
                </pic:pic>
              </a:graphicData>
            </a:graphic>
          </wp:inline>
        </w:drawing>
      </w:r>
    </w:p>
    <w:p w14:paraId="4680A5C1" w14:textId="77777777" w:rsidR="0001485C" w:rsidRDefault="0001485C" w:rsidP="0001485C">
      <w:pPr>
        <w:jc w:val="both"/>
        <w:rPr>
          <w:rFonts w:asciiTheme="majorHAnsi" w:hAnsiTheme="majorHAnsi" w:cstheme="majorHAnsi"/>
          <w:b/>
          <w:bCs/>
          <w:sz w:val="24"/>
          <w:szCs w:val="24"/>
        </w:rPr>
      </w:pPr>
      <w:r>
        <w:rPr>
          <w:rFonts w:asciiTheme="majorHAnsi" w:hAnsiTheme="majorHAnsi" w:cstheme="majorHAnsi"/>
          <w:b/>
          <w:bCs/>
          <w:sz w:val="24"/>
          <w:szCs w:val="24"/>
        </w:rPr>
        <w:t>Figure 1.3</w:t>
      </w:r>
      <w:r>
        <w:rPr>
          <w:rFonts w:asciiTheme="majorHAnsi" w:hAnsiTheme="majorHAnsi" w:cstheme="majorHAnsi"/>
          <w:sz w:val="24"/>
          <w:szCs w:val="24"/>
        </w:rPr>
        <w:t xml:space="preserve"> - </w:t>
      </w:r>
      <w:r>
        <w:rPr>
          <w:rFonts w:asciiTheme="majorHAnsi" w:hAnsiTheme="majorHAnsi" w:cstheme="majorHAnsi"/>
          <w:b/>
          <w:bCs/>
          <w:sz w:val="24"/>
          <w:szCs w:val="24"/>
        </w:rPr>
        <w:t>Representation of antibiotic resistance mechanisms in the cell envelope</w:t>
      </w:r>
    </w:p>
    <w:p w14:paraId="5063AB56" w14:textId="0604B37B" w:rsidR="0001485C" w:rsidRPr="004B5D13" w:rsidRDefault="0001485C" w:rsidP="0001485C">
      <w:pPr>
        <w:jc w:val="both"/>
        <w:rPr>
          <w:rFonts w:asciiTheme="majorHAnsi" w:hAnsiTheme="majorHAnsi" w:cstheme="majorHAnsi"/>
          <w:sz w:val="24"/>
          <w:szCs w:val="24"/>
        </w:rPr>
      </w:pPr>
      <w:r>
        <w:rPr>
          <w:rFonts w:asciiTheme="majorHAnsi" w:hAnsiTheme="majorHAnsi" w:cstheme="majorHAnsi"/>
          <w:sz w:val="24"/>
          <w:szCs w:val="24"/>
        </w:rPr>
        <w:t xml:space="preserve">An illustrated representation of two bacterial mechanisms of antibiotic resistance within the Gram-negative cell envelope. The upper half of the figure shows lipopolysaccharide (LPS) attached to the outer leaflet of the outer membrane. Normal LPS is sensitive to cationic colistin molecules. LPS modified with </w:t>
      </w:r>
      <w:proofErr w:type="spellStart"/>
      <w:r>
        <w:rPr>
          <w:rFonts w:asciiTheme="majorHAnsi" w:hAnsiTheme="majorHAnsi" w:cstheme="majorHAnsi"/>
          <w:sz w:val="24"/>
          <w:szCs w:val="24"/>
        </w:rPr>
        <w:t>phosphoethanolamine</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PEtN</w:t>
      </w:r>
      <w:proofErr w:type="spellEnd"/>
      <w:r>
        <w:rPr>
          <w:rFonts w:asciiTheme="majorHAnsi" w:hAnsiTheme="majorHAnsi" w:cstheme="majorHAnsi"/>
          <w:sz w:val="24"/>
          <w:szCs w:val="24"/>
        </w:rPr>
        <w:t xml:space="preserve">) attached to lipid A neutralizes the negative charge of the LPS and repels colistin. The bottom half of the figure shows a drug-susceptible Penicillin Binding Protein (PBP) (in green), which </w:t>
      </w:r>
      <w:r>
        <w:rPr>
          <w:rFonts w:asciiTheme="majorHAnsi" w:hAnsiTheme="majorHAnsi" w:cstheme="majorHAnsi"/>
          <w:sz w:val="24"/>
          <w:szCs w:val="24"/>
        </w:rPr>
        <w:lastRenderedPageBreak/>
        <w:t>polymerizes the glycan chain and the peptide stems. The</w:t>
      </w:r>
      <w:r w:rsidRPr="002455C9">
        <w:rPr>
          <w:rFonts w:cstheme="minorHAnsi"/>
          <w:sz w:val="24"/>
          <w:szCs w:val="24"/>
        </w:rPr>
        <w:t xml:space="preserve"> β-lactam</w:t>
      </w:r>
      <w:r>
        <w:rPr>
          <w:rFonts w:cstheme="minorHAnsi"/>
          <w:sz w:val="24"/>
          <w:szCs w:val="24"/>
        </w:rPr>
        <w:t xml:space="preserve"> molecule is shown binding to and inhibiting the susceptible PBP, but it is unable to inhibit the PBP with low affinity for </w:t>
      </w:r>
      <w:r w:rsidRPr="002455C9">
        <w:rPr>
          <w:rFonts w:cstheme="minorHAnsi"/>
          <w:sz w:val="24"/>
          <w:szCs w:val="24"/>
        </w:rPr>
        <w:t>β-lactam</w:t>
      </w:r>
      <w:r>
        <w:rPr>
          <w:rFonts w:cstheme="minorHAnsi"/>
          <w:sz w:val="24"/>
          <w:szCs w:val="24"/>
        </w:rPr>
        <w:t>s (in purple).</w:t>
      </w:r>
      <w:r>
        <w:rPr>
          <w:rFonts w:cstheme="minorHAnsi"/>
          <w:sz w:val="24"/>
          <w:szCs w:val="24"/>
        </w:rPr>
        <w:fldChar w:fldCharType="begin"/>
      </w:r>
      <w:r w:rsidR="002C3B0E">
        <w:rPr>
          <w:rFonts w:cstheme="minorHAnsi"/>
          <w:sz w:val="24"/>
          <w:szCs w:val="24"/>
        </w:rPr>
        <w:instrText xml:space="preserve"> ADDIN ZOTERO_ITEM CSL_CITATION {"citationID":"gYE6Pj7O","properties":{"formattedCitation":"\\super 8,12\\nosupersub{}","plainCitation":"8,12","noteIndex":0},"citationItems":[{"id":1986,"uris":["http://zotero.org/users/1918630/items/HR99BDGU"],"itemData":{"id":1986,"type":"entry-encyclopedia","abstract":"Methicillin-resistant Staphylococcus aureus (MRSA) is a group of gram-positive bacteria that are genetically distinct from other strains of Staphylococcus aureus. MRSA is responsible for several difficult-to-treat infections in humans. It caused more than 100,000 deaths worldwide attributable to antimicrobial resistance in 2019.\nMRSA is any strain of S. aureus that has developed (through natural selection) or acquired (through horizontal gene transfer) a multiple drug resistance to beta-lactam antibiotics. Beta-lactam (β-lactam) antibiotics are a broad-spectrum group that include some penams (penicillin derivatives such as methicillin and oxacillin) and cephems such as the cephalosporins. Strains unable to resist these antibiotics are classified as methicillin-susceptible S. aureus, or MSSA.\nMRSA infection is common in hospitals, prisons, and nursing homes, where people with open wounds, invasive devices such as catheters, and weakened immune systems are at greater risk of healthcare-associated infection. MRSA began as a hospital-acquired infection but has become community-acquired, as well as livestock-acquired. The terms HA-MRSA (healthcare-associated or hospital-acquired MRSA), CA-MRSA (community-associated MRSA), and LA-MRSA (livestock-associated MRSA) reflect this.","container-title":"Wikipedia","language":"en","license":"Creative Commons Attribution-ShareAlike License","note":"Page Version ID: 1194106859","source":"Wikipedia","title":"Methicillin-resistant &lt;i&gt;Staphylococcus aureus&lt;/i&gt;","URL":"https://en.wikipedia.org/w/index.php?title=Methicillin-resistant_Staphylococcus_aureus&amp;oldid=1194106859","author":[{"family":"Mcstrother","given":""}],"accessed":{"date-parts":[["2024",1,16]]},"issued":{"date-parts":[["2024",1,7]]}}},{"id":1757,"uris":["http://zotero.org/users/1918630/items/CER6WFLH"],"itemData":{"id":1757,"type":"article-journal","abstract":"Acinetobacter baumannii is recognized as a clinically significant pathogen causing a wide spectrum of nosocomial infections. Colistin was considered a last-resort antibiotic for the treatment of infections caused by multidrug-resistant A. baumannii. Since the reintroduction of colistin, a number of mechanisms of colistin resistance in A. baumannii have been reported, including complete loss of LPS by inactivation of the biosynthetic pathway, modifications of target LPS driven by the addition of phosphoethanolamine (PEtN) moieties to lipid A mediated by the chromosomal pmrCAB operon and eptA gene-encoded enzymes or plasmid-encoded mcr genes and efflux of colistin from the cell. In addition to resistance to colistin, widespread heteroresistance is another feature of A. baumannii that leads to colistin treatment failure. This review aims to present a critical assessment of relevant published (&gt;50 experimental papers) up-to-date knowledge on the molecular mechanisms of colistin resistance in A. baumannii with a detailed review of implicated mutations and the global distribution of colistin-resistant strains.","container-title":"Antibiotics","DOI":"10.3390/antibiotics12030516","ISSN":"2079-6382","issue":"3","language":"en","license":"http://creativecommons.org/licenses/by/3.0/","note":"number: 3\npublisher: Multidisciplinary Digital Publishing Institute","page":"516","source":"www.mdpi.com","title":"Colistin Resistance in Acinetobacter baumannii: Molecular Mechanisms and Epidemiology","title-short":"Colistin Resistance in Acinetobacter baumannii","volume":"12","author":[{"family":"Novović","given":"Katarina"},{"family":"Jovčić","given":"Branko"}],"issued":{"date-parts":[["2023",3]]}}}],"schema":"https://github.com/citation-style-language/schema/raw/master/csl-citation.json"} </w:instrText>
      </w:r>
      <w:r>
        <w:rPr>
          <w:rFonts w:cstheme="minorHAnsi"/>
          <w:sz w:val="24"/>
          <w:szCs w:val="24"/>
        </w:rPr>
        <w:fldChar w:fldCharType="separate"/>
      </w:r>
      <w:r w:rsidR="002C3B0E" w:rsidRPr="002C3B0E">
        <w:rPr>
          <w:rFonts w:ascii="Times New Roman" w:hAnsi="Times New Roman" w:cs="Times New Roman"/>
          <w:sz w:val="24"/>
          <w:vertAlign w:val="superscript"/>
        </w:rPr>
        <w:t>8,12</w:t>
      </w:r>
      <w:r>
        <w:rPr>
          <w:rFonts w:cstheme="minorHAnsi"/>
          <w:sz w:val="24"/>
          <w:szCs w:val="24"/>
        </w:rPr>
        <w:fldChar w:fldCharType="end"/>
      </w:r>
    </w:p>
    <w:p w14:paraId="0DD47354" w14:textId="7B4A7635" w:rsidR="00D75A6C" w:rsidRDefault="006E0609" w:rsidP="006E0609">
      <w:pPr>
        <w:spacing w:line="360" w:lineRule="auto"/>
        <w:ind w:firstLine="720"/>
        <w:rPr>
          <w:rFonts w:asciiTheme="majorHAnsi" w:hAnsiTheme="majorHAnsi" w:cstheme="majorHAnsi"/>
          <w:sz w:val="24"/>
          <w:szCs w:val="24"/>
        </w:rPr>
      </w:pPr>
      <w:r>
        <w:rPr>
          <w:rFonts w:asciiTheme="majorHAnsi" w:hAnsiTheme="majorHAnsi" w:cstheme="majorHAnsi"/>
          <w:sz w:val="24"/>
          <w:szCs w:val="24"/>
        </w:rPr>
        <w:t>The</w:t>
      </w:r>
      <w:r w:rsidR="0001485C">
        <w:rPr>
          <w:rFonts w:asciiTheme="majorHAnsi" w:hAnsiTheme="majorHAnsi" w:cstheme="majorHAnsi"/>
          <w:sz w:val="24"/>
          <w:szCs w:val="24"/>
        </w:rPr>
        <w:t xml:space="preserve"> antibiotic resistance mechanisms </w:t>
      </w:r>
      <w:r>
        <w:rPr>
          <w:rFonts w:asciiTheme="majorHAnsi" w:hAnsiTheme="majorHAnsi" w:cstheme="majorHAnsi"/>
          <w:sz w:val="24"/>
          <w:szCs w:val="24"/>
        </w:rPr>
        <w:t>most relevant to this work are</w:t>
      </w:r>
      <w:r w:rsidR="0001485C">
        <w:rPr>
          <w:rFonts w:asciiTheme="majorHAnsi" w:hAnsiTheme="majorHAnsi" w:cstheme="majorHAnsi"/>
          <w:sz w:val="24"/>
          <w:szCs w:val="24"/>
        </w:rPr>
        <w:t xml:space="preserve"> those that reduce the intracellular accumulation of the antibiotic molecule (</w:t>
      </w:r>
      <w:r w:rsidR="0001485C">
        <w:rPr>
          <w:rFonts w:asciiTheme="majorHAnsi" w:hAnsiTheme="majorHAnsi" w:cstheme="majorHAnsi"/>
          <w:b/>
          <w:bCs/>
          <w:sz w:val="24"/>
          <w:szCs w:val="24"/>
        </w:rPr>
        <w:t>Figure 1.4</w:t>
      </w:r>
      <w:r w:rsidR="0001485C">
        <w:rPr>
          <w:rFonts w:asciiTheme="majorHAnsi" w:hAnsiTheme="majorHAnsi" w:cstheme="majorHAnsi"/>
          <w:sz w:val="24"/>
          <w:szCs w:val="24"/>
        </w:rPr>
        <w:t>). In terms of influx, antibiotic susceptibility can be decreased by structural modifications to porins,</w:t>
      </w:r>
      <w:r w:rsidR="0001485C" w:rsidRPr="00D732D5">
        <w:rPr>
          <w:rFonts w:asciiTheme="majorHAnsi" w:hAnsiTheme="majorHAnsi" w:cstheme="majorHAnsi"/>
          <w:sz w:val="24"/>
          <w:szCs w:val="24"/>
        </w:rPr>
        <w:t xml:space="preserve"> </w:t>
      </w:r>
      <w:r w:rsidR="0001485C">
        <w:rPr>
          <w:rFonts w:asciiTheme="majorHAnsi" w:hAnsiTheme="majorHAnsi" w:cstheme="majorHAnsi"/>
          <w:sz w:val="24"/>
          <w:szCs w:val="24"/>
        </w:rPr>
        <w:t>reduced expression of porins, or even complete loss of a porin.</w:t>
      </w:r>
      <w:r w:rsidR="0001485C">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{"citationID":"hCLaE4tj","properties":{"formattedCitation":"\\super 13\\nosupersub{}","plainCitation":"13","noteIndex":0},"citationItems":[{"id":1998,"uris":["http://zotero.org/users/1918630/items/EXLVTB9F"],"itemData":{"id":1998,"type":"article-journal","abstract":"Summary: The substantial use of antibiotics in the clinic, combined with a dearth of new antibiotic classes, has led to a gradual increase in the resistance of bacterial pathogens to these compounds. Among the various mechanisms by which bacteria endure ...","container-title":"Clinical Microbiology Reviews","DOI":"10.1128/CMR.00043-12","issue":"4","language":"en","note":"publisher: American Society for Microbiology (ASM)\nPMID: 23034325","page":"661","source":"www.ncbi.nlm.nih.gov","title":"Adaptive and Mutational Resistance: Role of Porins and Efflux Pumps in Drug Resistance","title-short":"Adaptive and Mutational Resistance","volume":"25","author":[{"family":"Fernández","given":"Lucía"},{"family":"Hancock","given":"Robert E. W."}],"issued":{"date-parts":[["2012",10]]}}}],"schema":"https://github.com/citation-style-language/schema/raw/master/csl-citation.json"} </w:instrText>
      </w:r>
      <w:r w:rsidR="0001485C">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13</w:t>
      </w:r>
      <w:r w:rsidR="0001485C">
        <w:rPr>
          <w:rFonts w:asciiTheme="majorHAnsi" w:hAnsiTheme="majorHAnsi" w:cstheme="majorHAnsi"/>
          <w:sz w:val="24"/>
          <w:szCs w:val="24"/>
        </w:rPr>
        <w:fldChar w:fldCharType="end"/>
      </w:r>
      <w:r w:rsidR="0001485C">
        <w:rPr>
          <w:rFonts w:asciiTheme="majorHAnsi" w:hAnsiTheme="majorHAnsi" w:cstheme="majorHAnsi"/>
          <w:sz w:val="24"/>
          <w:szCs w:val="24"/>
        </w:rPr>
        <w:t xml:space="preserve"> For example, the inactivation of the outer membrane porin </w:t>
      </w:r>
      <w:proofErr w:type="spellStart"/>
      <w:r w:rsidR="0001485C">
        <w:rPr>
          <w:rFonts w:asciiTheme="majorHAnsi" w:hAnsiTheme="majorHAnsi" w:cstheme="majorHAnsi"/>
          <w:sz w:val="24"/>
          <w:szCs w:val="24"/>
        </w:rPr>
        <w:t>CarO</w:t>
      </w:r>
      <w:proofErr w:type="spellEnd"/>
      <w:r w:rsidR="0001485C">
        <w:rPr>
          <w:rFonts w:asciiTheme="majorHAnsi" w:hAnsiTheme="majorHAnsi" w:cstheme="majorHAnsi"/>
          <w:sz w:val="24"/>
          <w:szCs w:val="24"/>
        </w:rPr>
        <w:t xml:space="preserve"> confers resistance to carbapenems in some </w:t>
      </w:r>
      <w:r w:rsidR="0001485C">
        <w:rPr>
          <w:rFonts w:asciiTheme="majorHAnsi" w:hAnsiTheme="majorHAnsi" w:cstheme="majorHAnsi"/>
          <w:i/>
          <w:iCs/>
          <w:sz w:val="24"/>
          <w:szCs w:val="24"/>
        </w:rPr>
        <w:t>A. baumannii</w:t>
      </w:r>
      <w:r w:rsidR="0001485C">
        <w:rPr>
          <w:rFonts w:asciiTheme="majorHAnsi" w:hAnsiTheme="majorHAnsi" w:cstheme="majorHAnsi"/>
          <w:sz w:val="24"/>
          <w:szCs w:val="24"/>
        </w:rPr>
        <w:t xml:space="preserve"> strains.</w:t>
      </w:r>
      <w:r w:rsidR="0001485C">
        <w:rPr>
          <w:rFonts w:asciiTheme="majorHAnsi" w:hAnsiTheme="majorHAnsi" w:cstheme="majorHAnsi"/>
          <w:sz w:val="24"/>
          <w:szCs w:val="24"/>
        </w:rPr>
        <w:fldChar w:fldCharType="begin"/>
      </w:r>
      <w:r w:rsidR="0001485C">
        <w:rPr>
          <w:rFonts w:asciiTheme="majorHAnsi" w:hAnsiTheme="majorHAnsi" w:cstheme="majorHAnsi"/>
          <w:sz w:val="24"/>
          <w:szCs w:val="24"/>
        </w:rPr>
        <w:instrText xml:space="preserve"> ADDIN ZOTERO_ITEM CSL_CITATION {"citationID":"eNwZnshe","properties":{"formattedCitation":"\\super 14\\nosupersub{}","plainCitation":"14","noteIndex":0},"citationItems":[{"id":1825,"uris":["http://zotero.org/users/1918630/items/ZE9SQAIC"],"itemData":{"id":1825,"type":"article-journal","abstract":"Acinetobacter baumannii is regarded as a life-threatening pathogen associated with community-acquired and nosocomial infections, mainly pneumonia. The rise in the number of A. baumannii antibiotic-resistant strains reduces effective therapies and increases mortality. Bacterial comparative genomic studies have unraveled the innate and acquired virulence factors of A. baumannii. These virulence factors are involved in antibiotic resistance, environmental persistence, host-pathogen interactions, and immune evasion. Studies on host–pathogen interactions revealed that A. baumannii evolved different mechanisms to adhere to in order to invade host respiratory cells as well as evade the host immune system. In this review, we discuss current data on A. baumannii genetic features and virulence factors. An emphasis is given to the players in host–pathogen interaction in the respiratory tract. In addition, we report recent investigations into host defense systems using in vitro and in vivo models, providing new insights into the innate immune response to A. baumannii infections. Increasing our knowledge of A. baumannii pathogenesis may help the development of novel therapeutic strategies based on anti-adhesive, anti-virulence, and anti-cell to cell signaling pathways drugs.","container-title":"Pathogens","DOI":"10.3390/pathogens10040387","ISSN":"2076-0817","issue":"4","journalAbbreviation":"Pathogens","note":"PMID: 33804894\nPMCID: PMC8063835","page":"387","source":"PubMed Central","title":"Acinetobacter baumannii: An Ancient Commensal with Weapons of a Pathogen","title-short":"Acinetobacter baumannii","volume":"10","author":[{"family":"Sarshar","given":"Meysam"},{"family":"Behzadi","given":"Payam"},{"family":"Scribano","given":"Daniela"},{"family":"Palamara","given":"Anna Teresa"},{"family":"Ambrosi","given":"Cecilia"}],"issued":{"date-parts":[["2021",3,24]]}}}],"schema":"https://github.com/citation-style-language/schema/raw/master/csl-citation.json"} </w:instrText>
      </w:r>
      <w:r w:rsidR="0001485C">
        <w:rPr>
          <w:rFonts w:asciiTheme="majorHAnsi" w:hAnsiTheme="majorHAnsi" w:cstheme="majorHAnsi"/>
          <w:sz w:val="24"/>
          <w:szCs w:val="24"/>
        </w:rPr>
        <w:fldChar w:fldCharType="separate"/>
      </w:r>
      <w:r w:rsidR="0001485C" w:rsidRPr="00176906">
        <w:rPr>
          <w:rFonts w:ascii="Times New Roman" w:hAnsi="Times New Roman" w:cs="Times New Roman"/>
          <w:sz w:val="24"/>
          <w:szCs w:val="24"/>
          <w:vertAlign w:val="superscript"/>
        </w:rPr>
        <w:t>14</w:t>
      </w:r>
      <w:r w:rsidR="0001485C">
        <w:rPr>
          <w:rFonts w:asciiTheme="majorHAnsi" w:hAnsiTheme="majorHAnsi" w:cstheme="majorHAnsi"/>
          <w:sz w:val="24"/>
          <w:szCs w:val="24"/>
        </w:rPr>
        <w:fldChar w:fldCharType="end"/>
      </w:r>
      <w:r w:rsidR="0001485C">
        <w:rPr>
          <w:rFonts w:asciiTheme="majorHAnsi" w:hAnsiTheme="majorHAnsi" w:cstheme="majorHAnsi"/>
          <w:sz w:val="24"/>
          <w:szCs w:val="24"/>
        </w:rPr>
        <w:t xml:space="preserve"> Bacteria can also reduce intracellular antibiotic concentrations via drug efflux. They can reduce drug accumulation by upregulating the expression of specific efflux pumps which expel antibiotics from the cell before the drugs can act on their target.</w:t>
      </w:r>
      <w:r w:rsidR="0001485C">
        <w:rPr>
          <w:rFonts w:asciiTheme="majorHAnsi" w:hAnsiTheme="majorHAnsi" w:cstheme="majorHAnsi"/>
          <w:sz w:val="24"/>
          <w:szCs w:val="24"/>
        </w:rPr>
        <w:fldChar w:fldCharType="begin"/>
      </w:r>
      <w:r w:rsidR="0001485C">
        <w:rPr>
          <w:rFonts w:asciiTheme="majorHAnsi" w:hAnsiTheme="majorHAnsi" w:cstheme="majorHAnsi"/>
          <w:sz w:val="24"/>
          <w:szCs w:val="24"/>
        </w:rPr>
        <w:instrText xml:space="preserve"> ADDIN ZOTERO_ITEM CSL_CITATION {"citationID":"HLoNZnJG","properties":{"formattedCitation":"\\super 15\\nosupersub{}","plainCitation":"15","noteIndex":0},"citationItems":[{"id":1641,"uris":["http://zotero.org/users/1918630/items/ZCGE8YVT"],"itemData":{"id":1641,"type":"article-journal","abstract":"Acinetobacter baumannii is a nosocomial pathogen and gram-negative coccobacillus that is responsible for opportunistic infections, pneumonia, and infections of the urinary tract, bloodstream, skin, and soft tissue. This bacterium poses a major public health problem due to inducing resistance to several drugs, isolates, multidrug treatment, and occasionally pan drugs. Drug resistance is not only a major concern caused by A. baumannii but also is considered as the main challenge in many other pathogens. Several factors such as the efflux pump are associated with antibiotic resistance, biofilm production, and genetic mutations. In this review, A. baumannii is introduced in then some of the practical works conducted on the existing efflux pump are reviewed. The importance of the efflux pump is considered in this paper in relation to the antibiotic resistance and mechanisms developed for the inhibition of these pumps as well.","container-title":"Infection and Drug Resistance","DOI":"10.2147/IDR.S228089","ISSN":"1178-6973","journalAbbreviation":"Infect Drug Resist","note":"PMID: 32104014\nPMCID: PMC7024869","page":"423-434","source":"PubMed Central","title":"Acinetobacter baumannii Efflux Pumps and Antibiotic Resistance","volume":"13","author":[{"family":"Abdi","given":"Seyyed Naser"},{"family":"Ghotaslou","given":"Reza"},{"family":"Ganbarov","given":"Khudaverdi"},{"family":"Mobed","given":"Ahmad"},{"family":"Tanomand","given":"Asghar"},{"family":"Yousefi","given":"Mehdi"},{"family":"Asgharzadeh","given":"Mohammad"},{"family":"Kafil","given":"Hossein Samadi"}],"issued":{"date-parts":[["2020",2,12]]}}}],"schema":"https://github.com/citation-style-language/schema/raw/master/csl-citation.json"} </w:instrText>
      </w:r>
      <w:r w:rsidR="0001485C">
        <w:rPr>
          <w:rFonts w:asciiTheme="majorHAnsi" w:hAnsiTheme="majorHAnsi" w:cstheme="majorHAnsi"/>
          <w:sz w:val="24"/>
          <w:szCs w:val="24"/>
        </w:rPr>
        <w:fldChar w:fldCharType="separate"/>
      </w:r>
      <w:r w:rsidR="0001485C" w:rsidRPr="00176906">
        <w:rPr>
          <w:rFonts w:ascii="Times New Roman" w:hAnsi="Times New Roman" w:cs="Times New Roman"/>
          <w:sz w:val="24"/>
          <w:szCs w:val="24"/>
          <w:vertAlign w:val="superscript"/>
        </w:rPr>
        <w:t>15</w:t>
      </w:r>
      <w:r w:rsidR="0001485C">
        <w:rPr>
          <w:rFonts w:asciiTheme="majorHAnsi" w:hAnsiTheme="majorHAnsi" w:cstheme="majorHAnsi"/>
          <w:sz w:val="24"/>
          <w:szCs w:val="24"/>
        </w:rPr>
        <w:fldChar w:fldCharType="end"/>
      </w:r>
    </w:p>
    <w:p w14:paraId="3FA3B807" w14:textId="06D7AEF3" w:rsidR="0001485C" w:rsidRDefault="0001485C" w:rsidP="00130784">
      <w:pPr>
        <w:spacing w:line="360" w:lineRule="auto"/>
        <w:ind w:firstLine="720"/>
        <w:rPr>
          <w:rFonts w:asciiTheme="majorHAnsi" w:hAnsiTheme="majorHAnsi" w:cstheme="majorHAnsi"/>
          <w:sz w:val="24"/>
          <w:szCs w:val="24"/>
        </w:rPr>
      </w:pPr>
      <w:r w:rsidRPr="0065685B">
        <w:rPr>
          <w:rFonts w:asciiTheme="majorHAnsi" w:hAnsiTheme="majorHAnsi" w:cstheme="majorHAnsi"/>
          <w:noProof/>
          <w:sz w:val="24"/>
          <w:szCs w:val="24"/>
        </w:rPr>
        <w:drawing>
          <wp:inline distT="0" distB="0" distL="0" distR="0" wp14:anchorId="1B5F61EB" wp14:editId="353C2C58">
            <wp:extent cx="3985260" cy="3285072"/>
            <wp:effectExtent l="0" t="0" r="0" b="0"/>
            <wp:docPr id="775622779" name="Picture 1" descr="A diagram of a cell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3954" name="Picture 1" descr="A diagram of a cell line&#10;&#10;Description automatically generated"/>
                    <pic:cNvPicPr/>
                  </pic:nvPicPr>
                  <pic:blipFill>
                    <a:blip r:embed="rId14"/>
                    <a:stretch>
                      <a:fillRect/>
                    </a:stretch>
                  </pic:blipFill>
                  <pic:spPr>
                    <a:xfrm>
                      <a:off x="0" y="0"/>
                      <a:ext cx="3994613" cy="3292782"/>
                    </a:xfrm>
                    <a:prstGeom prst="rect">
                      <a:avLst/>
                    </a:prstGeom>
                  </pic:spPr>
                </pic:pic>
              </a:graphicData>
            </a:graphic>
          </wp:inline>
        </w:drawing>
      </w:r>
    </w:p>
    <w:p w14:paraId="2E2ACB64" w14:textId="77777777" w:rsidR="0001485C" w:rsidRDefault="0001485C" w:rsidP="0001485C">
      <w:pPr>
        <w:jc w:val="both"/>
        <w:rPr>
          <w:rFonts w:asciiTheme="majorHAnsi" w:hAnsiTheme="majorHAnsi" w:cstheme="majorHAnsi"/>
          <w:b/>
          <w:bCs/>
          <w:sz w:val="24"/>
          <w:szCs w:val="24"/>
        </w:rPr>
      </w:pPr>
      <w:r>
        <w:rPr>
          <w:rFonts w:asciiTheme="majorHAnsi" w:hAnsiTheme="majorHAnsi" w:cstheme="majorHAnsi"/>
          <w:b/>
          <w:bCs/>
          <w:sz w:val="24"/>
          <w:szCs w:val="24"/>
        </w:rPr>
        <w:t>Figure 1.4</w:t>
      </w:r>
      <w:r>
        <w:rPr>
          <w:rFonts w:asciiTheme="majorHAnsi" w:hAnsiTheme="majorHAnsi" w:cstheme="majorHAnsi"/>
          <w:sz w:val="24"/>
          <w:szCs w:val="24"/>
        </w:rPr>
        <w:t xml:space="preserve"> </w:t>
      </w:r>
      <w:r w:rsidRPr="00D709BE">
        <w:rPr>
          <w:rFonts w:asciiTheme="majorHAnsi" w:hAnsiTheme="majorHAnsi" w:cstheme="majorHAnsi"/>
          <w:b/>
          <w:bCs/>
          <w:sz w:val="24"/>
          <w:szCs w:val="24"/>
        </w:rPr>
        <w:softHyphen/>
      </w:r>
      <w:r>
        <w:rPr>
          <w:rFonts w:asciiTheme="majorHAnsi" w:hAnsiTheme="majorHAnsi" w:cstheme="majorHAnsi"/>
          <w:b/>
          <w:bCs/>
          <w:sz w:val="24"/>
          <w:szCs w:val="24"/>
        </w:rPr>
        <w:t>– Representation of m</w:t>
      </w:r>
      <w:r w:rsidRPr="00D709BE">
        <w:rPr>
          <w:rFonts w:asciiTheme="majorHAnsi" w:hAnsiTheme="majorHAnsi" w:cstheme="majorHAnsi"/>
          <w:b/>
          <w:bCs/>
          <w:sz w:val="24"/>
          <w:szCs w:val="24"/>
        </w:rPr>
        <w:t>echanisms</w:t>
      </w:r>
      <w:r>
        <w:rPr>
          <w:rFonts w:asciiTheme="majorHAnsi" w:hAnsiTheme="majorHAnsi" w:cstheme="majorHAnsi"/>
          <w:b/>
          <w:bCs/>
          <w:sz w:val="24"/>
          <w:szCs w:val="24"/>
        </w:rPr>
        <w:t xml:space="preserve"> to reduce antibiotic </w:t>
      </w:r>
      <w:proofErr w:type="gramStart"/>
      <w:r>
        <w:rPr>
          <w:rFonts w:asciiTheme="majorHAnsi" w:hAnsiTheme="majorHAnsi" w:cstheme="majorHAnsi"/>
          <w:b/>
          <w:bCs/>
          <w:sz w:val="24"/>
          <w:szCs w:val="24"/>
        </w:rPr>
        <w:t>accumulation</w:t>
      </w:r>
      <w:proofErr w:type="gramEnd"/>
    </w:p>
    <w:p w14:paraId="3AC9873B" w14:textId="76AE7656" w:rsidR="0001485C" w:rsidRDefault="0001485C" w:rsidP="0001485C">
      <w:pPr>
        <w:jc w:val="both"/>
        <w:rPr>
          <w:rFonts w:asciiTheme="majorHAnsi" w:hAnsiTheme="majorHAnsi" w:cstheme="majorHAnsi"/>
          <w:sz w:val="24"/>
          <w:szCs w:val="24"/>
        </w:rPr>
      </w:pPr>
      <w:r>
        <w:rPr>
          <w:rFonts w:asciiTheme="majorHAnsi" w:hAnsiTheme="majorHAnsi" w:cstheme="majorHAnsi"/>
          <w:sz w:val="24"/>
          <w:szCs w:val="24"/>
        </w:rPr>
        <w:t>An illustrated representation of antibiotic resistance mechanisms that reduce intracellular accumulation of an antibiotic (red circle). The mechanisms shown are porin modification (purple striped rectangle), porin loss (translucent blue rectangle), efflux across the inner membrane (green rectangle), and efflux across both membranes (pink and yellow cartoon).</w:t>
      </w:r>
      <w:r>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{"citationID":"8kYA6go7","properties":{"formattedCitation":"\\super 13\\nosupersub{}","plainCitation":"13","noteIndex":0},"citationItems":[{"id":1998,"uris":["http://zotero.org/users/1918630/items/EXLVTB9F"],"itemData":{"id":1998,"type":"article-journal","abstract":"Summary: The substantial use of antibiotics in the clinic, combined with a dearth of new antibiotic classes, has led to a gradual increase in the resistance of bacterial pathogens to these compounds. Among the various mechanisms by which bacteria endure ...","container-title":"Clinical Microbiology Reviews","DOI":"10.1128/CMR.00043-12","issue":"4","language":"en","note":"publisher: American Society for Microbiology (ASM)\nPMID: 23034325","page":"661","source":"www.ncbi.nlm.nih.gov","title":"Adaptive and Mutational Resistance: Role of Porins and Efflux Pumps in Drug Resistance","title-short":"Adaptive and Mutational Resistance","volume":"25","author":[{"family":"Fernández","given":"Lucía"},{"family":"Hancock","given":"Robert E. W."}],"issued":{"date-parts":[["2012",10]]}}}],"schema":"https://github.com/citation-style-language/schema/raw/master/csl-citation.json"} </w:instrText>
      </w:r>
      <w:r>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13</w:t>
      </w:r>
      <w:r>
        <w:rPr>
          <w:rFonts w:asciiTheme="majorHAnsi" w:hAnsiTheme="majorHAnsi" w:cstheme="majorHAnsi"/>
          <w:sz w:val="24"/>
          <w:szCs w:val="24"/>
        </w:rPr>
        <w:fldChar w:fldCharType="end"/>
      </w:r>
      <w:r>
        <w:rPr>
          <w:rFonts w:asciiTheme="majorHAnsi" w:hAnsiTheme="majorHAnsi" w:cstheme="majorHAnsi"/>
          <w:sz w:val="24"/>
          <w:szCs w:val="24"/>
        </w:rPr>
        <w:t xml:space="preserve"> The black arrows represent the direction of antibiotic movement.</w:t>
      </w:r>
    </w:p>
    <w:p w14:paraId="00CCD472" w14:textId="13C222A7" w:rsidR="001C7F10" w:rsidRDefault="00465311"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lastRenderedPageBreak/>
        <w:t xml:space="preserve">Multidrug resistance </w:t>
      </w:r>
      <w:r w:rsidR="00B646A9">
        <w:rPr>
          <w:rFonts w:asciiTheme="majorHAnsi" w:hAnsiTheme="majorHAnsi" w:cstheme="majorHAnsi"/>
          <w:sz w:val="24"/>
          <w:szCs w:val="24"/>
        </w:rPr>
        <w:t xml:space="preserve">(MDR) </w:t>
      </w:r>
      <w:r>
        <w:rPr>
          <w:rFonts w:asciiTheme="majorHAnsi" w:hAnsiTheme="majorHAnsi" w:cstheme="majorHAnsi"/>
          <w:sz w:val="24"/>
          <w:szCs w:val="24"/>
        </w:rPr>
        <w:t>has become an increasingly c</w:t>
      </w:r>
      <w:r w:rsidR="004121A8">
        <w:rPr>
          <w:rFonts w:asciiTheme="majorHAnsi" w:hAnsiTheme="majorHAnsi" w:cstheme="majorHAnsi"/>
          <w:sz w:val="24"/>
          <w:szCs w:val="24"/>
        </w:rPr>
        <w:t>oncerning</w:t>
      </w:r>
      <w:r>
        <w:rPr>
          <w:rFonts w:asciiTheme="majorHAnsi" w:hAnsiTheme="majorHAnsi" w:cstheme="majorHAnsi"/>
          <w:sz w:val="24"/>
          <w:szCs w:val="24"/>
        </w:rPr>
        <w:t xml:space="preserve"> issue in hospital settings, particularly among the ESKAPE pathogens</w:t>
      </w:r>
      <w:r w:rsidR="009826EC">
        <w:rPr>
          <w:rFonts w:asciiTheme="majorHAnsi" w:hAnsiTheme="majorHAnsi" w:cstheme="majorHAnsi"/>
          <w:sz w:val="24"/>
          <w:szCs w:val="24"/>
        </w:rPr>
        <w:t xml:space="preserve">. </w:t>
      </w:r>
      <w:r>
        <w:rPr>
          <w:rFonts w:asciiTheme="majorHAnsi" w:hAnsiTheme="majorHAnsi" w:cstheme="majorHAnsi"/>
          <w:sz w:val="24"/>
          <w:szCs w:val="24"/>
        </w:rPr>
        <w:t>These highly virulent bacterial pathogens jeopardize patient safety with healthcare-associated infections</w:t>
      </w:r>
      <w:r w:rsidR="00153E00">
        <w:rPr>
          <w:rFonts w:asciiTheme="majorHAnsi" w:hAnsiTheme="majorHAnsi" w:cstheme="majorHAnsi"/>
          <w:sz w:val="24"/>
          <w:szCs w:val="24"/>
        </w:rPr>
        <w:t xml:space="preserve">. </w:t>
      </w:r>
      <w:r w:rsidR="00B646A9">
        <w:rPr>
          <w:rFonts w:asciiTheme="majorHAnsi" w:hAnsiTheme="majorHAnsi" w:cstheme="majorHAnsi"/>
          <w:sz w:val="24"/>
          <w:szCs w:val="24"/>
        </w:rPr>
        <w:t xml:space="preserve">Patient outcomes for MDR infections can be quite serious depending on the type of infection, the overall health of the patient, and what specific MDR bacteria is involved. </w:t>
      </w:r>
      <w:r w:rsidR="0062666D">
        <w:rPr>
          <w:rFonts w:asciiTheme="majorHAnsi" w:hAnsiTheme="majorHAnsi" w:cstheme="majorHAnsi"/>
          <w:sz w:val="24"/>
          <w:szCs w:val="24"/>
        </w:rPr>
        <w:t>These patients face increased mortality rates compared to infections caused by drug susceptible bacteria, especially for critically ill patients and those with compromised immune systems.</w:t>
      </w:r>
      <w:r w:rsidR="0062666D">
        <w:rPr>
          <w:rFonts w:asciiTheme="majorHAnsi" w:hAnsiTheme="majorHAnsi" w:cstheme="majorHAnsi"/>
          <w:sz w:val="24"/>
          <w:szCs w:val="24"/>
        </w:rPr>
        <w:fldChar w:fldCharType="begin"/>
      </w:r>
      <w:r w:rsidR="00176906">
        <w:rPr>
          <w:rFonts w:asciiTheme="majorHAnsi" w:hAnsiTheme="majorHAnsi" w:cstheme="majorHAnsi"/>
          <w:sz w:val="24"/>
          <w:szCs w:val="24"/>
        </w:rPr>
        <w:instrText xml:space="preserve"> ADDIN ZOTERO_ITEM CSL_CITATION {"citationID":"bUi3CbL6","properties":{"formattedCitation":"\\super 16\\nosupersub{}","plainCitation":"16","noteIndex":0},"citationItems":[{"id":1582,"uris":["http://zotero.org/users/1918630/items/HFBU33S2"],"itemData":{"id":1582,"type":"article-journal","abstract":"Rates of antibiotic resistance in Pseudomonas aeruginosa are increasing worldwide. The multidrug-resistant (MDR) phenotype in P. aeruginosa could be mediated by several mechanisms including multidrug efflux systems, enzyme production, outer membrane protein (porin) loss and target mutations. Currently, no international consensus on the definition of multidrug resistance exists, making direct comparison of the literature difficult. Inappropriate empirical therapy has been associated with increased mortality in P. aeruginosa infections; delays in starting appropriate therapy may contribute to increased length of hospital stay and persistence of infection. In addition, worse clinical outcomes may be associated with MDR infections owing to limited effective antimicrobial options. This article aims to summarize the contemporary literature on patient outcomes following infections caused by drug-resistant P. aeruginosa. The impact of antimicrobial therapy on patient outcomes, mortality and morbidity; and the economic impact of MDR P. aeruginosa infections will be examined.","container-title":"Expert Review of Pharmacoeconomics &amp; Outcomes Research","DOI":"10.1586/erp.10.49","ISSN":"1744-8379","issue":"4","journalAbbreviation":"Expert Rev Pharmacoecon Outcomes Res","language":"eng","note":"PMID: 20715920\nPMCID: PMC3071543","page":"441-451","source":"PubMed","title":"Impact of multidrug-resistant Pseudomonas aeruginosa infection on patient outcomes","volume":"10","author":[{"family":"Hirsch","given":"Elizabeth B."},{"family":"Tam","given":"Vincent H."}],"issued":{"date-parts":[["2010",8]]}}}],"schema":"https://github.com/citation-style-language/schema/raw/master/csl-citation.json"} </w:instrText>
      </w:r>
      <w:r w:rsidR="0062666D">
        <w:rPr>
          <w:rFonts w:asciiTheme="majorHAnsi" w:hAnsiTheme="majorHAnsi" w:cstheme="majorHAnsi"/>
          <w:sz w:val="24"/>
          <w:szCs w:val="24"/>
        </w:rPr>
        <w:fldChar w:fldCharType="separate"/>
      </w:r>
      <w:r w:rsidR="00176906" w:rsidRPr="00176906">
        <w:rPr>
          <w:rFonts w:ascii="Times New Roman" w:hAnsi="Times New Roman" w:cs="Times New Roman"/>
          <w:sz w:val="24"/>
          <w:szCs w:val="24"/>
          <w:vertAlign w:val="superscript"/>
        </w:rPr>
        <w:t>16</w:t>
      </w:r>
      <w:r w:rsidR="0062666D">
        <w:rPr>
          <w:rFonts w:asciiTheme="majorHAnsi" w:hAnsiTheme="majorHAnsi" w:cstheme="majorHAnsi"/>
          <w:sz w:val="24"/>
          <w:szCs w:val="24"/>
        </w:rPr>
        <w:fldChar w:fldCharType="end"/>
      </w:r>
      <w:r w:rsidR="0062666D">
        <w:rPr>
          <w:rFonts w:asciiTheme="majorHAnsi" w:hAnsiTheme="majorHAnsi" w:cstheme="majorHAnsi"/>
          <w:sz w:val="24"/>
          <w:szCs w:val="24"/>
        </w:rPr>
        <w:t xml:space="preserve"> They may also require longer hospital stays, leading to higher healthcare costs and a higher risk of complications during their hospitalization.</w:t>
      </w:r>
      <w:r w:rsidR="0062666D">
        <w:rPr>
          <w:rFonts w:asciiTheme="majorHAnsi" w:hAnsiTheme="majorHAnsi" w:cstheme="majorHAnsi"/>
          <w:sz w:val="24"/>
          <w:szCs w:val="24"/>
        </w:rPr>
        <w:fldChar w:fldCharType="begin"/>
      </w:r>
      <w:r w:rsidR="00176906">
        <w:rPr>
          <w:rFonts w:asciiTheme="majorHAnsi" w:hAnsiTheme="majorHAnsi" w:cstheme="majorHAnsi"/>
          <w:sz w:val="24"/>
          <w:szCs w:val="24"/>
        </w:rPr>
        <w:instrText xml:space="preserve"> ADDIN ZOTERO_ITEM CSL_CITATION {"citationID":"ukxQiUbJ","properties":{"formattedCitation":"\\super 17\\nosupersub{}","plainCitation":"17","noteIndex":0},"citationItems":[{"id":1585,"uris":["http://zotero.org/users/1918630/items/I3EHYVBV"],"itemData":{"id":1585,"type":"article-journal","abstract":"Pneumonia and septic pneumonic shock are the most common indications for long-term mechanical ventilation and prolonged weaning, independent of any comorbidities. Multidrug resistant (MDR) bacteria are emerging as a cause of pneumonia or occur as a consequence of antimicrobial therapy. The influence of MDR bacteria on outcomes in patients with prolonged weaning is unknown.","container-title":"BMC Pulmonary Medicine","DOI":"10.1186/s12890-018-0708-3","ISSN":"1471-2466","issue":"1","journalAbbreviation":"BMC Pulmonary Medicine","page":"141","source":"BioMed Central","title":"Impact of multidrug-resistant bacteria on outcome in patients with prolonged weaning","volume":"18","author":[{"family":"Bickenbach","given":"Johannes"},{"family":"Schöneis","given":"Daniel"},{"family":"Marx","given":"Gernot"},{"family":"Marx","given":"Nikolaus"},{"family":"Lemmen","given":"Sebastian"},{"family":"Dreher","given":"Michael"}],"issued":{"date-parts":[["2018",8,20]]}}}],"schema":"https://github.com/citation-style-language/schema/raw/master/csl-citation.json"} </w:instrText>
      </w:r>
      <w:r w:rsidR="0062666D">
        <w:rPr>
          <w:rFonts w:asciiTheme="majorHAnsi" w:hAnsiTheme="majorHAnsi" w:cstheme="majorHAnsi"/>
          <w:sz w:val="24"/>
          <w:szCs w:val="24"/>
        </w:rPr>
        <w:fldChar w:fldCharType="separate"/>
      </w:r>
      <w:r w:rsidR="00176906" w:rsidRPr="00176906">
        <w:rPr>
          <w:rFonts w:ascii="Times New Roman" w:hAnsi="Times New Roman" w:cs="Times New Roman"/>
          <w:sz w:val="24"/>
          <w:szCs w:val="24"/>
          <w:vertAlign w:val="superscript"/>
        </w:rPr>
        <w:t>17</w:t>
      </w:r>
      <w:r w:rsidR="0062666D">
        <w:rPr>
          <w:rFonts w:asciiTheme="majorHAnsi" w:hAnsiTheme="majorHAnsi" w:cstheme="majorHAnsi"/>
          <w:sz w:val="24"/>
          <w:szCs w:val="24"/>
        </w:rPr>
        <w:fldChar w:fldCharType="end"/>
      </w:r>
    </w:p>
    <w:p w14:paraId="4B71998B" w14:textId="4F5B316D" w:rsidR="004121A8" w:rsidRDefault="001C7F10"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Treatment regimens typically used in treating multidrug resistant infections often require substantial healthcare resources. </w:t>
      </w:r>
      <w:r w:rsidR="00D27E29">
        <w:rPr>
          <w:rFonts w:asciiTheme="majorHAnsi" w:hAnsiTheme="majorHAnsi" w:cstheme="majorHAnsi"/>
          <w:sz w:val="24"/>
          <w:szCs w:val="24"/>
        </w:rPr>
        <w:t>A 2021 retrospective study of patients admitted for inpatient stays in the Department of Veterans Affairs healthcare showed that treatment of multidrug resistant bacterial infections (both community and hospital acquired) cost the United States government an estimated $1.9 billion in healthcare costs in 2017.</w:t>
      </w:r>
      <w:r w:rsidR="00D27E29">
        <w:rPr>
          <w:rFonts w:asciiTheme="majorHAnsi" w:hAnsiTheme="majorHAnsi" w:cstheme="majorHAnsi"/>
          <w:sz w:val="24"/>
          <w:szCs w:val="24"/>
        </w:rPr>
        <w:fldChar w:fldCharType="begin"/>
      </w:r>
      <w:r w:rsidR="00FC37E5">
        <w:rPr>
          <w:rFonts w:asciiTheme="majorHAnsi" w:hAnsiTheme="majorHAnsi" w:cstheme="majorHAnsi"/>
          <w:sz w:val="24"/>
          <w:szCs w:val="24"/>
        </w:rPr>
        <w:instrText xml:space="preserve"> ADDIN ZOTERO_ITEM CSL_CITATION {"citationID":"a11559ft4j6","properties":{"formattedCitation":"\\super 18\\nosupersub{}","plainCitation":"18","noteIndex":0},"citationItems":[{"id":1580,"uris":["http://zotero.org/users/1918630/items/FHIJ5TL4"],"itemData":{"id":1580,"type":"article-journal","abstract":"BACKGROUND: Treating patients with infections due to multidrug-resistant pathogens often requires substantial healthcare resources. The purpose of this study was to report estimates of the healthcare costs associated with infections due to multidrug-resistant bacteria in the United States (US).\nMETHODS: We performed retrospective cohort studies of patients admitted for inpatient stays in the Department of Veterans Affairs healthcare system between January 2007 and October 2015. We performed multivariable generalized linear models to estimate the attributable cost by comparing outcomes in patients with and without positive cultures for multidrug-resistant bacteria. Finally, we multiplied these pathogen-specific, per-infection attributable cost estimates by national counts of infections due to each pathogen from patients hospitalized in a cohort of 722 US hospitals from 2017 to generate estimates of the population-level healthcare costs in the US attributable to these infections.\nRESULTS: Our analysis cohort consisted of 16 676 patients with community-onset infections and 172 712 matched controls and 8246 patients with hospital-onset infections and 66 939 matched controls. The highest cost was seen in hospital-onset invasive infections, with attributable costs (95% confidence intervals) ranging from $30 998 ($25 272-$36 724) for methicillin-resistant Staphylococcus aureus to $74 306 ($20 377-$128 235) for carbapenem-resistant (CR) Acinetobacter. The highest attributable costs for community-onset invasive infections were seen in CR Acinetobacter ($62 396; $20 370-$104 422). Treatment of these infections cost an estimated $4.6 billion ($4.1 billion-$5.1 billion) in 2017 in the US for community- and hospital-onset infections combined.\nCONCLUSIONS: We found that antimicrobial-resistant infections led to substantial healthcare costs.","container-title":"Clinical Infectious Diseases: An Official Publication of the Infectious Diseases Society of America","DOI":"10.1093/cid/ciaa1581","ISSN":"1537-6591","issue":"Suppl 1","journalAbbreviation":"Clin Infect Dis","language":"eng","note":"PMID: 33512523","page":"S17-S26","source":"PubMed","title":"National Estimates of Healthcare Costs Associated With Multidrug-Resistant Bacterial Infections Among Hospitalized Patients in the United States","volume":"72","author":[{"family":"Nelson","given":"Richard E."},{"family":"Hatfield","given":"Kelly M."},{"family":"Wolford","given":"Hannah"},{"family":"Samore","given":"Matthew H."},{"family":"Scott","given":"R. Douglas"},{"family":"Reddy","given":"Sujan C."},{"family":"Olubajo","given":"Babatunde"},{"family":"Paul","given":"Prabasaj"},{"family":"Jernigan","given":"John A."},{"family":"Baggs","given":"James"}],"issued":{"date-parts":[["2021",1,29]]}}}],"schema":"https://github.com/citation-style-language/schema/raw/master/csl-citation.json"} </w:instrText>
      </w:r>
      <w:r w:rsidR="00D27E29">
        <w:rPr>
          <w:rFonts w:asciiTheme="majorHAnsi" w:hAnsiTheme="majorHAnsi" w:cstheme="majorHAnsi"/>
          <w:sz w:val="24"/>
          <w:szCs w:val="24"/>
        </w:rPr>
        <w:fldChar w:fldCharType="separate"/>
      </w:r>
      <w:r w:rsidR="00FC37E5" w:rsidRPr="00FC37E5">
        <w:rPr>
          <w:rFonts w:ascii="Times New Roman" w:hAnsi="Times New Roman" w:cs="Times New Roman"/>
          <w:sz w:val="24"/>
          <w:vertAlign w:val="superscript"/>
        </w:rPr>
        <w:t>18</w:t>
      </w:r>
      <w:r w:rsidR="00D27E29">
        <w:rPr>
          <w:rFonts w:asciiTheme="majorHAnsi" w:hAnsiTheme="majorHAnsi" w:cstheme="majorHAnsi"/>
          <w:sz w:val="24"/>
          <w:szCs w:val="24"/>
        </w:rPr>
        <w:fldChar w:fldCharType="end"/>
      </w:r>
      <w:r w:rsidR="00D27E29">
        <w:rPr>
          <w:rFonts w:asciiTheme="majorHAnsi" w:hAnsiTheme="majorHAnsi" w:cstheme="majorHAnsi"/>
          <w:sz w:val="24"/>
          <w:szCs w:val="24"/>
        </w:rPr>
        <w:t xml:space="preserve"> </w:t>
      </w:r>
    </w:p>
    <w:p w14:paraId="096C0FB2" w14:textId="5DF84813" w:rsidR="003409EA" w:rsidRDefault="000653FD" w:rsidP="0021013E">
      <w:pPr>
        <w:spacing w:line="360" w:lineRule="auto"/>
        <w:ind w:firstLine="720"/>
        <w:rPr>
          <w:rFonts w:asciiTheme="majorHAnsi" w:hAnsiTheme="majorHAnsi" w:cstheme="majorHAnsi"/>
          <w:sz w:val="24"/>
          <w:szCs w:val="24"/>
        </w:rPr>
      </w:pPr>
      <w:r w:rsidRPr="000270F2">
        <w:rPr>
          <w:rFonts w:asciiTheme="majorHAnsi" w:hAnsiTheme="majorHAnsi" w:cstheme="majorHAnsi"/>
          <w:sz w:val="24"/>
          <w:szCs w:val="24"/>
        </w:rPr>
        <w:t xml:space="preserve">As </w:t>
      </w:r>
      <w:r w:rsidR="00F700DF" w:rsidRPr="000270F2">
        <w:rPr>
          <w:rFonts w:asciiTheme="majorHAnsi" w:hAnsiTheme="majorHAnsi" w:cstheme="majorHAnsi"/>
          <w:sz w:val="24"/>
          <w:szCs w:val="24"/>
        </w:rPr>
        <w:t>seen</w:t>
      </w:r>
      <w:r w:rsidRPr="000270F2">
        <w:rPr>
          <w:rFonts w:asciiTheme="majorHAnsi" w:hAnsiTheme="majorHAnsi" w:cstheme="majorHAnsi"/>
          <w:sz w:val="24"/>
          <w:szCs w:val="24"/>
        </w:rPr>
        <w:t xml:space="preserve"> </w:t>
      </w:r>
      <w:r w:rsidR="000270F2" w:rsidRPr="000270F2">
        <w:rPr>
          <w:rFonts w:asciiTheme="majorHAnsi" w:hAnsiTheme="majorHAnsi" w:cstheme="majorHAnsi"/>
          <w:sz w:val="24"/>
          <w:szCs w:val="24"/>
        </w:rPr>
        <w:t>during the COVID-19 pandemic</w:t>
      </w:r>
      <w:r w:rsidRPr="000270F2">
        <w:rPr>
          <w:rFonts w:asciiTheme="majorHAnsi" w:hAnsiTheme="majorHAnsi" w:cstheme="majorHAnsi"/>
          <w:sz w:val="24"/>
          <w:szCs w:val="24"/>
        </w:rPr>
        <w:t>, living in such an interconnect</w:t>
      </w:r>
      <w:r w:rsidR="00F700DF" w:rsidRPr="000270F2">
        <w:rPr>
          <w:rFonts w:asciiTheme="majorHAnsi" w:hAnsiTheme="majorHAnsi" w:cstheme="majorHAnsi"/>
          <w:sz w:val="24"/>
          <w:szCs w:val="24"/>
        </w:rPr>
        <w:t>ed</w:t>
      </w:r>
      <w:r w:rsidRPr="000270F2">
        <w:rPr>
          <w:rFonts w:asciiTheme="majorHAnsi" w:hAnsiTheme="majorHAnsi" w:cstheme="majorHAnsi"/>
          <w:sz w:val="24"/>
          <w:szCs w:val="24"/>
        </w:rPr>
        <w:t xml:space="preserve"> world makes </w:t>
      </w:r>
      <w:r w:rsidR="00F700DF" w:rsidRPr="000270F2">
        <w:rPr>
          <w:rFonts w:asciiTheme="majorHAnsi" w:hAnsiTheme="majorHAnsi" w:cstheme="majorHAnsi"/>
          <w:sz w:val="24"/>
          <w:szCs w:val="24"/>
        </w:rPr>
        <w:t>us</w:t>
      </w:r>
      <w:r w:rsidRPr="000270F2">
        <w:rPr>
          <w:rFonts w:asciiTheme="majorHAnsi" w:hAnsiTheme="majorHAnsi" w:cstheme="majorHAnsi"/>
          <w:sz w:val="24"/>
          <w:szCs w:val="24"/>
        </w:rPr>
        <w:t xml:space="preserve"> vulnerable to the global health threat these infections pose.</w:t>
      </w:r>
      <w:r w:rsidR="004F5C1A">
        <w:rPr>
          <w:rFonts w:asciiTheme="majorHAnsi" w:hAnsiTheme="majorHAnsi" w:cstheme="majorHAnsi"/>
          <w:sz w:val="24"/>
          <w:szCs w:val="24"/>
        </w:rPr>
        <w:fldChar w:fldCharType="begin"/>
      </w:r>
      <w:r w:rsidR="00176906">
        <w:rPr>
          <w:rFonts w:asciiTheme="majorHAnsi" w:hAnsiTheme="majorHAnsi" w:cstheme="majorHAnsi"/>
          <w:sz w:val="24"/>
          <w:szCs w:val="24"/>
        </w:rPr>
        <w:instrText xml:space="preserve"> ADDIN ZOTERO_ITEM CSL_CITATION {"citationID":"ucujyFrr","properties":{"formattedCitation":"\\super 19\\nosupersub{}","plainCitation":"19","noteIndex":0},"citationItems":[{"id":1759,"uris":["http://zotero.org/users/1918630/items/QG2VVDVW"],"itemData":{"id":1759,"type":"webpage","abstract":"Antibiotic resistance is still a public health threat during the COVID-19 pandemic. Find the latest data.","container-title":"Centers for Disease Control and Prevention","language":"en-us","title":"COVID-19 &amp; Antibiotic Resistance","URL":"https://www.cdc.gov/drugresistance/covid19.html","author":[{"family":"CDC","given":""}],"accessed":{"date-parts":[["2023",12,6]]},"issued":{"date-parts":[["2022",8,11]]}}}],"schema":"https://github.com/citation-style-language/schema/raw/master/csl-citation.json"} </w:instrText>
      </w:r>
      <w:r w:rsidR="004F5C1A">
        <w:rPr>
          <w:rFonts w:asciiTheme="majorHAnsi" w:hAnsiTheme="majorHAnsi" w:cstheme="majorHAnsi"/>
          <w:sz w:val="24"/>
          <w:szCs w:val="24"/>
        </w:rPr>
        <w:fldChar w:fldCharType="separate"/>
      </w:r>
      <w:r w:rsidR="00176906" w:rsidRPr="00176906">
        <w:rPr>
          <w:rFonts w:ascii="Times New Roman" w:hAnsi="Times New Roman" w:cs="Times New Roman"/>
          <w:sz w:val="24"/>
          <w:szCs w:val="24"/>
          <w:vertAlign w:val="superscript"/>
        </w:rPr>
        <w:t>19</w:t>
      </w:r>
      <w:r w:rsidR="004F5C1A">
        <w:rPr>
          <w:rFonts w:asciiTheme="majorHAnsi" w:hAnsiTheme="majorHAnsi" w:cstheme="majorHAnsi"/>
          <w:sz w:val="24"/>
          <w:szCs w:val="24"/>
        </w:rPr>
        <w:fldChar w:fldCharType="end"/>
      </w:r>
      <w:r w:rsidRPr="000270F2">
        <w:rPr>
          <w:rFonts w:asciiTheme="majorHAnsi" w:hAnsiTheme="majorHAnsi" w:cstheme="majorHAnsi"/>
          <w:sz w:val="24"/>
          <w:szCs w:val="24"/>
        </w:rPr>
        <w:t xml:space="preserve"> </w:t>
      </w:r>
      <w:r w:rsidR="004121A8" w:rsidRPr="000270F2">
        <w:rPr>
          <w:rFonts w:asciiTheme="majorHAnsi" w:hAnsiTheme="majorHAnsi" w:cstheme="majorHAnsi"/>
          <w:sz w:val="24"/>
          <w:szCs w:val="24"/>
        </w:rPr>
        <w:t>Outbreaks of infectious diseases are public health eventualities we must prepare for.</w:t>
      </w:r>
      <w:r w:rsidR="004121A8">
        <w:rPr>
          <w:rFonts w:asciiTheme="majorHAnsi" w:hAnsiTheme="majorHAnsi" w:cstheme="majorHAnsi"/>
          <w:sz w:val="24"/>
          <w:szCs w:val="24"/>
        </w:rPr>
        <w:t xml:space="preserve"> </w:t>
      </w:r>
      <w:r w:rsidR="0062666D">
        <w:rPr>
          <w:rFonts w:asciiTheme="majorHAnsi" w:hAnsiTheme="majorHAnsi" w:cstheme="majorHAnsi"/>
          <w:sz w:val="24"/>
          <w:szCs w:val="24"/>
        </w:rPr>
        <w:t xml:space="preserve">One of the primary challenges of MDR infections is the limited availability of effective antibiotics. With </w:t>
      </w:r>
      <w:r w:rsidR="00782AC0">
        <w:rPr>
          <w:rFonts w:asciiTheme="majorHAnsi" w:hAnsiTheme="majorHAnsi" w:cstheme="majorHAnsi"/>
          <w:sz w:val="24"/>
          <w:szCs w:val="24"/>
        </w:rPr>
        <w:t xml:space="preserve">antimicrobial resistance on the rise, the scientific community must continue the push to discover new and more effective treatment options. </w:t>
      </w:r>
    </w:p>
    <w:p w14:paraId="6FA3D0F0" w14:textId="77777777" w:rsidR="00EE0DC2" w:rsidRDefault="00EE0DC2" w:rsidP="0021013E">
      <w:pPr>
        <w:spacing w:line="360" w:lineRule="auto"/>
        <w:ind w:firstLine="720"/>
        <w:rPr>
          <w:rFonts w:asciiTheme="majorHAnsi" w:hAnsiTheme="majorHAnsi" w:cstheme="majorHAnsi"/>
          <w:sz w:val="24"/>
          <w:szCs w:val="24"/>
        </w:rPr>
      </w:pPr>
    </w:p>
    <w:p w14:paraId="07A705B3" w14:textId="77777777" w:rsidR="00EE0DC2" w:rsidRDefault="00EE0DC2" w:rsidP="0021013E">
      <w:pPr>
        <w:spacing w:line="360" w:lineRule="auto"/>
        <w:ind w:firstLine="720"/>
        <w:rPr>
          <w:rFonts w:asciiTheme="majorHAnsi" w:hAnsiTheme="majorHAnsi" w:cstheme="majorHAnsi"/>
          <w:sz w:val="24"/>
          <w:szCs w:val="24"/>
        </w:rPr>
      </w:pPr>
    </w:p>
    <w:p w14:paraId="60E65089" w14:textId="77777777" w:rsidR="00EE0DC2" w:rsidRDefault="00EE0DC2" w:rsidP="0021013E">
      <w:pPr>
        <w:spacing w:line="360" w:lineRule="auto"/>
        <w:ind w:firstLine="720"/>
        <w:rPr>
          <w:rFonts w:asciiTheme="majorHAnsi" w:hAnsiTheme="majorHAnsi" w:cstheme="majorHAnsi"/>
          <w:sz w:val="24"/>
          <w:szCs w:val="24"/>
        </w:rPr>
      </w:pPr>
    </w:p>
    <w:p w14:paraId="3B246199" w14:textId="77777777" w:rsidR="00EE0DC2" w:rsidRDefault="00EE0DC2" w:rsidP="0021013E">
      <w:pPr>
        <w:spacing w:line="360" w:lineRule="auto"/>
        <w:ind w:firstLine="720"/>
        <w:rPr>
          <w:rFonts w:asciiTheme="majorHAnsi" w:hAnsiTheme="majorHAnsi" w:cstheme="majorHAnsi"/>
          <w:sz w:val="24"/>
          <w:szCs w:val="24"/>
        </w:rPr>
      </w:pPr>
    </w:p>
    <w:p w14:paraId="72716248" w14:textId="77777777" w:rsidR="00EE0DC2" w:rsidRDefault="00EE0DC2" w:rsidP="0021013E">
      <w:pPr>
        <w:spacing w:line="360" w:lineRule="auto"/>
        <w:ind w:firstLine="720"/>
        <w:rPr>
          <w:rFonts w:asciiTheme="majorHAnsi" w:hAnsiTheme="majorHAnsi" w:cstheme="majorHAnsi"/>
          <w:sz w:val="24"/>
          <w:szCs w:val="24"/>
        </w:rPr>
      </w:pPr>
    </w:p>
    <w:p w14:paraId="265D8EBA" w14:textId="77777777" w:rsidR="00EE0DC2" w:rsidRDefault="00EE0DC2" w:rsidP="0021013E">
      <w:pPr>
        <w:spacing w:line="360" w:lineRule="auto"/>
        <w:ind w:firstLine="720"/>
        <w:rPr>
          <w:rFonts w:asciiTheme="majorHAnsi" w:hAnsiTheme="majorHAnsi" w:cstheme="majorHAnsi"/>
          <w:sz w:val="24"/>
          <w:szCs w:val="24"/>
        </w:rPr>
      </w:pPr>
    </w:p>
    <w:p w14:paraId="241920D1" w14:textId="77777777" w:rsidR="00EE0DC2" w:rsidRPr="00465311" w:rsidRDefault="00EE0DC2" w:rsidP="0021013E">
      <w:pPr>
        <w:spacing w:line="360" w:lineRule="auto"/>
        <w:ind w:firstLine="720"/>
        <w:rPr>
          <w:rFonts w:asciiTheme="majorHAnsi" w:hAnsiTheme="majorHAnsi" w:cstheme="majorHAnsi"/>
          <w:sz w:val="24"/>
          <w:szCs w:val="24"/>
        </w:rPr>
      </w:pPr>
    </w:p>
    <w:p w14:paraId="78DCA6BC" w14:textId="6312683F" w:rsidR="00C836F0" w:rsidRDefault="00FE6F17" w:rsidP="00C836F0">
      <w:pPr>
        <w:rPr>
          <w:rFonts w:asciiTheme="majorHAnsi" w:hAnsiTheme="majorHAnsi" w:cstheme="majorHAnsi"/>
          <w:sz w:val="24"/>
          <w:szCs w:val="24"/>
          <w:u w:val="single"/>
        </w:rPr>
      </w:pPr>
      <w:r>
        <w:rPr>
          <w:rFonts w:asciiTheme="majorHAnsi" w:hAnsiTheme="majorHAnsi" w:cstheme="majorHAnsi"/>
          <w:sz w:val="24"/>
          <w:szCs w:val="24"/>
          <w:u w:val="single"/>
        </w:rPr>
        <w:lastRenderedPageBreak/>
        <w:t xml:space="preserve">1.2. </w:t>
      </w:r>
      <w:r w:rsidR="00C836F0" w:rsidRPr="00734E96">
        <w:rPr>
          <w:rFonts w:asciiTheme="majorHAnsi" w:hAnsiTheme="majorHAnsi" w:cstheme="majorHAnsi"/>
          <w:i/>
          <w:iCs/>
          <w:sz w:val="24"/>
          <w:szCs w:val="24"/>
          <w:u w:val="single"/>
        </w:rPr>
        <w:t>Acinetobacter baumannii</w:t>
      </w:r>
      <w:r w:rsidR="00C836F0" w:rsidRPr="00734E96">
        <w:rPr>
          <w:rFonts w:asciiTheme="majorHAnsi" w:hAnsiTheme="majorHAnsi" w:cstheme="majorHAnsi"/>
          <w:sz w:val="24"/>
          <w:szCs w:val="24"/>
          <w:u w:val="single"/>
        </w:rPr>
        <w:t xml:space="preserve"> – A </w:t>
      </w:r>
      <w:r>
        <w:rPr>
          <w:rFonts w:asciiTheme="majorHAnsi" w:hAnsiTheme="majorHAnsi" w:cstheme="majorHAnsi"/>
          <w:sz w:val="24"/>
          <w:szCs w:val="24"/>
          <w:u w:val="single"/>
        </w:rPr>
        <w:t>c</w:t>
      </w:r>
      <w:r w:rsidR="00C836F0" w:rsidRPr="00734E96">
        <w:rPr>
          <w:rFonts w:asciiTheme="majorHAnsi" w:hAnsiTheme="majorHAnsi" w:cstheme="majorHAnsi"/>
          <w:sz w:val="24"/>
          <w:szCs w:val="24"/>
          <w:u w:val="single"/>
        </w:rPr>
        <w:t xml:space="preserve">oncerning </w:t>
      </w:r>
      <w:r>
        <w:rPr>
          <w:rFonts w:asciiTheme="majorHAnsi" w:hAnsiTheme="majorHAnsi" w:cstheme="majorHAnsi"/>
          <w:sz w:val="24"/>
          <w:szCs w:val="24"/>
          <w:u w:val="single"/>
        </w:rPr>
        <w:t>h</w:t>
      </w:r>
      <w:r w:rsidR="00C836F0" w:rsidRPr="00734E96">
        <w:rPr>
          <w:rFonts w:asciiTheme="majorHAnsi" w:hAnsiTheme="majorHAnsi" w:cstheme="majorHAnsi"/>
          <w:sz w:val="24"/>
          <w:szCs w:val="24"/>
          <w:u w:val="single"/>
        </w:rPr>
        <w:t xml:space="preserve">uman </w:t>
      </w:r>
      <w:proofErr w:type="gramStart"/>
      <w:r>
        <w:rPr>
          <w:rFonts w:asciiTheme="majorHAnsi" w:hAnsiTheme="majorHAnsi" w:cstheme="majorHAnsi"/>
          <w:sz w:val="24"/>
          <w:szCs w:val="24"/>
          <w:u w:val="single"/>
        </w:rPr>
        <w:t>p</w:t>
      </w:r>
      <w:r w:rsidR="00C836F0" w:rsidRPr="00734E96">
        <w:rPr>
          <w:rFonts w:asciiTheme="majorHAnsi" w:hAnsiTheme="majorHAnsi" w:cstheme="majorHAnsi"/>
          <w:sz w:val="24"/>
          <w:szCs w:val="24"/>
          <w:u w:val="single"/>
        </w:rPr>
        <w:t>athogen</w:t>
      </w:r>
      <w:proofErr w:type="gramEnd"/>
    </w:p>
    <w:p w14:paraId="57762948" w14:textId="62A82B2B" w:rsidR="001C73D1" w:rsidRDefault="001C73D1" w:rsidP="00C836F0">
      <w:pPr>
        <w:rPr>
          <w:rFonts w:asciiTheme="majorHAnsi" w:hAnsiTheme="majorHAnsi" w:cstheme="majorHAnsi"/>
          <w:sz w:val="24"/>
          <w:szCs w:val="24"/>
        </w:rPr>
      </w:pPr>
      <w:r w:rsidRPr="001C73D1">
        <w:rPr>
          <w:rFonts w:asciiTheme="majorHAnsi" w:hAnsiTheme="majorHAnsi" w:cstheme="majorHAnsi"/>
          <w:noProof/>
          <w:sz w:val="24"/>
          <w:szCs w:val="24"/>
        </w:rPr>
        <w:drawing>
          <wp:inline distT="0" distB="0" distL="0" distR="0" wp14:anchorId="688CF5D9" wp14:editId="765DDE52">
            <wp:extent cx="5486400" cy="3368040"/>
            <wp:effectExtent l="0" t="0" r="0" b="0"/>
            <wp:docPr id="450822941" name="Picture 1" descr="A diagram of a cell memb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22941" name="Picture 1" descr="A diagram of a cell membrane&#10;&#10;Description automatically generated"/>
                    <pic:cNvPicPr/>
                  </pic:nvPicPr>
                  <pic:blipFill>
                    <a:blip r:embed="rId15"/>
                    <a:stretch>
                      <a:fillRect/>
                    </a:stretch>
                  </pic:blipFill>
                  <pic:spPr>
                    <a:xfrm>
                      <a:off x="0" y="0"/>
                      <a:ext cx="5486400" cy="3368040"/>
                    </a:xfrm>
                    <a:prstGeom prst="rect">
                      <a:avLst/>
                    </a:prstGeom>
                  </pic:spPr>
                </pic:pic>
              </a:graphicData>
            </a:graphic>
          </wp:inline>
        </w:drawing>
      </w:r>
    </w:p>
    <w:p w14:paraId="20EE13A8" w14:textId="27DB8140" w:rsidR="001C02A1" w:rsidRDefault="001C02A1" w:rsidP="00C836F0">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00FB7303">
        <w:rPr>
          <w:rFonts w:asciiTheme="majorHAnsi" w:hAnsiTheme="majorHAnsi" w:cstheme="majorHAnsi"/>
          <w:b/>
          <w:bCs/>
          <w:sz w:val="24"/>
          <w:szCs w:val="24"/>
        </w:rPr>
        <w:t>1</w:t>
      </w:r>
      <w:r>
        <w:rPr>
          <w:rFonts w:asciiTheme="majorHAnsi" w:hAnsiTheme="majorHAnsi" w:cstheme="majorHAnsi"/>
          <w:b/>
          <w:bCs/>
          <w:sz w:val="24"/>
          <w:szCs w:val="24"/>
        </w:rPr>
        <w:t>.</w:t>
      </w:r>
      <w:r w:rsidR="00EE0D20">
        <w:rPr>
          <w:rFonts w:asciiTheme="majorHAnsi" w:hAnsiTheme="majorHAnsi" w:cstheme="majorHAnsi"/>
          <w:b/>
          <w:bCs/>
          <w:sz w:val="24"/>
          <w:szCs w:val="24"/>
        </w:rPr>
        <w:t>5</w:t>
      </w:r>
      <w:r>
        <w:rPr>
          <w:rFonts w:asciiTheme="majorHAnsi" w:hAnsiTheme="majorHAnsi" w:cstheme="majorHAnsi"/>
          <w:sz w:val="24"/>
          <w:szCs w:val="24"/>
        </w:rPr>
        <w:t xml:space="preserve"> </w:t>
      </w:r>
      <w:r w:rsidR="00714842">
        <w:rPr>
          <w:rFonts w:asciiTheme="majorHAnsi" w:hAnsiTheme="majorHAnsi" w:cstheme="majorHAnsi"/>
          <w:b/>
          <w:bCs/>
          <w:sz w:val="24"/>
          <w:szCs w:val="24"/>
        </w:rPr>
        <w:t xml:space="preserve">Gram-negative cell envelope of </w:t>
      </w:r>
      <w:r w:rsidR="00FE6F17">
        <w:rPr>
          <w:rFonts w:asciiTheme="majorHAnsi" w:hAnsiTheme="majorHAnsi" w:cstheme="majorHAnsi"/>
          <w:b/>
          <w:bCs/>
          <w:i/>
          <w:iCs/>
          <w:sz w:val="24"/>
          <w:szCs w:val="24"/>
        </w:rPr>
        <w:t>A.</w:t>
      </w:r>
      <w:r w:rsidR="00714842">
        <w:rPr>
          <w:rFonts w:asciiTheme="majorHAnsi" w:hAnsiTheme="majorHAnsi" w:cstheme="majorHAnsi"/>
          <w:b/>
          <w:bCs/>
          <w:i/>
          <w:iCs/>
          <w:sz w:val="24"/>
          <w:szCs w:val="24"/>
        </w:rPr>
        <w:t xml:space="preserve"> baumannii</w:t>
      </w:r>
    </w:p>
    <w:p w14:paraId="296A8AC6" w14:textId="4667A8A1" w:rsidR="00714842" w:rsidRPr="00714842" w:rsidRDefault="00714842" w:rsidP="000270F2">
      <w:pPr>
        <w:jc w:val="both"/>
        <w:rPr>
          <w:rFonts w:asciiTheme="majorHAnsi" w:hAnsiTheme="majorHAnsi" w:cstheme="majorHAnsi"/>
          <w:sz w:val="24"/>
          <w:szCs w:val="24"/>
        </w:rPr>
      </w:pPr>
      <w:r>
        <w:rPr>
          <w:rFonts w:asciiTheme="majorHAnsi" w:hAnsiTheme="majorHAnsi" w:cstheme="majorHAnsi"/>
          <w:sz w:val="24"/>
          <w:szCs w:val="24"/>
        </w:rPr>
        <w:t>A</w:t>
      </w:r>
      <w:r w:rsidR="000270F2">
        <w:rPr>
          <w:rFonts w:asciiTheme="majorHAnsi" w:hAnsiTheme="majorHAnsi" w:cstheme="majorHAnsi"/>
          <w:sz w:val="24"/>
          <w:szCs w:val="24"/>
        </w:rPr>
        <w:t xml:space="preserve">n illustrated </w:t>
      </w:r>
      <w:r>
        <w:rPr>
          <w:rFonts w:asciiTheme="majorHAnsi" w:hAnsiTheme="majorHAnsi" w:cstheme="majorHAnsi"/>
          <w:sz w:val="24"/>
          <w:szCs w:val="24"/>
        </w:rPr>
        <w:t xml:space="preserve">representation of the cell envelope of </w:t>
      </w:r>
      <w:r w:rsidRPr="00714842">
        <w:rPr>
          <w:rFonts w:asciiTheme="majorHAnsi" w:hAnsiTheme="majorHAnsi" w:cstheme="majorHAnsi"/>
          <w:i/>
          <w:iCs/>
          <w:sz w:val="24"/>
          <w:szCs w:val="24"/>
        </w:rPr>
        <w:t>A</w:t>
      </w:r>
      <w:r w:rsidR="00FE6F17">
        <w:rPr>
          <w:rFonts w:asciiTheme="majorHAnsi" w:hAnsiTheme="majorHAnsi" w:cstheme="majorHAnsi"/>
          <w:i/>
          <w:iCs/>
          <w:sz w:val="24"/>
          <w:szCs w:val="24"/>
        </w:rPr>
        <w:t>.</w:t>
      </w:r>
      <w:r w:rsidRPr="00714842">
        <w:rPr>
          <w:rFonts w:asciiTheme="majorHAnsi" w:hAnsiTheme="majorHAnsi" w:cstheme="majorHAnsi"/>
          <w:i/>
          <w:iCs/>
          <w:sz w:val="24"/>
          <w:szCs w:val="24"/>
        </w:rPr>
        <w:t xml:space="preserve"> baumannii</w:t>
      </w:r>
      <w:r>
        <w:rPr>
          <w:rFonts w:asciiTheme="majorHAnsi" w:hAnsiTheme="majorHAnsi" w:cstheme="majorHAnsi"/>
          <w:i/>
          <w:iCs/>
          <w:sz w:val="24"/>
          <w:szCs w:val="24"/>
        </w:rPr>
        <w:t xml:space="preserve"> </w:t>
      </w:r>
      <w:r>
        <w:rPr>
          <w:rFonts w:asciiTheme="majorHAnsi" w:hAnsiTheme="majorHAnsi" w:cstheme="majorHAnsi"/>
          <w:sz w:val="24"/>
          <w:szCs w:val="24"/>
        </w:rPr>
        <w:t xml:space="preserve">showing </w:t>
      </w:r>
      <w:r w:rsidR="000270F2">
        <w:rPr>
          <w:rFonts w:asciiTheme="majorHAnsi" w:hAnsiTheme="majorHAnsi" w:cstheme="majorHAnsi"/>
          <w:sz w:val="24"/>
          <w:szCs w:val="24"/>
        </w:rPr>
        <w:t xml:space="preserve">a small molecule (red circle) moving across </w:t>
      </w:r>
      <w:r>
        <w:rPr>
          <w:rFonts w:asciiTheme="majorHAnsi" w:hAnsiTheme="majorHAnsi" w:cstheme="majorHAnsi"/>
          <w:sz w:val="24"/>
          <w:szCs w:val="24"/>
        </w:rPr>
        <w:t>the outer and inner membrane</w:t>
      </w:r>
      <w:r w:rsidR="000270F2">
        <w:rPr>
          <w:rFonts w:asciiTheme="majorHAnsi" w:hAnsiTheme="majorHAnsi" w:cstheme="majorHAnsi"/>
          <w:sz w:val="24"/>
          <w:szCs w:val="24"/>
        </w:rPr>
        <w:t xml:space="preserve">s and being transported by </w:t>
      </w:r>
      <w:r>
        <w:rPr>
          <w:rFonts w:asciiTheme="majorHAnsi" w:hAnsiTheme="majorHAnsi" w:cstheme="majorHAnsi"/>
          <w:sz w:val="24"/>
          <w:szCs w:val="24"/>
        </w:rPr>
        <w:t xml:space="preserve">membrane associated proteins. </w:t>
      </w:r>
      <w:r w:rsidR="000270F2">
        <w:rPr>
          <w:rFonts w:asciiTheme="majorHAnsi" w:hAnsiTheme="majorHAnsi" w:cstheme="majorHAnsi"/>
          <w:sz w:val="24"/>
          <w:szCs w:val="24"/>
        </w:rPr>
        <w:t>Small molecules can enter the cell through</w:t>
      </w:r>
      <w:r>
        <w:rPr>
          <w:rFonts w:asciiTheme="majorHAnsi" w:hAnsiTheme="majorHAnsi" w:cstheme="majorHAnsi"/>
          <w:sz w:val="24"/>
          <w:szCs w:val="24"/>
        </w:rPr>
        <w:t xml:space="preserve"> passive diffusion across the membranes, non-specific porin transport, and specific channel transport. </w:t>
      </w:r>
      <w:r w:rsidR="000270F2">
        <w:rPr>
          <w:rFonts w:asciiTheme="majorHAnsi" w:hAnsiTheme="majorHAnsi" w:cstheme="majorHAnsi"/>
          <w:sz w:val="24"/>
          <w:szCs w:val="24"/>
        </w:rPr>
        <w:t>Small molecules can exit the cell by</w:t>
      </w:r>
      <w:r>
        <w:rPr>
          <w:rFonts w:asciiTheme="majorHAnsi" w:hAnsiTheme="majorHAnsi" w:cstheme="majorHAnsi"/>
          <w:sz w:val="24"/>
          <w:szCs w:val="24"/>
        </w:rPr>
        <w:t xml:space="preserve"> passive diffusion across the membranes, non-specific porin</w:t>
      </w:r>
      <w:r w:rsidR="000270F2">
        <w:rPr>
          <w:rFonts w:asciiTheme="majorHAnsi" w:hAnsiTheme="majorHAnsi" w:cstheme="majorHAnsi"/>
          <w:sz w:val="24"/>
          <w:szCs w:val="24"/>
        </w:rPr>
        <w:t>s</w:t>
      </w:r>
      <w:r>
        <w:rPr>
          <w:rFonts w:asciiTheme="majorHAnsi" w:hAnsiTheme="majorHAnsi" w:cstheme="majorHAnsi"/>
          <w:sz w:val="24"/>
          <w:szCs w:val="24"/>
        </w:rPr>
        <w:t>, efflux across the inner membrane mediated by a Major Facilitator Superfamily (MFS) pump, and efflux across both membranes mediated by a Resistance-Nodulation-Division (RND) pump.</w:t>
      </w:r>
      <w:r w:rsidR="004F5C1A">
        <w:rPr>
          <w:rFonts w:asciiTheme="majorHAnsi" w:hAnsiTheme="majorHAnsi" w:cstheme="majorHAnsi"/>
          <w:sz w:val="24"/>
          <w:szCs w:val="24"/>
        </w:rPr>
        <w:fldChar w:fldCharType="begin"/>
      </w:r>
      <w:r w:rsidR="00176906">
        <w:rPr>
          <w:rFonts w:asciiTheme="majorHAnsi" w:hAnsiTheme="majorHAnsi" w:cstheme="majorHAnsi"/>
          <w:sz w:val="24"/>
          <w:szCs w:val="24"/>
        </w:rPr>
        <w:instrText xml:space="preserve"> ADDIN ZOTERO_ITEM CSL_CITATION {"citationID":"9Pb31SJe","properties":{"formattedCitation":"\\super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sidR="004F5C1A">
        <w:rPr>
          <w:rFonts w:asciiTheme="majorHAnsi" w:hAnsiTheme="majorHAnsi" w:cstheme="majorHAnsi"/>
          <w:sz w:val="24"/>
          <w:szCs w:val="24"/>
        </w:rPr>
        <w:fldChar w:fldCharType="separate"/>
      </w:r>
      <w:r w:rsidR="00176906" w:rsidRPr="00176906">
        <w:rPr>
          <w:rFonts w:ascii="Times New Roman" w:hAnsi="Times New Roman" w:cs="Times New Roman"/>
          <w:sz w:val="24"/>
          <w:szCs w:val="24"/>
          <w:vertAlign w:val="superscript"/>
        </w:rPr>
        <w:t>20</w:t>
      </w:r>
      <w:r w:rsidR="004F5C1A">
        <w:rPr>
          <w:rFonts w:asciiTheme="majorHAnsi" w:hAnsiTheme="majorHAnsi" w:cstheme="majorHAnsi"/>
          <w:sz w:val="24"/>
          <w:szCs w:val="24"/>
        </w:rPr>
        <w:fldChar w:fldCharType="end"/>
      </w:r>
    </w:p>
    <w:p w14:paraId="1E03000E" w14:textId="533F9E9A" w:rsidR="000270F2" w:rsidRDefault="008E1F50" w:rsidP="0021013E">
      <w:pPr>
        <w:spacing w:line="360" w:lineRule="auto"/>
        <w:rPr>
          <w:rFonts w:cstheme="minorHAnsi"/>
          <w:sz w:val="24"/>
          <w:szCs w:val="24"/>
        </w:rPr>
      </w:pPr>
      <w:r>
        <w:rPr>
          <w:rFonts w:asciiTheme="majorHAnsi" w:hAnsiTheme="majorHAnsi" w:cstheme="majorHAnsi"/>
          <w:sz w:val="24"/>
          <w:szCs w:val="24"/>
        </w:rPr>
        <w:tab/>
        <w:t xml:space="preserve">The focus of this dissertation is the Gram-negative coccobacillus </w:t>
      </w:r>
      <w:r w:rsidR="00FE6F17">
        <w:rPr>
          <w:rFonts w:asciiTheme="majorHAnsi" w:hAnsiTheme="majorHAnsi" w:cstheme="majorHAnsi"/>
          <w:i/>
          <w:iCs/>
          <w:sz w:val="24"/>
          <w:szCs w:val="24"/>
        </w:rPr>
        <w:t xml:space="preserve">A. </w:t>
      </w:r>
      <w:r>
        <w:rPr>
          <w:rFonts w:asciiTheme="majorHAnsi" w:hAnsiTheme="majorHAnsi" w:cstheme="majorHAnsi"/>
          <w:i/>
          <w:iCs/>
          <w:sz w:val="24"/>
          <w:szCs w:val="24"/>
        </w:rPr>
        <w:t>baumannii</w:t>
      </w:r>
      <w:r w:rsidR="008338EC">
        <w:rPr>
          <w:rFonts w:asciiTheme="majorHAnsi" w:hAnsiTheme="majorHAnsi" w:cstheme="majorHAnsi"/>
          <w:sz w:val="24"/>
          <w:szCs w:val="24"/>
        </w:rPr>
        <w:t xml:space="preserve">, known for its ability to rapidly develop multidrug resistance due to mechanisms </w:t>
      </w:r>
      <w:r w:rsidR="008338EC" w:rsidRPr="008338EC">
        <w:rPr>
          <w:rFonts w:cstheme="minorHAnsi"/>
          <w:sz w:val="24"/>
          <w:szCs w:val="24"/>
        </w:rPr>
        <w:t>like β-lactamase production</w:t>
      </w:r>
      <w:r w:rsidR="008338EC">
        <w:rPr>
          <w:rFonts w:cstheme="minorHAnsi"/>
          <w:sz w:val="24"/>
          <w:szCs w:val="24"/>
        </w:rPr>
        <w:t>, drug efflux, decreased membrane permeability, and altered drug target sites.</w:t>
      </w:r>
      <w:r w:rsidR="008338EC">
        <w:rPr>
          <w:rFonts w:cstheme="minorHAnsi"/>
          <w:sz w:val="24"/>
          <w:szCs w:val="24"/>
        </w:rPr>
        <w:fldChar w:fldCharType="begin"/>
      </w:r>
      <w:r w:rsidR="004F5C1A">
        <w:rPr>
          <w:rFonts w:cstheme="minorHAnsi"/>
          <w:sz w:val="24"/>
          <w:szCs w:val="24"/>
        </w:rPr>
        <w:instrText xml:space="preserve"> ADDIN ZOTERO_ITEM CSL_CITATION {"citationID":"el5ffWuo","properties":{"formattedCitation":"\\super 4\\nosupersub{}","plainCitation":"4","noteIndex":0},"citationItems":[{"id":1588,"uris":["http://zotero.org/users/1918630/items/8J3ERKFV"],"itemData":{"id":1588,"type":"article-journal","abstract":"Acinetobacter baumannii is a Gram-negative, opportunistic pathogen, causing severe infections difficult to treat. The A. baumannii infection rate has increased year by year in human medicine and it is also considered as a major cause of nosocomial infections worldwide. This bacterium, also well known for its ability to form biofilms, has a strong environmental adaptability and the characteristics of multi-drug resistance. Indeed, strains showing fully resistant profiles represent a worrisome problem in clinical therapeutic treatment. Furthermore, A. baumannii-associated veterinary nosocomial infections has been reported in recent literature. Particularly, carbapenem-resistant A. baumannii can be considered an emerging opportunistic pathogen in human medicine as well as in veterinary medicine.","container-title":"Pathogens","DOI":"10.3390/pathogens10020127","ISSN":"2076-0817","issue":"2","journalAbbreviation":"Pathogens","note":"PMID: 33513701\nPMCID: PMC7911418","page":"127","source":"PubMed Central","title":"Acinetobacter baumannii: Its Clinical Significance in Human and Veterinary Medicine","title-short":"Acinetobacter baumannii","volume":"10","author":[{"family":"Nocera","given":"Francesca Paola"},{"family":"Attili","given":"Anna-Rita"},{"family":"De Martino","given":"Luisa"}],"issued":{"date-parts":[["2021",1,27]]}}}],"schema":"https://github.com/citation-style-language/schema/raw/master/csl-citation.json"} </w:instrText>
      </w:r>
      <w:r w:rsidR="008338EC">
        <w:rPr>
          <w:rFonts w:cstheme="minorHAnsi"/>
          <w:sz w:val="24"/>
          <w:szCs w:val="24"/>
        </w:rPr>
        <w:fldChar w:fldCharType="separate"/>
      </w:r>
      <w:r w:rsidR="004F5C1A" w:rsidRPr="004F5C1A">
        <w:rPr>
          <w:rFonts w:ascii="Times New Roman" w:hAnsi="Times New Roman" w:cs="Times New Roman"/>
          <w:sz w:val="24"/>
          <w:szCs w:val="24"/>
          <w:vertAlign w:val="superscript"/>
        </w:rPr>
        <w:t>4</w:t>
      </w:r>
      <w:r w:rsidR="008338EC">
        <w:rPr>
          <w:rFonts w:cstheme="minorHAnsi"/>
          <w:sz w:val="24"/>
          <w:szCs w:val="24"/>
        </w:rPr>
        <w:fldChar w:fldCharType="end"/>
      </w:r>
      <w:r w:rsidR="008338EC">
        <w:rPr>
          <w:rFonts w:cstheme="minorHAnsi"/>
          <w:sz w:val="24"/>
          <w:szCs w:val="24"/>
        </w:rPr>
        <w:t xml:space="preserve"> </w:t>
      </w:r>
      <w:r w:rsidR="008338EC">
        <w:rPr>
          <w:rFonts w:cstheme="minorHAnsi"/>
          <w:i/>
          <w:iCs/>
          <w:sz w:val="24"/>
          <w:szCs w:val="24"/>
        </w:rPr>
        <w:t>A. baumannii</w:t>
      </w:r>
      <w:r w:rsidR="008338EC">
        <w:rPr>
          <w:rFonts w:cstheme="minorHAnsi"/>
          <w:sz w:val="24"/>
          <w:szCs w:val="24"/>
        </w:rPr>
        <w:t xml:space="preserve"> is responsible for a variety of infections, most notably ventilator-associated pneumonia and bloodstream infections. </w:t>
      </w:r>
      <w:r w:rsidR="000270F2">
        <w:rPr>
          <w:rFonts w:cstheme="minorHAnsi"/>
          <w:sz w:val="24"/>
          <w:szCs w:val="24"/>
        </w:rPr>
        <w:t xml:space="preserve">Rates of carbapenem-resistant </w:t>
      </w:r>
      <w:r w:rsidR="000270F2">
        <w:rPr>
          <w:rFonts w:cstheme="minorHAnsi"/>
          <w:i/>
          <w:iCs/>
          <w:sz w:val="24"/>
          <w:szCs w:val="24"/>
        </w:rPr>
        <w:t>Acinetobacter</w:t>
      </w:r>
      <w:r w:rsidR="000270F2">
        <w:rPr>
          <w:rFonts w:cstheme="minorHAnsi"/>
          <w:sz w:val="24"/>
          <w:szCs w:val="24"/>
        </w:rPr>
        <w:t xml:space="preserve"> infections starting during hospitalization grew at least 78% during the first year of the COVID-19 pandemic (2019-2020)</w:t>
      </w:r>
      <w:r w:rsidR="000270F2">
        <w:rPr>
          <w:rFonts w:cstheme="minorHAnsi"/>
          <w:sz w:val="24"/>
          <w:szCs w:val="24"/>
        </w:rPr>
        <w:fldChar w:fldCharType="begin"/>
      </w:r>
      <w:r w:rsidR="00176906">
        <w:rPr>
          <w:rFonts w:cstheme="minorHAnsi"/>
          <w:sz w:val="24"/>
          <w:szCs w:val="24"/>
        </w:rPr>
        <w:instrText xml:space="preserve"> ADDIN ZOTERO_ITEM CSL_CITATION {"citationID":"Uwqe17j0","properties":{"formattedCitation":"\\super 19\\nosupersub{}","plainCitation":"19","noteIndex":0},"citationItems":[{"id":1759,"uris":["http://zotero.org/users/1918630/items/QG2VVDVW"],"itemData":{"id":1759,"type":"webpage","abstract":"Antibiotic resistance is still a public health threat during the COVID-19 pandemic. Find the latest data.","container-title":"Centers for Disease Control and Prevention","language":"en-us","title":"COVID-19 &amp; Antibiotic Resistance","URL":"https://www.cdc.gov/drugresistance/covid19.html","author":[{"family":"CDC","given":""}],"accessed":{"date-parts":[["2023",12,6]]},"issued":{"date-parts":[["2022",8,11]]}}}],"schema":"https://github.com/citation-style-language/schema/raw/master/csl-citation.json"} </w:instrText>
      </w:r>
      <w:r w:rsidR="000270F2">
        <w:rPr>
          <w:rFonts w:cstheme="minorHAnsi"/>
          <w:sz w:val="24"/>
          <w:szCs w:val="24"/>
        </w:rPr>
        <w:fldChar w:fldCharType="separate"/>
      </w:r>
      <w:r w:rsidR="00176906" w:rsidRPr="00176906">
        <w:rPr>
          <w:rFonts w:ascii="Times New Roman" w:hAnsi="Times New Roman" w:cs="Times New Roman"/>
          <w:sz w:val="24"/>
          <w:szCs w:val="24"/>
          <w:vertAlign w:val="superscript"/>
        </w:rPr>
        <w:t>19</w:t>
      </w:r>
      <w:r w:rsidR="000270F2">
        <w:rPr>
          <w:rFonts w:cstheme="minorHAnsi"/>
          <w:sz w:val="24"/>
          <w:szCs w:val="24"/>
        </w:rPr>
        <w:fldChar w:fldCharType="end"/>
      </w:r>
      <w:r w:rsidR="000270F2">
        <w:rPr>
          <w:rFonts w:cstheme="minorHAnsi"/>
          <w:sz w:val="24"/>
          <w:szCs w:val="24"/>
        </w:rPr>
        <w:t xml:space="preserve"> for a number of reasons, including more hospitalized patients that required more frequent and longer use of catheters and ventilators, procedures which are known to increase risk of </w:t>
      </w:r>
      <w:r w:rsidR="000270F2">
        <w:rPr>
          <w:rFonts w:cstheme="minorHAnsi"/>
          <w:i/>
          <w:iCs/>
          <w:sz w:val="24"/>
          <w:szCs w:val="24"/>
        </w:rPr>
        <w:t>A. baumannii</w:t>
      </w:r>
      <w:r w:rsidR="000270F2">
        <w:rPr>
          <w:rFonts w:cstheme="minorHAnsi"/>
          <w:sz w:val="24"/>
          <w:szCs w:val="24"/>
        </w:rPr>
        <w:t xml:space="preserve"> infections.</w:t>
      </w:r>
      <w:r w:rsidR="000270F2">
        <w:rPr>
          <w:rFonts w:cstheme="minorHAnsi"/>
          <w:sz w:val="24"/>
          <w:szCs w:val="24"/>
        </w:rPr>
        <w:fldChar w:fldCharType="begin"/>
      </w:r>
      <w:r w:rsidR="00176906">
        <w:rPr>
          <w:rFonts w:cstheme="minorHAnsi"/>
          <w:sz w:val="24"/>
          <w:szCs w:val="24"/>
        </w:rPr>
        <w:instrText xml:space="preserve"> ADDIN ZOTERO_ITEM CSL_CITATION {"citationID":"KzAe0LaV","properties":{"formattedCitation":"\\super 21\\nosupersub{}","plainCitation":"21","noteIndex":0},"citationItems":[{"id":1920,"uris":["http://zotero.org/users/1918630/items/TGKWY69Y"],"itemData":{"id":1920,"type":"report","note":"DOI: 10.15620/cdc:82532\nDOI: 10.15620/cdc:82532","publisher":"Centers for Disease Control and Prevention (U.S.)","source":"DOI.org (Crossref)","title":"Antibiotic resistance threats in the United States, 2019","URL":"https://stacks.cdc.gov/view/cdc/82532","author":[{"literal":"Centers for Disease Control and Prevention (U.S.)"}],"accessed":{"date-parts":[["2024",1,4]]},"issued":{"date-parts":[["2019",11]]}}}],"schema":"https://github.com/citation-style-language/schema/raw/master/csl-citation.json"} </w:instrText>
      </w:r>
      <w:r w:rsidR="000270F2">
        <w:rPr>
          <w:rFonts w:cstheme="minorHAnsi"/>
          <w:sz w:val="24"/>
          <w:szCs w:val="24"/>
        </w:rPr>
        <w:fldChar w:fldCharType="separate"/>
      </w:r>
      <w:r w:rsidR="00176906" w:rsidRPr="00176906">
        <w:rPr>
          <w:rFonts w:ascii="Times New Roman" w:hAnsi="Times New Roman" w:cs="Times New Roman"/>
          <w:sz w:val="24"/>
          <w:szCs w:val="24"/>
          <w:vertAlign w:val="superscript"/>
        </w:rPr>
        <w:t>21</w:t>
      </w:r>
      <w:r w:rsidR="000270F2">
        <w:rPr>
          <w:rFonts w:cstheme="minorHAnsi"/>
          <w:sz w:val="24"/>
          <w:szCs w:val="24"/>
        </w:rPr>
        <w:fldChar w:fldCharType="end"/>
      </w:r>
    </w:p>
    <w:p w14:paraId="4E011B8F" w14:textId="5E13E621" w:rsidR="008338EC" w:rsidRDefault="00A63F06" w:rsidP="00A63F06">
      <w:pPr>
        <w:spacing w:line="360" w:lineRule="auto"/>
        <w:ind w:firstLine="720"/>
        <w:rPr>
          <w:rFonts w:cstheme="minorHAnsi"/>
          <w:sz w:val="24"/>
          <w:szCs w:val="24"/>
        </w:rPr>
      </w:pPr>
      <w:r>
        <w:rPr>
          <w:rFonts w:cstheme="minorHAnsi"/>
          <w:sz w:val="24"/>
          <w:szCs w:val="24"/>
        </w:rPr>
        <w:lastRenderedPageBreak/>
        <w:t xml:space="preserve">The main focus of this dissertation is the antibiotic permeability barrier of </w:t>
      </w:r>
      <w:r>
        <w:rPr>
          <w:rFonts w:cstheme="minorHAnsi"/>
          <w:i/>
          <w:iCs/>
          <w:sz w:val="24"/>
          <w:szCs w:val="24"/>
        </w:rPr>
        <w:t>A. baumannii</w:t>
      </w:r>
      <w:r>
        <w:rPr>
          <w:rFonts w:cstheme="minorHAnsi"/>
          <w:sz w:val="24"/>
          <w:szCs w:val="24"/>
        </w:rPr>
        <w:t xml:space="preserve"> and how the bacterium’s efflux pumps work together with the outer membrane to protect the cell from antimicrobial agents. </w:t>
      </w:r>
      <w:r w:rsidR="000A1DB6">
        <w:rPr>
          <w:rFonts w:cstheme="minorHAnsi"/>
          <w:sz w:val="24"/>
          <w:szCs w:val="24"/>
        </w:rPr>
        <w:t xml:space="preserve">There are a few ways an antibiotic molecule can cross the outer membrane of an </w:t>
      </w:r>
      <w:r w:rsidR="000A1DB6">
        <w:rPr>
          <w:rFonts w:cstheme="minorHAnsi"/>
          <w:i/>
          <w:iCs/>
          <w:sz w:val="24"/>
          <w:szCs w:val="24"/>
        </w:rPr>
        <w:t xml:space="preserve">A. baumannii </w:t>
      </w:r>
      <w:r w:rsidR="000A1DB6" w:rsidRPr="00612721">
        <w:rPr>
          <w:rFonts w:cstheme="minorHAnsi"/>
          <w:sz w:val="24"/>
          <w:szCs w:val="24"/>
        </w:rPr>
        <w:t>cell</w:t>
      </w:r>
      <w:r w:rsidR="000A1DB6">
        <w:rPr>
          <w:rFonts w:cstheme="minorHAnsi"/>
          <w:sz w:val="24"/>
          <w:szCs w:val="24"/>
        </w:rPr>
        <w:t>: it can (1) passively diffuse through the LPS and outer membrane, (2) passively diffuse through aqueous channel of a porin, or (3) transport via a specific channel protein. (</w:t>
      </w:r>
      <w:r w:rsidR="000A1DB6">
        <w:rPr>
          <w:rFonts w:cstheme="minorHAnsi"/>
          <w:b/>
          <w:bCs/>
          <w:sz w:val="24"/>
          <w:szCs w:val="24"/>
        </w:rPr>
        <w:t>Figure 1.5</w:t>
      </w:r>
      <w:r w:rsidR="000A1DB6">
        <w:rPr>
          <w:rFonts w:cstheme="minorHAnsi"/>
          <w:sz w:val="24"/>
          <w:szCs w:val="24"/>
        </w:rPr>
        <w:t>) Additionally,</w:t>
      </w:r>
      <w:r w:rsidR="008338EC">
        <w:rPr>
          <w:rFonts w:asciiTheme="majorHAnsi" w:hAnsiTheme="majorHAnsi" w:cstheme="majorHAnsi"/>
          <w:sz w:val="24"/>
          <w:szCs w:val="24"/>
        </w:rPr>
        <w:t xml:space="preserve"> </w:t>
      </w:r>
      <w:r w:rsidR="000A1DB6">
        <w:rPr>
          <w:rFonts w:asciiTheme="majorHAnsi" w:hAnsiTheme="majorHAnsi" w:cstheme="majorHAnsi"/>
          <w:sz w:val="24"/>
          <w:szCs w:val="24"/>
        </w:rPr>
        <w:t xml:space="preserve">efflux pumps reduce intracellular accumulation of antimicrobial agents. </w:t>
      </w:r>
      <w:r w:rsidR="008338EC">
        <w:rPr>
          <w:rFonts w:asciiTheme="majorHAnsi" w:hAnsiTheme="majorHAnsi" w:cstheme="majorHAnsi"/>
          <w:sz w:val="24"/>
          <w:szCs w:val="24"/>
        </w:rPr>
        <w:t xml:space="preserve"> Efflux pumps are transporter protein</w:t>
      </w:r>
      <w:r w:rsidR="003B44FE">
        <w:rPr>
          <w:rFonts w:asciiTheme="majorHAnsi" w:hAnsiTheme="majorHAnsi" w:cstheme="majorHAnsi"/>
          <w:sz w:val="24"/>
          <w:szCs w:val="24"/>
        </w:rPr>
        <w:t>s and protein complexes that pump solutes out of the cell. They allow bacteria to regulate their internal environment by exporting small toxic molecules, including antimicrobial agents, metabolites, and quorum sensing signal molecules.</w:t>
      </w:r>
      <w:r w:rsidR="003B44FE">
        <w:rPr>
          <w:rFonts w:cstheme="minorHAnsi"/>
          <w:sz w:val="24"/>
          <w:szCs w:val="24"/>
        </w:rPr>
        <w:fldChar w:fldCharType="begin"/>
      </w:r>
      <w:r w:rsidR="00176906">
        <w:rPr>
          <w:rFonts w:cstheme="minorHAnsi"/>
          <w:sz w:val="24"/>
          <w:szCs w:val="24"/>
        </w:rPr>
        <w:instrText xml:space="preserve"> ADDIN ZOTERO_ITEM CSL_CITATION {"citationID":"a4J5zEMi","properties":{"formattedCitation":"\\super 22\\nosupersub{}","plainCitation":"22","noteIndex":0},"citationItems":[{"id":1591,"uris":["http://zotero.org/users/1918630/items/LA8ZQZYH"],"itemData":{"id":1591,"type":"article-journal","abstract":"Many gram-negative bacteria communicate by N-acyl homoserine lactone signals called autoinducers (AIs). In Pseudomonas aeruginosa, cell-to-cell signaling controls expression of extracellular virulence factors, the type II secretion apparatus, a stationary-phase sigma factor (sigmas), and biofilm differentiation. The fact that a similar signal, N-(3-oxohexanoyl) homoserine lactone, freely diffuses through Vibrio fischeri and Escherichia coli cells has led to the assumption that all AIs are freely diffusible. In this work, transport of the two P. aeruginosa AIs, N-(3-oxododecanoyl) homoserine lactone (3OC12-HSL) (formerly called PAI-1) and N-butyryl homoserine lactone (C4-HSL) (formerly called PAI-2), was studied by using tritium-labeled signals. When [3H]C4-HSL was added to cell suspensions of P. aeruginosa, the cellular concentration reached a steady state in less than 30 s and was nearly equal to the external concentration, as expected for a freely diffusible compound. In contrast, [3H]3OC12-HSL required about 5 min to reach a steady state, and the cellular concentration was 3 times higher than the external level. Addition of inhibitors of the cytoplasmic membrane proton gradient, such as azide, led to a strong increase in cellular accumulation of [3H]3OC12-HSL, suggesting the involvement of active efflux. A defined mutant lacking the mexA-mexB-oprM-encoded active-efflux pump accumulated [3H]3OC12-HSL to levels similar to those in the azide-treated wild-type cells. Efflux experiments confirmed these observations. Our results show that in contrast to the case for C4-HSL, P. aeruginosa cells are not freely permeable to 3OC12-HSL. Instead, the mexA-mexB-oprM-encoded efflux pump is involved in active efflux of 3OC12-HSL. Apparently the length and/or degree of substitution of the N-acyl side chain determines whether an AI is freely diffusible or is subject to active efflux by P. aeruginosa.","container-title":"Journal of Bacteriology","DOI":"10.1128/JB.181.4.1203-1210.1999","ISSN":"0021-9193","issue":"4","journalAbbreviation":"J Bacteriol","language":"eng","note":"PMID: 9973347\nPMCID: PMC93498","page":"1203-1210","source":"PubMed","title":"Active efflux and diffusion are involved in transport of Pseudomonas aeruginosa cell-to-cell signals","volume":"181","author":[{"family":"Pearson","given":"J. P."},{"family":"Van Delden","given":"C."},{"family":"Iglewski","given":"B. H."}],"issued":{"date-parts":[["1999",2]]}}}],"schema":"https://github.com/citation-style-language/schema/raw/master/csl-citation.json"} </w:instrText>
      </w:r>
      <w:r w:rsidR="003B44FE">
        <w:rPr>
          <w:rFonts w:cstheme="minorHAnsi"/>
          <w:sz w:val="24"/>
          <w:szCs w:val="24"/>
        </w:rPr>
        <w:fldChar w:fldCharType="separate"/>
      </w:r>
      <w:r w:rsidR="00176906" w:rsidRPr="00176906">
        <w:rPr>
          <w:rFonts w:ascii="Times New Roman" w:hAnsi="Times New Roman" w:cs="Times New Roman"/>
          <w:sz w:val="24"/>
          <w:szCs w:val="24"/>
          <w:vertAlign w:val="superscript"/>
        </w:rPr>
        <w:t>22</w:t>
      </w:r>
      <w:r w:rsidR="003B44FE">
        <w:rPr>
          <w:rFonts w:cstheme="minorHAnsi"/>
          <w:sz w:val="24"/>
          <w:szCs w:val="24"/>
        </w:rPr>
        <w:fldChar w:fldCharType="end"/>
      </w:r>
      <w:r w:rsidR="003B44FE">
        <w:rPr>
          <w:rFonts w:cstheme="minorHAnsi"/>
          <w:sz w:val="24"/>
          <w:szCs w:val="24"/>
        </w:rPr>
        <w:t xml:space="preserve"> </w:t>
      </w:r>
      <w:r w:rsidR="00083D9A">
        <w:rPr>
          <w:rFonts w:cstheme="minorHAnsi"/>
          <w:i/>
          <w:iCs/>
          <w:sz w:val="24"/>
          <w:szCs w:val="24"/>
        </w:rPr>
        <w:t xml:space="preserve">A. </w:t>
      </w:r>
      <w:proofErr w:type="spellStart"/>
      <w:r w:rsidR="00083D9A">
        <w:rPr>
          <w:rFonts w:cstheme="minorHAnsi"/>
          <w:i/>
          <w:iCs/>
          <w:sz w:val="24"/>
          <w:szCs w:val="24"/>
        </w:rPr>
        <w:t>baumannii</w:t>
      </w:r>
      <w:r w:rsidR="00083D9A">
        <w:rPr>
          <w:rFonts w:cstheme="minorHAnsi"/>
          <w:sz w:val="24"/>
          <w:szCs w:val="24"/>
        </w:rPr>
        <w:t>’s</w:t>
      </w:r>
      <w:proofErr w:type="spellEnd"/>
      <w:r w:rsidR="00083D9A">
        <w:rPr>
          <w:rFonts w:cstheme="minorHAnsi"/>
          <w:sz w:val="24"/>
          <w:szCs w:val="24"/>
        </w:rPr>
        <w:t xml:space="preserve"> efflux pumps work in combination with the bacteria’s decreased permeability of its outer membrane to further enhance its resistance to antimicrobial agents.</w:t>
      </w:r>
      <w:r w:rsidR="00083D9A">
        <w:rPr>
          <w:rFonts w:cstheme="minorHAnsi"/>
          <w:sz w:val="24"/>
          <w:szCs w:val="24"/>
        </w:rPr>
        <w:fldChar w:fldCharType="begin"/>
      </w:r>
      <w:r w:rsidR="00176906">
        <w:rPr>
          <w:rFonts w:cstheme="minorHAnsi"/>
          <w:sz w:val="24"/>
          <w:szCs w:val="24"/>
        </w:rPr>
        <w:instrText xml:space="preserve"> ADDIN ZOTERO_ITEM CSL_CITATION {"citationID":"hwBxHGbe","properties":{"formattedCitation":"\\super 23\\nosupersub{}","plainCitation":"23","noteIndex":0},"citationItems":[{"id":1594,"uris":["http://zotero.org/users/1918630/items/H6F67VGD"],"itemData":{"id":1594,"type":"article-journal","abstract":"Acinetobacter baumannii is an opportunistic pathogen, causing infections mainly in patients in intensive care units where the extensive use of antimicrobial agents can select for the emergence of multiresistant strains. In fact, since strains resistant to all antimicrobial agents have been reported, A. baumannii is considered the paradigm of multiresistant bacteria. Both acquired and intrinsic resistance can contribute to multiresistance. The ability to acquire multidrug resistance can be due to either the acquisition of genetic elements carrying multiple resistant determinants or mutations affecting the expression of porins and/or efflux pump(s), which can affect unrelated antimicrobial agents. Meanwhile, intrinsic resistance can be generated by the interplay of decreased permeability and constitutive expression of active efflux systems and it too can affect unrelated antimicrobial agents. This review is focused on the current knowledge of porins and efflux pump(s) in this microorganism.","container-title":"Journal of Antimicrobial Chemotherapy","DOI":"10.1093/jac/dkl509","ISSN":"0305-7453","issue":"6","journalAbbreviation":"Journal of Antimicrobial Chemotherapy","page":"1210-1215","source":"Silverchair","title":"Porins, efflux pumps and multidrug resistance in Acinetobacter baumannii","volume":"59","author":[{"family":"Vila","given":"Jordi"},{"family":"Martí","given":"Sara"},{"family":"Sánchez-Céspedes","given":"Javier"}],"issued":{"date-parts":[["2007",6,1]]}}}],"schema":"https://github.com/citation-style-language/schema/raw/master/csl-citation.json"} </w:instrText>
      </w:r>
      <w:r w:rsidR="00083D9A">
        <w:rPr>
          <w:rFonts w:cstheme="minorHAnsi"/>
          <w:sz w:val="24"/>
          <w:szCs w:val="24"/>
        </w:rPr>
        <w:fldChar w:fldCharType="separate"/>
      </w:r>
      <w:r w:rsidR="00176906" w:rsidRPr="00176906">
        <w:rPr>
          <w:rFonts w:ascii="Times New Roman" w:hAnsi="Times New Roman" w:cs="Times New Roman"/>
          <w:sz w:val="24"/>
          <w:szCs w:val="24"/>
          <w:vertAlign w:val="superscript"/>
        </w:rPr>
        <w:t>23</w:t>
      </w:r>
      <w:r w:rsidR="00083D9A">
        <w:rPr>
          <w:rFonts w:cstheme="minorHAnsi"/>
          <w:sz w:val="24"/>
          <w:szCs w:val="24"/>
        </w:rPr>
        <w:fldChar w:fldCharType="end"/>
      </w:r>
    </w:p>
    <w:p w14:paraId="1C68CD86" w14:textId="6010FDAF" w:rsidR="00714842" w:rsidRPr="00714842" w:rsidRDefault="00FE6F17" w:rsidP="00C836F0">
      <w:pPr>
        <w:rPr>
          <w:rFonts w:cstheme="minorHAnsi"/>
          <w:sz w:val="24"/>
          <w:szCs w:val="24"/>
        </w:rPr>
      </w:pPr>
      <w:r>
        <w:rPr>
          <w:rFonts w:cstheme="minorHAnsi"/>
          <w:sz w:val="24"/>
          <w:szCs w:val="24"/>
          <w:u w:val="single"/>
        </w:rPr>
        <w:t xml:space="preserve">1.3. </w:t>
      </w:r>
      <w:r w:rsidR="00714842">
        <w:rPr>
          <w:rFonts w:cstheme="minorHAnsi"/>
          <w:sz w:val="24"/>
          <w:szCs w:val="24"/>
          <w:u w:val="single"/>
        </w:rPr>
        <w:t xml:space="preserve">Efflux </w:t>
      </w:r>
      <w:r>
        <w:rPr>
          <w:rFonts w:cstheme="minorHAnsi"/>
          <w:sz w:val="24"/>
          <w:szCs w:val="24"/>
          <w:u w:val="single"/>
        </w:rPr>
        <w:t>p</w:t>
      </w:r>
      <w:r w:rsidR="00714842">
        <w:rPr>
          <w:rFonts w:cstheme="minorHAnsi"/>
          <w:sz w:val="24"/>
          <w:szCs w:val="24"/>
          <w:u w:val="single"/>
        </w:rPr>
        <w:t>umps</w:t>
      </w:r>
    </w:p>
    <w:p w14:paraId="001A7D7B" w14:textId="652D9A4E" w:rsidR="003E27CF" w:rsidRDefault="003E27CF" w:rsidP="00792B9F">
      <w:pPr>
        <w:rPr>
          <w:rFonts w:cstheme="minorHAnsi"/>
          <w:sz w:val="24"/>
          <w:szCs w:val="24"/>
        </w:rPr>
      </w:pPr>
    </w:p>
    <w:p w14:paraId="7413EFFA" w14:textId="5A03B1B5" w:rsidR="00325457" w:rsidRDefault="00325457" w:rsidP="00792B9F">
      <w:pPr>
        <w:rPr>
          <w:rFonts w:cstheme="minorHAnsi"/>
          <w:sz w:val="24"/>
          <w:szCs w:val="24"/>
        </w:rPr>
      </w:pPr>
      <w:r w:rsidRPr="00325457">
        <w:rPr>
          <w:rFonts w:cstheme="minorHAnsi"/>
          <w:noProof/>
          <w:sz w:val="24"/>
          <w:szCs w:val="24"/>
        </w:rPr>
        <w:drawing>
          <wp:inline distT="0" distB="0" distL="0" distR="0" wp14:anchorId="5AC5470B" wp14:editId="218F2528">
            <wp:extent cx="5486400" cy="2531110"/>
            <wp:effectExtent l="0" t="0" r="0" b="2540"/>
            <wp:docPr id="589494598" name="Picture 1" descr="A diagram of a cell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94598" name="Picture 1" descr="A diagram of a cell line&#10;&#10;Description automatically generated"/>
                    <pic:cNvPicPr/>
                  </pic:nvPicPr>
                  <pic:blipFill>
                    <a:blip r:embed="rId16"/>
                    <a:stretch>
                      <a:fillRect/>
                    </a:stretch>
                  </pic:blipFill>
                  <pic:spPr>
                    <a:xfrm>
                      <a:off x="0" y="0"/>
                      <a:ext cx="5486400" cy="2531110"/>
                    </a:xfrm>
                    <a:prstGeom prst="rect">
                      <a:avLst/>
                    </a:prstGeom>
                  </pic:spPr>
                </pic:pic>
              </a:graphicData>
            </a:graphic>
          </wp:inline>
        </w:drawing>
      </w:r>
    </w:p>
    <w:p w14:paraId="2D6D6556" w14:textId="0E6C0733" w:rsidR="001C02A1" w:rsidRDefault="001C02A1" w:rsidP="00C836F0">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00E73E8D">
        <w:rPr>
          <w:rFonts w:asciiTheme="majorHAnsi" w:hAnsiTheme="majorHAnsi" w:cstheme="majorHAnsi"/>
          <w:b/>
          <w:bCs/>
          <w:sz w:val="24"/>
          <w:szCs w:val="24"/>
        </w:rPr>
        <w:t>1</w:t>
      </w:r>
      <w:r>
        <w:rPr>
          <w:rFonts w:asciiTheme="majorHAnsi" w:hAnsiTheme="majorHAnsi" w:cstheme="majorHAnsi"/>
          <w:b/>
          <w:bCs/>
          <w:sz w:val="24"/>
          <w:szCs w:val="24"/>
        </w:rPr>
        <w:t>.</w:t>
      </w:r>
      <w:r w:rsidR="00EE0D20">
        <w:rPr>
          <w:rFonts w:asciiTheme="majorHAnsi" w:hAnsiTheme="majorHAnsi" w:cstheme="majorHAnsi"/>
          <w:b/>
          <w:bCs/>
          <w:sz w:val="24"/>
          <w:szCs w:val="24"/>
        </w:rPr>
        <w:t>6</w:t>
      </w:r>
      <w:r w:rsidR="00D36EE3">
        <w:rPr>
          <w:rFonts w:asciiTheme="majorHAnsi" w:hAnsiTheme="majorHAnsi" w:cstheme="majorHAnsi"/>
          <w:b/>
          <w:bCs/>
          <w:sz w:val="24"/>
          <w:szCs w:val="24"/>
        </w:rPr>
        <w:t xml:space="preserve"> </w:t>
      </w:r>
      <w:r w:rsidR="00714842">
        <w:rPr>
          <w:rFonts w:asciiTheme="majorHAnsi" w:hAnsiTheme="majorHAnsi" w:cstheme="majorHAnsi"/>
          <w:b/>
          <w:bCs/>
          <w:sz w:val="24"/>
          <w:szCs w:val="24"/>
        </w:rPr>
        <w:t xml:space="preserve">Efflux </w:t>
      </w:r>
      <w:r w:rsidR="00FE6F17">
        <w:rPr>
          <w:rFonts w:asciiTheme="majorHAnsi" w:hAnsiTheme="majorHAnsi" w:cstheme="majorHAnsi"/>
          <w:b/>
          <w:bCs/>
          <w:sz w:val="24"/>
          <w:szCs w:val="24"/>
        </w:rPr>
        <w:t>p</w:t>
      </w:r>
      <w:r w:rsidR="00714842">
        <w:rPr>
          <w:rFonts w:asciiTheme="majorHAnsi" w:hAnsiTheme="majorHAnsi" w:cstheme="majorHAnsi"/>
          <w:b/>
          <w:bCs/>
          <w:sz w:val="24"/>
          <w:szCs w:val="24"/>
        </w:rPr>
        <w:t xml:space="preserve">ump </w:t>
      </w:r>
      <w:r w:rsidR="00FE6F17">
        <w:rPr>
          <w:rFonts w:asciiTheme="majorHAnsi" w:hAnsiTheme="majorHAnsi" w:cstheme="majorHAnsi"/>
          <w:b/>
          <w:bCs/>
          <w:sz w:val="24"/>
          <w:szCs w:val="24"/>
        </w:rPr>
        <w:t>f</w:t>
      </w:r>
      <w:r w:rsidR="00714842">
        <w:rPr>
          <w:rFonts w:asciiTheme="majorHAnsi" w:hAnsiTheme="majorHAnsi" w:cstheme="majorHAnsi"/>
          <w:b/>
          <w:bCs/>
          <w:sz w:val="24"/>
          <w:szCs w:val="24"/>
        </w:rPr>
        <w:t>amilies</w:t>
      </w:r>
    </w:p>
    <w:p w14:paraId="2BB8841F" w14:textId="223D88DA" w:rsidR="008F0539" w:rsidRDefault="00714842" w:rsidP="00C0185E">
      <w:pPr>
        <w:jc w:val="both"/>
        <w:rPr>
          <w:rFonts w:asciiTheme="majorHAnsi" w:hAnsiTheme="majorHAnsi" w:cstheme="majorHAnsi"/>
          <w:sz w:val="24"/>
          <w:szCs w:val="24"/>
        </w:rPr>
      </w:pPr>
      <w:r>
        <w:rPr>
          <w:rFonts w:asciiTheme="majorHAnsi" w:hAnsiTheme="majorHAnsi" w:cstheme="majorHAnsi"/>
          <w:sz w:val="24"/>
          <w:szCs w:val="24"/>
        </w:rPr>
        <w:t>A</w:t>
      </w:r>
      <w:r w:rsidR="00BB35C2">
        <w:rPr>
          <w:rFonts w:asciiTheme="majorHAnsi" w:hAnsiTheme="majorHAnsi" w:cstheme="majorHAnsi"/>
          <w:sz w:val="24"/>
          <w:szCs w:val="24"/>
        </w:rPr>
        <w:t>n illustrated</w:t>
      </w:r>
      <w:r>
        <w:rPr>
          <w:rFonts w:asciiTheme="majorHAnsi" w:hAnsiTheme="majorHAnsi" w:cstheme="majorHAnsi"/>
          <w:sz w:val="24"/>
          <w:szCs w:val="24"/>
        </w:rPr>
        <w:t xml:space="preserve"> representation of</w:t>
      </w:r>
      <w:r w:rsidR="00E7455A">
        <w:rPr>
          <w:rFonts w:asciiTheme="majorHAnsi" w:hAnsiTheme="majorHAnsi" w:cstheme="majorHAnsi"/>
          <w:sz w:val="24"/>
          <w:szCs w:val="24"/>
        </w:rPr>
        <w:t xml:space="preserve"> efflux pumps exporting a substrate molecule</w:t>
      </w:r>
      <w:r w:rsidR="009F4ED6">
        <w:rPr>
          <w:rFonts w:asciiTheme="majorHAnsi" w:hAnsiTheme="majorHAnsi" w:cstheme="majorHAnsi"/>
          <w:sz w:val="24"/>
          <w:szCs w:val="24"/>
        </w:rPr>
        <w:t xml:space="preserve"> (red circle)</w:t>
      </w:r>
      <w:r w:rsidR="00E7455A">
        <w:rPr>
          <w:rFonts w:asciiTheme="majorHAnsi" w:hAnsiTheme="majorHAnsi" w:cstheme="majorHAnsi"/>
          <w:sz w:val="24"/>
          <w:szCs w:val="24"/>
        </w:rPr>
        <w:t xml:space="preserve"> and the associated energy cost.</w:t>
      </w:r>
      <w:r w:rsidR="00325457">
        <w:rPr>
          <w:rFonts w:asciiTheme="majorHAnsi" w:hAnsiTheme="majorHAnsi" w:cstheme="majorHAnsi"/>
          <w:sz w:val="24"/>
          <w:szCs w:val="24"/>
        </w:rPr>
        <w:t xml:space="preserve"> </w:t>
      </w:r>
      <w:r w:rsidR="00F97206">
        <w:rPr>
          <w:rFonts w:asciiTheme="majorHAnsi" w:hAnsiTheme="majorHAnsi" w:cstheme="majorHAnsi"/>
          <w:sz w:val="24"/>
          <w:szCs w:val="24"/>
        </w:rPr>
        <w:t>The n</w:t>
      </w:r>
      <w:r w:rsidR="00325457">
        <w:rPr>
          <w:rFonts w:asciiTheme="majorHAnsi" w:hAnsiTheme="majorHAnsi" w:cstheme="majorHAnsi"/>
          <w:sz w:val="24"/>
          <w:szCs w:val="24"/>
        </w:rPr>
        <w:t xml:space="preserve">ames of </w:t>
      </w:r>
      <w:r w:rsidR="00325457">
        <w:rPr>
          <w:rFonts w:asciiTheme="majorHAnsi" w:hAnsiTheme="majorHAnsi" w:cstheme="majorHAnsi"/>
          <w:i/>
          <w:iCs/>
          <w:sz w:val="24"/>
          <w:szCs w:val="24"/>
        </w:rPr>
        <w:t xml:space="preserve">A. </w:t>
      </w:r>
      <w:r w:rsidR="00325457" w:rsidRPr="00325457">
        <w:rPr>
          <w:rFonts w:asciiTheme="majorHAnsi" w:hAnsiTheme="majorHAnsi" w:cstheme="majorHAnsi"/>
          <w:i/>
          <w:iCs/>
          <w:sz w:val="24"/>
          <w:szCs w:val="24"/>
        </w:rPr>
        <w:t>baumannii</w:t>
      </w:r>
      <w:r w:rsidR="00325457">
        <w:rPr>
          <w:rFonts w:asciiTheme="majorHAnsi" w:hAnsiTheme="majorHAnsi" w:cstheme="majorHAnsi"/>
          <w:sz w:val="24"/>
          <w:szCs w:val="24"/>
        </w:rPr>
        <w:t xml:space="preserve"> transporters are listed below their corresponding family. </w:t>
      </w:r>
      <w:r w:rsidR="00E7455A" w:rsidRPr="00325457">
        <w:rPr>
          <w:rFonts w:asciiTheme="majorHAnsi" w:hAnsiTheme="majorHAnsi" w:cstheme="majorHAnsi"/>
          <w:sz w:val="24"/>
          <w:szCs w:val="24"/>
        </w:rPr>
        <w:t>From</w:t>
      </w:r>
      <w:r w:rsidR="00E7455A">
        <w:rPr>
          <w:rFonts w:asciiTheme="majorHAnsi" w:hAnsiTheme="majorHAnsi" w:cstheme="majorHAnsi"/>
          <w:sz w:val="24"/>
          <w:szCs w:val="24"/>
        </w:rPr>
        <w:t xml:space="preserve"> left to right: </w:t>
      </w:r>
      <w:r w:rsidR="008F0539">
        <w:rPr>
          <w:rFonts w:asciiTheme="majorHAnsi" w:hAnsiTheme="majorHAnsi" w:cstheme="majorHAnsi"/>
          <w:sz w:val="24"/>
          <w:szCs w:val="24"/>
        </w:rPr>
        <w:t>ATP-binding cassette (</w:t>
      </w:r>
      <w:r w:rsidR="00E7455A">
        <w:rPr>
          <w:rFonts w:asciiTheme="majorHAnsi" w:hAnsiTheme="majorHAnsi" w:cstheme="majorHAnsi"/>
          <w:sz w:val="24"/>
          <w:szCs w:val="24"/>
        </w:rPr>
        <w:t>ABC</w:t>
      </w:r>
      <w:r w:rsidR="008F0539">
        <w:rPr>
          <w:rFonts w:asciiTheme="majorHAnsi" w:hAnsiTheme="majorHAnsi" w:cstheme="majorHAnsi"/>
          <w:sz w:val="24"/>
          <w:szCs w:val="24"/>
        </w:rPr>
        <w:t>)</w:t>
      </w:r>
      <w:r w:rsidR="00E7455A">
        <w:rPr>
          <w:rFonts w:asciiTheme="majorHAnsi" w:hAnsiTheme="majorHAnsi" w:cstheme="majorHAnsi"/>
          <w:sz w:val="24"/>
          <w:szCs w:val="24"/>
        </w:rPr>
        <w:t xml:space="preserve"> family,</w:t>
      </w:r>
      <w:r w:rsidR="00C0185E">
        <w:rPr>
          <w:rFonts w:asciiTheme="majorHAnsi" w:hAnsiTheme="majorHAnsi" w:cstheme="majorHAnsi"/>
          <w:sz w:val="24"/>
          <w:szCs w:val="24"/>
        </w:rPr>
        <w:t xml:space="preserve"> proteobacterial compound efflux</w:t>
      </w:r>
      <w:r w:rsidR="00E7455A">
        <w:rPr>
          <w:rFonts w:asciiTheme="majorHAnsi" w:hAnsiTheme="majorHAnsi" w:cstheme="majorHAnsi"/>
          <w:sz w:val="24"/>
          <w:szCs w:val="24"/>
        </w:rPr>
        <w:t xml:space="preserve"> </w:t>
      </w:r>
      <w:r w:rsidR="008F0539">
        <w:rPr>
          <w:rFonts w:asciiTheme="majorHAnsi" w:hAnsiTheme="majorHAnsi" w:cstheme="majorHAnsi"/>
          <w:sz w:val="24"/>
          <w:szCs w:val="24"/>
        </w:rPr>
        <w:t>(</w:t>
      </w:r>
      <w:r w:rsidR="00E7455A">
        <w:rPr>
          <w:rFonts w:asciiTheme="majorHAnsi" w:hAnsiTheme="majorHAnsi" w:cstheme="majorHAnsi"/>
          <w:sz w:val="24"/>
          <w:szCs w:val="24"/>
        </w:rPr>
        <w:t>PACE</w:t>
      </w:r>
      <w:r w:rsidR="008F0539">
        <w:rPr>
          <w:rFonts w:asciiTheme="majorHAnsi" w:hAnsiTheme="majorHAnsi" w:cstheme="majorHAnsi"/>
          <w:sz w:val="24"/>
          <w:szCs w:val="24"/>
        </w:rPr>
        <w:t>)</w:t>
      </w:r>
      <w:r w:rsidR="00C0185E">
        <w:rPr>
          <w:rFonts w:asciiTheme="majorHAnsi" w:hAnsiTheme="majorHAnsi" w:cstheme="majorHAnsi"/>
          <w:sz w:val="24"/>
          <w:szCs w:val="24"/>
        </w:rPr>
        <w:t xml:space="preserve"> family</w:t>
      </w:r>
      <w:r w:rsidR="00E7455A">
        <w:rPr>
          <w:rFonts w:asciiTheme="majorHAnsi" w:hAnsiTheme="majorHAnsi" w:cstheme="majorHAnsi"/>
          <w:sz w:val="24"/>
          <w:szCs w:val="24"/>
        </w:rPr>
        <w:t xml:space="preserve">, </w:t>
      </w:r>
      <w:r w:rsidR="008F0539">
        <w:rPr>
          <w:rFonts w:asciiTheme="majorHAnsi" w:hAnsiTheme="majorHAnsi" w:cstheme="majorHAnsi"/>
          <w:sz w:val="24"/>
          <w:szCs w:val="24"/>
        </w:rPr>
        <w:t>small multidrug resistance (</w:t>
      </w:r>
      <w:r w:rsidR="00E7455A">
        <w:rPr>
          <w:rFonts w:asciiTheme="majorHAnsi" w:hAnsiTheme="majorHAnsi" w:cstheme="majorHAnsi"/>
          <w:sz w:val="24"/>
          <w:szCs w:val="24"/>
        </w:rPr>
        <w:t>SMR</w:t>
      </w:r>
      <w:r w:rsidR="008F0539">
        <w:rPr>
          <w:rFonts w:asciiTheme="majorHAnsi" w:hAnsiTheme="majorHAnsi" w:cstheme="majorHAnsi"/>
          <w:sz w:val="24"/>
          <w:szCs w:val="24"/>
        </w:rPr>
        <w:t>) family</w:t>
      </w:r>
      <w:r w:rsidR="00E7455A">
        <w:rPr>
          <w:rFonts w:asciiTheme="majorHAnsi" w:hAnsiTheme="majorHAnsi" w:cstheme="majorHAnsi"/>
          <w:sz w:val="24"/>
          <w:szCs w:val="24"/>
        </w:rPr>
        <w:t xml:space="preserve">, </w:t>
      </w:r>
      <w:r w:rsidR="00792B9F">
        <w:rPr>
          <w:rFonts w:asciiTheme="majorHAnsi" w:hAnsiTheme="majorHAnsi" w:cstheme="majorHAnsi"/>
          <w:sz w:val="24"/>
          <w:szCs w:val="24"/>
        </w:rPr>
        <w:t>multidrug and toxic compound extrusion (</w:t>
      </w:r>
      <w:r w:rsidR="00E7455A">
        <w:rPr>
          <w:rFonts w:asciiTheme="majorHAnsi" w:hAnsiTheme="majorHAnsi" w:cstheme="majorHAnsi"/>
          <w:sz w:val="24"/>
          <w:szCs w:val="24"/>
        </w:rPr>
        <w:t>MATE</w:t>
      </w:r>
      <w:r w:rsidR="00792B9F">
        <w:rPr>
          <w:rFonts w:asciiTheme="majorHAnsi" w:hAnsiTheme="majorHAnsi" w:cstheme="majorHAnsi"/>
          <w:sz w:val="24"/>
          <w:szCs w:val="24"/>
        </w:rPr>
        <w:t>) family</w:t>
      </w:r>
      <w:r w:rsidR="00E7455A">
        <w:rPr>
          <w:rFonts w:asciiTheme="majorHAnsi" w:hAnsiTheme="majorHAnsi" w:cstheme="majorHAnsi"/>
          <w:sz w:val="24"/>
          <w:szCs w:val="24"/>
        </w:rPr>
        <w:t xml:space="preserve">, </w:t>
      </w:r>
      <w:r w:rsidR="008F0539">
        <w:rPr>
          <w:rFonts w:asciiTheme="majorHAnsi" w:hAnsiTheme="majorHAnsi" w:cstheme="majorHAnsi"/>
          <w:sz w:val="24"/>
          <w:szCs w:val="24"/>
        </w:rPr>
        <w:t xml:space="preserve">major facilitator </w:t>
      </w:r>
      <w:r w:rsidR="008F0539">
        <w:rPr>
          <w:rFonts w:asciiTheme="majorHAnsi" w:hAnsiTheme="majorHAnsi" w:cstheme="majorHAnsi"/>
          <w:sz w:val="24"/>
          <w:szCs w:val="24"/>
        </w:rPr>
        <w:lastRenderedPageBreak/>
        <w:t>superfamily (</w:t>
      </w:r>
      <w:r w:rsidR="00E7455A">
        <w:rPr>
          <w:rFonts w:asciiTheme="majorHAnsi" w:hAnsiTheme="majorHAnsi" w:cstheme="majorHAnsi"/>
          <w:sz w:val="24"/>
          <w:szCs w:val="24"/>
        </w:rPr>
        <w:t>MFS</w:t>
      </w:r>
      <w:r w:rsidR="008F0539">
        <w:rPr>
          <w:rFonts w:asciiTheme="majorHAnsi" w:hAnsiTheme="majorHAnsi" w:cstheme="majorHAnsi"/>
          <w:sz w:val="24"/>
          <w:szCs w:val="24"/>
        </w:rPr>
        <w:t>)</w:t>
      </w:r>
      <w:r w:rsidR="00E7455A">
        <w:rPr>
          <w:rFonts w:asciiTheme="majorHAnsi" w:hAnsiTheme="majorHAnsi" w:cstheme="majorHAnsi"/>
          <w:sz w:val="24"/>
          <w:szCs w:val="24"/>
        </w:rPr>
        <w:t xml:space="preserve"> (1- </w:t>
      </w:r>
      <w:r w:rsidR="008F0539">
        <w:rPr>
          <w:rFonts w:asciiTheme="majorHAnsi" w:hAnsiTheme="majorHAnsi" w:cstheme="majorHAnsi"/>
          <w:sz w:val="24"/>
          <w:szCs w:val="24"/>
        </w:rPr>
        <w:t>and 3-component)</w:t>
      </w:r>
      <w:r w:rsidR="00E7455A">
        <w:rPr>
          <w:rFonts w:asciiTheme="majorHAnsi" w:hAnsiTheme="majorHAnsi" w:cstheme="majorHAnsi"/>
          <w:sz w:val="24"/>
          <w:szCs w:val="24"/>
        </w:rPr>
        <w:t xml:space="preserve">, and </w:t>
      </w:r>
      <w:r w:rsidR="008F0539">
        <w:rPr>
          <w:rFonts w:asciiTheme="majorHAnsi" w:hAnsiTheme="majorHAnsi" w:cstheme="majorHAnsi"/>
          <w:sz w:val="24"/>
          <w:szCs w:val="24"/>
        </w:rPr>
        <w:t>r</w:t>
      </w:r>
      <w:r w:rsidR="00E7455A">
        <w:rPr>
          <w:rFonts w:asciiTheme="majorHAnsi" w:hAnsiTheme="majorHAnsi" w:cstheme="majorHAnsi"/>
          <w:sz w:val="24"/>
          <w:szCs w:val="24"/>
        </w:rPr>
        <w:t>esistance-nodulation-division</w:t>
      </w:r>
      <w:r w:rsidR="008F0539">
        <w:rPr>
          <w:rFonts w:asciiTheme="majorHAnsi" w:hAnsiTheme="majorHAnsi" w:cstheme="majorHAnsi"/>
          <w:sz w:val="24"/>
          <w:szCs w:val="24"/>
        </w:rPr>
        <w:t xml:space="preserve"> (RND) family</w:t>
      </w:r>
      <w:r w:rsidR="00AD1E8F">
        <w:rPr>
          <w:rFonts w:asciiTheme="majorHAnsi" w:hAnsiTheme="majorHAnsi" w:cstheme="majorHAnsi"/>
          <w:sz w:val="24"/>
          <w:szCs w:val="24"/>
        </w:rPr>
        <w:t>.</w:t>
      </w:r>
      <w:r w:rsidR="00AD1E8F">
        <w:rPr>
          <w:rFonts w:asciiTheme="majorHAnsi" w:hAnsiTheme="majorHAnsi" w:cstheme="majorHAnsi"/>
          <w:sz w:val="24"/>
          <w:szCs w:val="24"/>
        </w:rPr>
        <w:fldChar w:fldCharType="begin"/>
      </w:r>
      <w:r w:rsidR="002C3B0E">
        <w:rPr>
          <w:rFonts w:asciiTheme="majorHAnsi" w:hAnsiTheme="majorHAnsi" w:cstheme="majorHAnsi"/>
          <w:sz w:val="24"/>
          <w:szCs w:val="24"/>
        </w:rPr>
        <w:instrText xml:space="preserve"> ADDIN ZOTERO_ITEM CSL_CITATION {"citationID":"a1vmcui74pe","properties":{"formattedCitation":"\\super 24\\nosupersub{}","plainCitation":"24","noteIndex":0},"citationItems":[{"id":1749,"uris":["http://zotero.org/users/1918630/items/PNNP5NDY"],"itemData":{"id":1749,"type":"article-journal","abstract":"Multidrug efflux pumps function at the frontline to protect bacteria against antimicrobials by decreasing the intracellular concentration of drugs. This protective barrier consists of a series of transporter proteins, which are located in the bacterial cell membrane and periplasm and remove diverse extraneous substrates, including antimicrobials, organic solvents, toxic heavy metals, etc., from bacterial cells. This review systematically and comprehensively summarizes the functions of multiple efflux pumps families and discusses their potential applications. The biological functions of efflux pumps including their promotion of multidrug resistance, biofilm formation, quorum sensing, and survival and pathogenicity of bacteria are elucidated. The potential applications of efflux pump-related genes/proteins for the detection of antibiotic residues and antimicrobial resistance are also analyzed. Last but not least, efflux pump inhibitors, especially those of plant origin, are discussed.","container-title":"Antibiotics","DOI":"10.3390/antibiotics11040520","ISSN":"2079-6382","issue":"4","journalAbbreviation":"Antibiotics (Basel)","note":"PMID: 35453271\nPMCID: PMC9032748","page":"520","source":"PubMed Central","title":"Bacterial Multidrug Efflux Pumps at the Frontline of Antimicrobial Resistance: An Overview","title-short":"Bacterial Multidrug Efflux Pumps at the Frontline of Antimicrobial Resistance","volume":"11","author":[{"family":"Huang","given":"Lulu"},{"family":"Wu","given":"Cuirong"},{"family":"Gao","given":"Haijiao"},{"family":"Xu","given":"Chao"},{"family":"Dai","given":"Menghong"},{"family":"Huang","given":"Lingli"},{"family":"Hao","given":"Haihong"},{"family":"Wang","given":"Xu"},{"family":"Cheng","given":"Guyue"}],"issued":{"date-parts":[["2022",4,13]]}}}],"schema":"https://github.com/citation-style-language/schema/raw/master/csl-citation.json"} </w:instrText>
      </w:r>
      <w:r w:rsidR="00AD1E8F">
        <w:rPr>
          <w:rFonts w:asciiTheme="majorHAnsi" w:hAnsiTheme="majorHAnsi" w:cstheme="majorHAnsi"/>
          <w:sz w:val="24"/>
          <w:szCs w:val="24"/>
        </w:rPr>
        <w:fldChar w:fldCharType="separate"/>
      </w:r>
      <w:r w:rsidR="002C3B0E" w:rsidRPr="002C3B0E">
        <w:rPr>
          <w:rFonts w:ascii="Times New Roman" w:hAnsi="Times New Roman" w:cs="Times New Roman"/>
          <w:sz w:val="24"/>
          <w:vertAlign w:val="superscript"/>
        </w:rPr>
        <w:t>24</w:t>
      </w:r>
      <w:r w:rsidR="00AD1E8F">
        <w:rPr>
          <w:rFonts w:asciiTheme="majorHAnsi" w:hAnsiTheme="majorHAnsi" w:cstheme="majorHAnsi"/>
          <w:sz w:val="24"/>
          <w:szCs w:val="24"/>
        </w:rPr>
        <w:fldChar w:fldCharType="end"/>
      </w:r>
    </w:p>
    <w:p w14:paraId="42D2154A" w14:textId="277B2692" w:rsidR="001D7557" w:rsidRPr="001D7557" w:rsidRDefault="001D7557" w:rsidP="00590B25">
      <w:pPr>
        <w:spacing w:line="360" w:lineRule="auto"/>
        <w:jc w:val="both"/>
        <w:rPr>
          <w:rFonts w:asciiTheme="majorHAnsi" w:hAnsiTheme="majorHAnsi" w:cstheme="majorHAnsi"/>
          <w:sz w:val="24"/>
          <w:szCs w:val="24"/>
        </w:rPr>
      </w:pPr>
      <w:r>
        <w:rPr>
          <w:rFonts w:asciiTheme="majorHAnsi" w:hAnsiTheme="majorHAnsi" w:cstheme="majorHAnsi"/>
          <w:sz w:val="24"/>
          <w:szCs w:val="24"/>
        </w:rPr>
        <w:tab/>
      </w:r>
      <w:r w:rsidR="004E49EF">
        <w:rPr>
          <w:rFonts w:asciiTheme="majorHAnsi" w:hAnsiTheme="majorHAnsi" w:cstheme="majorHAnsi"/>
          <w:sz w:val="24"/>
          <w:szCs w:val="24"/>
        </w:rPr>
        <w:t xml:space="preserve">The efflux pump families shown in </w:t>
      </w:r>
      <w:r w:rsidR="004E49EF">
        <w:rPr>
          <w:rFonts w:asciiTheme="majorHAnsi" w:hAnsiTheme="majorHAnsi" w:cstheme="majorHAnsi"/>
          <w:b/>
          <w:bCs/>
          <w:sz w:val="24"/>
          <w:szCs w:val="24"/>
        </w:rPr>
        <w:t xml:space="preserve">Figure 1.6 </w:t>
      </w:r>
      <w:r w:rsidR="004E49EF">
        <w:rPr>
          <w:rFonts w:asciiTheme="majorHAnsi" w:hAnsiTheme="majorHAnsi" w:cstheme="majorHAnsi"/>
          <w:sz w:val="24"/>
          <w:szCs w:val="24"/>
        </w:rPr>
        <w:t xml:space="preserve">represent all known efflux pump families found within </w:t>
      </w:r>
      <w:r w:rsidR="004E49EF">
        <w:rPr>
          <w:rFonts w:asciiTheme="majorHAnsi" w:hAnsiTheme="majorHAnsi" w:cstheme="majorHAnsi"/>
          <w:i/>
          <w:iCs/>
          <w:sz w:val="24"/>
          <w:szCs w:val="24"/>
        </w:rPr>
        <w:t xml:space="preserve">A. </w:t>
      </w:r>
      <w:r w:rsidR="004E49EF" w:rsidRPr="002E4B38">
        <w:rPr>
          <w:rFonts w:asciiTheme="majorHAnsi" w:hAnsiTheme="majorHAnsi" w:cstheme="majorHAnsi"/>
          <w:i/>
          <w:iCs/>
          <w:sz w:val="24"/>
          <w:szCs w:val="24"/>
        </w:rPr>
        <w:t>baumannii</w:t>
      </w:r>
      <w:r w:rsidR="004E49EF">
        <w:rPr>
          <w:rFonts w:asciiTheme="majorHAnsi" w:hAnsiTheme="majorHAnsi" w:cstheme="majorHAnsi"/>
          <w:sz w:val="24"/>
          <w:szCs w:val="24"/>
        </w:rPr>
        <w:t xml:space="preserve"> as of 2022.</w:t>
      </w:r>
      <w:r w:rsidR="002E4B38">
        <w:rPr>
          <w:rFonts w:asciiTheme="majorHAnsi" w:hAnsiTheme="majorHAnsi" w:cstheme="majorHAnsi"/>
          <w:sz w:val="24"/>
          <w:szCs w:val="24"/>
        </w:rPr>
        <w:fldChar w:fldCharType="begin"/>
      </w:r>
      <w:r w:rsidR="002E4B38">
        <w:rPr>
          <w:rFonts w:asciiTheme="majorHAnsi" w:hAnsiTheme="majorHAnsi" w:cstheme="majorHAnsi"/>
          <w:sz w:val="24"/>
          <w:szCs w:val="24"/>
        </w:rPr>
        <w:instrText xml:space="preserve"> ADDIN ZOTERO_ITEM CSL_CITATION {"citationID":"a2csk5b0phb","properties":{"formattedCitation":"\\super 24\\nosupersub{}","plainCitation":"24","noteIndex":0},"citationItems":[{"id":1749,"uris":["http://zotero.org/users/1918630/items/PNNP5NDY"],"itemData":{"id":1749,"type":"article-journal","abstract":"Multidrug efflux pumps function at the frontline to protect bacteria against antimicrobials by decreasing the intracellular concentration of drugs. This protective barrier consists of a series of transporter proteins, which are located in the bacterial cell membrane and periplasm and remove diverse extraneous substrates, including antimicrobials, organic solvents, toxic heavy metals, etc., from bacterial cells. This review systematically and comprehensively summarizes the functions of multiple efflux pumps families and discusses their potential applications. The biological functions of efflux pumps including their promotion of multidrug resistance, biofilm formation, quorum sensing, and survival and pathogenicity of bacteria are elucidated. The potential applications of efflux pump-related genes/proteins for the detection of antibiotic residues and antimicrobial resistance are also analyzed. Last but not least, efflux pump inhibitors, especially those of plant origin, are discussed.","container-title":"Antibiotics","DOI":"10.3390/antibiotics11040520","ISSN":"2079-6382","issue":"4","journalAbbreviation":"Antibiotics (Basel)","note":"PMID: 35453271\nPMCID: PMC9032748","page":"520","source":"PubMed Central","title":"Bacterial Multidrug Efflux Pumps at the Frontline of Antimicrobial Resistance: An Overview","title-short":"Bacterial Multidrug Efflux Pumps at the Frontline of Antimicrobial Resistance","volume":"11","author":[{"family":"Huang","given":"Lulu"},{"family":"Wu","given":"Cuirong"},{"family":"Gao","given":"Haijiao"},{"family":"Xu","given":"Chao"},{"family":"Dai","given":"Menghong"},{"family":"Huang","given":"Lingli"},{"family":"Hao","given":"Haihong"},{"family":"Wang","given":"Xu"},{"family":"Cheng","given":"Guyue"}],"issued":{"date-parts":[["2022",4,13]]}}}],"schema":"https://github.com/citation-style-language/schema/raw/master/csl-citation.json"} </w:instrText>
      </w:r>
      <w:r w:rsidR="002E4B38">
        <w:rPr>
          <w:rFonts w:asciiTheme="majorHAnsi" w:hAnsiTheme="majorHAnsi" w:cstheme="majorHAnsi"/>
          <w:sz w:val="24"/>
          <w:szCs w:val="24"/>
        </w:rPr>
        <w:fldChar w:fldCharType="separate"/>
      </w:r>
      <w:r w:rsidR="002E4B38" w:rsidRPr="002E4B38">
        <w:rPr>
          <w:rFonts w:ascii="Times New Roman" w:hAnsi="Times New Roman" w:cs="Times New Roman"/>
          <w:sz w:val="24"/>
          <w:vertAlign w:val="superscript"/>
        </w:rPr>
        <w:t>24</w:t>
      </w:r>
      <w:r w:rsidR="002E4B38">
        <w:rPr>
          <w:rFonts w:asciiTheme="majorHAnsi" w:hAnsiTheme="majorHAnsi" w:cstheme="majorHAnsi"/>
          <w:sz w:val="24"/>
          <w:szCs w:val="24"/>
        </w:rPr>
        <w:fldChar w:fldCharType="end"/>
      </w:r>
      <w:r w:rsidR="004E49EF">
        <w:rPr>
          <w:rFonts w:asciiTheme="majorHAnsi" w:hAnsiTheme="majorHAnsi" w:cstheme="majorHAnsi"/>
          <w:sz w:val="24"/>
          <w:szCs w:val="24"/>
        </w:rPr>
        <w:t xml:space="preserve"> </w:t>
      </w:r>
      <w:r w:rsidRPr="004E49EF">
        <w:rPr>
          <w:rFonts w:asciiTheme="majorHAnsi" w:hAnsiTheme="majorHAnsi" w:cstheme="majorHAnsi"/>
          <w:sz w:val="24"/>
          <w:szCs w:val="24"/>
        </w:rPr>
        <w:t>The</w:t>
      </w:r>
      <w:r>
        <w:rPr>
          <w:rFonts w:asciiTheme="majorHAnsi" w:hAnsiTheme="majorHAnsi" w:cstheme="majorHAnsi"/>
          <w:sz w:val="24"/>
          <w:szCs w:val="24"/>
        </w:rPr>
        <w:t xml:space="preserve"> studies in the following research chapters of this dissertation focus on </w:t>
      </w:r>
      <w:r w:rsidR="002E4B38">
        <w:rPr>
          <w:rFonts w:asciiTheme="majorHAnsi" w:hAnsiTheme="majorHAnsi" w:cstheme="majorHAnsi"/>
          <w:sz w:val="24"/>
          <w:szCs w:val="24"/>
        </w:rPr>
        <w:t xml:space="preserve">just </w:t>
      </w:r>
      <w:r>
        <w:rPr>
          <w:rFonts w:asciiTheme="majorHAnsi" w:hAnsiTheme="majorHAnsi" w:cstheme="majorHAnsi"/>
          <w:sz w:val="24"/>
          <w:szCs w:val="24"/>
        </w:rPr>
        <w:t xml:space="preserve">the RND and MFS families of efflux pumps. Together, these two families cover a wide range of substrates exported by </w:t>
      </w:r>
      <w:r>
        <w:rPr>
          <w:rFonts w:asciiTheme="majorHAnsi" w:hAnsiTheme="majorHAnsi" w:cstheme="majorHAnsi"/>
          <w:i/>
          <w:iCs/>
          <w:sz w:val="24"/>
          <w:szCs w:val="24"/>
        </w:rPr>
        <w:t>A. baumannii</w:t>
      </w:r>
      <w:r>
        <w:rPr>
          <w:rFonts w:asciiTheme="majorHAnsi" w:hAnsiTheme="majorHAnsi" w:cstheme="majorHAnsi"/>
          <w:sz w:val="24"/>
          <w:szCs w:val="24"/>
        </w:rPr>
        <w:t xml:space="preserve">. </w:t>
      </w:r>
      <w:r w:rsidR="00D24762">
        <w:rPr>
          <w:rFonts w:asciiTheme="majorHAnsi" w:hAnsiTheme="majorHAnsi" w:cstheme="majorHAnsi"/>
          <w:sz w:val="24"/>
          <w:szCs w:val="24"/>
        </w:rPr>
        <w:t>In addition to exporting antibiotics, these kinds of efflux pumps have also been shown to contribute to physiological pathogenicity.</w:t>
      </w:r>
      <w:r w:rsidR="00D24762">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{"citationID":"DEM6wDM1","properties":{"formattedCitation":"\\super 25\\nosupersub{}","plainCitation":"25","noteIndex":0},"citationItems":[{"id":1315,"uris":["http://zotero.org/users/1918630/items/8FYEXGVE"],"itemData":{"id":1315,"type":"article-journal","abstract":"Multidrug efflux pumps are inner membrane transporters that export multiple antibiotics from the inside to the outside of bacterial cells, contributing to bacterial multidrug resistance (MDR). Postgenomic analysis has demonstrated that numerous multidrug efflux pumps exist in bacteria. Also, the co-crystal structural analysis of multidrug efflux pumps revealed the drug recognition and export mechanisms, and the inhibitory mechanisms of the pumps. A single multidrug efflux pump can export multiple antibiotics; hence, developing efflux pump inhibitors is crucial in overcoming infectious diseases caused by multidrug-resistant bacteria. This review article describes the role of multidrug efflux pumps in MDR, and their physiological functions and inhibitory mechanisms.","container-title":"Frontiers in Microbiology","DOI":"10.3389/fmicb.2021.737288","ISSN":"1664-302X","page":"3390","source":"Frontiers","title":"Function and Inhibitory Mechanisms of Multidrug Efflux Pumps","volume":"12","author":[{"family":"Nishino","given":"Kunihiko"},{"family":"Yamasaki","given":"Seiji"},{"family":"Nakashima","given":"Ryosuke"},{"family":"Zwama","given":"Martijn"},{"family":"Hayashi-Nishino","given":"Mitsuko"}],"issued":{"date-parts":[["2021"]]}}}],"schema":"https://github.com/citation-style-language/schema/raw/master/csl-citation.json"} </w:instrText>
      </w:r>
      <w:r w:rsidR="00D24762">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25</w:t>
      </w:r>
      <w:r w:rsidR="00D24762">
        <w:rPr>
          <w:rFonts w:asciiTheme="majorHAnsi" w:hAnsiTheme="majorHAnsi" w:cstheme="majorHAnsi"/>
          <w:sz w:val="24"/>
          <w:szCs w:val="24"/>
        </w:rPr>
        <w:fldChar w:fldCharType="end"/>
      </w:r>
      <w:r w:rsidR="00D24762">
        <w:rPr>
          <w:rFonts w:asciiTheme="majorHAnsi" w:hAnsiTheme="majorHAnsi" w:cstheme="majorHAnsi"/>
          <w:sz w:val="24"/>
          <w:szCs w:val="24"/>
        </w:rPr>
        <w:t xml:space="preserve"> </w:t>
      </w:r>
      <w:r w:rsidR="005028E6">
        <w:rPr>
          <w:rFonts w:asciiTheme="majorHAnsi" w:hAnsiTheme="majorHAnsi" w:cstheme="majorHAnsi"/>
          <w:sz w:val="24"/>
          <w:szCs w:val="24"/>
        </w:rPr>
        <w:t xml:space="preserve">Delving into the details of how these families of pumps function can give us much needed insight into the survival strategies of </w:t>
      </w:r>
      <w:r w:rsidR="005028E6">
        <w:rPr>
          <w:rFonts w:asciiTheme="majorHAnsi" w:hAnsiTheme="majorHAnsi" w:cstheme="majorHAnsi"/>
          <w:i/>
          <w:iCs/>
          <w:sz w:val="24"/>
          <w:szCs w:val="24"/>
        </w:rPr>
        <w:t>A. baumannii</w:t>
      </w:r>
      <w:r w:rsidR="005028E6">
        <w:rPr>
          <w:rFonts w:asciiTheme="majorHAnsi" w:hAnsiTheme="majorHAnsi" w:cstheme="majorHAnsi"/>
          <w:sz w:val="24"/>
          <w:szCs w:val="24"/>
        </w:rPr>
        <w:t>.</w:t>
      </w:r>
    </w:p>
    <w:p w14:paraId="22725A28" w14:textId="57FF81F8" w:rsidR="00251E74" w:rsidRPr="00DD6640" w:rsidRDefault="005403E4" w:rsidP="00C836F0">
      <w:pPr>
        <w:rPr>
          <w:rFonts w:asciiTheme="majorHAnsi" w:hAnsiTheme="majorHAnsi" w:cstheme="majorHAnsi"/>
          <w:sz w:val="24"/>
          <w:szCs w:val="24"/>
        </w:rPr>
      </w:pPr>
      <w:r>
        <w:rPr>
          <w:rFonts w:asciiTheme="majorHAnsi" w:hAnsiTheme="majorHAnsi" w:cstheme="majorHAnsi"/>
          <w:sz w:val="24"/>
          <w:szCs w:val="24"/>
          <w:u w:val="single"/>
        </w:rPr>
        <w:t xml:space="preserve">1.3.1. </w:t>
      </w:r>
      <w:r w:rsidR="001D3B45">
        <w:rPr>
          <w:rFonts w:asciiTheme="majorHAnsi" w:hAnsiTheme="majorHAnsi" w:cstheme="majorHAnsi"/>
          <w:sz w:val="24"/>
          <w:szCs w:val="24"/>
          <w:u w:val="single"/>
        </w:rPr>
        <w:t xml:space="preserve">Resistance-Nodulation-Division (RND) </w:t>
      </w:r>
      <w:r w:rsidR="00FE6F17">
        <w:rPr>
          <w:rFonts w:asciiTheme="majorHAnsi" w:hAnsiTheme="majorHAnsi" w:cstheme="majorHAnsi"/>
          <w:sz w:val="24"/>
          <w:szCs w:val="24"/>
          <w:u w:val="single"/>
        </w:rPr>
        <w:t>s</w:t>
      </w:r>
      <w:r w:rsidR="001D3B45">
        <w:rPr>
          <w:rFonts w:asciiTheme="majorHAnsi" w:hAnsiTheme="majorHAnsi" w:cstheme="majorHAnsi"/>
          <w:sz w:val="24"/>
          <w:szCs w:val="24"/>
          <w:u w:val="single"/>
        </w:rPr>
        <w:t>uperfamily</w:t>
      </w:r>
    </w:p>
    <w:p w14:paraId="73F2E956" w14:textId="4CF2A3C9" w:rsidR="00F81B96" w:rsidRDefault="00555815" w:rsidP="0021013E">
      <w:pPr>
        <w:spacing w:line="360" w:lineRule="auto"/>
        <w:rPr>
          <w:rFonts w:asciiTheme="majorHAnsi" w:hAnsiTheme="majorHAnsi" w:cstheme="majorHAnsi"/>
          <w:b/>
          <w:bCs/>
          <w:sz w:val="24"/>
          <w:szCs w:val="24"/>
        </w:rPr>
      </w:pPr>
      <w:r w:rsidRPr="00555815">
        <w:rPr>
          <w:rFonts w:asciiTheme="majorHAnsi" w:hAnsiTheme="majorHAnsi" w:cstheme="majorHAnsi"/>
          <w:noProof/>
          <w:sz w:val="24"/>
          <w:szCs w:val="24"/>
        </w:rPr>
        <w:drawing>
          <wp:inline distT="0" distB="0" distL="0" distR="0" wp14:anchorId="7078FE12" wp14:editId="78CE3BB7">
            <wp:extent cx="5486400" cy="2527300"/>
            <wp:effectExtent l="0" t="0" r="0" b="6350"/>
            <wp:docPr id="2622486" name="Picture 1" descr="A diagram of the structure of the human bod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486" name="Picture 1" descr="A diagram of the structure of the human body&#10;&#10;Description automatically generated with medium confidence"/>
                    <pic:cNvPicPr/>
                  </pic:nvPicPr>
                  <pic:blipFill>
                    <a:blip r:embed="rId17"/>
                    <a:stretch>
                      <a:fillRect/>
                    </a:stretch>
                  </pic:blipFill>
                  <pic:spPr>
                    <a:xfrm>
                      <a:off x="0" y="0"/>
                      <a:ext cx="5486400" cy="2527300"/>
                    </a:xfrm>
                    <a:prstGeom prst="rect">
                      <a:avLst/>
                    </a:prstGeom>
                  </pic:spPr>
                </pic:pic>
              </a:graphicData>
            </a:graphic>
          </wp:inline>
        </w:drawing>
      </w:r>
      <w:r w:rsidR="00F81B96" w:rsidRPr="0010112A">
        <w:rPr>
          <w:rFonts w:asciiTheme="majorHAnsi" w:hAnsiTheme="majorHAnsi" w:cstheme="majorHAnsi"/>
          <w:b/>
          <w:bCs/>
          <w:sz w:val="24"/>
          <w:szCs w:val="24"/>
        </w:rPr>
        <w:t>Figure 1.</w:t>
      </w:r>
      <w:r w:rsidR="00FE6F17" w:rsidRPr="0010112A">
        <w:rPr>
          <w:rFonts w:asciiTheme="majorHAnsi" w:hAnsiTheme="majorHAnsi" w:cstheme="majorHAnsi"/>
          <w:b/>
          <w:bCs/>
          <w:sz w:val="24"/>
          <w:szCs w:val="24"/>
        </w:rPr>
        <w:t>7</w:t>
      </w:r>
      <w:r w:rsidR="00F81B96" w:rsidRPr="0010112A">
        <w:rPr>
          <w:rFonts w:asciiTheme="majorHAnsi" w:hAnsiTheme="majorHAnsi" w:cstheme="majorHAnsi"/>
          <w:b/>
          <w:bCs/>
          <w:sz w:val="24"/>
          <w:szCs w:val="24"/>
        </w:rPr>
        <w:t xml:space="preserve"> </w:t>
      </w:r>
      <w:proofErr w:type="spellStart"/>
      <w:r w:rsidR="00A108DE" w:rsidRPr="0010112A">
        <w:rPr>
          <w:rFonts w:asciiTheme="majorHAnsi" w:hAnsiTheme="majorHAnsi" w:cstheme="majorHAnsi"/>
          <w:b/>
          <w:bCs/>
          <w:sz w:val="24"/>
          <w:szCs w:val="24"/>
        </w:rPr>
        <w:t>AcrAB</w:t>
      </w:r>
      <w:r w:rsidR="00A108DE" w:rsidRPr="00F97206">
        <w:rPr>
          <w:rFonts w:asciiTheme="majorHAnsi" w:hAnsiTheme="majorHAnsi" w:cstheme="majorHAnsi"/>
          <w:b/>
          <w:bCs/>
          <w:sz w:val="24"/>
          <w:szCs w:val="24"/>
        </w:rPr>
        <w:t>-TolC</w:t>
      </w:r>
      <w:proofErr w:type="spellEnd"/>
      <w:r w:rsidR="00A108DE" w:rsidRPr="00F97206">
        <w:rPr>
          <w:rFonts w:asciiTheme="majorHAnsi" w:hAnsiTheme="majorHAnsi" w:cstheme="majorHAnsi"/>
          <w:b/>
          <w:bCs/>
          <w:sz w:val="24"/>
          <w:szCs w:val="24"/>
        </w:rPr>
        <w:t xml:space="preserve"> </w:t>
      </w:r>
      <w:r w:rsidR="00FE6F17">
        <w:rPr>
          <w:rFonts w:asciiTheme="majorHAnsi" w:hAnsiTheme="majorHAnsi" w:cstheme="majorHAnsi"/>
          <w:b/>
          <w:bCs/>
          <w:sz w:val="24"/>
          <w:szCs w:val="24"/>
        </w:rPr>
        <w:t>p</w:t>
      </w:r>
      <w:r w:rsidR="00A108DE" w:rsidRPr="00F97206">
        <w:rPr>
          <w:rFonts w:asciiTheme="majorHAnsi" w:hAnsiTheme="majorHAnsi" w:cstheme="majorHAnsi"/>
          <w:b/>
          <w:bCs/>
          <w:sz w:val="24"/>
          <w:szCs w:val="24"/>
        </w:rPr>
        <w:t xml:space="preserve">rotomers and </w:t>
      </w:r>
      <w:r w:rsidR="00FE6F17">
        <w:rPr>
          <w:rFonts w:asciiTheme="majorHAnsi" w:hAnsiTheme="majorHAnsi" w:cstheme="majorHAnsi"/>
          <w:b/>
          <w:bCs/>
          <w:sz w:val="24"/>
          <w:szCs w:val="24"/>
        </w:rPr>
        <w:t>tripartite c</w:t>
      </w:r>
      <w:r w:rsidR="00A108DE" w:rsidRPr="00F97206">
        <w:rPr>
          <w:rFonts w:asciiTheme="majorHAnsi" w:hAnsiTheme="majorHAnsi" w:cstheme="majorHAnsi"/>
          <w:b/>
          <w:bCs/>
          <w:sz w:val="24"/>
          <w:szCs w:val="24"/>
        </w:rPr>
        <w:t>omplex</w:t>
      </w:r>
    </w:p>
    <w:p w14:paraId="1AD966C8" w14:textId="6A7E577E" w:rsidR="00F81B96" w:rsidRPr="00072D2A" w:rsidRDefault="00A108DE" w:rsidP="00072D2A">
      <w:pPr>
        <w:spacing w:line="240" w:lineRule="auto"/>
        <w:rPr>
          <w:rFonts w:asciiTheme="majorHAnsi" w:hAnsiTheme="majorHAnsi" w:cstheme="majorHAnsi"/>
          <w:sz w:val="24"/>
          <w:szCs w:val="24"/>
        </w:rPr>
      </w:pPr>
      <w:r w:rsidRPr="00072D2A">
        <w:rPr>
          <w:rFonts w:asciiTheme="majorHAnsi" w:hAnsiTheme="majorHAnsi" w:cstheme="majorHAnsi"/>
          <w:sz w:val="24"/>
          <w:szCs w:val="24"/>
        </w:rPr>
        <w:t xml:space="preserve">Structures of the </w:t>
      </w:r>
      <w:proofErr w:type="spellStart"/>
      <w:r w:rsidRPr="00072D2A">
        <w:rPr>
          <w:rFonts w:asciiTheme="majorHAnsi" w:hAnsiTheme="majorHAnsi" w:cstheme="majorHAnsi"/>
          <w:sz w:val="24"/>
          <w:szCs w:val="24"/>
        </w:rPr>
        <w:t>AcrAB-TolC</w:t>
      </w:r>
      <w:proofErr w:type="spellEnd"/>
      <w:r w:rsidRPr="00072D2A">
        <w:rPr>
          <w:rFonts w:asciiTheme="majorHAnsi" w:hAnsiTheme="majorHAnsi" w:cstheme="majorHAnsi"/>
          <w:sz w:val="24"/>
          <w:szCs w:val="24"/>
        </w:rPr>
        <w:t xml:space="preserve"> proteins (PDB code 5V5S)</w:t>
      </w:r>
      <w:r w:rsidRPr="00072D2A">
        <w:rPr>
          <w:rFonts w:asciiTheme="majorHAnsi" w:hAnsiTheme="majorHAnsi" w:cstheme="majorHAnsi"/>
          <w:sz w:val="24"/>
          <w:szCs w:val="24"/>
        </w:rPr>
        <w:fldChar w:fldCharType="begin"/>
      </w:r>
      <w:r w:rsidR="00D24762" w:rsidRPr="00072D2A">
        <w:rPr>
          <w:rFonts w:asciiTheme="majorHAnsi" w:hAnsiTheme="majorHAnsi" w:cstheme="majorHAnsi"/>
          <w:sz w:val="24"/>
          <w:szCs w:val="24"/>
        </w:rPr>
        <w:instrText xml:space="preserve"> ADDIN ZOTERO_ITEM CSL_CITATION {"citationID":"nz92whsc","properties":{"formattedCitation":"\\super 26\\nosupersub{}","plainCitation":"26","noteIndex":0},"citationItems":[{"id":2038,"uris":["http://zotero.org/users/1918630/items/WGXFXES9"],"itemData":{"id":2038,"type":"article-journal","abstract":"Bacterial efflux pumps confer multidrug resistance by transporting diverse antibiotics from the cell. In Gram-negative bacteria, some of these pumps form multi-protein assemblies that span the cell envelope. Here, we report the near-atomic resolution cryoEM structures of the Escherichia coli AcrAB-TolC multidrug efflux pump in resting and drug transport states, revealing a quaternary structural switch that allosterically couples and synchronizes initial ligand binding with channel opening. Within the transport-activated state, the channel remains open even though the pump cycles through three distinct conformations. Collectively, our data provide a dynamic mechanism for the assembly and operation of the AcrAB-TolC pump.","container-title":"eLife","DOI":"10.7554/eLife.24905","ISSN":"2050-084X","note":"publisher: eLife Sciences Publications, Ltd","page":"e24905","source":"eLife","title":"An allosteric transport mechanism for the AcrAB-TolC multidrug efflux pump","volume":"6","author":[{"family":"Wang","given":"Zhao"},{"family":"Fan","given":"Guizhen"},{"family":"Hryc","given":"Corey F"},{"family":"Blaza","given":"James N"},{"family":"Serysheva","given":"Irina I"},{"family":"Schmid","given":"Michael F"},{"family":"Chiu","given":"Wah"},{"family":"Luisi","given":"Ben F"},{"family":"Du","given":"Dijun"}],"editor":[{"family":"Boudker","given":"Olga"}],"issued":{"date-parts":[["2017",3,29]]}}}],"schema":"https://github.com/citation-style-language/schema/raw/master/csl-citation.json"} </w:instrText>
      </w:r>
      <w:r w:rsidRPr="00072D2A">
        <w:rPr>
          <w:rFonts w:asciiTheme="majorHAnsi" w:hAnsiTheme="majorHAnsi" w:cstheme="majorHAnsi"/>
          <w:sz w:val="24"/>
          <w:szCs w:val="24"/>
        </w:rPr>
        <w:fldChar w:fldCharType="separate"/>
      </w:r>
      <w:r w:rsidR="00D24762" w:rsidRPr="00072D2A">
        <w:rPr>
          <w:rFonts w:ascii="Times New Roman" w:hAnsi="Times New Roman" w:cs="Times New Roman"/>
          <w:sz w:val="24"/>
          <w:szCs w:val="24"/>
          <w:vertAlign w:val="superscript"/>
        </w:rPr>
        <w:t>26</w:t>
      </w:r>
      <w:r w:rsidRPr="00072D2A">
        <w:rPr>
          <w:rFonts w:asciiTheme="majorHAnsi" w:hAnsiTheme="majorHAnsi" w:cstheme="majorHAnsi"/>
          <w:sz w:val="24"/>
          <w:szCs w:val="24"/>
        </w:rPr>
        <w:fldChar w:fldCharType="end"/>
      </w:r>
      <w:r w:rsidR="009F547B" w:rsidRPr="00072D2A">
        <w:rPr>
          <w:rFonts w:asciiTheme="majorHAnsi" w:hAnsiTheme="majorHAnsi" w:cstheme="majorHAnsi"/>
          <w:sz w:val="24"/>
          <w:szCs w:val="24"/>
        </w:rPr>
        <w:t>.</w:t>
      </w:r>
      <w:r w:rsidR="009F547B" w:rsidRPr="00072D2A">
        <w:rPr>
          <w:b/>
          <w:bCs/>
          <w:sz w:val="24"/>
          <w:szCs w:val="24"/>
        </w:rPr>
        <w:t xml:space="preserve"> A</w:t>
      </w:r>
      <w:r w:rsidR="009F547B" w:rsidRPr="00072D2A">
        <w:rPr>
          <w:sz w:val="24"/>
          <w:szCs w:val="24"/>
        </w:rPr>
        <w:t xml:space="preserve">) AcrB protomer showing N- to C- terminus as a blue to red rainbow gradient. The docking, porter, and transmembrane domains are labeled. </w:t>
      </w:r>
      <w:r w:rsidR="009F547B" w:rsidRPr="00072D2A">
        <w:rPr>
          <w:b/>
          <w:bCs/>
          <w:sz w:val="24"/>
          <w:szCs w:val="24"/>
        </w:rPr>
        <w:t>B</w:t>
      </w:r>
      <w:r w:rsidR="009F547B" w:rsidRPr="00072D2A">
        <w:rPr>
          <w:sz w:val="24"/>
          <w:szCs w:val="24"/>
        </w:rPr>
        <w:t xml:space="preserve">) </w:t>
      </w:r>
      <w:proofErr w:type="spellStart"/>
      <w:r w:rsidR="009F547B" w:rsidRPr="00072D2A">
        <w:rPr>
          <w:sz w:val="24"/>
          <w:szCs w:val="24"/>
        </w:rPr>
        <w:t>AcrA</w:t>
      </w:r>
      <w:proofErr w:type="spellEnd"/>
      <w:r w:rsidR="009F547B" w:rsidRPr="00072D2A">
        <w:rPr>
          <w:sz w:val="24"/>
          <w:szCs w:val="24"/>
        </w:rPr>
        <w:t xml:space="preserve"> protomer showing N- to C- terminus as a blue to red rainbow gradient. The alpha-hairpin, </w:t>
      </w:r>
      <w:proofErr w:type="spellStart"/>
      <w:r w:rsidR="009F547B" w:rsidRPr="00072D2A">
        <w:rPr>
          <w:sz w:val="24"/>
          <w:szCs w:val="24"/>
        </w:rPr>
        <w:t>lipoyl</w:t>
      </w:r>
      <w:proofErr w:type="spellEnd"/>
      <w:r w:rsidR="009F547B" w:rsidRPr="00072D2A">
        <w:rPr>
          <w:sz w:val="24"/>
          <w:szCs w:val="24"/>
        </w:rPr>
        <w:t xml:space="preserve">, beta-barrel, and membrane proximal domains are labeled. </w:t>
      </w:r>
      <w:r w:rsidR="009F547B" w:rsidRPr="00072D2A">
        <w:rPr>
          <w:b/>
          <w:bCs/>
          <w:sz w:val="24"/>
          <w:szCs w:val="24"/>
        </w:rPr>
        <w:t>C</w:t>
      </w:r>
      <w:r w:rsidR="009F547B" w:rsidRPr="00072D2A">
        <w:rPr>
          <w:sz w:val="24"/>
          <w:szCs w:val="24"/>
        </w:rPr>
        <w:t xml:space="preserve">) </w:t>
      </w:r>
      <w:proofErr w:type="spellStart"/>
      <w:r w:rsidR="009F547B" w:rsidRPr="00072D2A">
        <w:rPr>
          <w:sz w:val="24"/>
          <w:szCs w:val="24"/>
        </w:rPr>
        <w:t>TolC</w:t>
      </w:r>
      <w:proofErr w:type="spellEnd"/>
      <w:r w:rsidR="009F547B" w:rsidRPr="00072D2A">
        <w:rPr>
          <w:sz w:val="24"/>
          <w:szCs w:val="24"/>
        </w:rPr>
        <w:t xml:space="preserve"> protomer showing N- to C- terminus as a blue to red rainbow gradient. The beta-barrel and alpha-helical domains are labeled.</w:t>
      </w:r>
      <w:r w:rsidR="009F547B" w:rsidRPr="00072D2A">
        <w:rPr>
          <w:b/>
          <w:bCs/>
          <w:sz w:val="24"/>
          <w:szCs w:val="24"/>
        </w:rPr>
        <w:t xml:space="preserve"> D</w:t>
      </w:r>
      <w:r w:rsidR="009F547B" w:rsidRPr="00072D2A">
        <w:rPr>
          <w:sz w:val="24"/>
          <w:szCs w:val="24"/>
        </w:rPr>
        <w:t xml:space="preserve">) </w:t>
      </w:r>
      <w:r w:rsidR="009F547B" w:rsidRPr="00072D2A">
        <w:rPr>
          <w:rFonts w:asciiTheme="majorHAnsi" w:hAnsiTheme="majorHAnsi" w:cstheme="majorHAnsi"/>
          <w:sz w:val="24"/>
          <w:szCs w:val="24"/>
        </w:rPr>
        <w:t xml:space="preserve">Assembled </w:t>
      </w:r>
      <w:proofErr w:type="spellStart"/>
      <w:r w:rsidR="009F547B" w:rsidRPr="00072D2A">
        <w:rPr>
          <w:rFonts w:asciiTheme="majorHAnsi" w:hAnsiTheme="majorHAnsi" w:cstheme="majorHAnsi"/>
          <w:sz w:val="24"/>
          <w:szCs w:val="24"/>
        </w:rPr>
        <w:t>AcrAB-TolC</w:t>
      </w:r>
      <w:proofErr w:type="spellEnd"/>
      <w:r w:rsidR="009F547B" w:rsidRPr="00072D2A">
        <w:rPr>
          <w:rFonts w:asciiTheme="majorHAnsi" w:hAnsiTheme="majorHAnsi" w:cstheme="majorHAnsi"/>
          <w:sz w:val="24"/>
          <w:szCs w:val="24"/>
        </w:rPr>
        <w:t xml:space="preserve"> complex with </w:t>
      </w:r>
      <w:proofErr w:type="spellStart"/>
      <w:r w:rsidR="009F547B" w:rsidRPr="00072D2A">
        <w:rPr>
          <w:rFonts w:asciiTheme="majorHAnsi" w:hAnsiTheme="majorHAnsi" w:cstheme="majorHAnsi"/>
          <w:sz w:val="24"/>
          <w:szCs w:val="24"/>
        </w:rPr>
        <w:t>TolC</w:t>
      </w:r>
      <w:proofErr w:type="spellEnd"/>
      <w:r w:rsidR="009F547B" w:rsidRPr="00072D2A">
        <w:rPr>
          <w:rFonts w:asciiTheme="majorHAnsi" w:hAnsiTheme="majorHAnsi" w:cstheme="majorHAnsi"/>
          <w:sz w:val="24"/>
          <w:szCs w:val="24"/>
        </w:rPr>
        <w:t xml:space="preserve"> (yellow), </w:t>
      </w:r>
      <w:proofErr w:type="spellStart"/>
      <w:r w:rsidR="009F547B" w:rsidRPr="00072D2A">
        <w:rPr>
          <w:rFonts w:asciiTheme="majorHAnsi" w:hAnsiTheme="majorHAnsi" w:cstheme="majorHAnsi"/>
          <w:sz w:val="24"/>
          <w:szCs w:val="24"/>
        </w:rPr>
        <w:t>AcrA</w:t>
      </w:r>
      <w:proofErr w:type="spellEnd"/>
      <w:r w:rsidR="009F547B" w:rsidRPr="00072D2A">
        <w:rPr>
          <w:rFonts w:asciiTheme="majorHAnsi" w:hAnsiTheme="majorHAnsi" w:cstheme="majorHAnsi"/>
          <w:sz w:val="24"/>
          <w:szCs w:val="24"/>
        </w:rPr>
        <w:t xml:space="preserve"> (magenta), and AcrB (blue).</w:t>
      </w:r>
    </w:p>
    <w:p w14:paraId="613BCE56" w14:textId="6CA16B44" w:rsidR="009E0C0A" w:rsidRPr="00AF566C" w:rsidRDefault="009E0C0A" w:rsidP="005028E6">
      <w:pPr>
        <w:spacing w:line="360" w:lineRule="auto"/>
        <w:ind w:firstLine="720"/>
        <w:rPr>
          <w:rFonts w:asciiTheme="majorHAnsi" w:hAnsiTheme="majorHAnsi" w:cstheme="majorHAnsi"/>
          <w:sz w:val="24"/>
          <w:szCs w:val="24"/>
        </w:rPr>
      </w:pPr>
      <w:r>
        <w:rPr>
          <w:rFonts w:asciiTheme="majorHAnsi" w:hAnsiTheme="majorHAnsi" w:cstheme="majorHAnsi"/>
          <w:sz w:val="24"/>
          <w:szCs w:val="24"/>
        </w:rPr>
        <w:t>The RND (Resistance-Nodulation-Division) Superfamily is a class of efflux pumps dependent on the proton motive force and act as proton/drug antiporters.</w:t>
      </w:r>
      <w:r w:rsidR="005403E4">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{"citationID":"DNAeHO6n","properties":{"formattedCitation":"\\super 27\\nosupersub{}","plainCitation":"27","noteIndex":0},"citationItems":[{"id":2017,"uris":["http://zotero.org/users/1918630/items/L46F95RC"],"itemData":{"id":2017,"type":"article-journal","abstract":"RND (Resistance-Nodulation-Division) family transporters are widespread especially among Gram-negative bacteria, and catalyze the active efflux of many antibiotics and chemotherapeutic agents. They have very large periplasmic domains, and form tripartite complexes with outer membrane channels and periplasmic adaptor proteins. AcrAB-TolC complex of Escherichia coli, which pumps out a very wide range of drugs, has been studied most intensively. Early studies showed that the transporter captures even those substrates that cannot permeate across the cytoplasmic membrane, such as dianionic β-lactams, suggesting that the capture can occur from the periplasm. It was also suggested that the capture occurs from the cytoplasmic membrane/periplasm interface, because most substrates contain a sizable hydrophobic domain; however, this may simply be a reflection of the nature of the binding site within AcrB. Genetic studies of chimeric transporters showed that much of the substrate specificity is determined by their periplasmic domains. Biochemical studies with intact cells recently led to the determination of the kinetic constants of AcrB for some β-lactams, and the result confirms the old prediction that AcrB is a rather slow pump. Reconstitution of purified AcrB and its relatives showed that the pump is a drug/proton antiporter, that AcrA strongly stimulates the activity of the pump, and that AcrB seems to have a highest affinity for conjugated bile salts. Structural study with mutants of the network of charged residues in the transmembrane domain showed that protonation here produced a far-reaching conformational change, which was found to be present in one of the protomers in the asymmetric crystal structure of the wild-type AcrB. The functional rotatory hypothesis then predicts that the drug bound in the periplasmic domain is extruded through this conformational change initiated by the protonation of one of the residues in the aforementioned network, an idea that was recently supported by disulfide cross-linking as well as by the behavior of linked AcrB protomers.","container-title":"Biochimica et biophysica acta","DOI":"10.1016/j.bbapap.2008.10.004","ISSN":"0006-3002","issue":"5","journalAbbreviation":"Biochim Biophys Acta","note":"PMID: 19026770\nPMCID: PMC2696896","page":"769-781","source":"PubMed Central","title":"Mechanisms of RND Multidrug Efflux Pumps","volume":"1794","author":[{"family":"Nikaido","given":"Hiroshi"},{"family":"Takatsuka","given":"Yumiko"}],"issued":{"date-parts":[["2009",5]]}}}],"schema":"https://github.com/citation-style-language/schema/raw/master/csl-citation.json"} </w:instrText>
      </w:r>
      <w:r w:rsidR="005403E4">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27</w:t>
      </w:r>
      <w:r w:rsidR="005403E4">
        <w:rPr>
          <w:rFonts w:asciiTheme="majorHAnsi" w:hAnsiTheme="majorHAnsi" w:cstheme="majorHAnsi"/>
          <w:sz w:val="24"/>
          <w:szCs w:val="24"/>
        </w:rPr>
        <w:fldChar w:fldCharType="end"/>
      </w:r>
      <w:r>
        <w:rPr>
          <w:rFonts w:asciiTheme="majorHAnsi" w:hAnsiTheme="majorHAnsi" w:cstheme="majorHAnsi"/>
          <w:sz w:val="24"/>
          <w:szCs w:val="24"/>
        </w:rPr>
        <w:t xml:space="preserve"> They are essential for exporting drugs and small toxic molecules located in the periplasmic </w:t>
      </w:r>
      <w:r>
        <w:rPr>
          <w:rFonts w:asciiTheme="majorHAnsi" w:hAnsiTheme="majorHAnsi" w:cstheme="majorHAnsi"/>
          <w:sz w:val="24"/>
          <w:szCs w:val="24"/>
        </w:rPr>
        <w:lastRenderedPageBreak/>
        <w:t>region of the cell envelope in Gram-negative bacteria.</w:t>
      </w:r>
      <w:r w:rsidR="00645D17">
        <w:rPr>
          <w:rFonts w:asciiTheme="majorHAnsi" w:hAnsiTheme="majorHAnsi" w:cstheme="majorHAnsi"/>
          <w:sz w:val="24"/>
          <w:szCs w:val="24"/>
        </w:rPr>
        <w:t xml:space="preserve"> Pumping out these molecules reduces the intracellular concentration of an antibiotic and diminishe</w:t>
      </w:r>
      <w:r w:rsidR="00F700DF">
        <w:rPr>
          <w:rFonts w:asciiTheme="majorHAnsi" w:hAnsiTheme="majorHAnsi" w:cstheme="majorHAnsi"/>
          <w:sz w:val="24"/>
          <w:szCs w:val="24"/>
        </w:rPr>
        <w:t>s its</w:t>
      </w:r>
      <w:r w:rsidR="00645D17">
        <w:rPr>
          <w:rFonts w:asciiTheme="majorHAnsi" w:hAnsiTheme="majorHAnsi" w:cstheme="majorHAnsi"/>
          <w:sz w:val="24"/>
          <w:szCs w:val="24"/>
        </w:rPr>
        <w:t xml:space="preserve"> efficacy.</w:t>
      </w:r>
      <w:r>
        <w:rPr>
          <w:rFonts w:asciiTheme="majorHAnsi" w:hAnsiTheme="majorHAnsi" w:cstheme="majorHAnsi"/>
          <w:sz w:val="24"/>
          <w:szCs w:val="24"/>
        </w:rPr>
        <w:t xml:space="preserve"> </w:t>
      </w:r>
      <w:r w:rsidR="00AF566C">
        <w:rPr>
          <w:rFonts w:asciiTheme="majorHAnsi" w:hAnsiTheme="majorHAnsi" w:cstheme="majorHAnsi"/>
          <w:i/>
          <w:iCs/>
          <w:sz w:val="24"/>
          <w:szCs w:val="24"/>
        </w:rPr>
        <w:t>A. baumannii</w:t>
      </w:r>
      <w:r w:rsidR="00AF566C">
        <w:rPr>
          <w:rFonts w:asciiTheme="majorHAnsi" w:hAnsiTheme="majorHAnsi" w:cstheme="majorHAnsi"/>
          <w:sz w:val="24"/>
          <w:szCs w:val="24"/>
        </w:rPr>
        <w:t xml:space="preserve"> genomes contain at least three RND efflux pumps</w:t>
      </w:r>
      <w:r w:rsidR="005028E6">
        <w:rPr>
          <w:rFonts w:asciiTheme="majorHAnsi" w:hAnsiTheme="majorHAnsi" w:cstheme="majorHAnsi"/>
          <w:sz w:val="24"/>
          <w:szCs w:val="24"/>
        </w:rPr>
        <w:t xml:space="preserve">: </w:t>
      </w:r>
      <w:proofErr w:type="spellStart"/>
      <w:r w:rsidR="005028E6">
        <w:rPr>
          <w:rFonts w:asciiTheme="majorHAnsi" w:hAnsiTheme="majorHAnsi" w:cstheme="majorHAnsi"/>
          <w:sz w:val="24"/>
          <w:szCs w:val="24"/>
        </w:rPr>
        <w:t>AdeABC</w:t>
      </w:r>
      <w:proofErr w:type="spellEnd"/>
      <w:r w:rsidR="005028E6">
        <w:rPr>
          <w:rFonts w:asciiTheme="majorHAnsi" w:hAnsiTheme="majorHAnsi" w:cstheme="majorHAnsi"/>
          <w:sz w:val="24"/>
          <w:szCs w:val="24"/>
        </w:rPr>
        <w:t xml:space="preserve">, </w:t>
      </w:r>
      <w:proofErr w:type="spellStart"/>
      <w:r w:rsidR="005028E6">
        <w:rPr>
          <w:rFonts w:asciiTheme="majorHAnsi" w:hAnsiTheme="majorHAnsi" w:cstheme="majorHAnsi"/>
          <w:sz w:val="24"/>
          <w:szCs w:val="24"/>
        </w:rPr>
        <w:t>AdeIJK</w:t>
      </w:r>
      <w:proofErr w:type="spellEnd"/>
      <w:r w:rsidR="005028E6">
        <w:rPr>
          <w:rFonts w:asciiTheme="majorHAnsi" w:hAnsiTheme="majorHAnsi" w:cstheme="majorHAnsi"/>
          <w:sz w:val="24"/>
          <w:szCs w:val="24"/>
        </w:rPr>
        <w:t>, and AdeFGH.</w:t>
      </w:r>
      <w:r w:rsidR="00660D7B">
        <w:rPr>
          <w:rFonts w:asciiTheme="majorHAnsi" w:hAnsiTheme="majorHAnsi" w:cstheme="majorHAnsi"/>
          <w:sz w:val="24"/>
          <w:szCs w:val="24"/>
        </w:rPr>
        <w:fldChar w:fldCharType="begin"/>
      </w:r>
      <w:r w:rsidR="00660D7B">
        <w:rPr>
          <w:rFonts w:asciiTheme="majorHAnsi" w:hAnsiTheme="majorHAnsi" w:cstheme="majorHAnsi"/>
          <w:sz w:val="24"/>
          <w:szCs w:val="24"/>
        </w:rPr>
        <w:instrText xml:space="preserve"> ADDIN ZOTERO_ITEM CSL_CITATION {"citationID":"atvb010nss","properties":{"formattedCitation":"\\super 15\\nosupersub{}","plainCitation":"15","noteIndex":0},"citationItems":[{"id":1641,"uris":["http://zotero.org/users/1918630/items/ZCGE8YVT"],"itemData":{"id":1641,"type":"article-journal","abstract":"Acinetobacter baumannii is a nosocomial pathogen and gram-negative coccobacillus that is responsible for opportunistic infections, pneumonia, and infections of the urinary tract, bloodstream, skin, and soft tissue. This bacterium poses a major public health problem due to inducing resistance to several drugs, isolates, multidrug treatment, and occasionally pan drugs. Drug resistance is not only a major concern caused by A. baumannii but also is considered as the main challenge in many other pathogens. Several factors such as the efflux pump are associated with antibiotic resistance, biofilm production, and genetic mutations. In this review, A. baumannii is introduced in then some of the practical works conducted on the existing efflux pump are reviewed. The importance of the efflux pump is considered in this paper in relation to the antibiotic resistance and mechanisms developed for the inhibition of these pumps as well.","container-title":"Infection and Drug Resistance","DOI":"10.2147/IDR.S228089","ISSN":"1178-6973","journalAbbreviation":"Infect Drug Resist","note":"PMID: 32104014\nPMCID: PMC7024869","page":"423-434","source":"PubMed Central","title":"Acinetobacter baumannii Efflux Pumps and Antibiotic Resistance","volume":"13","author":[{"family":"Abdi","given":"Seyyed Naser"},{"family":"Ghotaslou","given":"Reza"},{"family":"Ganbarov","given":"Khudaverdi"},{"family":"Mobed","given":"Ahmad"},{"family":"Tanomand","given":"Asghar"},{"family":"Yousefi","given":"Mehdi"},{"family":"Asgharzadeh","given":"Mohammad"},{"family":"Kafil","given":"Hossein Samadi"}],"issued":{"date-parts":[["2020",2,12]]}}}],"schema":"https://github.com/citation-style-language/schema/raw/master/csl-citation.json"} </w:instrText>
      </w:r>
      <w:r w:rsidR="00660D7B">
        <w:rPr>
          <w:rFonts w:asciiTheme="majorHAnsi" w:hAnsiTheme="majorHAnsi" w:cstheme="majorHAnsi"/>
          <w:sz w:val="24"/>
          <w:szCs w:val="24"/>
        </w:rPr>
        <w:fldChar w:fldCharType="separate"/>
      </w:r>
      <w:r w:rsidR="00660D7B" w:rsidRPr="00660D7B">
        <w:rPr>
          <w:rFonts w:ascii="Times New Roman" w:hAnsi="Times New Roman" w:cs="Times New Roman"/>
          <w:sz w:val="24"/>
          <w:szCs w:val="24"/>
          <w:vertAlign w:val="superscript"/>
        </w:rPr>
        <w:t>15</w:t>
      </w:r>
      <w:r w:rsidR="00660D7B">
        <w:rPr>
          <w:rFonts w:asciiTheme="majorHAnsi" w:hAnsiTheme="majorHAnsi" w:cstheme="majorHAnsi"/>
          <w:sz w:val="24"/>
          <w:szCs w:val="24"/>
        </w:rPr>
        <w:fldChar w:fldCharType="end"/>
      </w:r>
      <w:r w:rsidR="005028E6">
        <w:rPr>
          <w:rFonts w:asciiTheme="majorHAnsi" w:hAnsiTheme="majorHAnsi" w:cstheme="majorHAnsi"/>
          <w:sz w:val="24"/>
          <w:szCs w:val="24"/>
        </w:rPr>
        <w:t xml:space="preserve"> </w:t>
      </w:r>
    </w:p>
    <w:p w14:paraId="08595BDD" w14:textId="079D05B8" w:rsidR="002722DE" w:rsidRDefault="00AF566C" w:rsidP="0021013E">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In </w:t>
      </w:r>
      <w:r>
        <w:rPr>
          <w:rFonts w:asciiTheme="majorHAnsi" w:hAnsiTheme="majorHAnsi" w:cstheme="majorHAnsi"/>
          <w:i/>
          <w:iCs/>
          <w:sz w:val="24"/>
          <w:szCs w:val="24"/>
        </w:rPr>
        <w:t>A. baumannii</w:t>
      </w:r>
      <w:r>
        <w:rPr>
          <w:rFonts w:asciiTheme="majorHAnsi" w:hAnsiTheme="majorHAnsi" w:cstheme="majorHAnsi"/>
          <w:sz w:val="24"/>
          <w:szCs w:val="24"/>
        </w:rPr>
        <w:t xml:space="preserve"> and other Gram-negative bacteria, the RND pumps function as tri-partite complexes.</w:t>
      </w:r>
      <w:r w:rsidR="00662723">
        <w:rPr>
          <w:rFonts w:asciiTheme="majorHAnsi" w:hAnsiTheme="majorHAnsi" w:cstheme="majorHAnsi"/>
          <w:sz w:val="24"/>
          <w:szCs w:val="24"/>
        </w:rPr>
        <w:fldChar w:fldCharType="begin"/>
      </w:r>
      <w:r w:rsidR="00662723">
        <w:rPr>
          <w:rFonts w:asciiTheme="majorHAnsi" w:hAnsiTheme="majorHAnsi" w:cstheme="majorHAnsi"/>
          <w:sz w:val="24"/>
          <w:szCs w:val="24"/>
        </w:rPr>
        <w:instrText xml:space="preserve"> ADDIN ZOTERO_ITEM CSL_CITATION {"citationID":"vV6xRzLK","properties":{"formattedCitation":"\\super 15\\nosupersub{}","plainCitation":"15","noteIndex":0},"citationItems":[{"id":1641,"uris":["http://zotero.org/users/1918630/items/ZCGE8YVT"],"itemData":{"id":1641,"type":"article-journal","abstract":"Acinetobacter baumannii is a nosocomial pathogen and gram-negative coccobacillus that is responsible for opportunistic infections, pneumonia, and infections of the urinary tract, bloodstream, skin, and soft tissue. This bacterium poses a major public health problem due to inducing resistance to several drugs, isolates, multidrug treatment, and occasionally pan drugs. Drug resistance is not only a major concern caused by A. baumannii but also is considered as the main challenge in many other pathogens. Several factors such as the efflux pump are associated with antibiotic resistance, biofilm production, and genetic mutations. In this review, A. baumannii is introduced in then some of the practical works conducted on the existing efflux pump are reviewed. The importance of the efflux pump is considered in this paper in relation to the antibiotic resistance and mechanisms developed for the inhibition of these pumps as well.","container-title":"Infection and Drug Resistance","DOI":"10.2147/IDR.S228089","ISSN":"1178-6973","journalAbbreviation":"Infect Drug Resist","note":"PMID: 32104014\nPMCID: PMC7024869","page":"423-434","source":"PubMed Central","title":"Acinetobacter baumannii Efflux Pumps and Antibiotic Resistance","volume":"13","author":[{"family":"Abdi","given":"Seyyed Naser"},{"family":"Ghotaslou","given":"Reza"},{"family":"Ganbarov","given":"Khudaverdi"},{"family":"Mobed","given":"Ahmad"},{"family":"Tanomand","given":"Asghar"},{"family":"Yousefi","given":"Mehdi"},{"family":"Asgharzadeh","given":"Mohammad"},{"family":"Kafil","given":"Hossein Samadi"}],"issued":{"date-parts":[["2020",2,12]]}}}],"schema":"https://github.com/citation-style-language/schema/raw/master/csl-citation.json"} </w:instrText>
      </w:r>
      <w:r w:rsidR="00662723">
        <w:rPr>
          <w:rFonts w:asciiTheme="majorHAnsi" w:hAnsiTheme="majorHAnsi" w:cstheme="majorHAnsi"/>
          <w:sz w:val="24"/>
          <w:szCs w:val="24"/>
        </w:rPr>
        <w:fldChar w:fldCharType="separate"/>
      </w:r>
      <w:r w:rsidR="00662723" w:rsidRPr="00662723">
        <w:rPr>
          <w:rFonts w:ascii="Times New Roman" w:hAnsi="Times New Roman" w:cs="Times New Roman"/>
          <w:sz w:val="24"/>
          <w:szCs w:val="24"/>
          <w:vertAlign w:val="superscript"/>
        </w:rPr>
        <w:t>15</w:t>
      </w:r>
      <w:r w:rsidR="00662723">
        <w:rPr>
          <w:rFonts w:asciiTheme="majorHAnsi" w:hAnsiTheme="majorHAnsi" w:cstheme="majorHAnsi"/>
          <w:sz w:val="24"/>
          <w:szCs w:val="24"/>
        </w:rPr>
        <w:fldChar w:fldCharType="end"/>
      </w:r>
      <w:r>
        <w:rPr>
          <w:rFonts w:asciiTheme="majorHAnsi" w:hAnsiTheme="majorHAnsi" w:cstheme="majorHAnsi"/>
          <w:sz w:val="24"/>
          <w:szCs w:val="24"/>
        </w:rPr>
        <w:t xml:space="preserve"> The best-studied is </w:t>
      </w:r>
      <w:proofErr w:type="spellStart"/>
      <w:r>
        <w:rPr>
          <w:rFonts w:asciiTheme="majorHAnsi" w:hAnsiTheme="majorHAnsi" w:cstheme="majorHAnsi"/>
          <w:sz w:val="24"/>
          <w:szCs w:val="24"/>
        </w:rPr>
        <w:t>AcrAB-TolC</w:t>
      </w:r>
      <w:proofErr w:type="spellEnd"/>
      <w:r>
        <w:rPr>
          <w:rFonts w:asciiTheme="majorHAnsi" w:hAnsiTheme="majorHAnsi" w:cstheme="majorHAnsi"/>
          <w:sz w:val="24"/>
          <w:szCs w:val="24"/>
        </w:rPr>
        <w:t xml:space="preserve"> of </w:t>
      </w:r>
      <w:r>
        <w:rPr>
          <w:rFonts w:asciiTheme="majorHAnsi" w:hAnsiTheme="majorHAnsi" w:cstheme="majorHAnsi"/>
          <w:i/>
          <w:iCs/>
          <w:sz w:val="24"/>
          <w:szCs w:val="24"/>
        </w:rPr>
        <w:t>E. coli</w:t>
      </w:r>
      <w:r w:rsidR="007A555B">
        <w:rPr>
          <w:rFonts w:asciiTheme="majorHAnsi" w:hAnsiTheme="majorHAnsi" w:cstheme="majorHAnsi"/>
          <w:i/>
          <w:iCs/>
          <w:sz w:val="24"/>
          <w:szCs w:val="24"/>
        </w:rPr>
        <w:t xml:space="preserve"> </w:t>
      </w:r>
      <w:r w:rsidR="007A555B">
        <w:rPr>
          <w:rFonts w:asciiTheme="majorHAnsi" w:hAnsiTheme="majorHAnsi" w:cstheme="majorHAnsi"/>
          <w:i/>
          <w:iCs/>
          <w:sz w:val="24"/>
          <w:szCs w:val="24"/>
        </w:rPr>
        <w:fldChar w:fldCharType="begin"/>
      </w:r>
      <w:r w:rsidR="00D24762">
        <w:rPr>
          <w:rFonts w:asciiTheme="majorHAnsi" w:hAnsiTheme="majorHAnsi" w:cstheme="majorHAnsi"/>
          <w:i/>
          <w:iCs/>
          <w:sz w:val="24"/>
          <w:szCs w:val="24"/>
        </w:rPr>
        <w:instrText xml:space="preserve"> ADDIN ZOTERO_ITEM CSL_CITATION {"citationID":"PUQXHWRP","properties":{"formattedCitation":"\\super 28\\nosupersub{}","plainCitation":"28","noteIndex":0},"citationItems":[{"id":2056,"uris":["http://zotero.org/users/1918630/items/HUZ6CIH8"],"itemData":{"id":2056,"type":"article-journal","abstract":"The AcrAB system of Escherichia coli is a multidrug efflux system composed of an RND-type transporter AcrB and a periplasmic accessory protein AcrA, and pumps out a wide variety of lipophilic and amphiphilic inhibitors directly into the medium, presumably through the TolC outer membrane channel. AcrA, a highly elongated protein, is thought to bring the outer and inner membranes closer. It forms a trimer that interacts with a monomeric AcrB, which was shown by in vitro reconstitution to be a proton antiporter. Details of interaction between the","container-title":"Journal of Molecular Microbiology and Biotechnology","ISSN":"1464-1801","issue":"2","journalAbbreviation":"J Mol Microbiol Biotechnol","language":"eng","note":"PMID: 11321576","page":"215-218","source":"PubMed","title":"AcrAB and related multidrug efflux pumps of Escherichia coli","volume":"3","author":[{"family":"Nikaido","given":"H."},{"family":"Zgurskaya","given":"H. I."}],"issued":{"date-parts":[["2001",4]]}}}],"schema":"https://github.com/citation-style-language/schema/raw/master/csl-citation.json"} </w:instrText>
      </w:r>
      <w:r w:rsidR="007A555B">
        <w:rPr>
          <w:rFonts w:asciiTheme="majorHAnsi" w:hAnsiTheme="majorHAnsi" w:cstheme="majorHAnsi"/>
          <w:i/>
          <w:iCs/>
          <w:sz w:val="24"/>
          <w:szCs w:val="24"/>
        </w:rPr>
        <w:fldChar w:fldCharType="separate"/>
      </w:r>
      <w:r w:rsidR="00D24762" w:rsidRPr="00D24762">
        <w:rPr>
          <w:rFonts w:ascii="Times New Roman" w:hAnsi="Times New Roman" w:cs="Times New Roman"/>
          <w:sz w:val="24"/>
          <w:szCs w:val="24"/>
          <w:vertAlign w:val="superscript"/>
        </w:rPr>
        <w:t>28</w:t>
      </w:r>
      <w:r w:rsidR="007A555B">
        <w:rPr>
          <w:rFonts w:asciiTheme="majorHAnsi" w:hAnsiTheme="majorHAnsi" w:cstheme="majorHAnsi"/>
          <w:i/>
          <w:iCs/>
          <w:sz w:val="24"/>
          <w:szCs w:val="24"/>
        </w:rPr>
        <w:fldChar w:fldCharType="end"/>
      </w:r>
      <w:r>
        <w:rPr>
          <w:rFonts w:asciiTheme="majorHAnsi" w:hAnsiTheme="majorHAnsi" w:cstheme="majorHAnsi"/>
          <w:sz w:val="24"/>
          <w:szCs w:val="24"/>
        </w:rPr>
        <w:t>, as such, it is a good example to use for describing the structure of an RND pump</w:t>
      </w:r>
      <w:r w:rsidR="00660D7B">
        <w:rPr>
          <w:rFonts w:asciiTheme="majorHAnsi" w:hAnsiTheme="majorHAnsi" w:cstheme="majorHAnsi"/>
          <w:sz w:val="24"/>
          <w:szCs w:val="24"/>
        </w:rPr>
        <w:t xml:space="preserve"> (</w:t>
      </w:r>
      <w:r w:rsidR="00660D7B">
        <w:rPr>
          <w:rFonts w:asciiTheme="majorHAnsi" w:hAnsiTheme="majorHAnsi" w:cstheme="majorHAnsi"/>
          <w:b/>
          <w:bCs/>
          <w:sz w:val="24"/>
          <w:szCs w:val="24"/>
        </w:rPr>
        <w:t xml:space="preserve">Figure </w:t>
      </w:r>
      <w:r w:rsidR="00FE6F17">
        <w:rPr>
          <w:rFonts w:asciiTheme="majorHAnsi" w:hAnsiTheme="majorHAnsi" w:cstheme="majorHAnsi"/>
          <w:b/>
          <w:bCs/>
          <w:sz w:val="24"/>
          <w:szCs w:val="24"/>
        </w:rPr>
        <w:t>1.7</w:t>
      </w:r>
      <w:r w:rsidR="00FE6F17">
        <w:rPr>
          <w:rFonts w:asciiTheme="majorHAnsi" w:hAnsiTheme="majorHAnsi" w:cstheme="majorHAnsi"/>
          <w:sz w:val="24"/>
          <w:szCs w:val="24"/>
        </w:rPr>
        <w:t>)</w:t>
      </w:r>
      <w:r>
        <w:rPr>
          <w:rFonts w:asciiTheme="majorHAnsi" w:hAnsiTheme="majorHAnsi" w:cstheme="majorHAnsi"/>
          <w:sz w:val="24"/>
          <w:szCs w:val="24"/>
        </w:rPr>
        <w:t xml:space="preserve"> </w:t>
      </w:r>
      <w:r w:rsidR="00DD6640">
        <w:rPr>
          <w:rFonts w:asciiTheme="majorHAnsi" w:hAnsiTheme="majorHAnsi" w:cstheme="majorHAnsi"/>
          <w:sz w:val="24"/>
          <w:szCs w:val="24"/>
        </w:rPr>
        <w:t>Typically</w:t>
      </w:r>
      <w:r w:rsidR="002722DE">
        <w:rPr>
          <w:rFonts w:asciiTheme="majorHAnsi" w:hAnsiTheme="majorHAnsi" w:cstheme="majorHAnsi"/>
          <w:sz w:val="24"/>
          <w:szCs w:val="24"/>
        </w:rPr>
        <w:t xml:space="preserve">, </w:t>
      </w:r>
      <w:r>
        <w:rPr>
          <w:rFonts w:asciiTheme="majorHAnsi" w:hAnsiTheme="majorHAnsi" w:cstheme="majorHAnsi"/>
          <w:sz w:val="24"/>
          <w:szCs w:val="24"/>
        </w:rPr>
        <w:t xml:space="preserve">all three genes are encoded within the same operon, with </w:t>
      </w:r>
      <w:r w:rsidR="002722DE">
        <w:rPr>
          <w:rFonts w:asciiTheme="majorHAnsi" w:hAnsiTheme="majorHAnsi" w:cstheme="majorHAnsi"/>
          <w:sz w:val="24"/>
          <w:szCs w:val="24"/>
        </w:rPr>
        <w:t>the first gene encoded in the RND-type operon is a membrane fusion protein (MFP), like</w:t>
      </w:r>
      <w:r>
        <w:rPr>
          <w:rFonts w:asciiTheme="majorHAnsi" w:hAnsiTheme="majorHAnsi" w:cstheme="majorHAnsi"/>
          <w:sz w:val="24"/>
          <w:szCs w:val="24"/>
        </w:rPr>
        <w:t xml:space="preserve"> </w:t>
      </w:r>
      <w:r w:rsidR="00BE7287">
        <w:rPr>
          <w:rFonts w:asciiTheme="majorHAnsi" w:hAnsiTheme="majorHAnsi" w:cstheme="majorHAnsi"/>
          <w:i/>
          <w:iCs/>
          <w:sz w:val="24"/>
          <w:szCs w:val="24"/>
        </w:rPr>
        <w:t xml:space="preserve">E. </w:t>
      </w:r>
      <w:r w:rsidR="00BE7287" w:rsidRPr="00BE7287">
        <w:rPr>
          <w:rFonts w:asciiTheme="majorHAnsi" w:hAnsiTheme="majorHAnsi" w:cstheme="majorHAnsi"/>
          <w:i/>
          <w:iCs/>
          <w:sz w:val="24"/>
          <w:szCs w:val="24"/>
        </w:rPr>
        <w:t>coli</w:t>
      </w:r>
      <w:r w:rsidR="00BE7287">
        <w:rPr>
          <w:rFonts w:asciiTheme="majorHAnsi" w:hAnsiTheme="majorHAnsi" w:cstheme="majorHAnsi"/>
          <w:sz w:val="24"/>
          <w:szCs w:val="24"/>
        </w:rPr>
        <w:t>’s</w:t>
      </w:r>
      <w:r w:rsidR="00BE7287">
        <w:rPr>
          <w:rFonts w:asciiTheme="majorHAnsi" w:hAnsiTheme="majorHAnsi" w:cstheme="majorHAnsi"/>
          <w:i/>
          <w:iCs/>
          <w:sz w:val="24"/>
          <w:szCs w:val="24"/>
        </w:rPr>
        <w:t xml:space="preserve"> </w:t>
      </w:r>
      <w:proofErr w:type="spellStart"/>
      <w:r w:rsidR="00212C95" w:rsidRPr="00BE7287">
        <w:rPr>
          <w:rFonts w:asciiTheme="majorHAnsi" w:hAnsiTheme="majorHAnsi" w:cstheme="majorHAnsi"/>
          <w:sz w:val="24"/>
          <w:szCs w:val="24"/>
        </w:rPr>
        <w:t>AcrA</w:t>
      </w:r>
      <w:proofErr w:type="spellEnd"/>
      <w:r w:rsidR="00BE7287">
        <w:rPr>
          <w:rFonts w:asciiTheme="majorHAnsi" w:hAnsiTheme="majorHAnsi" w:cstheme="majorHAnsi"/>
          <w:sz w:val="24"/>
          <w:szCs w:val="24"/>
        </w:rPr>
        <w:t xml:space="preserve"> and </w:t>
      </w:r>
      <w:proofErr w:type="spellStart"/>
      <w:r w:rsidR="00BE7287">
        <w:rPr>
          <w:rFonts w:asciiTheme="majorHAnsi" w:hAnsiTheme="majorHAnsi" w:cstheme="majorHAnsi"/>
          <w:sz w:val="24"/>
          <w:szCs w:val="24"/>
        </w:rPr>
        <w:t>AdeA</w:t>
      </w:r>
      <w:proofErr w:type="spellEnd"/>
      <w:r w:rsidR="00BE7287">
        <w:rPr>
          <w:rFonts w:asciiTheme="majorHAnsi" w:hAnsiTheme="majorHAnsi" w:cstheme="majorHAnsi"/>
          <w:sz w:val="24"/>
          <w:szCs w:val="24"/>
        </w:rPr>
        <w:t xml:space="preserve"> of </w:t>
      </w:r>
      <w:r w:rsidR="00BE7287">
        <w:rPr>
          <w:rFonts w:asciiTheme="majorHAnsi" w:hAnsiTheme="majorHAnsi" w:cstheme="majorHAnsi"/>
          <w:i/>
          <w:iCs/>
          <w:sz w:val="24"/>
          <w:szCs w:val="24"/>
        </w:rPr>
        <w:t>A. baumannii</w:t>
      </w:r>
      <w:r w:rsidR="002722DE">
        <w:rPr>
          <w:rFonts w:asciiTheme="majorHAnsi" w:hAnsiTheme="majorHAnsi" w:cstheme="majorHAnsi"/>
          <w:sz w:val="24"/>
          <w:szCs w:val="24"/>
        </w:rPr>
        <w:t xml:space="preserve">. The second encoded gene is typically the </w:t>
      </w:r>
      <w:r w:rsidR="00BE7287">
        <w:rPr>
          <w:rFonts w:asciiTheme="majorHAnsi" w:hAnsiTheme="majorHAnsi" w:cstheme="majorHAnsi"/>
          <w:sz w:val="24"/>
          <w:szCs w:val="24"/>
        </w:rPr>
        <w:t xml:space="preserve">RND </w:t>
      </w:r>
      <w:r w:rsidR="002722DE">
        <w:rPr>
          <w:rFonts w:asciiTheme="majorHAnsi" w:hAnsiTheme="majorHAnsi" w:cstheme="majorHAnsi"/>
          <w:sz w:val="24"/>
          <w:szCs w:val="24"/>
        </w:rPr>
        <w:t>transporter</w:t>
      </w:r>
      <w:r w:rsidR="00BE7287">
        <w:rPr>
          <w:rFonts w:asciiTheme="majorHAnsi" w:hAnsiTheme="majorHAnsi" w:cstheme="majorHAnsi"/>
          <w:sz w:val="24"/>
          <w:szCs w:val="24"/>
        </w:rPr>
        <w:t xml:space="preserve"> located in the inner membrane,</w:t>
      </w:r>
      <w:r w:rsidR="002722DE">
        <w:rPr>
          <w:rFonts w:asciiTheme="majorHAnsi" w:hAnsiTheme="majorHAnsi" w:cstheme="majorHAnsi"/>
          <w:sz w:val="24"/>
          <w:szCs w:val="24"/>
        </w:rPr>
        <w:t xml:space="preserve"> like A</w:t>
      </w:r>
      <w:r w:rsidR="00212C95">
        <w:rPr>
          <w:rFonts w:asciiTheme="majorHAnsi" w:hAnsiTheme="majorHAnsi" w:cstheme="majorHAnsi"/>
          <w:sz w:val="24"/>
          <w:szCs w:val="24"/>
        </w:rPr>
        <w:t>crB</w:t>
      </w:r>
      <w:r w:rsidR="00BE7287">
        <w:rPr>
          <w:rFonts w:asciiTheme="majorHAnsi" w:hAnsiTheme="majorHAnsi" w:cstheme="majorHAnsi"/>
          <w:sz w:val="24"/>
          <w:szCs w:val="24"/>
        </w:rPr>
        <w:t xml:space="preserve"> and </w:t>
      </w:r>
      <w:proofErr w:type="spellStart"/>
      <w:r w:rsidR="00BE7287">
        <w:rPr>
          <w:rFonts w:asciiTheme="majorHAnsi" w:hAnsiTheme="majorHAnsi" w:cstheme="majorHAnsi"/>
          <w:sz w:val="24"/>
          <w:szCs w:val="24"/>
        </w:rPr>
        <w:t>AdeB</w:t>
      </w:r>
      <w:proofErr w:type="spellEnd"/>
      <w:r w:rsidR="002722DE">
        <w:rPr>
          <w:rFonts w:asciiTheme="majorHAnsi" w:hAnsiTheme="majorHAnsi" w:cstheme="majorHAnsi"/>
          <w:sz w:val="24"/>
          <w:szCs w:val="24"/>
        </w:rPr>
        <w:t xml:space="preserve">. Finally, the third encoded gene is usually the outer membrane </w:t>
      </w:r>
      <w:r w:rsidR="00F700DF">
        <w:rPr>
          <w:rFonts w:asciiTheme="majorHAnsi" w:hAnsiTheme="majorHAnsi" w:cstheme="majorHAnsi"/>
          <w:sz w:val="24"/>
          <w:szCs w:val="24"/>
        </w:rPr>
        <w:t>protein</w:t>
      </w:r>
      <w:r w:rsidR="002722DE">
        <w:rPr>
          <w:rFonts w:asciiTheme="majorHAnsi" w:hAnsiTheme="majorHAnsi" w:cstheme="majorHAnsi"/>
          <w:sz w:val="24"/>
          <w:szCs w:val="24"/>
        </w:rPr>
        <w:t xml:space="preserve"> (OM</w:t>
      </w:r>
      <w:r w:rsidR="00F700DF">
        <w:rPr>
          <w:rFonts w:asciiTheme="majorHAnsi" w:hAnsiTheme="majorHAnsi" w:cstheme="majorHAnsi"/>
          <w:sz w:val="24"/>
          <w:szCs w:val="24"/>
        </w:rPr>
        <w:t>P</w:t>
      </w:r>
      <w:r w:rsidR="002722DE">
        <w:rPr>
          <w:rFonts w:asciiTheme="majorHAnsi" w:hAnsiTheme="majorHAnsi" w:cstheme="majorHAnsi"/>
          <w:sz w:val="24"/>
          <w:szCs w:val="24"/>
        </w:rPr>
        <w:t xml:space="preserve">), like </w:t>
      </w:r>
      <w:proofErr w:type="spellStart"/>
      <w:r w:rsidR="00212C95">
        <w:rPr>
          <w:rFonts w:asciiTheme="majorHAnsi" w:hAnsiTheme="majorHAnsi" w:cstheme="majorHAnsi"/>
          <w:sz w:val="24"/>
          <w:szCs w:val="24"/>
        </w:rPr>
        <w:t>TolC</w:t>
      </w:r>
      <w:proofErr w:type="spellEnd"/>
      <w:r w:rsidR="00B63CBD">
        <w:rPr>
          <w:rFonts w:asciiTheme="majorHAnsi" w:hAnsiTheme="majorHAnsi" w:cstheme="majorHAnsi"/>
          <w:sz w:val="24"/>
          <w:szCs w:val="24"/>
        </w:rPr>
        <w:t xml:space="preserve"> or </w:t>
      </w:r>
      <w:proofErr w:type="spellStart"/>
      <w:r w:rsidR="00B63CBD">
        <w:rPr>
          <w:rFonts w:asciiTheme="majorHAnsi" w:hAnsiTheme="majorHAnsi" w:cstheme="majorHAnsi"/>
          <w:sz w:val="24"/>
          <w:szCs w:val="24"/>
        </w:rPr>
        <w:t>AdeC</w:t>
      </w:r>
      <w:proofErr w:type="spellEnd"/>
      <w:r w:rsidR="002722DE">
        <w:rPr>
          <w:rFonts w:asciiTheme="majorHAnsi" w:hAnsiTheme="majorHAnsi" w:cstheme="majorHAnsi"/>
          <w:sz w:val="24"/>
          <w:szCs w:val="24"/>
        </w:rPr>
        <w:t xml:space="preserve">. </w:t>
      </w:r>
      <w:r w:rsidR="00B63CBD">
        <w:rPr>
          <w:rFonts w:asciiTheme="majorHAnsi" w:hAnsiTheme="majorHAnsi" w:cstheme="majorHAnsi"/>
          <w:sz w:val="24"/>
          <w:szCs w:val="24"/>
        </w:rPr>
        <w:t>T</w:t>
      </w:r>
      <w:r w:rsidR="00212C95">
        <w:rPr>
          <w:rFonts w:asciiTheme="majorHAnsi" w:hAnsiTheme="majorHAnsi" w:cstheme="majorHAnsi"/>
          <w:sz w:val="24"/>
          <w:szCs w:val="24"/>
        </w:rPr>
        <w:t xml:space="preserve">he periplasmic MFP connects the two membrane bound protein </w:t>
      </w:r>
      <w:r w:rsidR="00B63CBD">
        <w:rPr>
          <w:rFonts w:asciiTheme="majorHAnsi" w:hAnsiTheme="majorHAnsi" w:cstheme="majorHAnsi"/>
          <w:sz w:val="24"/>
          <w:szCs w:val="24"/>
        </w:rPr>
        <w:t>compounds</w:t>
      </w:r>
      <w:r w:rsidR="00212C95">
        <w:rPr>
          <w:rFonts w:asciiTheme="majorHAnsi" w:hAnsiTheme="majorHAnsi" w:cstheme="majorHAnsi"/>
          <w:sz w:val="24"/>
          <w:szCs w:val="24"/>
        </w:rPr>
        <w:t xml:space="preserve"> to form the complete tripartite complex</w:t>
      </w:r>
      <w:r w:rsidR="00FF2023">
        <w:rPr>
          <w:rFonts w:asciiTheme="majorHAnsi" w:hAnsiTheme="majorHAnsi" w:cstheme="majorHAnsi"/>
          <w:sz w:val="24"/>
          <w:szCs w:val="24"/>
        </w:rPr>
        <w:t>.</w:t>
      </w:r>
      <w:r w:rsidR="00212C95">
        <w:rPr>
          <w:rFonts w:asciiTheme="majorHAnsi" w:hAnsiTheme="majorHAnsi" w:cstheme="majorHAnsi"/>
          <w:sz w:val="24"/>
          <w:szCs w:val="24"/>
        </w:rPr>
        <w:t xml:space="preserve"> </w:t>
      </w:r>
      <w:r w:rsidR="00DD6640">
        <w:rPr>
          <w:rFonts w:asciiTheme="majorHAnsi" w:hAnsiTheme="majorHAnsi" w:cstheme="majorHAnsi"/>
          <w:sz w:val="24"/>
          <w:szCs w:val="24"/>
        </w:rPr>
        <w:t xml:space="preserve">Structural experts in the field have found evidence that </w:t>
      </w:r>
      <w:proofErr w:type="spellStart"/>
      <w:r w:rsidR="00DD6640">
        <w:rPr>
          <w:rFonts w:asciiTheme="majorHAnsi" w:hAnsiTheme="majorHAnsi" w:cstheme="majorHAnsi"/>
          <w:sz w:val="24"/>
          <w:szCs w:val="24"/>
        </w:rPr>
        <w:t>AcrAB-TolC</w:t>
      </w:r>
      <w:proofErr w:type="spellEnd"/>
      <w:r w:rsidR="00DD6640">
        <w:rPr>
          <w:rFonts w:asciiTheme="majorHAnsi" w:hAnsiTheme="majorHAnsi" w:cstheme="majorHAnsi"/>
          <w:sz w:val="24"/>
          <w:szCs w:val="24"/>
        </w:rPr>
        <w:t xml:space="preserve"> favors a stoichiometric ratio of 3:6:3 for AcrB:AcrA:TolC.</w:t>
      </w:r>
      <w:r w:rsidR="00DD6640">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{"citationID":"BdPml6xo","properties":{"formattedCitation":"\\super 29\\nosupersub{}","plainCitation":"29","noteIndex":0},"citationItems":[{"id":1597,"uris":["http://zotero.org/users/1918630/items/KF7E7KMY"],"itemData":{"id":1597,"type":"article-journal","abstract":"Cells from all domains of life encode energy-dependent trans-membrane transporters that can expel harmful substances including clinically applied therapeutic agents. As a collective body, these transporters perform as a super-system that confers tolerance to an enormous range of harmful compounds and consequently aid survival in hazardous environments. In the Gram-negative bacteria, some of these transporters serve as energy-transducing components of tripartite assemblies that actively efflux drugs and other harmful compounds, as well as deliver virulence agents across the entire cell envelope. We draw together recent structural and functional data to present the current models for the transport mechanisms for the main classes of multi-drug transporters and their higher-order assemblies.","container-title":"Current Opinion in Structural Biology","DOI":"10.1016/j.sbi.2015.07.015","ISSN":"0959-440X","journalAbbreviation":"Current Opinion in Structural Biology","page":"76-91","source":"ScienceDirect","title":"Structure, mechanism and cooperation of bacterial multidrug transporters","volume":"33","author":[{"family":"Du","given":"Dijun"},{"family":"Veen","given":"Hendrik W","non-dropping-particle":"van"},{"family":"Murakami","given":"Satoshi"},{"family":"Pos","given":"Klaas M"},{"family":"Luisi","given":"Ben F"}],"issued":{"date-parts":[["2015",8,1]]}}}],"schema":"https://github.com/citation-style-language/schema/raw/master/csl-citation.json"} </w:instrText>
      </w:r>
      <w:r w:rsidR="00DD6640">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29</w:t>
      </w:r>
      <w:r w:rsidR="00DD6640">
        <w:rPr>
          <w:rFonts w:asciiTheme="majorHAnsi" w:hAnsiTheme="majorHAnsi" w:cstheme="majorHAnsi"/>
          <w:sz w:val="24"/>
          <w:szCs w:val="24"/>
        </w:rPr>
        <w:fldChar w:fldCharType="end"/>
      </w:r>
      <w:r w:rsidR="003C4BB9">
        <w:rPr>
          <w:rFonts w:asciiTheme="majorHAnsi" w:hAnsiTheme="majorHAnsi" w:cstheme="majorHAnsi"/>
          <w:sz w:val="24"/>
          <w:szCs w:val="24"/>
        </w:rPr>
        <w:t xml:space="preserve"> </w:t>
      </w:r>
      <w:r w:rsidR="004E6328">
        <w:rPr>
          <w:rFonts w:asciiTheme="majorHAnsi" w:hAnsiTheme="majorHAnsi" w:cstheme="majorHAnsi"/>
          <w:sz w:val="24"/>
          <w:szCs w:val="24"/>
        </w:rPr>
        <w:t>Once the complex is formed, the tripartite pump utilizes proton translocation to transport its substrates</w:t>
      </w:r>
      <w:r w:rsidR="00212C95">
        <w:rPr>
          <w:rFonts w:asciiTheme="majorHAnsi" w:hAnsiTheme="majorHAnsi" w:cstheme="majorHAnsi"/>
          <w:sz w:val="24"/>
          <w:szCs w:val="24"/>
        </w:rPr>
        <w:t xml:space="preserve"> across both membranes</w:t>
      </w:r>
      <w:r w:rsidR="004E6328">
        <w:rPr>
          <w:rFonts w:asciiTheme="majorHAnsi" w:hAnsiTheme="majorHAnsi" w:cstheme="majorHAnsi"/>
          <w:sz w:val="24"/>
          <w:szCs w:val="24"/>
        </w:rPr>
        <w:t>.</w:t>
      </w:r>
      <w:r w:rsidR="004E6328">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{"citationID":"IRWve3Z0","properties":{"formattedCitation":"\\super 29\\nosupersub{}","plainCitation":"29","noteIndex":0},"citationItems":[{"id":1597,"uris":["http://zotero.org/users/1918630/items/KF7E7KMY"],"itemData":{"id":1597,"type":"article-journal","abstract":"Cells from all domains of life encode energy-dependent trans-membrane transporters that can expel harmful substances including clinically applied therapeutic agents. As a collective body, these transporters perform as a super-system that confers tolerance to an enormous range of harmful compounds and consequently aid survival in hazardous environments. In the Gram-negative bacteria, some of these transporters serve as energy-transducing components of tripartite assemblies that actively efflux drugs and other harmful compounds, as well as deliver virulence agents across the entire cell envelope. We draw together recent structural and functional data to present the current models for the transport mechanisms for the main classes of multi-drug transporters and their higher-order assemblies.","container-title":"Current Opinion in Structural Biology","DOI":"10.1016/j.sbi.2015.07.015","ISSN":"0959-440X","journalAbbreviation":"Current Opinion in Structural Biology","page":"76-91","source":"ScienceDirect","title":"Structure, mechanism and cooperation of bacterial multidrug transporters","volume":"33","author":[{"family":"Du","given":"Dijun"},{"family":"Veen","given":"Hendrik W","non-dropping-particle":"van"},{"family":"Murakami","given":"Satoshi"},{"family":"Pos","given":"Klaas M"},{"family":"Luisi","given":"Ben F"}],"issued":{"date-parts":[["2015",8,1]]}}}],"schema":"https://github.com/citation-style-language/schema/raw/master/csl-citation.json"} </w:instrText>
      </w:r>
      <w:r w:rsidR="004E6328">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29</w:t>
      </w:r>
      <w:r w:rsidR="004E6328">
        <w:rPr>
          <w:rFonts w:asciiTheme="majorHAnsi" w:hAnsiTheme="majorHAnsi" w:cstheme="majorHAnsi"/>
          <w:sz w:val="24"/>
          <w:szCs w:val="24"/>
        </w:rPr>
        <w:fldChar w:fldCharType="end"/>
      </w:r>
      <w:r w:rsidR="004E6328">
        <w:rPr>
          <w:rFonts w:asciiTheme="majorHAnsi" w:hAnsiTheme="majorHAnsi" w:cstheme="majorHAnsi"/>
          <w:sz w:val="24"/>
          <w:szCs w:val="24"/>
        </w:rPr>
        <w:t xml:space="preserve"> </w:t>
      </w:r>
      <w:r w:rsidR="004E6328" w:rsidRPr="009E0C0A">
        <w:rPr>
          <w:rFonts w:asciiTheme="majorHAnsi" w:hAnsiTheme="majorHAnsi" w:cstheme="majorHAnsi"/>
          <w:sz w:val="24"/>
          <w:szCs w:val="24"/>
        </w:rPr>
        <w:t xml:space="preserve"> </w:t>
      </w:r>
    </w:p>
    <w:p w14:paraId="15277BDE" w14:textId="3E994D66" w:rsidR="00F314AB" w:rsidRPr="00CC4CF6" w:rsidRDefault="00FF2023"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FE3BDC">
        <w:rPr>
          <w:rFonts w:asciiTheme="majorHAnsi" w:hAnsiTheme="majorHAnsi" w:cstheme="majorHAnsi"/>
          <w:sz w:val="24"/>
          <w:szCs w:val="24"/>
        </w:rPr>
        <w:t xml:space="preserve">Membrane fusion proteins like </w:t>
      </w:r>
      <w:proofErr w:type="spellStart"/>
      <w:r w:rsidR="00FE3BDC">
        <w:rPr>
          <w:rFonts w:asciiTheme="majorHAnsi" w:hAnsiTheme="majorHAnsi" w:cstheme="majorHAnsi"/>
          <w:sz w:val="24"/>
          <w:szCs w:val="24"/>
        </w:rPr>
        <w:t>AcrA</w:t>
      </w:r>
      <w:proofErr w:type="spellEnd"/>
      <w:r w:rsidR="00FE3BDC">
        <w:rPr>
          <w:rFonts w:asciiTheme="majorHAnsi" w:hAnsiTheme="majorHAnsi" w:cstheme="majorHAnsi"/>
          <w:sz w:val="24"/>
          <w:szCs w:val="24"/>
        </w:rPr>
        <w:t xml:space="preserve"> are made up of four domains: the membrane proximal, </w:t>
      </w:r>
      <w:r w:rsidR="00FE3BDC" w:rsidRPr="00072D2A">
        <w:rPr>
          <w:rFonts w:cstheme="minorHAnsi"/>
          <w:sz w:val="24"/>
          <w:szCs w:val="24"/>
        </w:rPr>
        <w:t>β-barrel</w:t>
      </w:r>
      <w:r w:rsidR="00FE3BDC">
        <w:rPr>
          <w:rFonts w:cstheme="minorHAnsi"/>
          <w:sz w:val="24"/>
          <w:szCs w:val="24"/>
        </w:rPr>
        <w:t xml:space="preserve">, </w:t>
      </w:r>
      <w:proofErr w:type="spellStart"/>
      <w:r w:rsidR="00FE3BDC">
        <w:rPr>
          <w:rFonts w:cstheme="minorHAnsi"/>
          <w:sz w:val="24"/>
          <w:szCs w:val="24"/>
        </w:rPr>
        <w:t>lipoyl</w:t>
      </w:r>
      <w:proofErr w:type="spellEnd"/>
      <w:r w:rsidR="00FE3BDC">
        <w:rPr>
          <w:rFonts w:cstheme="minorHAnsi"/>
          <w:sz w:val="24"/>
          <w:szCs w:val="24"/>
        </w:rPr>
        <w:t xml:space="preserve">, and </w:t>
      </w:r>
      <w:r w:rsidR="00FE3BDC" w:rsidRPr="00FE3BDC">
        <w:rPr>
          <w:sz w:val="24"/>
          <w:szCs w:val="24"/>
        </w:rPr>
        <w:t>α</w:t>
      </w:r>
      <w:r w:rsidR="00FE3BDC">
        <w:rPr>
          <w:rFonts w:asciiTheme="majorHAnsi" w:hAnsiTheme="majorHAnsi" w:cstheme="majorHAnsi"/>
          <w:sz w:val="24"/>
          <w:szCs w:val="24"/>
        </w:rPr>
        <w:t>-helical hairpin domains</w:t>
      </w:r>
      <w:r w:rsidR="00660D7B">
        <w:rPr>
          <w:rFonts w:asciiTheme="majorHAnsi" w:hAnsiTheme="majorHAnsi" w:cstheme="majorHAnsi"/>
          <w:sz w:val="24"/>
          <w:szCs w:val="24"/>
        </w:rPr>
        <w:t xml:space="preserve"> (</w:t>
      </w:r>
      <w:r w:rsidR="00660D7B">
        <w:rPr>
          <w:rFonts w:asciiTheme="majorHAnsi" w:hAnsiTheme="majorHAnsi" w:cstheme="majorHAnsi"/>
          <w:b/>
          <w:bCs/>
          <w:sz w:val="24"/>
          <w:szCs w:val="24"/>
        </w:rPr>
        <w:t xml:space="preserve">Figure </w:t>
      </w:r>
      <w:r w:rsidR="00FE6F17">
        <w:rPr>
          <w:rFonts w:asciiTheme="majorHAnsi" w:hAnsiTheme="majorHAnsi" w:cstheme="majorHAnsi"/>
          <w:b/>
          <w:bCs/>
          <w:sz w:val="24"/>
          <w:szCs w:val="24"/>
        </w:rPr>
        <w:t>1.7</w:t>
      </w:r>
      <w:r w:rsidR="00660D7B">
        <w:rPr>
          <w:rFonts w:asciiTheme="majorHAnsi" w:hAnsiTheme="majorHAnsi" w:cstheme="majorHAnsi"/>
          <w:b/>
          <w:bCs/>
          <w:sz w:val="24"/>
          <w:szCs w:val="24"/>
        </w:rPr>
        <w:t>-B</w:t>
      </w:r>
      <w:r w:rsidR="00660D7B">
        <w:rPr>
          <w:rFonts w:asciiTheme="majorHAnsi" w:hAnsiTheme="majorHAnsi" w:cstheme="majorHAnsi"/>
          <w:sz w:val="24"/>
          <w:szCs w:val="24"/>
        </w:rPr>
        <w:t>)</w:t>
      </w:r>
      <w:r w:rsidR="004B601B">
        <w:rPr>
          <w:rFonts w:asciiTheme="majorHAnsi" w:hAnsiTheme="majorHAnsi" w:cstheme="majorHAnsi"/>
          <w:sz w:val="24"/>
          <w:szCs w:val="24"/>
        </w:rPr>
        <w:t xml:space="preserve">. </w:t>
      </w:r>
      <w:proofErr w:type="spellStart"/>
      <w:r w:rsidR="00F314AB">
        <w:rPr>
          <w:rFonts w:asciiTheme="majorHAnsi" w:hAnsiTheme="majorHAnsi" w:cstheme="majorHAnsi"/>
          <w:sz w:val="24"/>
          <w:szCs w:val="24"/>
        </w:rPr>
        <w:t>AcrA</w:t>
      </w:r>
      <w:proofErr w:type="spellEnd"/>
      <w:r w:rsidR="00F314AB">
        <w:rPr>
          <w:rFonts w:asciiTheme="majorHAnsi" w:hAnsiTheme="majorHAnsi" w:cstheme="majorHAnsi"/>
          <w:sz w:val="24"/>
          <w:szCs w:val="24"/>
        </w:rPr>
        <w:t xml:space="preserve"> assembles as a trimer of dimers and its overall structure is highly flexible. This flexibility is essential for </w:t>
      </w:r>
      <w:r w:rsidR="00CC4CF6">
        <w:rPr>
          <w:rFonts w:asciiTheme="majorHAnsi" w:hAnsiTheme="majorHAnsi" w:cstheme="majorHAnsi"/>
          <w:sz w:val="24"/>
          <w:szCs w:val="24"/>
        </w:rPr>
        <w:t xml:space="preserve">translating the transport mechanism movement from AcrB to </w:t>
      </w:r>
      <w:proofErr w:type="spellStart"/>
      <w:r w:rsidR="00CC4CF6">
        <w:rPr>
          <w:rFonts w:asciiTheme="majorHAnsi" w:hAnsiTheme="majorHAnsi" w:cstheme="majorHAnsi"/>
          <w:sz w:val="24"/>
          <w:szCs w:val="24"/>
        </w:rPr>
        <w:t>TolC</w:t>
      </w:r>
      <w:proofErr w:type="spellEnd"/>
      <w:r w:rsidR="00CC4CF6">
        <w:rPr>
          <w:rFonts w:asciiTheme="majorHAnsi" w:hAnsiTheme="majorHAnsi" w:cstheme="majorHAnsi"/>
          <w:sz w:val="24"/>
          <w:szCs w:val="24"/>
        </w:rPr>
        <w:t xml:space="preserve"> and accommodating the transitional shapes of the complex.</w:t>
      </w:r>
      <w:r w:rsidR="00CC4CF6">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{"citationID":"oUrqcy67","properties":{"formattedCitation":"\\super 30\\nosupersub{}","plainCitation":"30","noteIndex":0},"citationItems":[{"id":1969,"uris":["http://zotero.org/users/1918630/items/QELBS8YM"],"itemData":{"id":1969,"type":"article-journal","abstract":"Membrane efflux pumps play a major role in bacterial multidrug resistance. The tripartite multidrug efflux pump system from Escherichia coli, AcrAB-TolC, is a target for inhibition to lessen resistance development and restore antibiotic efficacy, with homologs in other ESKAPE pathogens. Here, we rationalize a mechanism of inhibition against the periplasmic adaptor protein, AcrA, using a combination of hydrogen/deuterium exchange mass spectrometry, cellular efflux assays, and molecular dynamics simulations. We define the structural dynamics of AcrA and find that an inhibitor can inflict long-range stabilisation across all four of its domains, whereas an interacting efflux substrate has minimal effect. Our results support a model where an inhibitor forms a molecular wedge within a cleft between the lipoyl and αβ barrel domains of AcrA, diminishing its conformational transmission of drug-evoked signals from AcrB to TolC. This work provides molecular insights into multidrug adaptor protein function which could be valuable for developing antimicrobial therapeutics.","container-title":"Nature Communications","DOI":"10.1038/s41467-023-39615-x","ISSN":"2041-1723","issue":"1","journalAbbreviation":"Nat Commun","language":"en","license":"2023 The Author(s)","note":"number: 1\npublisher: Nature Publishing Group","page":"3900","source":"www.nature.com","title":"Conformational restriction shapes the inhibition of a multidrug efflux adaptor protein","volume":"14","author":[{"family":"Russell Lewis","given":"Benjamin"},{"family":"Uddin","given":"Muhammad R."},{"family":"Moniruzzaman","given":"Mohammad"},{"family":"Kuo","given":"Katie M."},{"family":"Higgins","given":"Anna J."},{"family":"Shah","given":"Laila M. N."},{"family":"Sobott","given":"Frank"},{"family":"Parks","given":"Jerry M."},{"family":"Hammerschmid","given":"Dietmar"},{"family":"Gumbart","given":"James C."},{"family":"Zgurskaya","given":"Helen I."},{"family":"Reading","given":"Eamonn"}],"issued":{"date-parts":[["2023",7,18]]}}}],"schema":"https://github.com/citation-style-language/schema/raw/master/csl-citation.json"} </w:instrText>
      </w:r>
      <w:r w:rsidR="00CC4CF6">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30</w:t>
      </w:r>
      <w:r w:rsidR="00CC4CF6">
        <w:rPr>
          <w:rFonts w:asciiTheme="majorHAnsi" w:hAnsiTheme="majorHAnsi" w:cstheme="majorHAnsi"/>
          <w:sz w:val="24"/>
          <w:szCs w:val="24"/>
        </w:rPr>
        <w:fldChar w:fldCharType="end"/>
      </w:r>
      <w:r w:rsidR="00CC4CF6">
        <w:rPr>
          <w:rFonts w:asciiTheme="majorHAnsi" w:hAnsiTheme="majorHAnsi" w:cstheme="majorHAnsi"/>
          <w:sz w:val="24"/>
          <w:szCs w:val="24"/>
        </w:rPr>
        <w:t xml:space="preserve"> </w:t>
      </w:r>
      <w:r w:rsidR="00FE3BDC">
        <w:rPr>
          <w:rFonts w:asciiTheme="majorHAnsi" w:hAnsiTheme="majorHAnsi" w:cstheme="majorHAnsi"/>
          <w:sz w:val="24"/>
          <w:szCs w:val="24"/>
        </w:rPr>
        <w:t>While this protein mainly occupies space in the periplasm, it has been shown to be anchored to the inner membrane via palmitoylation of an N-terminal cysteine residue.</w:t>
      </w:r>
      <w:r w:rsidR="00FE3BDC">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{"citationID":"ivG9Lawz","properties":{"formattedCitation":"\\super 31\\nosupersub{}","plainCitation":"31","noteIndex":0},"citationItems":[{"id":1830,"uris":["http://zotero.org/users/1918630/items/HDDCWYTI"],"itemData":{"id":1830,"type":"article-journal","abstract":"Tripartite multidrug efflux systems of Gram-negative bacteria are composed of an inner membrane transporter, an outer membrane channel and a periplasmic adaptor protein. They are assumed to form ducts inside the periplasm facilitating drug exit across the outer membrane. Here we present the reconstitution of native Pseudomonas aeruginosa MexAB–OprM and Escherichia coli AcrAB–TolC tripartite Resistance Nodulation and cell Division (RND) efflux systems in a lipid nanodisc system. Single-particle analysis by electron microscopy reveals the inner and outer membrane protein components linked together via the periplasmic adaptor protein. This intrinsic ability of the native components to self-assemble also leads to the formation of a stable interspecies AcrA–MexB–TolC complex suggesting a common mechanism of tripartite assembly. Projection structures of all three complexes emphasize the role of the periplasmic adaptor protein as part of the exit duct with no physical interaction between the inner and outer membrane components.","container-title":"Nature Communications","DOI":"10.1038/ncomms10731","ISSN":"2041-1723","issue":"1","journalAbbreviation":"Nat Commun","language":"en","license":"2016 The Author(s)","note":"number: 1\npublisher: Nature Publishing Group","page":"10731","source":"www.nature.com","title":"Tripartite assembly of RND multidrug efflux pumps","volume":"7","author":[{"family":"Daury","given":"Laetitia"},{"family":"Orange","given":"François"},{"family":"Taveau","given":"Jean-Christophe"},{"family":"Verchère","given":"Alice"},{"family":"Monlezun","given":"Laura"},{"family":"Gounou","given":"Céline"},{"family":"Marreddy","given":"Ravi K. R."},{"family":"Picard","given":"Martin"},{"family":"Broutin","given":"Isabelle"},{"family":"Pos","given":"Klaas M."},{"family":"Lambert","given":"Olivier"}],"issued":{"date-parts":[["2016",2,12]]}}}],"schema":"https://github.com/citation-style-language/schema/raw/master/csl-citation.json"} </w:instrText>
      </w:r>
      <w:r w:rsidR="00FE3BDC">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31</w:t>
      </w:r>
      <w:r w:rsidR="00FE3BDC">
        <w:rPr>
          <w:rFonts w:asciiTheme="majorHAnsi" w:hAnsiTheme="majorHAnsi" w:cstheme="majorHAnsi"/>
          <w:sz w:val="24"/>
          <w:szCs w:val="24"/>
        </w:rPr>
        <w:fldChar w:fldCharType="end"/>
      </w:r>
      <w:r w:rsidR="008C7B83">
        <w:rPr>
          <w:rFonts w:asciiTheme="majorHAnsi" w:hAnsiTheme="majorHAnsi" w:cstheme="majorHAnsi"/>
          <w:sz w:val="24"/>
          <w:szCs w:val="24"/>
        </w:rPr>
        <w:t xml:space="preserve"> Mutational studies have found the amino acid residues located in </w:t>
      </w:r>
      <w:proofErr w:type="spellStart"/>
      <w:r w:rsidR="008C7B83">
        <w:rPr>
          <w:rFonts w:asciiTheme="majorHAnsi" w:hAnsiTheme="majorHAnsi" w:cstheme="majorHAnsi"/>
          <w:sz w:val="24"/>
          <w:szCs w:val="24"/>
        </w:rPr>
        <w:t>AcrA’s</w:t>
      </w:r>
      <w:proofErr w:type="spellEnd"/>
      <w:r w:rsidR="008C7B83">
        <w:rPr>
          <w:rFonts w:asciiTheme="majorHAnsi" w:hAnsiTheme="majorHAnsi" w:cstheme="majorHAnsi"/>
          <w:sz w:val="24"/>
          <w:szCs w:val="24"/>
        </w:rPr>
        <w:t xml:space="preserve">  </w:t>
      </w:r>
      <w:r w:rsidR="008C7B83" w:rsidRPr="00FE3BDC">
        <w:rPr>
          <w:sz w:val="24"/>
          <w:szCs w:val="24"/>
        </w:rPr>
        <w:t>α</w:t>
      </w:r>
      <w:r w:rsidR="008C7B83">
        <w:rPr>
          <w:rFonts w:asciiTheme="majorHAnsi" w:hAnsiTheme="majorHAnsi" w:cstheme="majorHAnsi"/>
          <w:sz w:val="24"/>
          <w:szCs w:val="24"/>
        </w:rPr>
        <w:t>-helical hairpin domain are important for interacting</w:t>
      </w:r>
      <w:r w:rsidR="00F314AB">
        <w:rPr>
          <w:rFonts w:asciiTheme="majorHAnsi" w:hAnsiTheme="majorHAnsi" w:cstheme="majorHAnsi"/>
          <w:sz w:val="24"/>
          <w:szCs w:val="24"/>
        </w:rPr>
        <w:t xml:space="preserve"> and </w:t>
      </w:r>
      <w:r w:rsidR="00EC3ABD">
        <w:rPr>
          <w:rFonts w:asciiTheme="majorHAnsi" w:hAnsiTheme="majorHAnsi" w:cstheme="majorHAnsi"/>
          <w:sz w:val="24"/>
          <w:szCs w:val="24"/>
        </w:rPr>
        <w:t>interfacing</w:t>
      </w:r>
      <w:r w:rsidR="008C7B83">
        <w:rPr>
          <w:rFonts w:asciiTheme="majorHAnsi" w:hAnsiTheme="majorHAnsi" w:cstheme="majorHAnsi"/>
          <w:sz w:val="24"/>
          <w:szCs w:val="24"/>
        </w:rPr>
        <w:t xml:space="preserve"> with the </w:t>
      </w:r>
      <w:proofErr w:type="spellStart"/>
      <w:r w:rsidR="008C7B83">
        <w:rPr>
          <w:rFonts w:asciiTheme="majorHAnsi" w:hAnsiTheme="majorHAnsi" w:cstheme="majorHAnsi"/>
          <w:sz w:val="24"/>
          <w:szCs w:val="24"/>
        </w:rPr>
        <w:t>TolC</w:t>
      </w:r>
      <w:proofErr w:type="spellEnd"/>
      <w:r w:rsidR="008C7B83">
        <w:rPr>
          <w:rFonts w:asciiTheme="majorHAnsi" w:hAnsiTheme="majorHAnsi" w:cstheme="majorHAnsi"/>
          <w:sz w:val="24"/>
          <w:szCs w:val="24"/>
        </w:rPr>
        <w:t xml:space="preserve"> channel.</w:t>
      </w:r>
      <w:r w:rsidR="00DB28E3">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{"citationID":"rCkAqNxd","properties":{"formattedCitation":"\\super 32\\uc0\\u8211{}34\\nosupersub{}","plainCitation":"32–34","noteIndex":0},"citationItems":[{"id":2040,"uris":["http://zotero.org/users/1918630/items/3B2BA6SE"],"itemData":{"id":2040,"type":"article-journal","abstract":"Early in vivo experiments revealed that the MexA-MexB dipartite pump unit of Pseudomonas aeruginosa conferred drug resistance to the cells, which expressed OprM, but not to the OprN-bearing cells. While the MexE-MexF unit interplayed with either the outer membrane subunits. Taking advantage of this subunit selectivity, we selected the MexA mutant that gained the ability to interplay with OprN. Four mutants have been isolated and all showed an amino acid substitution (Q116R) in the coiled-coil domain of MexA. The hybrid protein bearing the coiled-coil domain of MexA and the remainder domains from MexE retained the ability to interplay with OprM, but lost the functional interplay with OprN. These results established that the coiled-coil domain of the membrane fusion protein is responsible for selecting the compatible outer membrane subunit.","container-title":"FEMS microbiology letters","DOI":"10.1111/j.1574-6968.2005.00010.x","ISSN":"0378-1097","issue":"1","journalAbbreviation":"FEMS Microbiol Lett","language":"eng","note":"PMID: 16451186","page":"101-107","source":"PubMed","title":"Assignment of the outer-membrane-subunit-selective domain of the membrane fusion protein in the tripartite xenobiotic efflux pump of Pseudomonas aeruginosa","volume":"254","author":[{"family":"Eda","given":"Shima"},{"family":"Maseda","given":"Hideaki"},{"family":"Yoshihara","given":"Eisaku"},{"family":"Nakae","given":"Taiji"}],"issued":{"date-parts":[["2006",1]]}}},{"id":2043,"uris":["http://zotero.org/users/1918630/items/D3229LXP"],"itemData":{"id":2043,"type":"article-journal","abstract":"Drug efflux pumps of Gram-negative bacteria are tripartite export machineries located in the bacterial envelopes contributing to multidrug resistance. Protein structures of all three components have been determined, but the exact interaction sites are still unknown. We could confirm that the hybrid system composed of Pseudomonas aeruginosa channel tunnel OprM and the Escherichia coli inner membrane complex, formed by adaptor protein (membrane fusion protein) AcrA and transporter AcrB of the resistance nodulation cell division (RND) family, is not functional. However, cross-linking experiments show that the hybrid exporter assembles. Exchange of the hairpin domain of AcrA with the corresponding hairpin from adaptor protein MexA of P. aeruginosa restored the functionality. This shows the importance of the MexA hairpin domain for the functional interaction with the OprM channel tunnel. On the basis of these results, we have modeled the interaction of the hairpin domain and the channel tunnel on a molecular level for AcrA and TolC as well as MexA and OprM, respectively. The model of two hairpin docking sites per TolC protomer corresponding with hexameric adaptor proteins was confirmed by disulfide cross-linking experiments. The role of this interaction for functional efflux pumps is discussed.","container-title":"Biochemistry","DOI":"10.1021/bi060320g","ISSN":"0006-2960","issue":"34","journalAbbreviation":"Biochemistry","language":"eng","note":"PMID: 16922505","page":"10303-10312","source":"PubMed","title":"Importance of the adaptor (membrane fusion) protein hairpin domain for the functionality of multidrug efflux pumps","volume":"45","author":[{"family":"Stegmeier","given":"Johannes F."},{"family":"Polleichtner","given":"Georg"},{"family":"Brandes","given":"Nicolas"},{"family":"Hotz","given":"Christian"},{"family":"Andersen","given":"Christian"}],"issued":{"date-parts":[["2006",8,29]]}}},{"id":2045,"uris":["http://zotero.org/users/1918630/items/QRBIP8E8"],"itemData":{"id":2045,"type":"article-journal","abstract":"Bacteria such as Escherichia coli and Pseudomonas aeruginosa expel antibiotics and other inhibitors via tripartite multidrug efflux pumps spanning the inner and outer membranes and the intervening periplasmic space. A key event in pump assembly is the recruitment of an outer membrane-anchored TolC exit duct by the adaptor protein of a cognate inner membrane translocase, establishing a contiguous transenvelope efflux pore. We describe the underlying interaction of juxtaposed periplasmic exit duct and adaptor coiled-coils in the widespread RND-type pump TolC/AcrAB of E. coli, using in vivo cross-linking to map the extent of intermolecular contacts. Cross-linking of site-specific TolC cysteine variants to wild-type AcrA adaptor identified residues on the lower alpha-helical barrel domain of TolC, defining a contiguous cluster close to the entrance aperture of the exit duct. Reciprocally, site-specific cross-linking of AcrA cysteine variants to wild-type TolC identified the interaction surface on the adaptor within the N-terminal alpha-helix of the AcrA coiled-coil. The experimental data allowed a data-driven docking approach to model the interaction surface central to pump assembly. The lowest energy docked model satisfying all of the cross-link distance constraints places the adaptor at the intramolecular groove formed by the TolC entrance helices, aligning the adaptor coiled-coil with the exposed TolC outer helix. A key feature of this positioning is that it allows space for the proposed movement of the inner coil of TolC during transition to its open state.","container-title":"Proceedings of the National Academy of Sciences of the United States of America","DOI":"10.1073/pnas.0610160104","ISSN":"0027-8424","issue":"11","journalAbbreviation":"Proc Natl Acad Sci U S A","language":"eng","note":"PMID: 17360572\nPMCID: PMC1838649","page":"4612-4617","source":"PubMed","title":"A periplasmic coiled-coil interface underlying TolC recruitment and the assembly of bacterial drug efflux pumps","volume":"104","author":[{"family":"Lobedanz","given":"Sune"},{"family":"Bokma","given":"Evert"},{"family":"Symmons","given":"Martyn F."},{"family":"Koronakis","given":"Eva"},{"family":"Hughes","given":"Colin"},{"family":"Koronakis","given":"Vassilis"}],"issued":{"date-parts":[["2007",3,13]]}}}],"schema":"https://github.com/citation-style-language/schema/raw/master/csl-citation.json"} </w:instrText>
      </w:r>
      <w:r w:rsidR="00DB28E3">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32–34</w:t>
      </w:r>
      <w:r w:rsidR="00DB28E3">
        <w:rPr>
          <w:rFonts w:asciiTheme="majorHAnsi" w:hAnsiTheme="majorHAnsi" w:cstheme="majorHAnsi"/>
          <w:sz w:val="24"/>
          <w:szCs w:val="24"/>
        </w:rPr>
        <w:fldChar w:fldCharType="end"/>
      </w:r>
      <w:r w:rsidR="004E7C7B">
        <w:rPr>
          <w:rFonts w:asciiTheme="majorHAnsi" w:hAnsiTheme="majorHAnsi" w:cstheme="majorHAnsi"/>
          <w:sz w:val="24"/>
          <w:szCs w:val="24"/>
        </w:rPr>
        <w:t xml:space="preserve"> And it has been found that the unstructured, distal C-terminal region of </w:t>
      </w:r>
      <w:proofErr w:type="spellStart"/>
      <w:r w:rsidR="004E7C7B">
        <w:rPr>
          <w:rFonts w:asciiTheme="majorHAnsi" w:hAnsiTheme="majorHAnsi" w:cstheme="majorHAnsi"/>
          <w:sz w:val="24"/>
          <w:szCs w:val="24"/>
        </w:rPr>
        <w:t>AcrA</w:t>
      </w:r>
      <w:proofErr w:type="spellEnd"/>
      <w:r w:rsidR="004E7C7B">
        <w:rPr>
          <w:rFonts w:asciiTheme="majorHAnsi" w:hAnsiTheme="majorHAnsi" w:cstheme="majorHAnsi"/>
          <w:sz w:val="24"/>
          <w:szCs w:val="24"/>
        </w:rPr>
        <w:t xml:space="preserve"> </w:t>
      </w:r>
      <w:r w:rsidR="00D164CD">
        <w:rPr>
          <w:rFonts w:asciiTheme="majorHAnsi" w:hAnsiTheme="majorHAnsi" w:cstheme="majorHAnsi"/>
          <w:sz w:val="24"/>
          <w:szCs w:val="24"/>
        </w:rPr>
        <w:t>is</w:t>
      </w:r>
      <w:r w:rsidR="004E7C7B">
        <w:rPr>
          <w:rFonts w:asciiTheme="majorHAnsi" w:hAnsiTheme="majorHAnsi" w:cstheme="majorHAnsi"/>
          <w:sz w:val="24"/>
          <w:szCs w:val="24"/>
        </w:rPr>
        <w:t xml:space="preserve"> responsible for specific association with AcrB.</w:t>
      </w:r>
      <w:r w:rsidR="0087460E">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{"citationID":"L7oQkFmJ","properties":{"formattedCitation":"\\super 35\\nosupersub{}","plainCitation":"35","noteIndex":0},"citationItems":[{"id":2048,"uris":["http://zotero.org/users/1918630/items/FXN68ZVV"],"itemData":{"id":2048,"type":"article-journal","abstract":"Periplasmic membrane fusion proteins (MFPs) are essential components of multidrug efflux pumps and type I protein secretion systems of gram-negative bacteria. Located in the periplasm, MFPs function by creating a physical link between inner membrane transporters and outer membrane channels. The most conserved sequence of MFPs is located in their distal C-terminal domain. However, neither the structure nor the function of this domain is known. In this study, we investigated the structural and functional role of the C-terminal domain of Escherichia coli AcrA, a periplasmic component of the multidrug efflux pump AcrAB-TolC. Using trypsin proteolysis, we identified the proteolytically labile sites in the C-terminal domain (amino acid residues 315 to 397) of AcrA in vitro. We next used these sites as a map to evaluate the structural integrity of this domain of AcrA inside the periplasm. We found that the C-terminal domain of AcrA is protected from trypsin when the tripartite efflux pump AcrAB-TolC is assembled. In contrast, this domain remains proteolytically labile in cells producing only one of the AcrB or TolC components of the complex. Site-directed mutagenesis of 12 highly conserved amino acid residues of the C-terminal domain of AcrA showed that a single G363C substitution dramatically impairs the multidrug efflux activity of AcrAB-TolC. The G363C mutant interacts with both AcrB and TolC but fails to properly assemble into a functional complex. We conclude that the C-terminal domain of AcrA plays an important role in the assembly and function of AcrAB-TolC efflux pump.","container-title":"Journal of Bacteriology","DOI":"10.1128/JB.00204-09","ISSN":"0021-9193","issue":"13","journalAbbreviation":"J Bacteriol","note":"PMID: 19411330\nPMCID: PMC2698478","page":"4365-4371","source":"PubMed Central","title":"The C-Terminal Domain of AcrA Is Essential for the Assembly and Function of the Multidrug Efflux Pump AcrAB-TolC","volume":"191","author":[{"family":"Ge","given":"Qiang"},{"family":"Yamada","given":"Yoichi"},{"family":"Zgurskaya","given":"Helen"}],"issued":{"date-parts":[["2009",7]]}}}],"schema":"https://github.com/citation-style-language/schema/raw/master/csl-citation.json"} </w:instrText>
      </w:r>
      <w:r w:rsidR="0087460E">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35</w:t>
      </w:r>
      <w:r w:rsidR="0087460E">
        <w:rPr>
          <w:rFonts w:asciiTheme="majorHAnsi" w:hAnsiTheme="majorHAnsi" w:cstheme="majorHAnsi"/>
          <w:sz w:val="24"/>
          <w:szCs w:val="24"/>
        </w:rPr>
        <w:fldChar w:fldCharType="end"/>
      </w:r>
      <w:r w:rsidR="00676E1A">
        <w:rPr>
          <w:rFonts w:asciiTheme="majorHAnsi" w:hAnsiTheme="majorHAnsi" w:cstheme="majorHAnsi"/>
          <w:sz w:val="24"/>
          <w:szCs w:val="24"/>
        </w:rPr>
        <w:t xml:space="preserve"> The residues within </w:t>
      </w:r>
      <w:r w:rsidR="00676E1A" w:rsidRPr="00DB28E3">
        <w:rPr>
          <w:rFonts w:cstheme="minorHAnsi"/>
          <w:sz w:val="24"/>
          <w:szCs w:val="24"/>
        </w:rPr>
        <w:t>the β-barrel</w:t>
      </w:r>
      <w:r w:rsidR="00676E1A">
        <w:rPr>
          <w:rFonts w:cstheme="minorHAnsi"/>
          <w:sz w:val="24"/>
          <w:szCs w:val="24"/>
        </w:rPr>
        <w:t xml:space="preserve"> domain appear to be conserved: mutations in this area result in loss of function.</w:t>
      </w:r>
      <w:r w:rsidR="001F5A39">
        <w:rPr>
          <w:rFonts w:cstheme="minorHAnsi"/>
          <w:sz w:val="24"/>
          <w:szCs w:val="24"/>
        </w:rPr>
        <w:fldChar w:fldCharType="begin"/>
      </w:r>
      <w:r w:rsidR="00D24762">
        <w:rPr>
          <w:rFonts w:cstheme="minorHAnsi"/>
          <w:sz w:val="24"/>
          <w:szCs w:val="24"/>
        </w:rPr>
        <w:instrText xml:space="preserve"> ADDIN ZOTERO_ITEM CSL_CITATION {"citationID":"E0P7i557","properties":{"formattedCitation":"\\super 36\\nosupersub{}","plainCitation":"36","noteIndex":0},"citationItems":[{"id":2051,"uris":["http://zotero.org/users/1918630/items/S4NBIBCG"],"itemData":{"id":2051,"type":"article-journal","abstract":"Tripartite efflux pumps and the related type 1 secretion systems (T1SSs) in Gram-negative organisms are diverse in function, energization, and structural organization. They form continuous conduits spanning both the inner and the outer membrane and are composed of three principal components—the energized inner membrane transporters (belonging to ABC, RND, and MFS families), the outer membrane factor channel-like proteins, and linking the two, the periplasmic adaptor proteins (PAPs), also known as the membrane fusion proteins (MFPs). In this review we summarize the recent advances in understanding of structural biology, function, and regulation of these systems, highlighting the previously undescribed role of PAPs in providing a common architectural scaffold across diverse families of transporters. Despite being built from a limited number of basic structural domains, these complexes present a staggering variety of architectures. While key insights have been derived from the RND transporter systems, a closer inspection of the operation and structural organization of different tripartite systems reveals unexpected analogies between them, including those formed around MFS- and ATP-driven transporters, suggesting that they operate around basic common principles. Based on that we are proposing a new integrated model of PAP-mediated communication within the conformational cycling of tripartite systems, which could be expanded to other types of assemblies.","container-title":"Chemical Reviews","DOI":"10.1021/acs.chemrev.1c00055","ISSN":"0009-2665","issue":"9","journalAbbreviation":"Chem. Rev.","note":"publisher: American Chemical Society","page":"5479-5596","source":"ACS Publications","title":"Structure, Assembly, and Function of Tripartite Efflux and Type 1 Secretion Systems in Gram-Negative Bacteria","volume":"121","author":[{"family":"Alav","given":"Ilyas"},{"family":"Kobylka","given":"Jessica"},{"family":"Kuth","given":"Miriam S."},{"family":"Pos","given":"Klaas M."},{"family":"Picard","given":"Martin"},{"family":"Blair","given":"Jessica M. A."},{"family":"Bavro","given":"Vassiliy N."}],"issued":{"date-parts":[["2021",5,12]]}}}],"schema":"https://github.com/citation-style-language/schema/raw/master/csl-citation.json"} </w:instrText>
      </w:r>
      <w:r w:rsidR="001F5A39">
        <w:rPr>
          <w:rFonts w:cstheme="minorHAnsi"/>
          <w:sz w:val="24"/>
          <w:szCs w:val="24"/>
        </w:rPr>
        <w:fldChar w:fldCharType="separate"/>
      </w:r>
      <w:r w:rsidR="00D24762" w:rsidRPr="00D24762">
        <w:rPr>
          <w:rFonts w:ascii="Times New Roman" w:hAnsi="Times New Roman" w:cs="Times New Roman"/>
          <w:sz w:val="24"/>
          <w:szCs w:val="24"/>
          <w:vertAlign w:val="superscript"/>
        </w:rPr>
        <w:t>36</w:t>
      </w:r>
      <w:r w:rsidR="001F5A39">
        <w:rPr>
          <w:rFonts w:cstheme="minorHAnsi"/>
          <w:sz w:val="24"/>
          <w:szCs w:val="24"/>
        </w:rPr>
        <w:fldChar w:fldCharType="end"/>
      </w:r>
      <w:r w:rsidR="00676E1A">
        <w:rPr>
          <w:rFonts w:cstheme="minorHAnsi"/>
          <w:sz w:val="24"/>
          <w:szCs w:val="24"/>
        </w:rPr>
        <w:t xml:space="preserve"> </w:t>
      </w:r>
    </w:p>
    <w:p w14:paraId="31C5CFDD" w14:textId="77777777" w:rsidR="00F81B96" w:rsidRDefault="004B601B" w:rsidP="0021013E">
      <w:pPr>
        <w:spacing w:line="360" w:lineRule="auto"/>
        <w:rPr>
          <w:rFonts w:cstheme="minorHAnsi"/>
          <w:sz w:val="24"/>
          <w:szCs w:val="24"/>
        </w:rPr>
      </w:pPr>
      <w:r>
        <w:rPr>
          <w:rFonts w:cstheme="minorHAnsi"/>
          <w:sz w:val="24"/>
          <w:szCs w:val="24"/>
        </w:rPr>
        <w:tab/>
      </w:r>
    </w:p>
    <w:p w14:paraId="58E02886" w14:textId="4F1E34E5" w:rsidR="00F81B96" w:rsidRDefault="00F81B96" w:rsidP="0021013E">
      <w:pPr>
        <w:spacing w:line="360" w:lineRule="auto"/>
        <w:rPr>
          <w:rFonts w:cstheme="minorHAnsi"/>
          <w:sz w:val="24"/>
          <w:szCs w:val="24"/>
        </w:rPr>
      </w:pPr>
      <w:r w:rsidRPr="00F81B96">
        <w:rPr>
          <w:rFonts w:cstheme="minorHAnsi"/>
          <w:noProof/>
          <w:sz w:val="24"/>
          <w:szCs w:val="24"/>
        </w:rPr>
        <w:lastRenderedPageBreak/>
        <w:drawing>
          <wp:inline distT="0" distB="0" distL="0" distR="0" wp14:anchorId="54E01014" wp14:editId="405870EC">
            <wp:extent cx="5334000" cy="3822065"/>
            <wp:effectExtent l="0" t="0" r="0" b="6985"/>
            <wp:docPr id="1513348217" name="Picture 1" descr="A diagram of a protein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48217" name="Picture 1" descr="A diagram of a protein structure&#10;&#10;Description automatically generated"/>
                    <pic:cNvPicPr/>
                  </pic:nvPicPr>
                  <pic:blipFill rotWithShape="1">
                    <a:blip r:embed="rId18"/>
                    <a:srcRect l="1563" t="2668" r="1215"/>
                    <a:stretch/>
                  </pic:blipFill>
                  <pic:spPr bwMode="auto">
                    <a:xfrm>
                      <a:off x="0" y="0"/>
                      <a:ext cx="5334000" cy="3822065"/>
                    </a:xfrm>
                    <a:prstGeom prst="rect">
                      <a:avLst/>
                    </a:prstGeom>
                    <a:ln>
                      <a:noFill/>
                    </a:ln>
                    <a:extLst>
                      <a:ext uri="{53640926-AAD7-44D8-BBD7-CCE9431645EC}">
                        <a14:shadowObscured xmlns:a14="http://schemas.microsoft.com/office/drawing/2010/main"/>
                      </a:ext>
                    </a:extLst>
                  </pic:spPr>
                </pic:pic>
              </a:graphicData>
            </a:graphic>
          </wp:inline>
        </w:drawing>
      </w:r>
    </w:p>
    <w:p w14:paraId="3E3B999D" w14:textId="3084275E" w:rsidR="00F81B96" w:rsidRDefault="00F81B96" w:rsidP="00F81B96">
      <w:pPr>
        <w:rPr>
          <w:rFonts w:asciiTheme="majorHAnsi" w:hAnsiTheme="majorHAnsi" w:cstheme="majorHAnsi"/>
          <w:b/>
          <w:bCs/>
          <w:sz w:val="24"/>
          <w:szCs w:val="24"/>
        </w:rPr>
      </w:pPr>
      <w:r w:rsidRPr="0010112A">
        <w:rPr>
          <w:rFonts w:asciiTheme="majorHAnsi" w:hAnsiTheme="majorHAnsi" w:cstheme="majorHAnsi"/>
          <w:b/>
          <w:bCs/>
          <w:sz w:val="24"/>
          <w:szCs w:val="24"/>
        </w:rPr>
        <w:t>Figure 1.</w:t>
      </w:r>
      <w:r w:rsidR="0010112A" w:rsidRPr="0010112A">
        <w:rPr>
          <w:rFonts w:asciiTheme="majorHAnsi" w:hAnsiTheme="majorHAnsi" w:cstheme="majorHAnsi"/>
          <w:b/>
          <w:bCs/>
          <w:sz w:val="24"/>
          <w:szCs w:val="24"/>
        </w:rPr>
        <w:t>8</w:t>
      </w:r>
      <w:r w:rsidRPr="0010112A">
        <w:rPr>
          <w:rFonts w:asciiTheme="majorHAnsi" w:hAnsiTheme="majorHAnsi" w:cstheme="majorHAnsi"/>
          <w:b/>
          <w:bCs/>
          <w:sz w:val="24"/>
          <w:szCs w:val="24"/>
        </w:rPr>
        <w:t xml:space="preserve"> </w:t>
      </w:r>
      <w:r w:rsidR="00660D7B" w:rsidRPr="0010112A">
        <w:rPr>
          <w:rFonts w:asciiTheme="majorHAnsi" w:hAnsiTheme="majorHAnsi" w:cstheme="majorHAnsi"/>
          <w:b/>
          <w:bCs/>
          <w:sz w:val="24"/>
          <w:szCs w:val="24"/>
        </w:rPr>
        <w:t>Diagram</w:t>
      </w:r>
      <w:r w:rsidR="00660D7B" w:rsidRPr="00660D7B">
        <w:rPr>
          <w:rFonts w:asciiTheme="majorHAnsi" w:hAnsiTheme="majorHAnsi" w:cstheme="majorHAnsi"/>
          <w:b/>
          <w:bCs/>
          <w:sz w:val="24"/>
          <w:szCs w:val="24"/>
        </w:rPr>
        <w:t xml:space="preserve"> of </w:t>
      </w:r>
      <w:r w:rsidRPr="00660D7B">
        <w:rPr>
          <w:rFonts w:asciiTheme="majorHAnsi" w:hAnsiTheme="majorHAnsi" w:cstheme="majorHAnsi"/>
          <w:b/>
          <w:bCs/>
          <w:sz w:val="24"/>
          <w:szCs w:val="24"/>
        </w:rPr>
        <w:t xml:space="preserve">AcrB </w:t>
      </w:r>
      <w:r w:rsidR="00FE6F17">
        <w:rPr>
          <w:rFonts w:asciiTheme="majorHAnsi" w:hAnsiTheme="majorHAnsi" w:cstheme="majorHAnsi"/>
          <w:b/>
          <w:bCs/>
          <w:sz w:val="24"/>
          <w:szCs w:val="24"/>
        </w:rPr>
        <w:t>t</w:t>
      </w:r>
      <w:r w:rsidRPr="00660D7B">
        <w:rPr>
          <w:rFonts w:asciiTheme="majorHAnsi" w:hAnsiTheme="majorHAnsi" w:cstheme="majorHAnsi"/>
          <w:b/>
          <w:bCs/>
          <w:sz w:val="24"/>
          <w:szCs w:val="24"/>
        </w:rPr>
        <w:t xml:space="preserve">rimer </w:t>
      </w:r>
    </w:p>
    <w:p w14:paraId="6C02B08A" w14:textId="51B20A4E" w:rsidR="00F81B96" w:rsidRDefault="00F81B96" w:rsidP="00F81B96">
      <w:pPr>
        <w:spacing w:line="360" w:lineRule="auto"/>
        <w:rPr>
          <w:rFonts w:cstheme="minorHAnsi"/>
          <w:sz w:val="24"/>
          <w:szCs w:val="24"/>
        </w:rPr>
      </w:pPr>
      <w:r>
        <w:rPr>
          <w:rFonts w:asciiTheme="majorHAnsi" w:hAnsiTheme="majorHAnsi" w:cstheme="majorHAnsi"/>
          <w:sz w:val="24"/>
          <w:szCs w:val="24"/>
        </w:rPr>
        <w:t>A cartoon representation of the AcrB trimer (PDB code 5V5S)</w:t>
      </w:r>
      <w:r w:rsidR="00617803">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{"citationID":"TikGvaXP","properties":{"formattedCitation":"\\super 26\\nosupersub{}","plainCitation":"26","noteIndex":0},"citationItems":[{"id":2038,"uris":["http://zotero.org/users/1918630/items/WGXFXES9"],"itemData":{"id":2038,"type":"article-journal","abstract":"Bacterial efflux pumps confer multidrug resistance by transporting diverse antibiotics from the cell. In Gram-negative bacteria, some of these pumps form multi-protein assemblies that span the cell envelope. Here, we report the near-atomic resolution cryoEM structures of the Escherichia coli AcrAB-TolC multidrug efflux pump in resting and drug transport states, revealing a quaternary structural switch that allosterically couples and synchronizes initial ligand binding with channel opening. Within the transport-activated state, the channel remains open even though the pump cycles through three distinct conformations. Collectively, our data provide a dynamic mechanism for the assembly and operation of the AcrAB-TolC pump.","container-title":"eLife","DOI":"10.7554/eLife.24905","ISSN":"2050-084X","note":"publisher: eLife Sciences Publications, Ltd","page":"e24905","source":"eLife","title":"An allosteric transport mechanism for the AcrAB-TolC multidrug efflux pump","volume":"6","author":[{"family":"Wang","given":"Zhao"},{"family":"Fan","given":"Guizhen"},{"family":"Hryc","given":"Corey F"},{"family":"Blaza","given":"James N"},{"family":"Serysheva","given":"Irina I"},{"family":"Schmid","given":"Michael F"},{"family":"Chiu","given":"Wah"},{"family":"Luisi","given":"Ben F"},{"family":"Du","given":"Dijun"}],"editor":[{"family":"Boudker","given":"Olga"}],"issued":{"date-parts":[["2017",3,29]]}}}],"schema":"https://github.com/citation-style-language/schema/raw/master/csl-citation.json"} </w:instrText>
      </w:r>
      <w:r w:rsidR="00617803">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26</w:t>
      </w:r>
      <w:r w:rsidR="00617803">
        <w:rPr>
          <w:rFonts w:asciiTheme="majorHAnsi" w:hAnsiTheme="majorHAnsi" w:cstheme="majorHAnsi"/>
          <w:sz w:val="24"/>
          <w:szCs w:val="24"/>
        </w:rPr>
        <w:fldChar w:fldCharType="end"/>
      </w:r>
      <w:r>
        <w:rPr>
          <w:rFonts w:asciiTheme="majorHAnsi" w:hAnsiTheme="majorHAnsi" w:cstheme="majorHAnsi"/>
          <w:sz w:val="24"/>
          <w:szCs w:val="24"/>
        </w:rPr>
        <w:t>. The three AcrB protomers are individually colored (yellow, magenta, and blue)</w:t>
      </w:r>
      <w:r w:rsidR="00617803">
        <w:rPr>
          <w:rFonts w:asciiTheme="majorHAnsi" w:hAnsiTheme="majorHAnsi" w:cstheme="majorHAnsi"/>
          <w:sz w:val="24"/>
          <w:szCs w:val="24"/>
        </w:rPr>
        <w:t xml:space="preserve"> and the protein surface is light grey</w:t>
      </w:r>
      <w:r>
        <w:rPr>
          <w:rFonts w:asciiTheme="majorHAnsi" w:hAnsiTheme="majorHAnsi" w:cstheme="majorHAnsi"/>
          <w:sz w:val="24"/>
          <w:szCs w:val="24"/>
        </w:rPr>
        <w:t>.</w:t>
      </w:r>
      <w:r w:rsidR="00617803">
        <w:rPr>
          <w:rFonts w:asciiTheme="majorHAnsi" w:hAnsiTheme="majorHAnsi" w:cstheme="majorHAnsi"/>
          <w:sz w:val="24"/>
          <w:szCs w:val="24"/>
        </w:rPr>
        <w:t xml:space="preserve"> </w:t>
      </w:r>
      <w:r>
        <w:rPr>
          <w:rFonts w:asciiTheme="majorHAnsi" w:hAnsiTheme="majorHAnsi" w:cstheme="majorHAnsi"/>
          <w:sz w:val="24"/>
          <w:szCs w:val="24"/>
        </w:rPr>
        <w:t xml:space="preserve"> </w:t>
      </w:r>
    </w:p>
    <w:p w14:paraId="1E8D1667" w14:textId="62A8A63E" w:rsidR="004B601B" w:rsidRDefault="004B601B" w:rsidP="00F81B96">
      <w:pPr>
        <w:spacing w:line="360" w:lineRule="auto"/>
        <w:ind w:firstLine="720"/>
        <w:rPr>
          <w:rFonts w:cstheme="minorHAnsi"/>
          <w:sz w:val="24"/>
          <w:szCs w:val="24"/>
        </w:rPr>
      </w:pPr>
      <w:r>
        <w:rPr>
          <w:rFonts w:cstheme="minorHAnsi"/>
          <w:sz w:val="24"/>
          <w:szCs w:val="24"/>
        </w:rPr>
        <w:t>The structure of RND transporter proteins is usually divided into the transmembrane domain, the porter domain, and the docking domain</w:t>
      </w:r>
      <w:r w:rsidR="00660D7B">
        <w:rPr>
          <w:rFonts w:cstheme="minorHAnsi"/>
          <w:sz w:val="24"/>
          <w:szCs w:val="24"/>
        </w:rPr>
        <w:t xml:space="preserve"> (</w:t>
      </w:r>
      <w:r w:rsidR="00660D7B">
        <w:rPr>
          <w:rFonts w:cstheme="minorHAnsi"/>
          <w:b/>
          <w:bCs/>
          <w:sz w:val="24"/>
          <w:szCs w:val="24"/>
        </w:rPr>
        <w:t>Figure 1.</w:t>
      </w:r>
      <w:r w:rsidR="00FE6F17">
        <w:rPr>
          <w:rFonts w:cstheme="minorHAnsi"/>
          <w:b/>
          <w:bCs/>
          <w:sz w:val="24"/>
          <w:szCs w:val="24"/>
        </w:rPr>
        <w:t>8</w:t>
      </w:r>
      <w:r w:rsidR="00FE6F17" w:rsidRPr="00DE51D7">
        <w:rPr>
          <w:rFonts w:cstheme="minorHAnsi"/>
          <w:sz w:val="24"/>
          <w:szCs w:val="24"/>
        </w:rPr>
        <w:t>)</w:t>
      </w:r>
      <w:r w:rsidR="00DE51D7" w:rsidRPr="00DE51D7">
        <w:rPr>
          <w:rFonts w:cstheme="minorHAnsi"/>
          <w:sz w:val="24"/>
          <w:szCs w:val="24"/>
        </w:rPr>
        <w:t>.</w:t>
      </w:r>
      <w:r w:rsidR="00EE1F32">
        <w:rPr>
          <w:rFonts w:cstheme="minorHAnsi"/>
          <w:sz w:val="24"/>
          <w:szCs w:val="24"/>
        </w:rPr>
        <w:fldChar w:fldCharType="begin"/>
      </w:r>
      <w:r w:rsidR="00D24762">
        <w:rPr>
          <w:rFonts w:cstheme="minorHAnsi"/>
          <w:sz w:val="24"/>
          <w:szCs w:val="24"/>
        </w:rPr>
        <w:instrText xml:space="preserve"> ADDIN ZOTERO_ITEM CSL_CITATION {"citationID":"z2brQaUB","properties":{"formattedCitation":"\\super 37\\nosupersub{}","plainCitation":"37","noteIndex":0},"citationItems":[{"id":1964,"uris":["http://zotero.org/users/1918630/items/GARYRXNF"],"itemData":{"id":1964,"type":"article-journal","abstract":"AcrB is a principal multidrug efflux transporter in Escherichia coli that cooperates with an outer-membrane channel, TolC, and a membrane-fusion protein, AcrA. Here we describe crystal structures of AcrB with and without substrates. The AcrB-drug complex consists of three protomers, each of which has a different conformation corresponding to one of the three functional states of the transport cycle. Bound substrate was found in the periplasmic domain of one of the three protomers. The voluminous binding pocket is aromatic and allows multi-site binding. The structures indicate that drugs are exported by a three-step functionally rotating mechanism in which substrates undergo ordered binding change.","container-title":"Nature","DOI":"10.1038/nature05076","ISSN":"1476-4687","issue":"7108","journalAbbreviation":"Nature","language":"eng","note":"PMID: 16915237","page":"173-179","source":"PubMed","title":"Crystal structures of a multidrug transporter reveal a functionally rotating mechanism","volume":"443","author":[{"family":"Murakami","given":"Satoshi"},{"family":"Nakashima","given":"Ryosuke"},{"family":"Yamashita","given":"Eiki"},{"family":"Matsumoto","given":"Takashi"},{"family":"Yamaguchi","given":"Akihito"}],"issued":{"date-parts":[["2006",9,14]]}}}],"schema":"https://github.com/citation-style-language/schema/raw/master/csl-citation.json"} </w:instrText>
      </w:r>
      <w:r w:rsidR="00EE1F32">
        <w:rPr>
          <w:rFonts w:cstheme="minorHAnsi"/>
          <w:sz w:val="24"/>
          <w:szCs w:val="24"/>
        </w:rPr>
        <w:fldChar w:fldCharType="separate"/>
      </w:r>
      <w:r w:rsidR="00D24762" w:rsidRPr="00D24762">
        <w:rPr>
          <w:rFonts w:ascii="Times New Roman" w:hAnsi="Times New Roman" w:cs="Times New Roman"/>
          <w:sz w:val="24"/>
          <w:szCs w:val="24"/>
          <w:vertAlign w:val="superscript"/>
        </w:rPr>
        <w:t>37</w:t>
      </w:r>
      <w:r w:rsidR="00EE1F32">
        <w:rPr>
          <w:rFonts w:cstheme="minorHAnsi"/>
          <w:sz w:val="24"/>
          <w:szCs w:val="24"/>
        </w:rPr>
        <w:fldChar w:fldCharType="end"/>
      </w:r>
      <w:r>
        <w:rPr>
          <w:rFonts w:cstheme="minorHAnsi"/>
          <w:sz w:val="24"/>
          <w:szCs w:val="24"/>
        </w:rPr>
        <w:t xml:space="preserve"> The transmembrane domain is made up of the transmembrane alpha-helices </w:t>
      </w:r>
      <w:r w:rsidR="00D631CE">
        <w:rPr>
          <w:rFonts w:cstheme="minorHAnsi"/>
          <w:sz w:val="24"/>
          <w:szCs w:val="24"/>
        </w:rPr>
        <w:t xml:space="preserve">(12 per monomer) </w:t>
      </w:r>
      <w:r>
        <w:rPr>
          <w:rFonts w:cstheme="minorHAnsi"/>
          <w:sz w:val="24"/>
          <w:szCs w:val="24"/>
        </w:rPr>
        <w:t xml:space="preserve">that embed the protein into the inner membrane and this region also contains the amino acid residues needed for proton translocation. </w:t>
      </w:r>
      <w:r w:rsidR="00D631CE">
        <w:rPr>
          <w:rFonts w:cstheme="minorHAnsi"/>
          <w:sz w:val="24"/>
          <w:szCs w:val="24"/>
        </w:rPr>
        <w:t>There</w:t>
      </w:r>
      <w:r>
        <w:rPr>
          <w:rFonts w:cstheme="minorHAnsi"/>
          <w:sz w:val="24"/>
          <w:szCs w:val="24"/>
        </w:rPr>
        <w:t xml:space="preserve"> </w:t>
      </w:r>
      <w:r w:rsidR="00660D7B">
        <w:rPr>
          <w:rFonts w:cstheme="minorHAnsi"/>
          <w:sz w:val="24"/>
          <w:szCs w:val="24"/>
        </w:rPr>
        <w:t xml:space="preserve">are </w:t>
      </w:r>
      <w:r>
        <w:rPr>
          <w:rFonts w:cstheme="minorHAnsi"/>
          <w:sz w:val="24"/>
          <w:szCs w:val="24"/>
        </w:rPr>
        <w:t xml:space="preserve">highly conserved </w:t>
      </w:r>
      <w:r w:rsidR="00D631CE">
        <w:rPr>
          <w:rFonts w:cstheme="minorHAnsi"/>
          <w:sz w:val="24"/>
          <w:szCs w:val="24"/>
        </w:rPr>
        <w:t xml:space="preserve">aspartic acid and lysine </w:t>
      </w:r>
      <w:r>
        <w:rPr>
          <w:rFonts w:cstheme="minorHAnsi"/>
          <w:sz w:val="24"/>
          <w:szCs w:val="24"/>
        </w:rPr>
        <w:t>residues in this region that are needed to move protons from the periplasm to the cytoplasm.</w:t>
      </w:r>
      <w:r w:rsidR="00F31048">
        <w:rPr>
          <w:rFonts w:cstheme="minorHAnsi"/>
          <w:sz w:val="24"/>
          <w:szCs w:val="24"/>
        </w:rPr>
        <w:fldChar w:fldCharType="begin"/>
      </w:r>
      <w:r w:rsidR="00D24762">
        <w:rPr>
          <w:rFonts w:cstheme="minorHAnsi"/>
          <w:sz w:val="24"/>
          <w:szCs w:val="24"/>
        </w:rPr>
        <w:instrText xml:space="preserve"> ADDIN ZOTERO_ITEM CSL_CITATION {"citationID":"t0xqWFtC","properties":{"formattedCitation":"\\super 38\\nosupersub{}","plainCitation":"38","noteIndex":0},"citationItems":[{"id":1962,"uris":["http://zotero.org/users/1918630/items/J9NCN9L4"],"itemData":{"id":1962,"type":"article-journal","abstract":"In Gram-negative bacteria such as Escherichia coli and Pseudomonas aeruginosa, tripartite multidrug efflux systems extrude cytotoxic substances from the cell directly into the medium bypassing periplasm and the outer membrane. In E. coli, the tripartite efflux system AcrA/AcrB/TolC is the pump that extrudes multiple antibiotics, dyes, bile salts and detergents. The inner membrane component AcrB, a member of the Resistance Nodulation cell Division (RND) family, is the major site for substrate recognition and energy transduction of the entire tripartite system. The drug/proton antiport processes in this secondary transporter are suggested to be spatially separated, a feature frequently observed for primary transporters like membrane-bound ATPases. The recently elucidated asymmetric structure of the AcrB trimer reveals three different monomer conformations proposed to represent consecutive states in a directional transport cycle. Each monomer shows a distinct tunnel system with entrances located at the boundary of the outer leaflet of the inner membrane and the periplasm through the periplasmic porter (pore) domain towards the funnel of the trimer and TolC. In one monomer a hydrophobic pocket is present which has been shown to bind the AcrB substrates minocyclin and doxorubicin. The energy conversion from the proton motive force into drug efflux includes proton binding in (and release from) the transmembrane part. The conformational changes observed within a triad of essential, titratable residues (D407/D408/K940) residing in the hydrophobic transmembrane domain appear to be transduced by transmembrane helix 8 and associated with the conformational changes seen in the periplasmic domain. From the asymmetric structure a possible peristaltic pump transport mechanism based on a functional rotation of the AcrB trimer has been postulated. The novel drug transport model combines the alternate access pump mechanism with the rotating site catalysis of F(1)F(o) ATPase as originally postulated by Jardetzky and Boyer, respectively, and suggests a working hypothesis for the transport mechanism of RND transporters in general.","container-title":"Biochimica Et Biophysica Acta","DOI":"10.1016/j.bbapap.2008.12.015","ISSN":"0006-3002","issue":"5","journalAbbreviation":"Biochim Biophys Acta","language":"eng","note":"PMID: 19166984","page":"782-793","source":"PubMed","title":"Drug transport mechanism of the AcrB efflux pump","volume":"1794","author":[{"family":"Pos","given":"Klaas M."}],"issued":{"date-parts":[["2009",5]]}}}],"schema":"https://github.com/citation-style-language/schema/raw/master/csl-citation.json"} </w:instrText>
      </w:r>
      <w:r w:rsidR="00F31048">
        <w:rPr>
          <w:rFonts w:cstheme="minorHAnsi"/>
          <w:sz w:val="24"/>
          <w:szCs w:val="24"/>
        </w:rPr>
        <w:fldChar w:fldCharType="separate"/>
      </w:r>
      <w:r w:rsidR="00D24762" w:rsidRPr="00D24762">
        <w:rPr>
          <w:rFonts w:ascii="Times New Roman" w:hAnsi="Times New Roman" w:cs="Times New Roman"/>
          <w:sz w:val="24"/>
          <w:szCs w:val="24"/>
          <w:vertAlign w:val="superscript"/>
        </w:rPr>
        <w:t>38</w:t>
      </w:r>
      <w:r w:rsidR="00F31048">
        <w:rPr>
          <w:rFonts w:cstheme="minorHAnsi"/>
          <w:sz w:val="24"/>
          <w:szCs w:val="24"/>
        </w:rPr>
        <w:fldChar w:fldCharType="end"/>
      </w:r>
      <w:r>
        <w:rPr>
          <w:rFonts w:cstheme="minorHAnsi"/>
          <w:sz w:val="24"/>
          <w:szCs w:val="24"/>
        </w:rPr>
        <w:t xml:space="preserve"> The porter domain is the region of the transporter that contains the access and deep binding pockets</w:t>
      </w:r>
      <w:r w:rsidR="00EE6C8C">
        <w:rPr>
          <w:rFonts w:cstheme="minorHAnsi"/>
          <w:sz w:val="24"/>
          <w:szCs w:val="24"/>
        </w:rPr>
        <w:t xml:space="preserve">. These binding pockets are made up of many </w:t>
      </w:r>
      <w:proofErr w:type="spellStart"/>
      <w:r w:rsidR="00F31048">
        <w:rPr>
          <w:rFonts w:cstheme="minorHAnsi"/>
          <w:sz w:val="24"/>
          <w:szCs w:val="24"/>
        </w:rPr>
        <w:t>phenylalanines</w:t>
      </w:r>
      <w:proofErr w:type="spellEnd"/>
      <w:r w:rsidR="00F31048">
        <w:rPr>
          <w:rFonts w:cstheme="minorHAnsi"/>
          <w:sz w:val="24"/>
          <w:szCs w:val="24"/>
        </w:rPr>
        <w:t xml:space="preserve"> and other </w:t>
      </w:r>
      <w:r w:rsidR="00EE6C8C">
        <w:rPr>
          <w:rFonts w:cstheme="minorHAnsi"/>
          <w:sz w:val="24"/>
          <w:szCs w:val="24"/>
        </w:rPr>
        <w:t>hydrophobic residues</w:t>
      </w:r>
      <w:r w:rsidR="00F31048">
        <w:rPr>
          <w:rFonts w:cstheme="minorHAnsi"/>
          <w:sz w:val="24"/>
          <w:szCs w:val="24"/>
        </w:rPr>
        <w:t xml:space="preserve"> that allow for non-specific and transient binding of a broad range of hydrophobic substrates.</w:t>
      </w:r>
      <w:r w:rsidR="00EE1F32">
        <w:rPr>
          <w:rFonts w:cstheme="minorHAnsi"/>
          <w:sz w:val="24"/>
          <w:szCs w:val="24"/>
        </w:rPr>
        <w:t xml:space="preserve"> These two binding pockets are separated by an 11-residue long switch-loop, which is essential for substrate binding </w:t>
      </w:r>
      <w:r w:rsidR="00EE1F32">
        <w:rPr>
          <w:rFonts w:cstheme="minorHAnsi"/>
          <w:sz w:val="24"/>
          <w:szCs w:val="24"/>
        </w:rPr>
        <w:lastRenderedPageBreak/>
        <w:t>and transport.</w:t>
      </w:r>
      <w:r w:rsidR="00EE1F32">
        <w:rPr>
          <w:rFonts w:cstheme="minorHAnsi"/>
          <w:sz w:val="24"/>
          <w:szCs w:val="24"/>
        </w:rPr>
        <w:fldChar w:fldCharType="begin"/>
      </w:r>
      <w:r w:rsidR="00D24762">
        <w:rPr>
          <w:rFonts w:cstheme="minorHAnsi"/>
          <w:sz w:val="24"/>
          <w:szCs w:val="24"/>
        </w:rPr>
        <w:instrText xml:space="preserve"> ADDIN ZOTERO_ITEM CSL_CITATION {"citationID":"R03OCvOA","properties":{"formattedCitation":"\\super 39\\nosupersub{}","plainCitation":"39","noteIndex":0},"citationItems":[{"id":1966,"uris":["http://zotero.org/users/1918630/items/5ZEQS9UP"],"itemData":{"id":1966,"type":"article-journal","abstract":"Multidrug efflux transporters recognize a variety of structurally unrelated compounds for which the molecular basis is poorly understood. For the resistance nodulation and cell division (RND) inner membrane component AcrB of the AcrAB-TolC multidrug efflux system from Escherichia coli, drug binding occurs at the access and deep binding pockets. These two binding areas are separated by an 11-amino-acid-residue-containing switch loop whose conformational flexibility is speculated to be essential for drug binding and transport. A G616N substitution in the switch loop has a distinct and local effect on the orientation of the loop and on the ability to transport larger drugs. Here, we report a distinct phenotypical pattern of drug recognition and transport for the G616N variant, indicating that drug substrates with minimal projection areas of &gt;70 Å(2) are less well transported than other substrates.","container-title":"Antimicrobial Agents and Chemotherapy","DOI":"10.1128/AAC.02733-13","ISSN":"1098-6596","issue":"8","journalAbbreviation":"Antimicrob Agents Chemother","language":"eng","note":"PMID: 24914123\nPMCID: PMC4136034","page":"4767-4772","source":"PubMed","title":"Switch-loop flexibility affects transport of large drugs by the promiscuous AcrB multidrug efflux transporter","volume":"58","author":[{"family":"Cha","given":"Hi-jea"},{"family":"Müller","given":"Reinke T."},{"family":"Pos","given":"Klaas M."}],"issued":{"date-parts":[["2014",8]]}}}],"schema":"https://github.com/citation-style-language/schema/raw/master/csl-citation.json"} </w:instrText>
      </w:r>
      <w:r w:rsidR="00EE1F32">
        <w:rPr>
          <w:rFonts w:cstheme="minorHAnsi"/>
          <w:sz w:val="24"/>
          <w:szCs w:val="24"/>
        </w:rPr>
        <w:fldChar w:fldCharType="separate"/>
      </w:r>
      <w:r w:rsidR="00D24762" w:rsidRPr="00D24762">
        <w:rPr>
          <w:rFonts w:ascii="Times New Roman" w:hAnsi="Times New Roman" w:cs="Times New Roman"/>
          <w:sz w:val="24"/>
          <w:szCs w:val="24"/>
          <w:vertAlign w:val="superscript"/>
        </w:rPr>
        <w:t>39</w:t>
      </w:r>
      <w:r w:rsidR="00EE1F32">
        <w:rPr>
          <w:rFonts w:cstheme="minorHAnsi"/>
          <w:sz w:val="24"/>
          <w:szCs w:val="24"/>
        </w:rPr>
        <w:fldChar w:fldCharType="end"/>
      </w:r>
      <w:r w:rsidR="00F31048">
        <w:rPr>
          <w:rFonts w:cstheme="minorHAnsi"/>
          <w:sz w:val="24"/>
          <w:szCs w:val="24"/>
        </w:rPr>
        <w:t xml:space="preserve"> </w:t>
      </w:r>
      <w:r>
        <w:rPr>
          <w:rFonts w:cstheme="minorHAnsi"/>
          <w:sz w:val="24"/>
          <w:szCs w:val="24"/>
        </w:rPr>
        <w:t xml:space="preserve">The docking domain </w:t>
      </w:r>
      <w:r w:rsidR="00EE6C8C">
        <w:rPr>
          <w:rFonts w:cstheme="minorHAnsi"/>
          <w:sz w:val="24"/>
          <w:szCs w:val="24"/>
        </w:rPr>
        <w:t>forms a funnel shape that helps move the pump substrates further into the efflux pump complex.</w:t>
      </w:r>
      <w:r w:rsidR="007219A6">
        <w:rPr>
          <w:rFonts w:cstheme="minorHAnsi"/>
          <w:sz w:val="24"/>
          <w:szCs w:val="24"/>
        </w:rPr>
        <w:fldChar w:fldCharType="begin"/>
      </w:r>
      <w:r w:rsidR="00D24762">
        <w:rPr>
          <w:rFonts w:cstheme="minorHAnsi"/>
          <w:sz w:val="24"/>
          <w:szCs w:val="24"/>
        </w:rPr>
        <w:instrText xml:space="preserve"> ADDIN ZOTERO_ITEM CSL_CITATION {"citationID":"S5BFYzcj","properties":{"formattedCitation":"\\super 40\\nosupersub{}","plainCitation":"40","noteIndex":0},"citationItems":[{"id":2053,"uris":["http://zotero.org/users/1918630/items/AVFTWP2H"],"itemData":{"id":2053,"type":"article-journal","abstract":"Multidrug resistant (MDR) bacteria is a global threat with many common infections becoming increasingly difficult to eliminate. While significant effort has gone into the development of potent biocides, the effectiveness of many first-line antibiotics has been diminished due to adaptive resistance mechanisms. Bacterial membrane proteins belonging to the resistance-nodulation-cell division (RND) superfamily play significant roles in mediating bacterial resistance to antimicrobials. They participate in multidrug efflux and cell wall biogenesis to transform bacterial pathogens into “superbugs” that are resistant even to last resort antibiotics. In this review, we summarize the RND superfamily of efflux transporters, with a primary focus on the assembly and function of the inner membrane pumps. These pumps are critical for extrusion of antibiotics from the cell as well as the transport of lipid moieties to the outer membrane to establish membrane rigidity and stability. We analyze recently solved structures of bacterial inner membrane efflux pumps as to how they bind and transport their substrates. Our cumulative data indicate that these RND membrane proteins area able to utilize different oligomerization states to achieve particular activities, including forming MDR pumps and cell wall remodeling machineries, to ensure bacterial survival. This mechanistic insight, combined with simulated docking techniques, allows for the design and optimization of new efflux pump inhibitors to more effectively treat infections that today are difficult or impossible to cure.,","container-title":"Chemical reviews","DOI":"10.1021/acs.chemrev.0c00621","ISSN":"0009-2665","issue":"9","journalAbbreviation":"Chem Rev","note":"PMID: 33211490\nPMCID: PMC8119314","page":"5378-5416","source":"PubMed Central","title":"Structural and functional diversity of RND transporters","volume":"121","author":[{"family":"Klenotic","given":"Philip A."},{"family":"Moseng","given":"Mitchell A."},{"family":"Morgan","given":"Christopher E."},{"family":"Yu","given":"Edward W."}],"issued":{"date-parts":[["2021",5,12]]}}}],"schema":"https://github.com/citation-style-language/schema/raw/master/csl-citation.json"} </w:instrText>
      </w:r>
      <w:r w:rsidR="007219A6">
        <w:rPr>
          <w:rFonts w:cstheme="minorHAnsi"/>
          <w:sz w:val="24"/>
          <w:szCs w:val="24"/>
        </w:rPr>
        <w:fldChar w:fldCharType="separate"/>
      </w:r>
      <w:r w:rsidR="00D24762" w:rsidRPr="00D24762">
        <w:rPr>
          <w:rFonts w:ascii="Times New Roman" w:hAnsi="Times New Roman" w:cs="Times New Roman"/>
          <w:sz w:val="24"/>
          <w:szCs w:val="24"/>
          <w:vertAlign w:val="superscript"/>
        </w:rPr>
        <w:t>40</w:t>
      </w:r>
      <w:r w:rsidR="007219A6">
        <w:rPr>
          <w:rFonts w:cstheme="minorHAnsi"/>
          <w:sz w:val="24"/>
          <w:szCs w:val="24"/>
        </w:rPr>
        <w:fldChar w:fldCharType="end"/>
      </w:r>
      <w:r w:rsidR="00EE6C8C">
        <w:rPr>
          <w:rFonts w:cstheme="minorHAnsi"/>
          <w:sz w:val="24"/>
          <w:szCs w:val="24"/>
        </w:rPr>
        <w:t xml:space="preserve"> </w:t>
      </w:r>
    </w:p>
    <w:p w14:paraId="301D3776" w14:textId="38BBA302" w:rsidR="00676E1A" w:rsidRPr="00FD27D5" w:rsidRDefault="00676E1A" w:rsidP="0021013E">
      <w:pPr>
        <w:spacing w:line="360" w:lineRule="auto"/>
        <w:rPr>
          <w:rFonts w:cstheme="minorHAnsi"/>
          <w:sz w:val="24"/>
          <w:szCs w:val="24"/>
        </w:rPr>
      </w:pPr>
      <w:r>
        <w:rPr>
          <w:rFonts w:cstheme="minorHAnsi"/>
          <w:sz w:val="24"/>
          <w:szCs w:val="24"/>
        </w:rPr>
        <w:tab/>
      </w:r>
      <w:proofErr w:type="spellStart"/>
      <w:r>
        <w:rPr>
          <w:rFonts w:cstheme="minorHAnsi"/>
          <w:sz w:val="24"/>
          <w:szCs w:val="24"/>
        </w:rPr>
        <w:t>TolC</w:t>
      </w:r>
      <w:proofErr w:type="spellEnd"/>
      <w:r>
        <w:rPr>
          <w:rFonts w:cstheme="minorHAnsi"/>
          <w:sz w:val="24"/>
          <w:szCs w:val="24"/>
        </w:rPr>
        <w:t xml:space="preserve"> is a promiscuous outer membrane </w:t>
      </w:r>
      <w:r w:rsidR="003E6866">
        <w:rPr>
          <w:rFonts w:cstheme="minorHAnsi"/>
          <w:sz w:val="24"/>
          <w:szCs w:val="24"/>
        </w:rPr>
        <w:t>channel</w:t>
      </w:r>
      <w:r>
        <w:rPr>
          <w:rFonts w:cstheme="minorHAnsi"/>
          <w:sz w:val="24"/>
          <w:szCs w:val="24"/>
        </w:rPr>
        <w:t xml:space="preserve"> that can form complexes with many proteins, including </w:t>
      </w:r>
      <w:proofErr w:type="spellStart"/>
      <w:r>
        <w:rPr>
          <w:rFonts w:cstheme="minorHAnsi"/>
          <w:sz w:val="24"/>
          <w:szCs w:val="24"/>
        </w:rPr>
        <w:t>AcrAB</w:t>
      </w:r>
      <w:proofErr w:type="spellEnd"/>
      <w:r>
        <w:rPr>
          <w:rFonts w:cstheme="minorHAnsi"/>
          <w:sz w:val="24"/>
          <w:szCs w:val="24"/>
        </w:rPr>
        <w:t xml:space="preserve">, </w:t>
      </w:r>
      <w:proofErr w:type="spellStart"/>
      <w:r>
        <w:rPr>
          <w:rFonts w:cstheme="minorHAnsi"/>
          <w:sz w:val="24"/>
          <w:szCs w:val="24"/>
        </w:rPr>
        <w:t>EmrAB</w:t>
      </w:r>
      <w:proofErr w:type="spellEnd"/>
      <w:r>
        <w:rPr>
          <w:rFonts w:cstheme="minorHAnsi"/>
          <w:sz w:val="24"/>
          <w:szCs w:val="24"/>
        </w:rPr>
        <w:t xml:space="preserve">, </w:t>
      </w:r>
      <w:r w:rsidR="009F4ED6">
        <w:rPr>
          <w:rFonts w:cstheme="minorHAnsi"/>
          <w:sz w:val="24"/>
          <w:szCs w:val="24"/>
        </w:rPr>
        <w:t xml:space="preserve">and </w:t>
      </w:r>
      <w:r>
        <w:rPr>
          <w:rFonts w:cstheme="minorHAnsi"/>
          <w:sz w:val="24"/>
          <w:szCs w:val="24"/>
        </w:rPr>
        <w:t>MexAB.</w:t>
      </w:r>
      <w:r w:rsidR="007A555B">
        <w:rPr>
          <w:rFonts w:cstheme="minorHAnsi"/>
          <w:sz w:val="24"/>
          <w:szCs w:val="24"/>
        </w:rPr>
        <w:fldChar w:fldCharType="begin"/>
      </w:r>
      <w:r w:rsidR="00D24762">
        <w:rPr>
          <w:rFonts w:cstheme="minorHAnsi"/>
          <w:sz w:val="24"/>
          <w:szCs w:val="24"/>
        </w:rPr>
        <w:instrText xml:space="preserve"> ADDIN ZOTERO_ITEM CSL_CITATION {"citationID":"sezmRXvt","properties":{"formattedCitation":"\\super 36\\nosupersub{}","plainCitation":"36","noteIndex":0},"citationItems":[{"id":2051,"uris":["http://zotero.org/users/1918630/items/S4NBIBCG"],"itemData":{"id":2051,"type":"article-journal","abstract":"Tripartite efflux pumps and the related type 1 secretion systems (T1SSs) in Gram-negative organisms are diverse in function, energization, and structural organization. They form continuous conduits spanning both the inner and the outer membrane and are composed of three principal components—the energized inner membrane transporters (belonging to ABC, RND, and MFS families), the outer membrane factor channel-like proteins, and linking the two, the periplasmic adaptor proteins (PAPs), also known as the membrane fusion proteins (MFPs). In this review we summarize the recent advances in understanding of structural biology, function, and regulation of these systems, highlighting the previously undescribed role of PAPs in providing a common architectural scaffold across diverse families of transporters. Despite being built from a limited number of basic structural domains, these complexes present a staggering variety of architectures. While key insights have been derived from the RND transporter systems, a closer inspection of the operation and structural organization of different tripartite systems reveals unexpected analogies between them, including those formed around MFS- and ATP-driven transporters, suggesting that they operate around basic common principles. Based on that we are proposing a new integrated model of PAP-mediated communication within the conformational cycling of tripartite systems, which could be expanded to other types of assemblies.","container-title":"Chemical Reviews","DOI":"10.1021/acs.chemrev.1c00055","ISSN":"0009-2665","issue":"9","journalAbbreviation":"Chem. Rev.","note":"publisher: American Chemical Society","page":"5479-5596","source":"ACS Publications","title":"Structure, Assembly, and Function of Tripartite Efflux and Type 1 Secretion Systems in Gram-Negative Bacteria","volume":"121","author":[{"family":"Alav","given":"Ilyas"},{"family":"Kobylka","given":"Jessica"},{"family":"Kuth","given":"Miriam S."},{"family":"Pos","given":"Klaas M."},{"family":"Picard","given":"Martin"},{"family":"Blair","given":"Jessica M. A."},{"family":"Bavro","given":"Vassiliy N."}],"issued":{"date-parts":[["2021",5,12]]}}}],"schema":"https://github.com/citation-style-language/schema/raw/master/csl-citation.json"} </w:instrText>
      </w:r>
      <w:r w:rsidR="007A555B">
        <w:rPr>
          <w:rFonts w:cstheme="minorHAnsi"/>
          <w:sz w:val="24"/>
          <w:szCs w:val="24"/>
        </w:rPr>
        <w:fldChar w:fldCharType="separate"/>
      </w:r>
      <w:r w:rsidR="00D24762" w:rsidRPr="00D24762">
        <w:rPr>
          <w:rFonts w:ascii="Times New Roman" w:hAnsi="Times New Roman" w:cs="Times New Roman"/>
          <w:sz w:val="24"/>
          <w:szCs w:val="24"/>
          <w:vertAlign w:val="superscript"/>
        </w:rPr>
        <w:t>36</w:t>
      </w:r>
      <w:r w:rsidR="007A555B">
        <w:rPr>
          <w:rFonts w:cstheme="minorHAnsi"/>
          <w:sz w:val="24"/>
          <w:szCs w:val="24"/>
        </w:rPr>
        <w:fldChar w:fldCharType="end"/>
      </w:r>
      <w:r>
        <w:rPr>
          <w:rFonts w:cstheme="minorHAnsi"/>
          <w:sz w:val="24"/>
          <w:szCs w:val="24"/>
        </w:rPr>
        <w:t xml:space="preserve"> </w:t>
      </w:r>
      <w:proofErr w:type="spellStart"/>
      <w:r w:rsidR="005C7419">
        <w:rPr>
          <w:rFonts w:cstheme="minorHAnsi"/>
          <w:sz w:val="24"/>
          <w:szCs w:val="24"/>
        </w:rPr>
        <w:t>TolC</w:t>
      </w:r>
      <w:proofErr w:type="spellEnd"/>
      <w:r w:rsidR="005C7419">
        <w:rPr>
          <w:rFonts w:cstheme="minorHAnsi"/>
          <w:sz w:val="24"/>
          <w:szCs w:val="24"/>
        </w:rPr>
        <w:t xml:space="preserve"> is assembled as a </w:t>
      </w:r>
      <w:r w:rsidR="00F61875">
        <w:rPr>
          <w:rFonts w:cstheme="minorHAnsi"/>
          <w:sz w:val="24"/>
          <w:szCs w:val="24"/>
        </w:rPr>
        <w:t xml:space="preserve">mono-barrel </w:t>
      </w:r>
      <w:r w:rsidR="005C7419">
        <w:rPr>
          <w:rFonts w:cstheme="minorHAnsi"/>
          <w:sz w:val="24"/>
          <w:szCs w:val="24"/>
        </w:rPr>
        <w:t xml:space="preserve">homotrimer, forming the final portion of the substrate transport channel within the periplasm (periplasmic </w:t>
      </w:r>
      <w:r w:rsidR="005C7419" w:rsidRPr="00FE3BDC">
        <w:rPr>
          <w:sz w:val="24"/>
          <w:szCs w:val="24"/>
        </w:rPr>
        <w:t>α</w:t>
      </w:r>
      <w:r w:rsidR="005C7419">
        <w:rPr>
          <w:rFonts w:asciiTheme="majorHAnsi" w:hAnsiTheme="majorHAnsi" w:cstheme="majorHAnsi"/>
          <w:sz w:val="24"/>
          <w:szCs w:val="24"/>
        </w:rPr>
        <w:t>-helical barrel) and the outer membrane pore (</w:t>
      </w:r>
      <w:r w:rsidR="005C7419" w:rsidRPr="00DE51D7">
        <w:rPr>
          <w:rFonts w:cstheme="minorHAnsi"/>
          <w:sz w:val="24"/>
          <w:szCs w:val="24"/>
        </w:rPr>
        <w:t>transmembrane β-barrel</w:t>
      </w:r>
      <w:r w:rsidR="005C7419">
        <w:rPr>
          <w:rFonts w:cstheme="minorHAnsi"/>
          <w:sz w:val="24"/>
          <w:szCs w:val="24"/>
        </w:rPr>
        <w:t>)</w:t>
      </w:r>
      <w:r w:rsidR="00140110">
        <w:rPr>
          <w:rFonts w:cstheme="minorHAnsi"/>
          <w:sz w:val="24"/>
          <w:szCs w:val="24"/>
        </w:rPr>
        <w:t xml:space="preserve"> (</w:t>
      </w:r>
      <w:r w:rsidR="00140110">
        <w:rPr>
          <w:rFonts w:cstheme="minorHAnsi"/>
          <w:b/>
          <w:bCs/>
          <w:sz w:val="24"/>
          <w:szCs w:val="24"/>
        </w:rPr>
        <w:t>Figure 1.</w:t>
      </w:r>
      <w:r w:rsidR="00937C1F">
        <w:rPr>
          <w:rFonts w:cstheme="minorHAnsi"/>
          <w:b/>
          <w:bCs/>
          <w:sz w:val="24"/>
          <w:szCs w:val="24"/>
        </w:rPr>
        <w:t>7</w:t>
      </w:r>
      <w:r w:rsidR="00140110">
        <w:rPr>
          <w:rFonts w:cstheme="minorHAnsi"/>
          <w:b/>
          <w:bCs/>
          <w:sz w:val="24"/>
          <w:szCs w:val="24"/>
        </w:rPr>
        <w:t>-C</w:t>
      </w:r>
      <w:r w:rsidR="00140110">
        <w:rPr>
          <w:rFonts w:cstheme="minorHAnsi"/>
          <w:sz w:val="24"/>
          <w:szCs w:val="24"/>
        </w:rPr>
        <w:t>)</w:t>
      </w:r>
      <w:r w:rsidR="005C7419">
        <w:rPr>
          <w:rFonts w:cstheme="minorHAnsi"/>
          <w:sz w:val="24"/>
          <w:szCs w:val="24"/>
        </w:rPr>
        <w:t>.</w:t>
      </w:r>
      <w:r w:rsidR="00F61875">
        <w:rPr>
          <w:rFonts w:cstheme="minorHAnsi"/>
          <w:sz w:val="24"/>
          <w:szCs w:val="24"/>
        </w:rPr>
        <w:fldChar w:fldCharType="begin"/>
      </w:r>
      <w:r w:rsidR="00D24762">
        <w:rPr>
          <w:rFonts w:cstheme="minorHAnsi"/>
          <w:sz w:val="24"/>
          <w:szCs w:val="24"/>
        </w:rPr>
        <w:instrText xml:space="preserve"> ADDIN ZOTERO_ITEM CSL_CITATION {"citationID":"SOvMuBMQ","properties":{"formattedCitation":"\\super 41\\nosupersub{}","plainCitation":"41","noteIndex":0},"citationItems":[{"id":2058,"uris":["http://zotero.org/users/1918630/items/E7HXIHH3"],"itemData":{"id":2058,"type":"article-journal","abstract":"Bacteria, such as Escherichia coli, use multidrug efflux pumps to export toxic substrates through their cell membranes. Upon formation of an efflux pump, the aperture of its outer membrane protein TolC opens and thereby enables the extrusion of substrate molecules. The specialty of TolC is its ability to dock to different transporters, making it a highly versatile export protein. Within this study, the transition between two conformations of TolC that are both available as crystal structures was investigated using all-atom molecular dynamics simulations. To create a partially open conformation from a closed one, the stability of the periplasmic aperture was weakened by a double point mutation at the constricting ring, which removes some salt bridges and hydrogen bonds. These mutants, which showed partial opening in previous experiments, did not spontaneously open during a 20-ns equilibration at physiological values of the KCl solution. Detailed analysis of the constricting ring revealed that the cations of the solvent were able to constitute ionic bonds in place of the removed salt bridges, which inhibited the opening of the aperture in simulations. To remove the ions from these binding positions within the available simulation time, an extra force was applied onto the ions. To keep the effect of this additional force rather flexible, it was applied in form of an artificial external electric field perpendicular to the membrane. Depending on the field direction and the ion concentration, these simulations led to a partial opening. In experiments, this energy barrier for the ions can be overcome by thermal fluctuations on a longer timescale.","container-title":"Biophysical Journal","DOI":"10.1016/j.bpj.2009.01.021","ISSN":"0006-3495","issue":"8","journalAbbreviation":"Biophys J","note":"PMID: 19383457\nPMCID: PMC2718315","page":"3116-3125","source":"PubMed Central","title":"Transitions between Closed and Open Conformations of TolC: The Effects of Ions in Simulations","title-short":"Transitions between Closed and Open Conformations of TolC","volume":"96","author":[{"family":"Schulz","given":"Robert"},{"family":"Kleinekathöfer","given":"Ulrich"}],"issued":{"date-parts":[["2009",4,22]]}}}],"schema":"https://github.com/citation-style-language/schema/raw/master/csl-citation.json"} </w:instrText>
      </w:r>
      <w:r w:rsidR="00F61875">
        <w:rPr>
          <w:rFonts w:cstheme="minorHAnsi"/>
          <w:sz w:val="24"/>
          <w:szCs w:val="24"/>
        </w:rPr>
        <w:fldChar w:fldCharType="separate"/>
      </w:r>
      <w:r w:rsidR="00D24762" w:rsidRPr="00D24762">
        <w:rPr>
          <w:rFonts w:ascii="Times New Roman" w:hAnsi="Times New Roman" w:cs="Times New Roman"/>
          <w:sz w:val="24"/>
          <w:szCs w:val="24"/>
          <w:vertAlign w:val="superscript"/>
        </w:rPr>
        <w:t>41</w:t>
      </w:r>
      <w:r w:rsidR="00F61875">
        <w:rPr>
          <w:rFonts w:cstheme="minorHAnsi"/>
          <w:sz w:val="24"/>
          <w:szCs w:val="24"/>
        </w:rPr>
        <w:fldChar w:fldCharType="end"/>
      </w:r>
      <w:r w:rsidR="005C7419">
        <w:rPr>
          <w:rFonts w:cstheme="minorHAnsi"/>
          <w:sz w:val="24"/>
          <w:szCs w:val="24"/>
        </w:rPr>
        <w:t xml:space="preserve"> </w:t>
      </w:r>
      <w:r w:rsidR="00801598">
        <w:rPr>
          <w:rFonts w:cstheme="minorHAnsi"/>
          <w:sz w:val="24"/>
          <w:szCs w:val="24"/>
        </w:rPr>
        <w:t xml:space="preserve">The region of </w:t>
      </w:r>
      <w:r w:rsidR="00801598" w:rsidRPr="00801598">
        <w:rPr>
          <w:rFonts w:cstheme="minorHAnsi"/>
          <w:sz w:val="24"/>
          <w:szCs w:val="24"/>
        </w:rPr>
        <w:t>mixed α/β-</w:t>
      </w:r>
      <w:r w:rsidR="00801598">
        <w:rPr>
          <w:rFonts w:cstheme="minorHAnsi"/>
          <w:sz w:val="24"/>
          <w:szCs w:val="24"/>
        </w:rPr>
        <w:t xml:space="preserve">folds located in the periplasm, roughly in the middle of the periplasmic </w:t>
      </w:r>
      <w:r w:rsidR="00801598" w:rsidRPr="00FE3BDC">
        <w:rPr>
          <w:sz w:val="24"/>
          <w:szCs w:val="24"/>
        </w:rPr>
        <w:t>α</w:t>
      </w:r>
      <w:r w:rsidR="00801598">
        <w:rPr>
          <w:rFonts w:asciiTheme="majorHAnsi" w:hAnsiTheme="majorHAnsi" w:cstheme="majorHAnsi"/>
          <w:sz w:val="24"/>
          <w:szCs w:val="24"/>
        </w:rPr>
        <w:t>-helical barrel,</w:t>
      </w:r>
      <w:r w:rsidR="00801598">
        <w:rPr>
          <w:rFonts w:cstheme="minorHAnsi"/>
          <w:sz w:val="24"/>
          <w:szCs w:val="24"/>
        </w:rPr>
        <w:t xml:space="preserve"> is known as the equatorial domain.</w:t>
      </w:r>
      <w:r w:rsidR="00133ED7">
        <w:rPr>
          <w:rFonts w:cstheme="minorHAnsi"/>
          <w:sz w:val="24"/>
          <w:szCs w:val="24"/>
        </w:rPr>
        <w:t xml:space="preserve"> The tube that </w:t>
      </w:r>
      <w:proofErr w:type="spellStart"/>
      <w:r w:rsidR="00133ED7">
        <w:rPr>
          <w:rFonts w:cstheme="minorHAnsi"/>
          <w:sz w:val="24"/>
          <w:szCs w:val="24"/>
        </w:rPr>
        <w:t>TolC</w:t>
      </w:r>
      <w:proofErr w:type="spellEnd"/>
      <w:r w:rsidR="00133ED7">
        <w:rPr>
          <w:rFonts w:cstheme="minorHAnsi"/>
          <w:sz w:val="24"/>
          <w:szCs w:val="24"/>
        </w:rPr>
        <w:t xml:space="preserve"> forms is an asymmetrical one. The end of </w:t>
      </w:r>
      <w:proofErr w:type="spellStart"/>
      <w:r w:rsidR="0058211F">
        <w:rPr>
          <w:rFonts w:cstheme="minorHAnsi"/>
          <w:sz w:val="24"/>
          <w:szCs w:val="24"/>
        </w:rPr>
        <w:t>TolC</w:t>
      </w:r>
      <w:proofErr w:type="spellEnd"/>
      <w:r w:rsidR="00133ED7">
        <w:rPr>
          <w:rFonts w:cstheme="minorHAnsi"/>
          <w:sz w:val="24"/>
          <w:szCs w:val="24"/>
        </w:rPr>
        <w:t xml:space="preserve"> that faces the transporter end of the complex has an opening of about 20</w:t>
      </w:r>
      <w:r w:rsidR="00133ED7" w:rsidRPr="00133ED7">
        <w:t xml:space="preserve"> </w:t>
      </w:r>
      <w:r w:rsidR="00133ED7">
        <w:rPr>
          <w:rFonts w:ascii="Calibri" w:hAnsi="Calibri" w:cs="Calibri"/>
          <w:sz w:val="24"/>
          <w:szCs w:val="24"/>
        </w:rPr>
        <w:t>Å</w:t>
      </w:r>
      <w:r w:rsidR="00133ED7">
        <w:rPr>
          <w:rFonts w:cstheme="minorHAnsi"/>
          <w:sz w:val="24"/>
          <w:szCs w:val="24"/>
        </w:rPr>
        <w:t xml:space="preserve"> in diameter. </w:t>
      </w:r>
      <w:r w:rsidR="00C67AF5">
        <w:rPr>
          <w:rFonts w:cstheme="minorHAnsi"/>
          <w:sz w:val="24"/>
          <w:szCs w:val="24"/>
        </w:rPr>
        <w:t xml:space="preserve">The </w:t>
      </w:r>
      <w:r w:rsidR="0058211F">
        <w:rPr>
          <w:rFonts w:cstheme="minorHAnsi"/>
          <w:sz w:val="24"/>
          <w:szCs w:val="24"/>
        </w:rPr>
        <w:t xml:space="preserve">pore at the </w:t>
      </w:r>
      <w:r w:rsidR="00C67AF5">
        <w:rPr>
          <w:rFonts w:cstheme="minorHAnsi"/>
          <w:sz w:val="24"/>
          <w:szCs w:val="24"/>
        </w:rPr>
        <w:t xml:space="preserve">end of </w:t>
      </w:r>
      <w:proofErr w:type="spellStart"/>
      <w:r w:rsidR="0058211F">
        <w:rPr>
          <w:rFonts w:cstheme="minorHAnsi"/>
          <w:sz w:val="24"/>
          <w:szCs w:val="24"/>
        </w:rPr>
        <w:t>TolC</w:t>
      </w:r>
      <w:proofErr w:type="spellEnd"/>
      <w:r w:rsidR="00C67AF5">
        <w:rPr>
          <w:rFonts w:cstheme="minorHAnsi"/>
          <w:sz w:val="24"/>
          <w:szCs w:val="24"/>
        </w:rPr>
        <w:t xml:space="preserve"> that faces the outside of the cell is only about 3.9 </w:t>
      </w:r>
      <w:r w:rsidR="00C67AF5">
        <w:rPr>
          <w:rFonts w:ascii="Calibri" w:hAnsi="Calibri" w:cs="Calibri"/>
          <w:sz w:val="24"/>
          <w:szCs w:val="24"/>
        </w:rPr>
        <w:t>Å</w:t>
      </w:r>
      <w:r w:rsidR="00C67AF5">
        <w:rPr>
          <w:rFonts w:cstheme="minorHAnsi"/>
          <w:sz w:val="24"/>
          <w:szCs w:val="24"/>
        </w:rPr>
        <w:t xml:space="preserve"> in diameter. This pore size is small enough to keep the transport substrates from passing through. This is how </w:t>
      </w:r>
      <w:proofErr w:type="spellStart"/>
      <w:r w:rsidR="00C67AF5">
        <w:rPr>
          <w:rFonts w:cstheme="minorHAnsi"/>
          <w:sz w:val="24"/>
          <w:szCs w:val="24"/>
        </w:rPr>
        <w:t>TolC</w:t>
      </w:r>
      <w:proofErr w:type="spellEnd"/>
      <w:r w:rsidR="00C67AF5">
        <w:rPr>
          <w:rFonts w:cstheme="minorHAnsi"/>
          <w:sz w:val="24"/>
          <w:szCs w:val="24"/>
        </w:rPr>
        <w:t xml:space="preserve"> appears in its closed conf</w:t>
      </w:r>
      <w:r w:rsidR="00C158D7">
        <w:rPr>
          <w:rFonts w:cstheme="minorHAnsi"/>
          <w:sz w:val="24"/>
          <w:szCs w:val="24"/>
        </w:rPr>
        <w:t>o</w:t>
      </w:r>
      <w:r w:rsidR="00C67AF5">
        <w:rPr>
          <w:rFonts w:cstheme="minorHAnsi"/>
          <w:sz w:val="24"/>
          <w:szCs w:val="24"/>
        </w:rPr>
        <w:t xml:space="preserve">rmation. </w:t>
      </w:r>
      <w:r w:rsidR="00DF3F86">
        <w:rPr>
          <w:rFonts w:cstheme="minorHAnsi"/>
          <w:sz w:val="24"/>
          <w:szCs w:val="24"/>
        </w:rPr>
        <w:t xml:space="preserve">This closed shape is made in part by the pairs of coiled-coiled helices in the interior of the channel that angle towards each other. These helix pairs meet at a point near the outside facing </w:t>
      </w:r>
      <w:r w:rsidR="00B2190B">
        <w:rPr>
          <w:rFonts w:cstheme="minorHAnsi"/>
          <w:sz w:val="24"/>
          <w:szCs w:val="24"/>
        </w:rPr>
        <w:t xml:space="preserve">end of </w:t>
      </w:r>
      <w:proofErr w:type="spellStart"/>
      <w:r w:rsidR="00DF3F86">
        <w:rPr>
          <w:rFonts w:cstheme="minorHAnsi"/>
          <w:sz w:val="24"/>
          <w:szCs w:val="24"/>
        </w:rPr>
        <w:t>TolC</w:t>
      </w:r>
      <w:proofErr w:type="spellEnd"/>
      <w:r w:rsidR="00DF3F86">
        <w:rPr>
          <w:rFonts w:cstheme="minorHAnsi"/>
          <w:sz w:val="24"/>
          <w:szCs w:val="24"/>
        </w:rPr>
        <w:t xml:space="preserve"> and are stabilized by salt bridges near this point.</w:t>
      </w:r>
      <w:r w:rsidR="00DF3F86">
        <w:rPr>
          <w:rFonts w:cstheme="minorHAnsi"/>
          <w:sz w:val="24"/>
          <w:szCs w:val="24"/>
        </w:rPr>
        <w:fldChar w:fldCharType="begin"/>
      </w:r>
      <w:r w:rsidR="00D24762">
        <w:rPr>
          <w:rFonts w:cstheme="minorHAnsi"/>
          <w:sz w:val="24"/>
          <w:szCs w:val="24"/>
        </w:rPr>
        <w:instrText xml:space="preserve"> ADDIN ZOTERO_ITEM CSL_CITATION {"citationID":"w2tbocGn","properties":{"formattedCitation":"\\super 31\\nosupersub{}","plainCitation":"31","noteIndex":0},"citationItems":[{"id":1830,"uris":["http://zotero.org/users/1918630/items/HDDCWYTI"],"itemData":{"id":1830,"type":"article-journal","abstract":"Tripartite multidrug efflux systems of Gram-negative bacteria are composed of an inner membrane transporter, an outer membrane channel and a periplasmic adaptor protein. They are assumed to form ducts inside the periplasm facilitating drug exit across the outer membrane. Here we present the reconstitution of native Pseudomonas aeruginosa MexAB–OprM and Escherichia coli AcrAB–TolC tripartite Resistance Nodulation and cell Division (RND) efflux systems in a lipid nanodisc system. Single-particle analysis by electron microscopy reveals the inner and outer membrane protein components linked together via the periplasmic adaptor protein. This intrinsic ability of the native components to self-assemble also leads to the formation of a stable interspecies AcrA–MexB–TolC complex suggesting a common mechanism of tripartite assembly. Projection structures of all three complexes emphasize the role of the periplasmic adaptor protein as part of the exit duct with no physical interaction between the inner and outer membrane components.","container-title":"Nature Communications","DOI":"10.1038/ncomms10731","ISSN":"2041-1723","issue":"1","journalAbbreviation":"Nat Commun","language":"en","license":"2016 The Author(s)","note":"number: 1\npublisher: Nature Publishing Group","page":"10731","source":"www.nature.com","title":"Tripartite assembly of RND multidrug efflux pumps","volume":"7","author":[{"family":"Daury","given":"Laetitia"},{"family":"Orange","given":"François"},{"family":"Taveau","given":"Jean-Christophe"},{"family":"Verchère","given":"Alice"},{"family":"Monlezun","given":"Laura"},{"family":"Gounou","given":"Céline"},{"family":"Marreddy","given":"Ravi K. R."},{"family":"Picard","given":"Martin"},{"family":"Broutin","given":"Isabelle"},{"family":"Pos","given":"Klaas M."},{"family":"Lambert","given":"Olivier"}],"issued":{"date-parts":[["2016",2,12]]}}}],"schema":"https://github.com/citation-style-language/schema/raw/master/csl-citation.json"} </w:instrText>
      </w:r>
      <w:r w:rsidR="00DF3F86">
        <w:rPr>
          <w:rFonts w:cstheme="minorHAnsi"/>
          <w:sz w:val="24"/>
          <w:szCs w:val="24"/>
        </w:rPr>
        <w:fldChar w:fldCharType="separate"/>
      </w:r>
      <w:r w:rsidR="00D24762" w:rsidRPr="00D24762">
        <w:rPr>
          <w:rFonts w:ascii="Times New Roman" w:hAnsi="Times New Roman" w:cs="Times New Roman"/>
          <w:sz w:val="24"/>
          <w:szCs w:val="24"/>
          <w:vertAlign w:val="superscript"/>
        </w:rPr>
        <w:t>31</w:t>
      </w:r>
      <w:r w:rsidR="00DF3F86">
        <w:rPr>
          <w:rFonts w:cstheme="minorHAnsi"/>
          <w:sz w:val="24"/>
          <w:szCs w:val="24"/>
        </w:rPr>
        <w:fldChar w:fldCharType="end"/>
      </w:r>
      <w:r w:rsidR="00DF3F86">
        <w:rPr>
          <w:rFonts w:cstheme="minorHAnsi"/>
          <w:sz w:val="24"/>
          <w:szCs w:val="24"/>
        </w:rPr>
        <w:t xml:space="preserve"> </w:t>
      </w:r>
      <w:r w:rsidR="002B7908">
        <w:rPr>
          <w:rFonts w:cstheme="minorHAnsi"/>
          <w:sz w:val="24"/>
          <w:szCs w:val="24"/>
        </w:rPr>
        <w:t xml:space="preserve">Six conserved aspartate residues </w:t>
      </w:r>
      <w:r w:rsidR="002D50F0">
        <w:rPr>
          <w:rFonts w:cstheme="minorHAnsi"/>
          <w:sz w:val="24"/>
          <w:szCs w:val="24"/>
        </w:rPr>
        <w:t>(</w:t>
      </w:r>
      <w:r w:rsidR="002D50F0" w:rsidRPr="002D50F0">
        <w:rPr>
          <w:rFonts w:cstheme="minorHAnsi"/>
          <w:sz w:val="24"/>
          <w:szCs w:val="24"/>
        </w:rPr>
        <w:t>D</w:t>
      </w:r>
      <w:r w:rsidR="002D50F0" w:rsidRPr="002D50F0">
        <w:rPr>
          <w:rFonts w:cstheme="minorHAnsi"/>
          <w:sz w:val="24"/>
          <w:szCs w:val="24"/>
          <w:vertAlign w:val="superscript"/>
        </w:rPr>
        <w:t>371</w:t>
      </w:r>
      <w:r w:rsidR="002D50F0">
        <w:rPr>
          <w:rFonts w:cstheme="minorHAnsi"/>
          <w:sz w:val="24"/>
          <w:szCs w:val="24"/>
        </w:rPr>
        <w:t xml:space="preserve"> and </w:t>
      </w:r>
      <w:r w:rsidR="002D50F0" w:rsidRPr="002D50F0">
        <w:rPr>
          <w:rFonts w:cstheme="minorHAnsi"/>
          <w:sz w:val="24"/>
          <w:szCs w:val="24"/>
        </w:rPr>
        <w:t>D</w:t>
      </w:r>
      <w:r w:rsidR="002D50F0" w:rsidRPr="002D50F0">
        <w:rPr>
          <w:rFonts w:cstheme="minorHAnsi"/>
          <w:sz w:val="24"/>
          <w:szCs w:val="24"/>
          <w:vertAlign w:val="superscript"/>
        </w:rPr>
        <w:t>374</w:t>
      </w:r>
      <w:r w:rsidR="002D50F0">
        <w:rPr>
          <w:rFonts w:cstheme="minorHAnsi"/>
          <w:sz w:val="24"/>
          <w:szCs w:val="24"/>
        </w:rPr>
        <w:t xml:space="preserve">, </w:t>
      </w:r>
      <w:r w:rsidR="002D50F0" w:rsidRPr="002D50F0">
        <w:rPr>
          <w:rFonts w:cstheme="minorHAnsi"/>
          <w:sz w:val="24"/>
          <w:szCs w:val="24"/>
        </w:rPr>
        <w:t>two</w:t>
      </w:r>
      <w:r w:rsidR="002D50F0">
        <w:rPr>
          <w:rFonts w:cstheme="minorHAnsi"/>
          <w:sz w:val="24"/>
          <w:szCs w:val="24"/>
        </w:rPr>
        <w:t xml:space="preserve"> per monomer) near this point</w:t>
      </w:r>
      <w:r w:rsidR="005B5021">
        <w:rPr>
          <w:rFonts w:cstheme="minorHAnsi"/>
          <w:sz w:val="24"/>
          <w:szCs w:val="24"/>
        </w:rPr>
        <w:t xml:space="preserve"> form a narrow pore that even ions cannot easily diffuse through.</w:t>
      </w:r>
      <w:r w:rsidR="00F13864">
        <w:rPr>
          <w:rFonts w:cstheme="minorHAnsi"/>
          <w:sz w:val="24"/>
          <w:szCs w:val="24"/>
        </w:rPr>
        <w:fldChar w:fldCharType="begin"/>
      </w:r>
      <w:r w:rsidR="00D24762">
        <w:rPr>
          <w:rFonts w:cstheme="minorHAnsi"/>
          <w:sz w:val="24"/>
          <w:szCs w:val="24"/>
        </w:rPr>
        <w:instrText xml:space="preserve"> ADDIN ZOTERO_ITEM CSL_CITATION {"citationID":"vf6uC9va","properties":{"formattedCitation":"\\super 42,43\\nosupersub{}","plainCitation":"42,43","noteIndex":0},"citationItems":[{"id":1835,"uris":["http://zotero.org/users/1918630/items/T5WQDR8T"],"itemData":{"id":1835,"type":"article-journal","abstract":"The TolC protein of Escherichia coli comprises an outer membrane beta-barrel channel and a contiguous alpha-helical tunnel spanning the periplasm, providing an exit duct for protein export and multidrug efflux. It forms a single transmembrane pore that is open to the outside of the cell but constricted at the peri-plasmic tunnel entrance. This sole constriction is lined by a ring of six aspartate residues, two in each of the three identical monomers. When these were replaced by alanines, the resulting TolC(DADA) protein reconstituted normally in black lipid membranes but showed altered electrophysiological characteristics. In particular, it had lost the strong pH dependence of the wild type and had switched ion selectivity from cations to anions. The function of wild-type TolC as a membrane pore was severely inhibited by divalent and trivalent cations entering the channel tunnel from the channel (\"extracurricular\") side. Divalent cations bound reversibly to effect complete blocking of the transmembrane ion flux. Trivalent cations were more potent. Hexamminecobalt bound at nanomolar concentrations allowed visualization of single blocking events, whereas the smaller Cr(3+) cation bound irreversibly and could also access the cation binding site via the tunnel entrance. The inhibitory cations had no effect on the mutant TolC(DADA), supporting the view that the aspartate ring is the cation binding site. The electronegative entrance is widely conserved throughout the TolC family, which is essential for efflux and export my Gram-negative bacteria, suggesting that it could present a general target for drugs.","container-title":"Molecular Microbiology","DOI":"10.1046/j.1365-2958.2002.02898.x","ISSN":"0950-382X","issue":"5","journalAbbreviation":"Mol Microbiol","language":"eng","note":"PMID: 12068802","page":"1131-1139","source":"PubMed","title":"An aspartate ring at the TolC tunnel entrance determines ion selectivity and presents a target for blocking by large cations","volume":"44","author":[{"family":"Andersen","given":"Christian"},{"family":"Koronakis","given":"Eva"},{"family":"Hughes","given":"Colin"},{"family":"Koronakis","given":"Vassilis"}],"issued":{"date-parts":[["2002",6]]}}},{"id":1921,"uris":["http://zotero.org/users/1918630/items/HIKV24SK"],"itemData":{"id":1921,"type":"article-journal","abstract":"TolC channel provides a route for the expelled drugs and toxins to cross the outer membrane of Escherichia coli. The puzzling feature of TolC structure is that the periplasmic entrance of the channel is closed by dense packing of twelve α-helices. Efflux pumps exemplified by AcrAB are proposed to drive the opening of TolC channel. How interactions with AcrAB promote the close-to-open transition in TolC remains unclear. In this study, we investigated in vivo the functional and physical interactions of AcrAB with the closed TolC and its conformer opened by mutations in the periplasmic entrance. We found that the two conformers of TolC are readily distinguishable in vivo by characteristic drug susceptibility, thiol modification and proteolytic profiles. However, these profiles of TolC variants respond neither to the in vivo stoichiometry of AcrAB:TolC nor to the presence of vancomycin, which is used often to assess the permeability of TolC channel. We further found that the activity and assembly of AcrAB-TolC tolerates significant changes in amounts of TolC and that only a small fraction of intracellular TolC is likely used to support efflux needs of E. coli. Our findings explain why TolC is not a good target for inhibition of multidrug efflux.","container-title":"Molecular microbiology","DOI":"10.1111/mmi.12143","ISSN":"0950-382X","issue":"5","journalAbbreviation":"Mol Microbiol","note":"PMID: 23331412\nPMCID: PMC3581732","page":"982-997","source":"PubMed Central","title":"On the role of TolC in multidrug efflux: the function and assembly of AcrAB-TolC tolerate significant depletion of intracellular TolC protein","title-short":"On the role of TolC in multidrug efflux","volume":"87","author":[{"family":"Krishnamoorthy","given":"Ganesh"},{"family":"Tikhonova","given":"Elena B."},{"family":"Dhamdhere","given":"Girija"},{"family":"Zgurskaya","given":"Helen I."}],"issued":{"date-parts":[["2013",3]]}}}],"schema":"https://github.com/citation-style-language/schema/raw/master/csl-citation.json"} </w:instrText>
      </w:r>
      <w:r w:rsidR="00F13864">
        <w:rPr>
          <w:rFonts w:cstheme="minorHAnsi"/>
          <w:sz w:val="24"/>
          <w:szCs w:val="24"/>
        </w:rPr>
        <w:fldChar w:fldCharType="separate"/>
      </w:r>
      <w:r w:rsidR="00D24762" w:rsidRPr="00D24762">
        <w:rPr>
          <w:rFonts w:ascii="Times New Roman" w:hAnsi="Times New Roman" w:cs="Times New Roman"/>
          <w:sz w:val="24"/>
          <w:szCs w:val="24"/>
          <w:vertAlign w:val="superscript"/>
        </w:rPr>
        <w:t>42,43</w:t>
      </w:r>
      <w:r w:rsidR="00F13864">
        <w:rPr>
          <w:rFonts w:cstheme="minorHAnsi"/>
          <w:sz w:val="24"/>
          <w:szCs w:val="24"/>
        </w:rPr>
        <w:fldChar w:fldCharType="end"/>
      </w:r>
    </w:p>
    <w:p w14:paraId="35B4E704" w14:textId="58D76DC9" w:rsidR="00DA63F4" w:rsidRDefault="001740F1"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66049D">
        <w:rPr>
          <w:rFonts w:asciiTheme="majorHAnsi" w:hAnsiTheme="majorHAnsi" w:cstheme="majorHAnsi"/>
          <w:sz w:val="24"/>
          <w:szCs w:val="24"/>
        </w:rPr>
        <w:t xml:space="preserve">The RND </w:t>
      </w:r>
      <w:r w:rsidR="005B5021">
        <w:rPr>
          <w:rFonts w:asciiTheme="majorHAnsi" w:hAnsiTheme="majorHAnsi" w:cstheme="majorHAnsi"/>
          <w:sz w:val="24"/>
          <w:szCs w:val="24"/>
        </w:rPr>
        <w:t xml:space="preserve">complex </w:t>
      </w:r>
      <w:r w:rsidR="0066049D">
        <w:rPr>
          <w:rFonts w:asciiTheme="majorHAnsi" w:hAnsiTheme="majorHAnsi" w:cstheme="majorHAnsi"/>
          <w:sz w:val="24"/>
          <w:szCs w:val="24"/>
        </w:rPr>
        <w:t>transport mechanism invol</w:t>
      </w:r>
      <w:r w:rsidR="005B5021">
        <w:rPr>
          <w:rFonts w:asciiTheme="majorHAnsi" w:hAnsiTheme="majorHAnsi" w:cstheme="majorHAnsi"/>
          <w:sz w:val="24"/>
          <w:szCs w:val="24"/>
        </w:rPr>
        <w:t>ves</w:t>
      </w:r>
      <w:r w:rsidR="0066049D">
        <w:rPr>
          <w:rFonts w:asciiTheme="majorHAnsi" w:hAnsiTheme="majorHAnsi" w:cstheme="majorHAnsi"/>
          <w:sz w:val="24"/>
          <w:szCs w:val="24"/>
        </w:rPr>
        <w:t xml:space="preserve"> the transporter protein trime</w:t>
      </w:r>
      <w:r w:rsidR="005B5021">
        <w:rPr>
          <w:rFonts w:asciiTheme="majorHAnsi" w:hAnsiTheme="majorHAnsi" w:cstheme="majorHAnsi"/>
          <w:sz w:val="24"/>
          <w:szCs w:val="24"/>
        </w:rPr>
        <w:t>r cycling through</w:t>
      </w:r>
      <w:r w:rsidR="00AB5F97">
        <w:rPr>
          <w:rFonts w:asciiTheme="majorHAnsi" w:hAnsiTheme="majorHAnsi" w:cstheme="majorHAnsi"/>
          <w:sz w:val="24"/>
          <w:szCs w:val="24"/>
        </w:rPr>
        <w:t xml:space="preserve"> three transport states</w:t>
      </w:r>
      <w:r w:rsidR="0066049D">
        <w:rPr>
          <w:rFonts w:asciiTheme="majorHAnsi" w:hAnsiTheme="majorHAnsi" w:cstheme="majorHAnsi"/>
          <w:sz w:val="24"/>
          <w:szCs w:val="24"/>
        </w:rPr>
        <w:t xml:space="preserve">. Each of the three transporter protomers are in one of three </w:t>
      </w:r>
      <w:r w:rsidR="00F61875">
        <w:rPr>
          <w:rFonts w:asciiTheme="majorHAnsi" w:hAnsiTheme="majorHAnsi" w:cstheme="majorHAnsi"/>
          <w:sz w:val="24"/>
          <w:szCs w:val="24"/>
        </w:rPr>
        <w:t xml:space="preserve">asymmetrical </w:t>
      </w:r>
      <w:r w:rsidR="0066049D">
        <w:rPr>
          <w:rFonts w:asciiTheme="majorHAnsi" w:hAnsiTheme="majorHAnsi" w:cstheme="majorHAnsi"/>
          <w:sz w:val="24"/>
          <w:szCs w:val="24"/>
        </w:rPr>
        <w:t>structure states: access (or loose) state , binding (or tight) state, or extrusion (open) state.</w:t>
      </w:r>
      <w:r w:rsidR="00B27AAC">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{"citationID":"iuzWP5cM","properties":{"formattedCitation":"\\super 37,38,44\\nosupersub{}","plainCitation":"37,38,44","noteIndex":0},"citationItems":[{"id":1964,"uris":["http://zotero.org/users/1918630/items/GARYRXNF"],"itemData":{"id":1964,"type":"article-journal","abstract":"AcrB is a principal multidrug efflux transporter in Escherichia coli that cooperates with an outer-membrane channel, TolC, and a membrane-fusion protein, AcrA. Here we describe crystal structures of AcrB with and without substrates. The AcrB-drug complex consists of three protomers, each of which has a different conformation corresponding to one of the three functional states of the transport cycle. Bound substrate was found in the periplasmic domain of one of the three protomers. The voluminous binding pocket is aromatic and allows multi-site binding. The structures indicate that drugs are exported by a three-step functionally rotating mechanism in which substrates undergo ordered binding change.","container-title":"Nature","DOI":"10.1038/nature05076","ISSN":"1476-4687","issue":"7108","journalAbbreviation":"Nature","language":"eng","note":"PMID: 16915237","page":"173-179","source":"PubMed","title":"Crystal structures of a multidrug transporter reveal a functionally rotating mechanism","volume":"443","author":[{"family":"Murakami","given":"Satoshi"},{"family":"Nakashima","given":"Ryosuke"},{"family":"Yamashita","given":"Eiki"},{"family":"Matsumoto","given":"Takashi"},{"family":"Yamaguchi","given":"Akihito"}],"issued":{"date-parts":[["2006",9,14]]}}},{"id":1962,"uris":["http://zotero.org/users/1918630/items/J9NCN9L4"],"itemData":{"id":1962,"type":"article-journal","abstract":"In Gram-negative bacteria such as Escherichia coli and Pseudomonas aeruginosa, tripartite multidrug efflux systems extrude cytotoxic substances from the cell directly into the medium bypassing periplasm and the outer membrane. In E. coli, the tripartite efflux system AcrA/AcrB/TolC is the pump that extrudes multiple antibiotics, dyes, bile salts and detergents. The inner membrane component AcrB, a member of the Resistance Nodulation cell Division (RND) family, is the major site for substrate recognition and energy transduction of the entire tripartite system. The drug/proton antiport processes in this secondary transporter are suggested to be spatially separated, a feature frequently observed for primary transporters like membrane-bound ATPases. The recently elucidated asymmetric structure of the AcrB trimer reveals three different monomer conformations proposed to represent consecutive states in a directional transport cycle. Each monomer shows a distinct tunnel system with entrances located at the boundary of the outer leaflet of the inner membrane and the periplasm through the periplasmic porter (pore) domain towards the funnel of the trimer and TolC. In one monomer a hydrophobic pocket is present which has been shown to bind the AcrB substrates minocyclin and doxorubicin. The energy conversion from the proton motive force into drug efflux includes proton binding in (and release from) the transmembrane part. The conformational changes observed within a triad of essential, titratable residues (D407/D408/K940) residing in the hydrophobic transmembrane domain appear to be transduced by transmembrane helix 8 and associated with the conformational changes seen in the periplasmic domain. From the asymmetric structure a possible peristaltic pump transport mechanism based on a functional rotation of the AcrB trimer has been postulated. The novel drug transport model combines the alternate access pump mechanism with the rotating site catalysis of F(1)F(o) ATPase as originally postulated by Jardetzky and Boyer, respectively, and suggests a working hypothesis for the transport mechanism of RND transporters in general.","container-title":"Biochimica Et Biophysica Acta","DOI":"10.1016/j.bbapap.2008.12.015","ISSN":"0006-3002","issue":"5","journalAbbreviation":"Biochim Biophys Acta","language":"eng","note":"PMID: 19166984","page":"782-793","source":"PubMed","title":"Drug transport mechanism of the AcrB efflux pump","volume":"1794","author":[{"family":"Pos","given":"Klaas M."}],"issued":{"date-parts":[["2009",5]]}}},{"id":2061,"uris":["http://zotero.org/users/1918630/items/YZDBL8NA"],"itemData":{"id":2061,"type":"article-journal","abstract":"The AcrA/AcrB/TolC complex spans the inner and outer membranes of Escherichia coli and serves as its major drug-resistance pump. Driven by the proton motive force, it mediates the efflux of bile salts, detergents, organic solvents, and many structurally unrelated antibiotics. Here, we report a crystallographic structure of trimeric AcrB determined at 2.9 and 3.0 angstrom resolution in space groups that allow asymmetry of the monomers. This structure reveals three different monomer conformations representing consecutive states in a transport cycle. The structural data imply an alternating access mechanism and a novel peristaltic mode of drug transport by this type of transporter.","container-title":"Science (New York, N.Y.)","DOI":"10.1126/science.1131542","ISSN":"1095-9203","issue":"5791","journalAbbreviation":"Science","language":"eng","note":"PMID: 16946072","page":"1295-1298","source":"PubMed","title":"Structural asymmetry of AcrB trimer suggests a peristaltic pump mechanism","volume":"313","author":[{"family":"Seeger","given":"Markus A."},{"family":"Schiefner","given":"André"},{"family":"Eicher","given":"Thomas"},{"family":"Verrey","given":"François"},{"family":"Diederichs","given":"Kay"},{"family":"Pos","given":"Klaas M."}],"issued":{"date-parts":[["2006",9,1]]}}}],"schema":"https://github.com/citation-style-language/schema/raw/master/csl-citation.json"} </w:instrText>
      </w:r>
      <w:r w:rsidR="00B27AAC">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37,38,44</w:t>
      </w:r>
      <w:r w:rsidR="00B27AAC">
        <w:rPr>
          <w:rFonts w:asciiTheme="majorHAnsi" w:hAnsiTheme="majorHAnsi" w:cstheme="majorHAnsi"/>
          <w:sz w:val="24"/>
          <w:szCs w:val="24"/>
        </w:rPr>
        <w:fldChar w:fldCharType="end"/>
      </w:r>
      <w:r w:rsidR="0066049D">
        <w:rPr>
          <w:rFonts w:asciiTheme="majorHAnsi" w:hAnsiTheme="majorHAnsi" w:cstheme="majorHAnsi"/>
          <w:sz w:val="24"/>
          <w:szCs w:val="24"/>
        </w:rPr>
        <w:t xml:space="preserve"> The protomers cycle through these three states to (1) allow pump substrates to enter the transporter in the access state, (2) move substrates further into the drug-binding pocket during the binding state, and (3) funnel substrates into the channel created by the periplasmic</w:t>
      </w:r>
      <w:r w:rsidR="001062A6">
        <w:rPr>
          <w:rFonts w:asciiTheme="majorHAnsi" w:hAnsiTheme="majorHAnsi" w:cstheme="majorHAnsi"/>
          <w:sz w:val="24"/>
          <w:szCs w:val="24"/>
        </w:rPr>
        <w:t xml:space="preserve"> </w:t>
      </w:r>
      <w:proofErr w:type="spellStart"/>
      <w:r w:rsidR="001062A6">
        <w:rPr>
          <w:rFonts w:asciiTheme="majorHAnsi" w:hAnsiTheme="majorHAnsi" w:cstheme="majorHAnsi"/>
          <w:sz w:val="24"/>
          <w:szCs w:val="24"/>
        </w:rPr>
        <w:t>AcrA</w:t>
      </w:r>
      <w:proofErr w:type="spellEnd"/>
      <w:r w:rsidR="0066049D">
        <w:rPr>
          <w:rFonts w:asciiTheme="majorHAnsi" w:hAnsiTheme="majorHAnsi" w:cstheme="majorHAnsi"/>
          <w:sz w:val="24"/>
          <w:szCs w:val="24"/>
        </w:rPr>
        <w:t xml:space="preserve"> and outer membrane </w:t>
      </w:r>
      <w:r w:rsidR="001062A6">
        <w:rPr>
          <w:rFonts w:asciiTheme="majorHAnsi" w:hAnsiTheme="majorHAnsi" w:cstheme="majorHAnsi"/>
          <w:sz w:val="24"/>
          <w:szCs w:val="24"/>
        </w:rPr>
        <w:t xml:space="preserve">channel </w:t>
      </w:r>
      <w:proofErr w:type="spellStart"/>
      <w:r w:rsidR="001062A6">
        <w:rPr>
          <w:rFonts w:asciiTheme="majorHAnsi" w:hAnsiTheme="majorHAnsi" w:cstheme="majorHAnsi"/>
          <w:sz w:val="24"/>
          <w:szCs w:val="24"/>
        </w:rPr>
        <w:t>TolC</w:t>
      </w:r>
      <w:proofErr w:type="spellEnd"/>
      <w:r w:rsidR="001062A6">
        <w:rPr>
          <w:rFonts w:asciiTheme="majorHAnsi" w:hAnsiTheme="majorHAnsi" w:cstheme="majorHAnsi"/>
          <w:sz w:val="24"/>
          <w:szCs w:val="24"/>
        </w:rPr>
        <w:t xml:space="preserve"> i</w:t>
      </w:r>
      <w:r w:rsidR="0066049D">
        <w:rPr>
          <w:rFonts w:asciiTheme="majorHAnsi" w:hAnsiTheme="majorHAnsi" w:cstheme="majorHAnsi"/>
          <w:sz w:val="24"/>
          <w:szCs w:val="24"/>
        </w:rPr>
        <w:t xml:space="preserve">n the extrusion state. </w:t>
      </w:r>
      <w:r w:rsidR="005B1A0A">
        <w:rPr>
          <w:rFonts w:asciiTheme="majorHAnsi" w:hAnsiTheme="majorHAnsi" w:cstheme="majorHAnsi"/>
          <w:sz w:val="24"/>
          <w:szCs w:val="24"/>
        </w:rPr>
        <w:t xml:space="preserve">The transition transporter protomers make between </w:t>
      </w:r>
      <w:r w:rsidR="00FA2A8C">
        <w:rPr>
          <w:rFonts w:asciiTheme="majorHAnsi" w:hAnsiTheme="majorHAnsi" w:cstheme="majorHAnsi"/>
          <w:sz w:val="24"/>
          <w:szCs w:val="24"/>
        </w:rPr>
        <w:t>conformation</w:t>
      </w:r>
      <w:r w:rsidR="00CB6494">
        <w:rPr>
          <w:rFonts w:asciiTheme="majorHAnsi" w:hAnsiTheme="majorHAnsi" w:cstheme="majorHAnsi"/>
          <w:sz w:val="24"/>
          <w:szCs w:val="24"/>
        </w:rPr>
        <w:t>al</w:t>
      </w:r>
      <w:r w:rsidR="005B1A0A">
        <w:rPr>
          <w:rFonts w:asciiTheme="majorHAnsi" w:hAnsiTheme="majorHAnsi" w:cstheme="majorHAnsi"/>
          <w:sz w:val="24"/>
          <w:szCs w:val="24"/>
        </w:rPr>
        <w:t xml:space="preserve"> states is driven by changes in the protonation of specific amino acid side chains located in the transmembrane domain.</w:t>
      </w:r>
      <w:r w:rsidR="00E0329B">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{"citationID":"bMenEmHe","properties":{"formattedCitation":"\\super 45\\nosupersub{}","plainCitation":"45","noteIndex":0},"citationItems":[{"id":1829,"uris":["http://zotero.org/users/1918630/items/49A5K388"],"itemData":{"id":1829,"type":"article-journal","abstract":"Infections arising from multidrug-r esistant pathogenic bacteria are spreading rapidly throughout the world and threaten to become untreatable. The origins of resistance are numerous and complex, but one underlying factor is the capacity of bacteria to rapidly export drugs through the intrinsic activity of efflux pumps. In this Review , we describe recent advances that have increased our understanding of the structures and molecular mechanisms of multidrug efflux pumps in bacteria. Clinical and laboratory data indicate that efflux pumps function not only in the drug extrusion process but also in virulence and the adaptive responses that contribute to antimicrobial resistance during infection. The emerging picture of the structure, function and regulation of efflux pumps suggests opportunities for countering their activities.","container-title":"Nature Reviews Microbiology","DOI":"10.1038/s41579-018-0048-6","ISSN":"1740-1526, 1740-1534","issue":"9","journalAbbreviation":"Nat Rev Microbiol","language":"en","page":"523-539","source":"DOI.org (Crossref)","title":"Multidrug efflux pumps: structure, function and regulation","title-short":"Multidrug efflux pumps","volume":"16","author":[{"family":"Du","given":"Dijun"},{"family":"Wang-Kan","given":"Xuan"},{"family":"Neuberger","given":"Arthur"},{"family":"Van Veen","given":"Hendrik W."},{"family":"Pos","given":"Klaas M."},{"family":"Piddock","given":"Laura J. V."},{"family":"Luisi","given":"Ben F."}],"issued":{"date-parts":[["2018",9]]}}}],"schema":"https://github.com/citation-style-language/schema/raw/master/csl-citation.json"} </w:instrText>
      </w:r>
      <w:r w:rsidR="00E0329B">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45</w:t>
      </w:r>
      <w:r w:rsidR="00E0329B">
        <w:rPr>
          <w:rFonts w:asciiTheme="majorHAnsi" w:hAnsiTheme="majorHAnsi" w:cstheme="majorHAnsi"/>
          <w:sz w:val="24"/>
          <w:szCs w:val="24"/>
        </w:rPr>
        <w:fldChar w:fldCharType="end"/>
      </w:r>
      <w:r w:rsidR="00151B39" w:rsidRPr="00151B39">
        <w:rPr>
          <w:rFonts w:asciiTheme="majorHAnsi" w:hAnsiTheme="majorHAnsi" w:cstheme="majorHAnsi"/>
          <w:sz w:val="24"/>
          <w:szCs w:val="24"/>
        </w:rPr>
        <w:t xml:space="preserve"> </w:t>
      </w:r>
      <w:r w:rsidR="00151B39">
        <w:rPr>
          <w:rFonts w:asciiTheme="majorHAnsi" w:hAnsiTheme="majorHAnsi" w:cstheme="majorHAnsi"/>
          <w:sz w:val="24"/>
          <w:szCs w:val="24"/>
        </w:rPr>
        <w:t xml:space="preserve">Pump substrates can enter the transporter trimer via the periplasm or from the intermembrane region of the inner membrane.  Du et al. </w:t>
      </w:r>
      <w:r w:rsidR="00CB6494">
        <w:rPr>
          <w:rFonts w:asciiTheme="majorHAnsi" w:hAnsiTheme="majorHAnsi" w:cstheme="majorHAnsi"/>
          <w:sz w:val="24"/>
          <w:szCs w:val="24"/>
        </w:rPr>
        <w:t xml:space="preserve">and other researchers </w:t>
      </w:r>
      <w:r w:rsidR="00151B39">
        <w:rPr>
          <w:rFonts w:asciiTheme="majorHAnsi" w:hAnsiTheme="majorHAnsi" w:cstheme="majorHAnsi"/>
          <w:sz w:val="24"/>
          <w:szCs w:val="24"/>
        </w:rPr>
        <w:t>have been able to determine drug pathways and drug binding sites in AcrB through X-ray crystallography and cryo-electron microscopy studies.</w:t>
      </w:r>
      <w:r w:rsidR="00181EB6">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{"citationID":"nMIgKx5E","properties":{"formattedCitation":"\\super 26,37,46\\nosupersub{}","plainCitation":"26,37,46","noteIndex":0},"citationItems":[{"id":1964,"uris":["http://zotero.org/users/1918630/items/GARYRXNF"],"itemData":{"id":1964,"type":"article-journal","abstract":"AcrB is a principal multidrug efflux transporter in Escherichia coli that cooperates with an outer-membrane channel, TolC, and a membrane-fusion protein, AcrA. Here we describe crystal structures of AcrB with and without substrates. The AcrB-drug complex consists of three protomers, each of which has a different conformation corresponding to one of the three functional states of the transport cycle. Bound substrate was found in the periplasmic domain of one of the three protomers. The voluminous binding pocket is aromatic and allows multi-site binding. The structures indicate that drugs are exported by a three-step functionally rotating mechanism in which substrates undergo ordered binding change.","container-title":"Nature","DOI":"10.1038/nature05076","ISSN":"1476-4687","issue":"7108","journalAbbreviation":"Nature","language":"eng","note":"PMID: 16915237","page":"173-179","source":"PubMed","title":"Crystal structures of a multidrug transporter reveal a functionally rotating mechanism","volume":"443","author":[{"family":"Murakami","given":"Satoshi"},{"family":"Nakashima","given":"Ryosuke"},{"family":"Yamashita","given":"Eiki"},{"family":"Matsumoto","given":"Takashi"},{"family":"Yamaguchi","given":"Akihito"}],"issued":{"date-parts":[["2006",9,14]]}}},{"id":2038,"uris":["http://zotero.org/users/1918630/items/WGXFXES9"],"itemData":{"id":2038,"type":"article-journal","abstract":"Bacterial efflux pumps confer multidrug resistance by transporting diverse antibiotics from the cell. In Gram-negative bacteria, some of these pumps form multi-protein assemblies that span the cell envelope. Here, we report the near-atomic resolution cryoEM structures of the Escherichia coli AcrAB-TolC multidrug efflux pump in resting and drug transport states, revealing a quaternary structural switch that allosterically couples and synchronizes initial ligand binding with channel opening. Within the transport-activated state, the channel remains open even though the pump cycles through three distinct conformations. Collectively, our data provide a dynamic mechanism for the assembly and operation of the AcrAB-TolC pump.","container-title":"eLife","DOI":"10.7554/eLife.24905","ISSN":"2050-084X","note":"publisher: eLife Sciences Publications, Ltd","page":"e24905","source":"eLife","title":"An allosteric transport mechanism for the AcrAB-TolC multidrug efflux pump","volume":"6","author":[{"family":"Wang","given":"Zhao"},{"family":"Fan","given":"Guizhen"},{"family":"Hryc","given":"Corey F"},{"family":"Blaza","given":"James N"},{"family":"Serysheva","given":"Irina I"},{"family":"Schmid","given":"Michael F"},{"family":"Chiu","given":"Wah"},{"family":"Luisi","given":"Ben F"},{"family":"Du","given":"Dijun"}],"editor":[{"family":"Boudker","given":"Olga"}],"issued":{"date-parts":[["2017",3,29]]}}},{"id":2066,"uris":["http://zotero.org/users/1918630/items/BNNRFXBV"],"itemData":{"id":2066,"type":"article-journal","abstract":"Multidrug resistance has been a critical issue in current chemotherapy. In Escherichia coli, a major efflux pump responsible for the multidrug resistance contains a transporter AcrB. Crystallographic studies and mutational assays of AcrB provided much of structural and overall functional insights, which led to the functionally rotating mechanism. However, the drug uptake pathways are somewhat controversial because at least two possible pathways, the vestibule and the cleft paths, were suggested. Here, combining molecular simulations and site-directed mutagenesis experiments, we addressed the uptake mechanism finding that the drug uptake pathways can be significantly different depending on the properties of drugs. First, in the computational free energy analysis of drug movements along AcrB tunnels, we found a ligand-dependent drug uptake mechanism. With the same molecular sizes, drugs that are both strongly hydrophobic and lipophilic were preferentially taken in via the vestibule path, while other drugs favored the cleft path. Second, direct simulations realized totally about 3500 events of drug uptake by AcrB for a broad range of drug property. These simulations confirmed the ligand-dependent drug uptake and further suggested that a smaller drug favors the vestibule path, while a larger one is taken in via the cleft path. Moreover, the direct simulations identified an alternative uptake path which is not visible in the crystal structure. Third, site-directed mutagenesis of AcrB in E. coli verified that mutations of residues located along the newly identified path significantly reduced the efflux efficiency, supporting its relevance in in vivo function.","container-title":"Journal of the American Chemical Society","DOI":"10.1021/ja310548h","ISSN":"0002-7863","issue":"20","journalAbbreviation":"J. Am. Chem. Soc.","note":"publisher: American Chemical Society","page":"7474-7485","source":"ACS Publications","title":"Drug Uptake Pathways of Multidrug Transporter AcrB Studied by Molecular Simulations and Site-Directed Mutagenesis Experiments","volume":"135","author":[{"family":"Yao","given":"Xin-Qiu"},{"family":"Kimura","given":"Nobuhiro"},{"family":"Murakami","given":"Satoshi"},{"family":"Takada","given":"Shoji"}],"issued":{"date-parts":[["2013",5,22]]}}}],"schema":"https://github.com/citation-style-language/schema/raw/master/csl-citation.json"} </w:instrText>
      </w:r>
      <w:r w:rsidR="00181EB6">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26,37,46</w:t>
      </w:r>
      <w:r w:rsidR="00181EB6">
        <w:rPr>
          <w:rFonts w:asciiTheme="majorHAnsi" w:hAnsiTheme="majorHAnsi" w:cstheme="majorHAnsi"/>
          <w:sz w:val="24"/>
          <w:szCs w:val="24"/>
        </w:rPr>
        <w:fldChar w:fldCharType="end"/>
      </w:r>
      <w:r w:rsidR="003E6866">
        <w:rPr>
          <w:rFonts w:asciiTheme="majorHAnsi" w:hAnsiTheme="majorHAnsi" w:cstheme="majorHAnsi"/>
          <w:sz w:val="24"/>
          <w:szCs w:val="24"/>
        </w:rPr>
        <w:t xml:space="preserve"> T</w:t>
      </w:r>
      <w:r w:rsidR="00151B39">
        <w:rPr>
          <w:rFonts w:asciiTheme="majorHAnsi" w:hAnsiTheme="majorHAnsi" w:cstheme="majorHAnsi"/>
          <w:sz w:val="24"/>
          <w:szCs w:val="24"/>
        </w:rPr>
        <w:t>hese</w:t>
      </w:r>
      <w:r w:rsidR="003E6866">
        <w:rPr>
          <w:rFonts w:asciiTheme="majorHAnsi" w:hAnsiTheme="majorHAnsi" w:cstheme="majorHAnsi"/>
          <w:sz w:val="24"/>
          <w:szCs w:val="24"/>
        </w:rPr>
        <w:t xml:space="preserve"> studies</w:t>
      </w:r>
      <w:r w:rsidR="00151B39">
        <w:rPr>
          <w:rFonts w:asciiTheme="majorHAnsi" w:hAnsiTheme="majorHAnsi" w:cstheme="majorHAnsi"/>
          <w:sz w:val="24"/>
          <w:szCs w:val="24"/>
        </w:rPr>
        <w:t xml:space="preserve"> </w:t>
      </w:r>
      <w:r w:rsidR="00151B39">
        <w:rPr>
          <w:rFonts w:asciiTheme="majorHAnsi" w:hAnsiTheme="majorHAnsi" w:cstheme="majorHAnsi"/>
          <w:sz w:val="24"/>
          <w:szCs w:val="24"/>
        </w:rPr>
        <w:lastRenderedPageBreak/>
        <w:t xml:space="preserve">have shown that AcrB’s periplasmic entrance includes the proximal binding pocket in the loose protomer. </w:t>
      </w:r>
      <w:r w:rsidR="00B33C32">
        <w:rPr>
          <w:rFonts w:asciiTheme="majorHAnsi" w:hAnsiTheme="majorHAnsi" w:cstheme="majorHAnsi"/>
          <w:sz w:val="24"/>
          <w:szCs w:val="24"/>
        </w:rPr>
        <w:t>Further past the proximal binding pocket is the distal binding pocket</w:t>
      </w:r>
      <w:r w:rsidR="00D164CD">
        <w:rPr>
          <w:rFonts w:asciiTheme="majorHAnsi" w:hAnsiTheme="majorHAnsi" w:cstheme="majorHAnsi"/>
          <w:sz w:val="24"/>
          <w:szCs w:val="24"/>
        </w:rPr>
        <w:t xml:space="preserve">, </w:t>
      </w:r>
      <w:r w:rsidR="006A10ED">
        <w:rPr>
          <w:rFonts w:asciiTheme="majorHAnsi" w:hAnsiTheme="majorHAnsi" w:cstheme="majorHAnsi"/>
          <w:sz w:val="24"/>
          <w:szCs w:val="24"/>
        </w:rPr>
        <w:t xml:space="preserve">containing </w:t>
      </w:r>
      <w:r w:rsidR="00B33C32" w:rsidRPr="00140110">
        <w:rPr>
          <w:rFonts w:asciiTheme="majorHAnsi" w:hAnsiTheme="majorHAnsi" w:cstheme="majorHAnsi"/>
          <w:sz w:val="24"/>
          <w:szCs w:val="24"/>
        </w:rPr>
        <w:t xml:space="preserve">the </w:t>
      </w:r>
      <w:r w:rsidR="006A10ED">
        <w:rPr>
          <w:rFonts w:asciiTheme="majorHAnsi" w:hAnsiTheme="majorHAnsi" w:cstheme="majorHAnsi"/>
          <w:sz w:val="24"/>
          <w:szCs w:val="24"/>
        </w:rPr>
        <w:t xml:space="preserve">so-called </w:t>
      </w:r>
      <w:r w:rsidR="00B33C32" w:rsidRPr="00140110">
        <w:rPr>
          <w:rFonts w:asciiTheme="majorHAnsi" w:hAnsiTheme="majorHAnsi" w:cstheme="majorHAnsi"/>
          <w:sz w:val="24"/>
          <w:szCs w:val="24"/>
        </w:rPr>
        <w:t>hydrophobic trap</w:t>
      </w:r>
      <w:r w:rsidR="00B33C32">
        <w:rPr>
          <w:rFonts w:asciiTheme="majorHAnsi" w:hAnsiTheme="majorHAnsi" w:cstheme="majorHAnsi"/>
          <w:sz w:val="24"/>
          <w:szCs w:val="24"/>
        </w:rPr>
        <w:t>.</w:t>
      </w:r>
      <w:r w:rsidR="009340C5">
        <w:rPr>
          <w:rFonts w:asciiTheme="majorHAnsi" w:hAnsiTheme="majorHAnsi" w:cstheme="majorHAnsi"/>
          <w:sz w:val="24"/>
          <w:szCs w:val="24"/>
        </w:rPr>
        <w:t xml:space="preserve"> The hydrophobic trap location within each AcrB protomer can be seen in </w:t>
      </w:r>
      <w:r w:rsidR="009340C5">
        <w:rPr>
          <w:rFonts w:asciiTheme="majorHAnsi" w:hAnsiTheme="majorHAnsi" w:cstheme="majorHAnsi"/>
          <w:b/>
          <w:bCs/>
          <w:sz w:val="24"/>
          <w:szCs w:val="24"/>
        </w:rPr>
        <w:t>Figure 1.</w:t>
      </w:r>
      <w:r w:rsidR="00937C1F">
        <w:rPr>
          <w:rFonts w:asciiTheme="majorHAnsi" w:hAnsiTheme="majorHAnsi" w:cstheme="majorHAnsi"/>
          <w:b/>
          <w:bCs/>
          <w:sz w:val="24"/>
          <w:szCs w:val="24"/>
        </w:rPr>
        <w:t>9</w:t>
      </w:r>
      <w:r w:rsidR="009340C5">
        <w:rPr>
          <w:rFonts w:asciiTheme="majorHAnsi" w:hAnsiTheme="majorHAnsi" w:cstheme="majorHAnsi"/>
          <w:b/>
          <w:bCs/>
          <w:sz w:val="24"/>
          <w:szCs w:val="24"/>
        </w:rPr>
        <w:t>-B,C</w:t>
      </w:r>
      <w:r w:rsidR="009340C5">
        <w:rPr>
          <w:rFonts w:asciiTheme="majorHAnsi" w:hAnsiTheme="majorHAnsi" w:cstheme="majorHAnsi"/>
          <w:sz w:val="24"/>
          <w:szCs w:val="24"/>
        </w:rPr>
        <w:t xml:space="preserve">, where the </w:t>
      </w:r>
      <w:proofErr w:type="spellStart"/>
      <w:r w:rsidR="009340C5">
        <w:rPr>
          <w:rFonts w:asciiTheme="majorHAnsi" w:hAnsiTheme="majorHAnsi" w:cstheme="majorHAnsi"/>
          <w:sz w:val="24"/>
          <w:szCs w:val="24"/>
        </w:rPr>
        <w:t>pyranopyridine</w:t>
      </w:r>
      <w:proofErr w:type="spellEnd"/>
      <w:r w:rsidR="009340C5">
        <w:rPr>
          <w:rFonts w:asciiTheme="majorHAnsi" w:hAnsiTheme="majorHAnsi" w:cstheme="majorHAnsi"/>
          <w:sz w:val="24"/>
          <w:szCs w:val="24"/>
        </w:rPr>
        <w:t xml:space="preserve"> inhibitor MB</w:t>
      </w:r>
      <w:r w:rsidR="00960CAD">
        <w:rPr>
          <w:rFonts w:asciiTheme="majorHAnsi" w:hAnsiTheme="majorHAnsi" w:cstheme="majorHAnsi"/>
          <w:sz w:val="24"/>
          <w:szCs w:val="24"/>
        </w:rPr>
        <w:t>X</w:t>
      </w:r>
      <w:r w:rsidR="009340C5">
        <w:rPr>
          <w:rFonts w:asciiTheme="majorHAnsi" w:hAnsiTheme="majorHAnsi" w:cstheme="majorHAnsi"/>
          <w:sz w:val="24"/>
          <w:szCs w:val="24"/>
        </w:rPr>
        <w:t xml:space="preserve">3132 was found to bind when co-crystalized with the </w:t>
      </w:r>
      <w:proofErr w:type="spellStart"/>
      <w:r w:rsidR="009340C5">
        <w:rPr>
          <w:rFonts w:asciiTheme="majorHAnsi" w:hAnsiTheme="majorHAnsi" w:cstheme="majorHAnsi"/>
          <w:sz w:val="24"/>
          <w:szCs w:val="24"/>
        </w:rPr>
        <w:t>AcrABZ-TolC</w:t>
      </w:r>
      <w:proofErr w:type="spellEnd"/>
      <w:r w:rsidR="009340C5">
        <w:rPr>
          <w:rFonts w:asciiTheme="majorHAnsi" w:hAnsiTheme="majorHAnsi" w:cstheme="majorHAnsi"/>
          <w:sz w:val="24"/>
          <w:szCs w:val="24"/>
        </w:rPr>
        <w:t xml:space="preserve"> complex.</w:t>
      </w:r>
      <w:r w:rsidR="00B33C32">
        <w:rPr>
          <w:rFonts w:asciiTheme="majorHAnsi" w:hAnsiTheme="majorHAnsi" w:cstheme="majorHAnsi"/>
          <w:sz w:val="24"/>
          <w:szCs w:val="24"/>
        </w:rPr>
        <w:t xml:space="preserve"> There are</w:t>
      </w:r>
      <w:r w:rsidR="00AF3618">
        <w:rPr>
          <w:rFonts w:asciiTheme="majorHAnsi" w:hAnsiTheme="majorHAnsi" w:cstheme="majorHAnsi"/>
          <w:sz w:val="24"/>
          <w:szCs w:val="24"/>
        </w:rPr>
        <w:t xml:space="preserve"> several</w:t>
      </w:r>
      <w:r w:rsidR="00B33C32">
        <w:rPr>
          <w:rFonts w:asciiTheme="majorHAnsi" w:hAnsiTheme="majorHAnsi" w:cstheme="majorHAnsi"/>
          <w:sz w:val="24"/>
          <w:szCs w:val="24"/>
        </w:rPr>
        <w:t xml:space="preserve"> different </w:t>
      </w:r>
      <w:r w:rsidR="00DA63F4">
        <w:rPr>
          <w:rFonts w:asciiTheme="majorHAnsi" w:hAnsiTheme="majorHAnsi" w:cstheme="majorHAnsi"/>
          <w:sz w:val="24"/>
          <w:szCs w:val="24"/>
        </w:rPr>
        <w:t>binding sites within these channels and binding pockets. How specific substrates interact with these binding sites depends on the chemical and physical properties of the substrate as well as those of the amino acid side chains found in the binding site residues – this is characterized as a pump’s substrate specificity.</w:t>
      </w:r>
    </w:p>
    <w:p w14:paraId="38FF237F" w14:textId="0210FC99" w:rsidR="00194236" w:rsidRDefault="00C632FF" w:rsidP="0021013E">
      <w:pPr>
        <w:spacing w:line="360" w:lineRule="auto"/>
        <w:rPr>
          <w:rFonts w:asciiTheme="majorHAnsi" w:hAnsiTheme="majorHAnsi" w:cstheme="majorHAnsi"/>
          <w:sz w:val="24"/>
          <w:szCs w:val="24"/>
        </w:rPr>
      </w:pPr>
      <w:r w:rsidRPr="00C632FF">
        <w:rPr>
          <w:rFonts w:asciiTheme="majorHAnsi" w:hAnsiTheme="majorHAnsi" w:cstheme="majorHAnsi"/>
          <w:noProof/>
          <w:sz w:val="24"/>
          <w:szCs w:val="24"/>
        </w:rPr>
        <w:drawing>
          <wp:inline distT="0" distB="0" distL="0" distR="0" wp14:anchorId="00476528" wp14:editId="626E62A8">
            <wp:extent cx="5486400" cy="2616835"/>
            <wp:effectExtent l="0" t="0" r="0" b="0"/>
            <wp:docPr id="742103652" name="Picture 1" descr="A group of colorful sphe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03652" name="Picture 1" descr="A group of colorful spheres&#10;&#10;Description automatically generated with medium confidence"/>
                    <pic:cNvPicPr/>
                  </pic:nvPicPr>
                  <pic:blipFill>
                    <a:blip r:embed="rId19"/>
                    <a:stretch>
                      <a:fillRect/>
                    </a:stretch>
                  </pic:blipFill>
                  <pic:spPr>
                    <a:xfrm>
                      <a:off x="0" y="0"/>
                      <a:ext cx="5486400" cy="2616835"/>
                    </a:xfrm>
                    <a:prstGeom prst="rect">
                      <a:avLst/>
                    </a:prstGeom>
                  </pic:spPr>
                </pic:pic>
              </a:graphicData>
            </a:graphic>
          </wp:inline>
        </w:drawing>
      </w:r>
    </w:p>
    <w:p w14:paraId="2659ED0C" w14:textId="64A6892D" w:rsidR="00194236" w:rsidRDefault="00194236" w:rsidP="00194236">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Pr="00937C1F">
        <w:rPr>
          <w:rFonts w:asciiTheme="majorHAnsi" w:hAnsiTheme="majorHAnsi" w:cstheme="majorHAnsi"/>
          <w:b/>
          <w:bCs/>
          <w:sz w:val="24"/>
          <w:szCs w:val="24"/>
        </w:rPr>
        <w:t>1.</w:t>
      </w:r>
      <w:r w:rsidR="00937C1F" w:rsidRPr="00937C1F">
        <w:rPr>
          <w:rFonts w:asciiTheme="majorHAnsi" w:hAnsiTheme="majorHAnsi" w:cstheme="majorHAnsi"/>
          <w:b/>
          <w:bCs/>
          <w:sz w:val="24"/>
          <w:szCs w:val="24"/>
        </w:rPr>
        <w:t>9 Ac</w:t>
      </w:r>
      <w:r w:rsidRPr="00937C1F">
        <w:rPr>
          <w:rFonts w:asciiTheme="majorHAnsi" w:hAnsiTheme="majorHAnsi" w:cstheme="majorHAnsi"/>
          <w:b/>
          <w:bCs/>
          <w:sz w:val="24"/>
          <w:szCs w:val="24"/>
        </w:rPr>
        <w:t>rB</w:t>
      </w:r>
      <w:r w:rsidR="009340C5">
        <w:rPr>
          <w:rFonts w:asciiTheme="majorHAnsi" w:hAnsiTheme="majorHAnsi" w:cstheme="majorHAnsi"/>
          <w:b/>
          <w:bCs/>
          <w:sz w:val="24"/>
          <w:szCs w:val="24"/>
        </w:rPr>
        <w:t xml:space="preserve"> </w:t>
      </w:r>
      <w:r w:rsidR="00140110">
        <w:rPr>
          <w:rFonts w:asciiTheme="majorHAnsi" w:hAnsiTheme="majorHAnsi" w:cstheme="majorHAnsi"/>
          <w:b/>
          <w:bCs/>
          <w:sz w:val="24"/>
          <w:szCs w:val="24"/>
        </w:rPr>
        <w:t xml:space="preserve">trimer </w:t>
      </w:r>
      <w:r>
        <w:rPr>
          <w:rFonts w:asciiTheme="majorHAnsi" w:hAnsiTheme="majorHAnsi" w:cstheme="majorHAnsi"/>
          <w:b/>
          <w:bCs/>
          <w:sz w:val="24"/>
          <w:szCs w:val="24"/>
        </w:rPr>
        <w:t xml:space="preserve">bound to </w:t>
      </w:r>
      <w:r w:rsidR="00140110">
        <w:rPr>
          <w:rFonts w:asciiTheme="majorHAnsi" w:hAnsiTheme="majorHAnsi" w:cstheme="majorHAnsi"/>
          <w:b/>
          <w:bCs/>
          <w:sz w:val="24"/>
          <w:szCs w:val="24"/>
        </w:rPr>
        <w:t xml:space="preserve">three </w:t>
      </w:r>
      <w:r>
        <w:rPr>
          <w:rFonts w:asciiTheme="majorHAnsi" w:hAnsiTheme="majorHAnsi" w:cstheme="majorHAnsi"/>
          <w:b/>
          <w:bCs/>
          <w:sz w:val="24"/>
          <w:szCs w:val="24"/>
        </w:rPr>
        <w:t>MBX3132</w:t>
      </w:r>
      <w:r w:rsidR="00140110">
        <w:rPr>
          <w:rFonts w:asciiTheme="majorHAnsi" w:hAnsiTheme="majorHAnsi" w:cstheme="majorHAnsi"/>
          <w:b/>
          <w:bCs/>
          <w:sz w:val="24"/>
          <w:szCs w:val="24"/>
        </w:rPr>
        <w:t xml:space="preserve"> </w:t>
      </w:r>
      <w:proofErr w:type="gramStart"/>
      <w:r w:rsidR="00140110">
        <w:rPr>
          <w:rFonts w:asciiTheme="majorHAnsi" w:hAnsiTheme="majorHAnsi" w:cstheme="majorHAnsi"/>
          <w:b/>
          <w:bCs/>
          <w:sz w:val="24"/>
          <w:szCs w:val="24"/>
        </w:rPr>
        <w:t>molecules</w:t>
      </w:r>
      <w:proofErr w:type="gramEnd"/>
    </w:p>
    <w:p w14:paraId="62E7A98B" w14:textId="53A440E8" w:rsidR="00194236" w:rsidRPr="00C632FF" w:rsidRDefault="00C632FF" w:rsidP="00E4786E">
      <w:pPr>
        <w:spacing w:line="240" w:lineRule="auto"/>
        <w:rPr>
          <w:rFonts w:asciiTheme="majorHAnsi" w:hAnsiTheme="majorHAnsi" w:cstheme="majorHAnsi"/>
          <w:sz w:val="24"/>
          <w:szCs w:val="24"/>
        </w:rPr>
      </w:pPr>
      <w:r>
        <w:rPr>
          <w:rFonts w:asciiTheme="majorHAnsi" w:hAnsiTheme="majorHAnsi" w:cstheme="majorHAnsi"/>
          <w:sz w:val="24"/>
          <w:szCs w:val="24"/>
        </w:rPr>
        <w:t xml:space="preserve">Diagram of AcrB trimer </w:t>
      </w:r>
      <w:r w:rsidR="009340C5">
        <w:rPr>
          <w:rFonts w:asciiTheme="majorHAnsi" w:hAnsiTheme="majorHAnsi" w:cstheme="majorHAnsi"/>
          <w:sz w:val="24"/>
          <w:szCs w:val="24"/>
        </w:rPr>
        <w:t xml:space="preserve">bound with </w:t>
      </w:r>
      <w:proofErr w:type="spellStart"/>
      <w:r w:rsidR="009340C5">
        <w:rPr>
          <w:rFonts w:asciiTheme="majorHAnsi" w:hAnsiTheme="majorHAnsi" w:cstheme="majorHAnsi"/>
          <w:sz w:val="24"/>
          <w:szCs w:val="24"/>
        </w:rPr>
        <w:t>pyranopyridine</w:t>
      </w:r>
      <w:proofErr w:type="spellEnd"/>
      <w:r w:rsidR="009340C5">
        <w:rPr>
          <w:rFonts w:asciiTheme="majorHAnsi" w:hAnsiTheme="majorHAnsi" w:cstheme="majorHAnsi"/>
          <w:sz w:val="24"/>
          <w:szCs w:val="24"/>
        </w:rPr>
        <w:t xml:space="preserve"> inhibitor MBX3132 </w:t>
      </w:r>
      <w:r>
        <w:rPr>
          <w:rFonts w:asciiTheme="majorHAnsi" w:hAnsiTheme="majorHAnsi" w:cstheme="majorHAnsi"/>
          <w:sz w:val="24"/>
          <w:szCs w:val="24"/>
        </w:rPr>
        <w:t>(PDB code 5NG5)</w:t>
      </w:r>
      <w:r w:rsidR="00FA25CE">
        <w:rPr>
          <w:rFonts w:asciiTheme="majorHAnsi" w:hAnsiTheme="majorHAnsi" w:cstheme="majorHAnsi"/>
          <w:sz w:val="24"/>
          <w:szCs w:val="24"/>
        </w:rPr>
        <w:t>.</w:t>
      </w:r>
      <w:r>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{"citationID":"9v1clgQn","properties":{"formattedCitation":"\\super 26\\nosupersub{}","plainCitation":"26","noteIndex":0},"citationItems":[{"id":2038,"uris":["http://zotero.org/users/1918630/items/WGXFXES9"],"itemData":{"id":2038,"type":"article-journal","abstract":"Bacterial efflux pumps confer multidrug resistance by transporting diverse antibiotics from the cell. In Gram-negative bacteria, some of these pumps form multi-protein assemblies that span the cell envelope. Here, we report the near-atomic resolution cryoEM structures of the Escherichia coli AcrAB-TolC multidrug efflux pump in resting and drug transport states, revealing a quaternary structural switch that allosterically couples and synchronizes initial ligand binding with channel opening. Within the transport-activated state, the channel remains open even though the pump cycles through three distinct conformations. Collectively, our data provide a dynamic mechanism for the assembly and operation of the AcrAB-TolC pump.","container-title":"eLife","DOI":"10.7554/eLife.24905","ISSN":"2050-084X","note":"publisher: eLife Sciences Publications, Ltd","page":"e24905","source":"eLife","title":"An allosteric transport mechanism for the AcrAB-TolC multidrug efflux pump","volume":"6","author":[{"family":"Wang","given":"Zhao"},{"family":"Fan","given":"Guizhen"},{"family":"Hryc","given":"Corey F"},{"family":"Blaza","given":"James N"},{"family":"Serysheva","given":"Irina I"},{"family":"Schmid","given":"Michael F"},{"family":"Chiu","given":"Wah"},{"family":"Luisi","given":"Ben F"},{"family":"Du","given":"Dijun"}],"editor":[{"family":"Boudker","given":"Olga"}],"issued":{"date-parts":[["2017",3,29]]}}}],"schema":"https://github.com/citation-style-language/schema/raw/master/csl-citation.json"} </w:instrText>
      </w:r>
      <w:r>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26</w:t>
      </w:r>
      <w:r>
        <w:rPr>
          <w:rFonts w:asciiTheme="majorHAnsi" w:hAnsiTheme="majorHAnsi" w:cstheme="majorHAnsi"/>
          <w:sz w:val="24"/>
          <w:szCs w:val="24"/>
        </w:rPr>
        <w:fldChar w:fldCharType="end"/>
      </w:r>
      <w:r w:rsidR="00194236">
        <w:rPr>
          <w:rFonts w:asciiTheme="majorHAnsi" w:hAnsiTheme="majorHAnsi" w:cstheme="majorHAnsi"/>
          <w:sz w:val="24"/>
          <w:szCs w:val="24"/>
        </w:rPr>
        <w:t xml:space="preserve"> The three AcrB protomers are individually colored (yellow, magenta, and blue</w:t>
      </w:r>
      <w:r w:rsidR="00E4786E">
        <w:rPr>
          <w:rFonts w:asciiTheme="majorHAnsi" w:hAnsiTheme="majorHAnsi" w:cstheme="majorHAnsi"/>
          <w:sz w:val="24"/>
          <w:szCs w:val="24"/>
        </w:rPr>
        <w:t>)</w:t>
      </w:r>
      <w:r>
        <w:rPr>
          <w:rFonts w:asciiTheme="majorHAnsi" w:hAnsiTheme="majorHAnsi" w:cstheme="majorHAnsi"/>
          <w:sz w:val="24"/>
          <w:szCs w:val="24"/>
        </w:rPr>
        <w:t xml:space="preserve">. </w:t>
      </w:r>
      <w:r>
        <w:rPr>
          <w:rFonts w:asciiTheme="majorHAnsi" w:hAnsiTheme="majorHAnsi" w:cstheme="majorHAnsi"/>
          <w:b/>
          <w:bCs/>
          <w:sz w:val="24"/>
          <w:szCs w:val="24"/>
        </w:rPr>
        <w:t>A</w:t>
      </w:r>
      <w:r>
        <w:rPr>
          <w:rFonts w:asciiTheme="majorHAnsi" w:hAnsiTheme="majorHAnsi" w:cstheme="majorHAnsi"/>
          <w:sz w:val="24"/>
          <w:szCs w:val="24"/>
        </w:rPr>
        <w:t>) A surface view of the AcrB trimer with the vestibule pathway circled in a dashed line.</w:t>
      </w:r>
      <w:r>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{"citationID":"MuY7Aa53","properties":{"formattedCitation":"\\super 47\\nosupersub{}","plainCitation":"47","noteIndex":0},"citationItems":[{"id":2082,"uris":["http://zotero.org/users/1918630/items/4C54HE6F"],"itemData":{"id":2082,"type":"article-journal","abstract":"Gram-negative bacteria are intrinsically resistant against cytotoxic substances by means of their outer membrane and a network of multidrug efflux systems, acting in synergy. Efflux pumps from various superfamilies with broad substrate preferences sequester and pump drugs across the inner membrane to supply the highly polyspecific and powerful tripartite resistance–nodulation–cell division (RND) efflux pumps with compounds to be extruded across the outer membrane barrier. In Escherichia coli, the tripartite efflux system AcrAB–TolC is the archetype RND multiple drug efflux pump complex. The homotrimeric inner membrane component acriflavine resistance B (AcrB) is the drug specificity and energy transduction center for the drug/proton antiport process. Drugs are bound and expelled via a cycle of mainly three consecutive states in every protomer, constituting a flexible alternating access channel system. This review recapitulates the molecular basis of drug and inhibitor binding, including mechanistic insights into drug efflux by AcrB. It also summarizes 17 years of mutational analysis of the gene acrB, reporting the effect of every substitution on the ability of E. coli to confer resistance toward antibiotics (http://goethe.link/AcrBsubstitutions). We emphasize the functional robustness of AcrB toward single-site substitutions and highlight regions that are more sensitive to perturbation.","container-title":"Annals of the New York Academy of Sciences","DOI":"10.1111/nyas.14239","ISSN":"1749-6632","issue":"1","language":"en","license":"© 2019 The Authors. Annals of the New York Academy of Sciences published by Wiley Periodicals, Inc. on behalf of The New York Academy of Sciences.","note":"_eprint: https://onlinelibrary.wiley.com/doi/pdf/10.1111/nyas.14239","page":"38-68","source":"Wiley Online Library","title":"AcrB: a mean, keen, drug efflux machine","title-short":"AcrB","volume":"1459","author":[{"family":"Kobylka","given":"Jessica"},{"family":"Kuth","given":"Miriam S."},{"family":"Müller","given":"Reinke T."},{"family":"Geertsma","given":"Eric R."},{"family":"Pos","given":"Klaas M."}],"issued":{"date-parts":[["2020"]]}}}],"schema":"https://github.com/citation-style-language/schema/raw/master/csl-citation.json"} </w:instrText>
      </w:r>
      <w:r>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47</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Pr>
          <w:rFonts w:asciiTheme="majorHAnsi" w:hAnsiTheme="majorHAnsi" w:cstheme="majorHAnsi"/>
          <w:b/>
          <w:bCs/>
          <w:sz w:val="24"/>
          <w:szCs w:val="24"/>
        </w:rPr>
        <w:t>B</w:t>
      </w:r>
      <w:r>
        <w:rPr>
          <w:rFonts w:asciiTheme="majorHAnsi" w:hAnsiTheme="majorHAnsi" w:cstheme="majorHAnsi"/>
          <w:sz w:val="24"/>
          <w:szCs w:val="24"/>
        </w:rPr>
        <w:t xml:space="preserve">) A cartoon representation of the AcrB trimer with bound MBX3132 molecules shown as green spheres and circled in a dashed line. </w:t>
      </w:r>
      <w:r>
        <w:rPr>
          <w:rFonts w:asciiTheme="majorHAnsi" w:hAnsiTheme="majorHAnsi" w:cstheme="majorHAnsi"/>
          <w:b/>
          <w:bCs/>
          <w:sz w:val="24"/>
          <w:szCs w:val="24"/>
        </w:rPr>
        <w:t>C</w:t>
      </w:r>
      <w:r>
        <w:rPr>
          <w:rFonts w:asciiTheme="majorHAnsi" w:hAnsiTheme="majorHAnsi" w:cstheme="majorHAnsi"/>
          <w:sz w:val="24"/>
          <w:szCs w:val="24"/>
        </w:rPr>
        <w:t xml:space="preserve">) </w:t>
      </w:r>
      <w:r w:rsidR="00194236">
        <w:rPr>
          <w:rFonts w:asciiTheme="majorHAnsi" w:hAnsiTheme="majorHAnsi" w:cstheme="majorHAnsi"/>
          <w:sz w:val="24"/>
          <w:szCs w:val="24"/>
        </w:rPr>
        <w:t xml:space="preserve"> </w:t>
      </w:r>
      <w:r>
        <w:rPr>
          <w:rFonts w:asciiTheme="majorHAnsi" w:hAnsiTheme="majorHAnsi" w:cstheme="majorHAnsi"/>
          <w:sz w:val="24"/>
          <w:szCs w:val="24"/>
        </w:rPr>
        <w:t xml:space="preserve">A cartoon representation of the AcrB trimer viewed from the distal side with bound MBX3132 molecules shown as green spheres and circled in a dashed line. </w:t>
      </w:r>
    </w:p>
    <w:p w14:paraId="316FBAB1" w14:textId="77777777" w:rsidR="00194236" w:rsidRDefault="00194236" w:rsidP="0021013E">
      <w:pPr>
        <w:spacing w:line="360" w:lineRule="auto"/>
        <w:rPr>
          <w:rFonts w:asciiTheme="majorHAnsi" w:hAnsiTheme="majorHAnsi" w:cstheme="majorHAnsi"/>
          <w:sz w:val="24"/>
          <w:szCs w:val="24"/>
        </w:rPr>
      </w:pPr>
    </w:p>
    <w:p w14:paraId="177B573D" w14:textId="5B9B966E" w:rsidR="00FF2023" w:rsidRDefault="001062A6"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5A10AF">
        <w:rPr>
          <w:rFonts w:asciiTheme="majorHAnsi" w:hAnsiTheme="majorHAnsi" w:cstheme="majorHAnsi"/>
          <w:sz w:val="24"/>
          <w:szCs w:val="24"/>
        </w:rPr>
        <w:t xml:space="preserve">When the AcrB protomers bind a substrate and switch their </w:t>
      </w:r>
      <w:r w:rsidR="00D2757F">
        <w:rPr>
          <w:rFonts w:asciiTheme="majorHAnsi" w:hAnsiTheme="majorHAnsi" w:cstheme="majorHAnsi"/>
          <w:sz w:val="24"/>
          <w:szCs w:val="24"/>
        </w:rPr>
        <w:t xml:space="preserve">conformational </w:t>
      </w:r>
      <w:proofErr w:type="spellStart"/>
      <w:r w:rsidR="004735E9">
        <w:rPr>
          <w:rFonts w:asciiTheme="majorHAnsi" w:hAnsiTheme="majorHAnsi" w:cstheme="majorHAnsi"/>
          <w:sz w:val="24"/>
          <w:szCs w:val="24"/>
        </w:rPr>
        <w:t>s</w:t>
      </w:r>
      <w:r w:rsidR="005A10AF">
        <w:rPr>
          <w:rFonts w:asciiTheme="majorHAnsi" w:hAnsiTheme="majorHAnsi" w:cstheme="majorHAnsi"/>
          <w:sz w:val="24"/>
          <w:szCs w:val="24"/>
        </w:rPr>
        <w:t>states</w:t>
      </w:r>
      <w:proofErr w:type="spellEnd"/>
      <w:r w:rsidR="005A10AF">
        <w:rPr>
          <w:rFonts w:asciiTheme="majorHAnsi" w:hAnsiTheme="majorHAnsi" w:cstheme="majorHAnsi"/>
          <w:sz w:val="24"/>
          <w:szCs w:val="24"/>
        </w:rPr>
        <w:t xml:space="preserve">, this causes a reconfiguration of the </w:t>
      </w:r>
      <w:proofErr w:type="spellStart"/>
      <w:r w:rsidR="005A10AF">
        <w:rPr>
          <w:rFonts w:asciiTheme="majorHAnsi" w:hAnsiTheme="majorHAnsi" w:cstheme="majorHAnsi"/>
          <w:sz w:val="24"/>
          <w:szCs w:val="24"/>
        </w:rPr>
        <w:t>AcrA</w:t>
      </w:r>
      <w:proofErr w:type="spellEnd"/>
      <w:r w:rsidR="005A10AF">
        <w:rPr>
          <w:rFonts w:asciiTheme="majorHAnsi" w:hAnsiTheme="majorHAnsi" w:cstheme="majorHAnsi"/>
          <w:sz w:val="24"/>
          <w:szCs w:val="24"/>
        </w:rPr>
        <w:t xml:space="preserve"> structure, a conf</w:t>
      </w:r>
      <w:r w:rsidR="0061785D">
        <w:rPr>
          <w:rFonts w:asciiTheme="majorHAnsi" w:hAnsiTheme="majorHAnsi" w:cstheme="majorHAnsi"/>
          <w:sz w:val="24"/>
          <w:szCs w:val="24"/>
        </w:rPr>
        <w:t>o</w:t>
      </w:r>
      <w:r w:rsidR="005A10AF">
        <w:rPr>
          <w:rFonts w:asciiTheme="majorHAnsi" w:hAnsiTheme="majorHAnsi" w:cstheme="majorHAnsi"/>
          <w:sz w:val="24"/>
          <w:szCs w:val="24"/>
        </w:rPr>
        <w:t xml:space="preserve">rmational shift that translates to </w:t>
      </w:r>
      <w:proofErr w:type="spellStart"/>
      <w:r w:rsidR="005A10AF">
        <w:rPr>
          <w:rFonts w:asciiTheme="majorHAnsi" w:hAnsiTheme="majorHAnsi" w:cstheme="majorHAnsi"/>
          <w:sz w:val="24"/>
          <w:szCs w:val="24"/>
        </w:rPr>
        <w:t>TolC</w:t>
      </w:r>
      <w:proofErr w:type="spellEnd"/>
      <w:r w:rsidR="005A10AF">
        <w:rPr>
          <w:rFonts w:asciiTheme="majorHAnsi" w:hAnsiTheme="majorHAnsi" w:cstheme="majorHAnsi"/>
          <w:sz w:val="24"/>
          <w:szCs w:val="24"/>
        </w:rPr>
        <w:t xml:space="preserve"> transitioning into its open state.</w:t>
      </w:r>
      <w:r w:rsidR="0061785D">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{"citationID":"9RtJwFHt","properties":{"formattedCitation":"\\super 26,48\\nosupersub{}","plainCitation":"26,48","noteIndex":0},"citationItems":[{"id":2038,"uris":["http://zotero.org/users/1918630/items/WGXFXES9"],"itemData":{"id":2038,"type":"article-journal","abstract":"Bacterial efflux pumps confer multidrug resistance by transporting diverse antibiotics from the cell. In Gram-negative bacteria, some of these pumps form multi-protein assemblies that span the cell envelope. Here, we report the near-atomic resolution cryoEM structures of the Escherichia coli AcrAB-TolC multidrug efflux pump in resting and drug transport states, revealing a quaternary structural switch that allosterically couples and synchronizes initial ligand binding with channel opening. Within the transport-activated state, the channel remains open even though the pump cycles through three distinct conformations. Collectively, our data provide a dynamic mechanism for the assembly and operation of the AcrAB-TolC pump.","container-title":"eLife","DOI":"10.7554/eLife.24905","ISSN":"2050-084X","note":"publisher: eLife Sciences Publications, Ltd","page":"e24905","source":"eLife","title":"An allosteric transport mechanism for the AcrAB-TolC multidrug efflux pump","volume":"6","author":[{"family":"Wang","given":"Zhao"},{"family":"Fan","given":"Guizhen"},{"family":"Hryc","given":"Corey F"},{"family":"Blaza","given":"James N"},{"family":"Serysheva","given":"Irina I"},{"family":"Schmid","given":"Michael F"},{"family":"Chiu","given":"Wah"},{"family":"Luisi","given":"Ben F"},{"family":"Du","given":"Dijun"}],"editor":[{"family":"Boudker","given":"Olga"}],"issued":{"date-parts":[["2017",3,29]]}}},{"id":2072,"uris":["http://zotero.org/users/1918630/items/CH5ZMBN4"],"itemData":{"id":2072,"type":"article-journal","abstract":"The tripartite AcrAB-TolC assembly, which spans both the inner and outer membranes in Gram-negative bacteria, is an efflux pump that contributes to multidrug resistance. Here, we present the in situ structure of full-length Escherichia coli AcrAB-TolC determined at 7 Å resolution by electron cryo-tomography. The TolC channel penetrates the outer membrane bilayer through to the outer leaflet and exhibits two different configurations that differ by a 60-degree rotation relative to the AcrB position in the pump assembly. AcrA protomers interact directly with the inner membrane and with AcrB via an interface located in proximity to the AcrB ligand-binding pocket. Our structural analysis suggests that these AcrA-bridged interactions underlie an allosteric mechanism for transmitting drug-evoked signals from AcrB to the TolC channel within the pump. Our study demonstrates the power of in situ electron cryo-tomography, which permits critical insights into the function of bacterial efflux pumps., The AcrAB-TolC assembly is a key efflux pump that contributes to multidrug resistance within Gram-negative bacteria. Spanning the cell envelope, it is a challenging target for in vitro structural studies. Chen et al. solve the subnanometer in situ structure of AcrAB-TolC, suggesting an allosteric mechanism during drug efflux.,","container-title":"Structure (London, England : 1993)","DOI":"10.1016/j.str.2021.08.008","ISSN":"0969-2126","issue":"1","journalAbbreviation":"Structure","note":"PMID: 34506732\nPMCID: PMC8741639","page":"107-113.e3","source":"PubMed Central","title":"In situ structure of the AcrAB-TolC efflux pump at subnanometer resolution","volume":"30","author":[{"family":"Chen","given":"Muyuan"},{"family":"Shi","given":"Xiaodong"},{"family":"Yu","given":"Zhili"},{"family":"Fan","given":"Guizhen"},{"family":"Serysheva","given":"Irina I."},{"family":"Baker","given":"Matthew L."},{"family":"Luisi","given":"Ben F."},{"family":"Ludtke","given":"Steven J."},{"family":"Wang","given":"Zhao"}],"issued":{"date-parts":[["2022",1,6]]}}}],"schema":"https://github.com/citation-style-language/schema/raw/master/csl-citation.json"} </w:instrText>
      </w:r>
      <w:r w:rsidR="0061785D">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26,48</w:t>
      </w:r>
      <w:r w:rsidR="0061785D">
        <w:rPr>
          <w:rFonts w:asciiTheme="majorHAnsi" w:hAnsiTheme="majorHAnsi" w:cstheme="majorHAnsi"/>
          <w:sz w:val="24"/>
          <w:szCs w:val="24"/>
        </w:rPr>
        <w:fldChar w:fldCharType="end"/>
      </w:r>
      <w:r w:rsidR="005A10AF">
        <w:rPr>
          <w:rFonts w:asciiTheme="majorHAnsi" w:hAnsiTheme="majorHAnsi" w:cstheme="majorHAnsi"/>
          <w:sz w:val="24"/>
          <w:szCs w:val="24"/>
        </w:rPr>
        <w:t xml:space="preserve"> The structure state change of </w:t>
      </w:r>
      <w:proofErr w:type="spellStart"/>
      <w:r w:rsidR="005A10AF">
        <w:rPr>
          <w:rFonts w:asciiTheme="majorHAnsi" w:hAnsiTheme="majorHAnsi" w:cstheme="majorHAnsi"/>
          <w:sz w:val="24"/>
          <w:szCs w:val="24"/>
        </w:rPr>
        <w:t>AcrA</w:t>
      </w:r>
      <w:proofErr w:type="spellEnd"/>
      <w:r w:rsidR="005A10AF">
        <w:rPr>
          <w:rFonts w:asciiTheme="majorHAnsi" w:hAnsiTheme="majorHAnsi" w:cstheme="majorHAnsi"/>
          <w:sz w:val="24"/>
          <w:szCs w:val="24"/>
        </w:rPr>
        <w:t xml:space="preserve"> is also crucial for the sealing of the efflux pump complex channel so that substrates do </w:t>
      </w:r>
      <w:r w:rsidR="005A10AF">
        <w:rPr>
          <w:rFonts w:asciiTheme="majorHAnsi" w:hAnsiTheme="majorHAnsi" w:cstheme="majorHAnsi"/>
          <w:sz w:val="24"/>
          <w:szCs w:val="24"/>
        </w:rPr>
        <w:lastRenderedPageBreak/>
        <w:t xml:space="preserve">not leak out into the periplasm while being shuttled from the transporter to </w:t>
      </w:r>
      <w:proofErr w:type="spellStart"/>
      <w:r w:rsidR="005A10AF">
        <w:rPr>
          <w:rFonts w:asciiTheme="majorHAnsi" w:hAnsiTheme="majorHAnsi" w:cstheme="majorHAnsi"/>
          <w:sz w:val="24"/>
          <w:szCs w:val="24"/>
        </w:rPr>
        <w:t>TolC</w:t>
      </w:r>
      <w:proofErr w:type="spellEnd"/>
      <w:r w:rsidR="005A10AF">
        <w:rPr>
          <w:rFonts w:asciiTheme="majorHAnsi" w:hAnsiTheme="majorHAnsi" w:cstheme="majorHAnsi"/>
          <w:sz w:val="24"/>
          <w:szCs w:val="24"/>
        </w:rPr>
        <w:t xml:space="preserve">. </w:t>
      </w:r>
      <w:r w:rsidR="002B6E5F">
        <w:rPr>
          <w:rFonts w:asciiTheme="majorHAnsi" w:hAnsiTheme="majorHAnsi" w:cstheme="majorHAnsi"/>
          <w:sz w:val="24"/>
          <w:szCs w:val="24"/>
        </w:rPr>
        <w:t xml:space="preserve">When there is no substrate bound to the </w:t>
      </w:r>
      <w:proofErr w:type="spellStart"/>
      <w:r w:rsidR="002B6E5F">
        <w:rPr>
          <w:rFonts w:asciiTheme="majorHAnsi" w:hAnsiTheme="majorHAnsi" w:cstheme="majorHAnsi"/>
          <w:sz w:val="24"/>
          <w:szCs w:val="24"/>
        </w:rPr>
        <w:t>AcrAB-TolC</w:t>
      </w:r>
      <w:proofErr w:type="spellEnd"/>
      <w:r w:rsidR="002B6E5F">
        <w:rPr>
          <w:rFonts w:asciiTheme="majorHAnsi" w:hAnsiTheme="majorHAnsi" w:cstheme="majorHAnsi"/>
          <w:sz w:val="24"/>
          <w:szCs w:val="24"/>
        </w:rPr>
        <w:t xml:space="preserve"> complex, the </w:t>
      </w:r>
      <w:proofErr w:type="spellStart"/>
      <w:r w:rsidR="002B6E5F">
        <w:rPr>
          <w:rFonts w:asciiTheme="majorHAnsi" w:hAnsiTheme="majorHAnsi" w:cstheme="majorHAnsi"/>
          <w:sz w:val="24"/>
          <w:szCs w:val="24"/>
        </w:rPr>
        <w:t>TolC</w:t>
      </w:r>
      <w:proofErr w:type="spellEnd"/>
      <w:r w:rsidR="002B6E5F">
        <w:rPr>
          <w:rFonts w:asciiTheme="majorHAnsi" w:hAnsiTheme="majorHAnsi" w:cstheme="majorHAnsi"/>
          <w:sz w:val="24"/>
          <w:szCs w:val="24"/>
        </w:rPr>
        <w:t xml:space="preserve"> channel is in a closed state. But when there is a substrate bound, followed by the structure state changes, </w:t>
      </w:r>
      <w:proofErr w:type="spellStart"/>
      <w:r w:rsidR="002B6E5F">
        <w:rPr>
          <w:rFonts w:asciiTheme="majorHAnsi" w:hAnsiTheme="majorHAnsi" w:cstheme="majorHAnsi"/>
          <w:sz w:val="24"/>
          <w:szCs w:val="24"/>
        </w:rPr>
        <w:t>TolC</w:t>
      </w:r>
      <w:proofErr w:type="spellEnd"/>
      <w:r w:rsidR="002B6E5F">
        <w:rPr>
          <w:rFonts w:asciiTheme="majorHAnsi" w:hAnsiTheme="majorHAnsi" w:cstheme="majorHAnsi"/>
          <w:sz w:val="24"/>
          <w:szCs w:val="24"/>
        </w:rPr>
        <w:t xml:space="preserve"> opens its channel in an aperture-like manner and releases the transported substrates into the extracellular space.</w:t>
      </w:r>
      <w:r w:rsidR="002B6E5F">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{"citationID":"uBJLKbE6","properties":{"formattedCitation":"\\super 45\\nosupersub{}","plainCitation":"45","noteIndex":0},"citationItems":[{"id":1829,"uris":["http://zotero.org/users/1918630/items/49A5K388"],"itemData":{"id":1829,"type":"article-journal","abstract":"Infections arising from multidrug-r esistant pathogenic bacteria are spreading rapidly throughout the world and threaten to become untreatable. The origins of resistance are numerous and complex, but one underlying factor is the capacity of bacteria to rapidly export drugs through the intrinsic activity of efflux pumps. In this Review , we describe recent advances that have increased our understanding of the structures and molecular mechanisms of multidrug efflux pumps in bacteria. Clinical and laboratory data indicate that efflux pumps function not only in the drug extrusion process but also in virulence and the adaptive responses that contribute to antimicrobial resistance during infection. The emerging picture of the structure, function and regulation of efflux pumps suggests opportunities for countering their activities.","container-title":"Nature Reviews Microbiology","DOI":"10.1038/s41579-018-0048-6","ISSN":"1740-1526, 1740-1534","issue":"9","journalAbbreviation":"Nat Rev Microbiol","language":"en","page":"523-539","source":"DOI.org (Crossref)","title":"Multidrug efflux pumps: structure, function and regulation","title-short":"Multidrug efflux pumps","volume":"16","author":[{"family":"Du","given":"Dijun"},{"family":"Wang-Kan","given":"Xuan"},{"family":"Neuberger","given":"Arthur"},{"family":"Van Veen","given":"Hendrik W."},{"family":"Pos","given":"Klaas M."},{"family":"Piddock","given":"Laura J. V."},{"family":"Luisi","given":"Ben F."}],"issued":{"date-parts":[["2018",9]]}}}],"schema":"https://github.com/citation-style-language/schema/raw/master/csl-citation.json"} </w:instrText>
      </w:r>
      <w:r w:rsidR="002B6E5F">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45</w:t>
      </w:r>
      <w:r w:rsidR="002B6E5F">
        <w:rPr>
          <w:rFonts w:asciiTheme="majorHAnsi" w:hAnsiTheme="majorHAnsi" w:cstheme="majorHAnsi"/>
          <w:sz w:val="24"/>
          <w:szCs w:val="24"/>
        </w:rPr>
        <w:fldChar w:fldCharType="end"/>
      </w:r>
    </w:p>
    <w:p w14:paraId="71DE0CBF" w14:textId="7AE6CEB4" w:rsidR="0041450E" w:rsidRDefault="0041450E" w:rsidP="009D3DED">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In 2001, </w:t>
      </w:r>
      <w:proofErr w:type="spellStart"/>
      <w:r>
        <w:rPr>
          <w:rFonts w:asciiTheme="majorHAnsi" w:hAnsiTheme="majorHAnsi" w:cstheme="majorHAnsi"/>
          <w:sz w:val="24"/>
          <w:szCs w:val="24"/>
        </w:rPr>
        <w:t>Sulavik</w:t>
      </w:r>
      <w:proofErr w:type="spellEnd"/>
      <w:r>
        <w:rPr>
          <w:rFonts w:asciiTheme="majorHAnsi" w:hAnsiTheme="majorHAnsi" w:cstheme="majorHAnsi"/>
          <w:sz w:val="24"/>
          <w:szCs w:val="24"/>
        </w:rPr>
        <w:t xml:space="preserve"> et al. demonstrated that </w:t>
      </w:r>
      <w:r>
        <w:rPr>
          <w:rFonts w:asciiTheme="majorHAnsi" w:hAnsiTheme="majorHAnsi" w:cstheme="majorHAnsi"/>
          <w:i/>
          <w:iCs/>
          <w:sz w:val="24"/>
          <w:szCs w:val="24"/>
        </w:rPr>
        <w:t>E. coli</w:t>
      </w:r>
      <w:r>
        <w:rPr>
          <w:rFonts w:asciiTheme="majorHAnsi" w:hAnsiTheme="majorHAnsi" w:cstheme="majorHAnsi"/>
          <w:sz w:val="24"/>
          <w:szCs w:val="24"/>
        </w:rPr>
        <w:t xml:space="preserve"> strains with </w:t>
      </w:r>
      <w:proofErr w:type="spellStart"/>
      <w:r>
        <w:rPr>
          <w:rFonts w:asciiTheme="majorHAnsi" w:hAnsiTheme="majorHAnsi" w:cstheme="majorHAnsi"/>
          <w:i/>
          <w:iCs/>
          <w:sz w:val="24"/>
          <w:szCs w:val="24"/>
        </w:rPr>
        <w:t>acrAB</w:t>
      </w:r>
      <w:proofErr w:type="spellEnd"/>
      <w:r>
        <w:rPr>
          <w:rFonts w:asciiTheme="majorHAnsi" w:hAnsiTheme="majorHAnsi" w:cstheme="majorHAnsi"/>
          <w:i/>
          <w:iCs/>
          <w:sz w:val="24"/>
          <w:szCs w:val="24"/>
        </w:rPr>
        <w:t xml:space="preserve"> </w:t>
      </w:r>
      <w:r>
        <w:rPr>
          <w:rFonts w:asciiTheme="majorHAnsi" w:hAnsiTheme="majorHAnsi" w:cstheme="majorHAnsi"/>
          <w:sz w:val="24"/>
          <w:szCs w:val="24"/>
        </w:rPr>
        <w:t xml:space="preserve">or </w:t>
      </w:r>
      <w:proofErr w:type="spellStart"/>
      <w:r>
        <w:rPr>
          <w:rFonts w:asciiTheme="majorHAnsi" w:hAnsiTheme="majorHAnsi" w:cstheme="majorHAnsi"/>
          <w:i/>
          <w:iCs/>
          <w:sz w:val="24"/>
          <w:szCs w:val="24"/>
        </w:rPr>
        <w:t>tolC</w:t>
      </w:r>
      <w:proofErr w:type="spellEnd"/>
      <w:r>
        <w:rPr>
          <w:rFonts w:asciiTheme="majorHAnsi" w:hAnsiTheme="majorHAnsi" w:cstheme="majorHAnsi"/>
          <w:sz w:val="24"/>
          <w:szCs w:val="24"/>
        </w:rPr>
        <w:t xml:space="preserve"> deleted had overlapping substrate susceptibility profiles</w:t>
      </w:r>
      <w:r w:rsidR="00527C38">
        <w:rPr>
          <w:rFonts w:asciiTheme="majorHAnsi" w:hAnsiTheme="majorHAnsi" w:cstheme="majorHAnsi"/>
          <w:sz w:val="24"/>
          <w:szCs w:val="24"/>
        </w:rPr>
        <w:t>, which lines up with them forming a tripartite complex together. Additionally, their</w:t>
      </w:r>
      <w:r>
        <w:rPr>
          <w:rFonts w:asciiTheme="majorHAnsi" w:hAnsiTheme="majorHAnsi" w:cstheme="majorHAnsi"/>
          <w:sz w:val="24"/>
          <w:szCs w:val="24"/>
        </w:rPr>
        <w:t xml:space="preserve"> </w:t>
      </w:r>
      <w:proofErr w:type="spellStart"/>
      <w:r w:rsidR="00527C38">
        <w:rPr>
          <w:rFonts w:asciiTheme="majorHAnsi" w:hAnsiTheme="majorHAnsi" w:cstheme="majorHAnsi"/>
          <w:i/>
          <w:iCs/>
          <w:sz w:val="24"/>
          <w:szCs w:val="24"/>
        </w:rPr>
        <w:t>tolC</w:t>
      </w:r>
      <w:proofErr w:type="spellEnd"/>
      <w:r w:rsidR="00527C38">
        <w:rPr>
          <w:rFonts w:asciiTheme="majorHAnsi" w:hAnsiTheme="majorHAnsi" w:cstheme="majorHAnsi"/>
          <w:i/>
          <w:iCs/>
          <w:sz w:val="24"/>
          <w:szCs w:val="24"/>
        </w:rPr>
        <w:t xml:space="preserve"> </w:t>
      </w:r>
      <w:r w:rsidR="00527C38">
        <w:rPr>
          <w:rFonts w:asciiTheme="majorHAnsi" w:hAnsiTheme="majorHAnsi" w:cstheme="majorHAnsi"/>
          <w:sz w:val="24"/>
          <w:szCs w:val="24"/>
        </w:rPr>
        <w:t xml:space="preserve">deletion strain also showed higher susceptibility to </w:t>
      </w:r>
      <w:r w:rsidR="00E4786E">
        <w:rPr>
          <w:rFonts w:asciiTheme="majorHAnsi" w:hAnsiTheme="majorHAnsi" w:cstheme="majorHAnsi"/>
          <w:sz w:val="24"/>
          <w:szCs w:val="24"/>
        </w:rPr>
        <w:t>seven</w:t>
      </w:r>
      <w:r w:rsidR="00527C38">
        <w:rPr>
          <w:rFonts w:asciiTheme="majorHAnsi" w:hAnsiTheme="majorHAnsi" w:cstheme="majorHAnsi"/>
          <w:sz w:val="24"/>
          <w:szCs w:val="24"/>
        </w:rPr>
        <w:t xml:space="preserve"> of the tested compounds compared to the </w:t>
      </w:r>
      <w:proofErr w:type="spellStart"/>
      <w:r w:rsidR="00527C38">
        <w:rPr>
          <w:rFonts w:asciiTheme="majorHAnsi" w:hAnsiTheme="majorHAnsi" w:cstheme="majorHAnsi"/>
          <w:i/>
          <w:iCs/>
          <w:sz w:val="24"/>
          <w:szCs w:val="24"/>
        </w:rPr>
        <w:t>acrAB</w:t>
      </w:r>
      <w:proofErr w:type="spellEnd"/>
      <w:r w:rsidR="00527C38">
        <w:rPr>
          <w:rFonts w:asciiTheme="majorHAnsi" w:hAnsiTheme="majorHAnsi" w:cstheme="majorHAnsi"/>
          <w:sz w:val="24"/>
          <w:szCs w:val="24"/>
        </w:rPr>
        <w:t xml:space="preserve"> deletion strain. This finding </w:t>
      </w:r>
      <w:r>
        <w:rPr>
          <w:rFonts w:asciiTheme="majorHAnsi" w:hAnsiTheme="majorHAnsi" w:cstheme="majorHAnsi"/>
          <w:sz w:val="24"/>
          <w:szCs w:val="24"/>
        </w:rPr>
        <w:t xml:space="preserve">supported the concept that </w:t>
      </w:r>
      <w:proofErr w:type="spellStart"/>
      <w:r>
        <w:rPr>
          <w:rFonts w:asciiTheme="majorHAnsi" w:hAnsiTheme="majorHAnsi" w:cstheme="majorHAnsi"/>
          <w:sz w:val="24"/>
          <w:szCs w:val="24"/>
        </w:rPr>
        <w:t>TolC</w:t>
      </w:r>
      <w:proofErr w:type="spellEnd"/>
      <w:r>
        <w:rPr>
          <w:rFonts w:asciiTheme="majorHAnsi" w:hAnsiTheme="majorHAnsi" w:cstheme="majorHAnsi"/>
          <w:sz w:val="24"/>
          <w:szCs w:val="24"/>
        </w:rPr>
        <w:t xml:space="preserve"> contributes to </w:t>
      </w:r>
      <w:r w:rsidR="00987EB3">
        <w:rPr>
          <w:rFonts w:asciiTheme="majorHAnsi" w:hAnsiTheme="majorHAnsi" w:cstheme="majorHAnsi"/>
          <w:i/>
          <w:iCs/>
          <w:sz w:val="24"/>
          <w:szCs w:val="24"/>
        </w:rPr>
        <w:t>E. coli</w:t>
      </w:r>
      <w:r w:rsidR="00987EB3">
        <w:rPr>
          <w:rFonts w:asciiTheme="majorHAnsi" w:hAnsiTheme="majorHAnsi" w:cstheme="majorHAnsi"/>
          <w:sz w:val="24"/>
          <w:szCs w:val="24"/>
        </w:rPr>
        <w:t>’s</w:t>
      </w:r>
      <w:r>
        <w:rPr>
          <w:rFonts w:asciiTheme="majorHAnsi" w:hAnsiTheme="majorHAnsi" w:cstheme="majorHAnsi"/>
          <w:sz w:val="24"/>
          <w:szCs w:val="24"/>
        </w:rPr>
        <w:t xml:space="preserve"> intrinsic resistance </w:t>
      </w:r>
      <w:r w:rsidR="00987EB3">
        <w:rPr>
          <w:rFonts w:asciiTheme="majorHAnsi" w:hAnsiTheme="majorHAnsi" w:cstheme="majorHAnsi"/>
          <w:sz w:val="24"/>
          <w:szCs w:val="24"/>
        </w:rPr>
        <w:t xml:space="preserve">when complexed with </w:t>
      </w:r>
      <w:proofErr w:type="spellStart"/>
      <w:r>
        <w:rPr>
          <w:rFonts w:asciiTheme="majorHAnsi" w:hAnsiTheme="majorHAnsi" w:cstheme="majorHAnsi"/>
          <w:sz w:val="24"/>
          <w:szCs w:val="24"/>
        </w:rPr>
        <w:t>AcrAB</w:t>
      </w:r>
      <w:proofErr w:type="spellEnd"/>
      <w:r w:rsidR="00987EB3">
        <w:rPr>
          <w:rFonts w:asciiTheme="majorHAnsi" w:hAnsiTheme="majorHAnsi" w:cstheme="majorHAnsi"/>
          <w:sz w:val="24"/>
          <w:szCs w:val="24"/>
        </w:rPr>
        <w:t xml:space="preserve"> as well as separately from </w:t>
      </w:r>
      <w:proofErr w:type="spellStart"/>
      <w:r w:rsidR="00987EB3">
        <w:rPr>
          <w:rFonts w:asciiTheme="majorHAnsi" w:hAnsiTheme="majorHAnsi" w:cstheme="majorHAnsi"/>
          <w:sz w:val="24"/>
          <w:szCs w:val="24"/>
        </w:rPr>
        <w:t>AcrAB</w:t>
      </w:r>
      <w:proofErr w:type="spellEnd"/>
      <w:r w:rsidR="00987EB3">
        <w:rPr>
          <w:rFonts w:asciiTheme="majorHAnsi" w:hAnsiTheme="majorHAnsi" w:cstheme="majorHAnsi"/>
          <w:sz w:val="24"/>
          <w:szCs w:val="24"/>
        </w:rPr>
        <w:t xml:space="preserve">. This additional substrate susceptibility linked to </w:t>
      </w:r>
      <w:proofErr w:type="spellStart"/>
      <w:r w:rsidR="00987EB3">
        <w:rPr>
          <w:rFonts w:asciiTheme="majorHAnsi" w:hAnsiTheme="majorHAnsi" w:cstheme="majorHAnsi"/>
          <w:i/>
          <w:iCs/>
          <w:sz w:val="24"/>
          <w:szCs w:val="24"/>
        </w:rPr>
        <w:t>tolC</w:t>
      </w:r>
      <w:proofErr w:type="spellEnd"/>
      <w:r w:rsidR="00987EB3">
        <w:rPr>
          <w:rFonts w:asciiTheme="majorHAnsi" w:hAnsiTheme="majorHAnsi" w:cstheme="majorHAnsi"/>
          <w:sz w:val="24"/>
          <w:szCs w:val="24"/>
        </w:rPr>
        <w:t xml:space="preserve"> is likely due to </w:t>
      </w:r>
      <w:proofErr w:type="spellStart"/>
      <w:r w:rsidR="00987EB3">
        <w:rPr>
          <w:rFonts w:asciiTheme="majorHAnsi" w:hAnsiTheme="majorHAnsi" w:cstheme="majorHAnsi"/>
          <w:sz w:val="24"/>
          <w:szCs w:val="24"/>
        </w:rPr>
        <w:t>TolC</w:t>
      </w:r>
      <w:proofErr w:type="spellEnd"/>
      <w:r w:rsidR="00987EB3">
        <w:rPr>
          <w:rFonts w:asciiTheme="majorHAnsi" w:hAnsiTheme="majorHAnsi" w:cstheme="majorHAnsi"/>
          <w:sz w:val="24"/>
          <w:szCs w:val="24"/>
        </w:rPr>
        <w:t xml:space="preserve"> interacting with other efflux pumps, like the </w:t>
      </w:r>
      <w:proofErr w:type="spellStart"/>
      <w:r w:rsidR="00987EB3">
        <w:rPr>
          <w:rFonts w:asciiTheme="majorHAnsi" w:hAnsiTheme="majorHAnsi" w:cstheme="majorHAnsi"/>
          <w:sz w:val="24"/>
          <w:szCs w:val="24"/>
        </w:rPr>
        <w:t>EmrAB-TolC</w:t>
      </w:r>
      <w:proofErr w:type="spellEnd"/>
      <w:r w:rsidR="00987EB3">
        <w:rPr>
          <w:rFonts w:asciiTheme="majorHAnsi" w:hAnsiTheme="majorHAnsi" w:cstheme="majorHAnsi"/>
          <w:sz w:val="24"/>
          <w:szCs w:val="24"/>
        </w:rPr>
        <w:t xml:space="preserve"> complex.</w:t>
      </w:r>
      <w:r w:rsidR="00987EB3">
        <w:rPr>
          <w:rFonts w:asciiTheme="majorHAnsi" w:hAnsiTheme="majorHAnsi" w:cstheme="majorHAnsi"/>
          <w:sz w:val="24"/>
          <w:szCs w:val="24"/>
        </w:rPr>
        <w:fldChar w:fldCharType="begin"/>
      </w:r>
      <w:r w:rsidR="00771FFB">
        <w:rPr>
          <w:rFonts w:asciiTheme="majorHAnsi" w:hAnsiTheme="majorHAnsi" w:cstheme="majorHAnsi"/>
          <w:sz w:val="24"/>
          <w:szCs w:val="24"/>
        </w:rPr>
        <w:instrText xml:space="preserve"> ADDIN ZOTERO_ITEM CSL_CITATION {"citationID":"au3qph02uo","properties":{"formattedCitation":"\\super 49\\nosupersub{}","plainCitation":"49","noteIndex":0},"citationItems":[{"id":1367,"uris":["http://zotero.org/users/1918630/items/TTDJ9LBZ"],"itemData":{"id":1367,"type":"article-journal","abstract":"Gram-negative bacteria export a large variety of antimicrobial compounds by forming two-membrane spanning tripartite multidrug efflux systems composed of an inner membrane transporter, an outer membrane channel and a periplasmic adaptor protein. Here we present the co-expression, purification and first electron microscopy insights of the Escherichia coli EmrAB–TolC tripartite Major Facilitator Superfamily (MSF) efflux system as a whole complex stabilized by Amphipol polymer. The structure reveals a 33 nm long complex delineated by the Amphipol belt at both extremities. Comparison of projection structures of EmrAB-TolC and AcrAB-TolC indicates that the outer membrane protein TolC linked to the periplasmic adaptor EmrA protein form an extended periplasmic canal. The overall length of EmrAB-TolC complex is similar to that of AcrAB-TolC with a probable tip-to-tip interaction between EmrA and TolC unveiling how the adaptor protein connects TolC and EmrB embedded in the inner membrane.","container-title":"Biochimica et Biophysica Acta (BBA) - Biomembranes","DOI":"10.1016/j.bbamem.2020.183488","ISSN":"0005-2736","issue":"1","journalAbbreviation":"Biochimica et Biophysica Acta (BBA) - Biomembranes","language":"en","page":"183488","source":"ScienceDirect","title":"Structural characterization of the EmrAB-TolC efflux complex from E. coli","volume":"1863","author":[{"family":"Yousefian","given":"Narek"},{"family":"Ornik-Cha","given":"Alina"},{"family":"Poussard","given":"Sylvie"},{"family":"Decossas","given":"Marion"},{"family":"Berbon","given":"Melanie"},{"family":"Daury","given":"Laetitia"},{"family":"Taveau","given":"Jean-Christophe"},{"family":"Dupuy","given":"Jean-William"},{"family":"Đorđević-Marquardt","given":"Selena"},{"family":"Lambert","given":"Olivier"},{"family":"Pos","given":"Klaas M."}],"issued":{"date-parts":[["2021",1,1]]}}}],"schema":"https://github.com/citation-style-language/schema/raw/master/csl-citation.json"} </w:instrText>
      </w:r>
      <w:r w:rsidR="00987EB3">
        <w:rPr>
          <w:rFonts w:asciiTheme="majorHAnsi" w:hAnsiTheme="majorHAnsi" w:cstheme="majorHAnsi"/>
          <w:sz w:val="24"/>
          <w:szCs w:val="24"/>
        </w:rPr>
        <w:fldChar w:fldCharType="separate"/>
      </w:r>
      <w:r w:rsidR="00771FFB" w:rsidRPr="00771FFB">
        <w:rPr>
          <w:rFonts w:ascii="Times New Roman" w:hAnsi="Times New Roman" w:cs="Times New Roman"/>
          <w:sz w:val="24"/>
          <w:szCs w:val="24"/>
          <w:vertAlign w:val="superscript"/>
        </w:rPr>
        <w:t>49</w:t>
      </w:r>
      <w:r w:rsidR="00987EB3">
        <w:rPr>
          <w:rFonts w:asciiTheme="majorHAnsi" w:hAnsiTheme="majorHAnsi" w:cstheme="majorHAnsi"/>
          <w:sz w:val="24"/>
          <w:szCs w:val="24"/>
        </w:rPr>
        <w:fldChar w:fldCharType="end"/>
      </w:r>
      <w:r w:rsidR="00527C38">
        <w:rPr>
          <w:rFonts w:asciiTheme="majorHAnsi" w:hAnsiTheme="majorHAnsi" w:cstheme="majorHAnsi"/>
          <w:sz w:val="24"/>
          <w:szCs w:val="24"/>
        </w:rPr>
        <w:t xml:space="preserve"> </w:t>
      </w:r>
      <w:r w:rsidR="00527C38">
        <w:rPr>
          <w:rFonts w:asciiTheme="majorHAnsi" w:hAnsiTheme="majorHAnsi" w:cstheme="majorHAnsi"/>
          <w:i/>
          <w:iCs/>
          <w:sz w:val="24"/>
          <w:szCs w:val="24"/>
        </w:rPr>
        <w:t>E</w:t>
      </w:r>
      <w:r>
        <w:rPr>
          <w:rFonts w:asciiTheme="majorHAnsi" w:hAnsiTheme="majorHAnsi" w:cstheme="majorHAnsi"/>
          <w:i/>
          <w:iCs/>
          <w:sz w:val="24"/>
          <w:szCs w:val="24"/>
        </w:rPr>
        <w:t>. coli</w:t>
      </w:r>
      <w:r>
        <w:rPr>
          <w:rFonts w:asciiTheme="majorHAnsi" w:hAnsiTheme="majorHAnsi" w:cstheme="majorHAnsi"/>
          <w:sz w:val="24"/>
          <w:szCs w:val="24"/>
        </w:rPr>
        <w:t xml:space="preserve"> strains with a deletion in </w:t>
      </w:r>
      <w:proofErr w:type="spellStart"/>
      <w:r>
        <w:rPr>
          <w:rFonts w:asciiTheme="majorHAnsi" w:hAnsiTheme="majorHAnsi" w:cstheme="majorHAnsi"/>
          <w:i/>
          <w:iCs/>
          <w:sz w:val="24"/>
          <w:szCs w:val="24"/>
        </w:rPr>
        <w:t>acrAB</w:t>
      </w:r>
      <w:proofErr w:type="spellEnd"/>
      <w:r>
        <w:rPr>
          <w:rFonts w:asciiTheme="majorHAnsi" w:hAnsiTheme="majorHAnsi" w:cstheme="majorHAnsi"/>
          <w:sz w:val="24"/>
          <w:szCs w:val="24"/>
        </w:rPr>
        <w:t xml:space="preserve"> resulted </w:t>
      </w:r>
      <w:r w:rsidR="00C158D7">
        <w:rPr>
          <w:rFonts w:asciiTheme="majorHAnsi" w:hAnsiTheme="majorHAnsi" w:cstheme="majorHAnsi"/>
          <w:sz w:val="24"/>
          <w:szCs w:val="24"/>
        </w:rPr>
        <w:t>in</w:t>
      </w:r>
      <w:r>
        <w:rPr>
          <w:rFonts w:asciiTheme="majorHAnsi" w:hAnsiTheme="majorHAnsi" w:cstheme="majorHAnsi"/>
          <w:sz w:val="24"/>
          <w:szCs w:val="24"/>
        </w:rPr>
        <w:t xml:space="preserve"> an increase in susceptibility to 25 of the 35 tested compounds.</w:t>
      </w:r>
      <w:r w:rsidR="00987EB3">
        <w:rPr>
          <w:rFonts w:asciiTheme="majorHAnsi" w:hAnsiTheme="majorHAnsi" w:cstheme="majorHAnsi"/>
          <w:sz w:val="24"/>
          <w:szCs w:val="24"/>
        </w:rPr>
        <w:t xml:space="preserve"> </w:t>
      </w:r>
      <w:r>
        <w:rPr>
          <w:rFonts w:asciiTheme="majorHAnsi" w:hAnsiTheme="majorHAnsi" w:cstheme="majorHAnsi"/>
          <w:sz w:val="24"/>
          <w:szCs w:val="24"/>
        </w:rPr>
        <w:t xml:space="preserve">When all </w:t>
      </w:r>
      <w:r w:rsidR="00E4786E">
        <w:rPr>
          <w:rFonts w:asciiTheme="majorHAnsi" w:hAnsiTheme="majorHAnsi" w:cstheme="majorHAnsi"/>
          <w:sz w:val="24"/>
          <w:szCs w:val="24"/>
        </w:rPr>
        <w:t>five</w:t>
      </w:r>
      <w:r>
        <w:rPr>
          <w:rFonts w:asciiTheme="majorHAnsi" w:hAnsiTheme="majorHAnsi" w:cstheme="majorHAnsi"/>
          <w:sz w:val="24"/>
          <w:szCs w:val="24"/>
        </w:rPr>
        <w:t xml:space="preserve"> RND class genes were deleted in a single strain, the resulting strain </w:t>
      </w:r>
      <w:r w:rsidR="00D164CD">
        <w:rPr>
          <w:rFonts w:asciiTheme="majorHAnsi" w:hAnsiTheme="majorHAnsi" w:cstheme="majorHAnsi"/>
          <w:sz w:val="24"/>
          <w:szCs w:val="24"/>
        </w:rPr>
        <w:t xml:space="preserve">was even more susceptible to </w:t>
      </w:r>
      <w:r w:rsidR="00E4786E">
        <w:rPr>
          <w:rFonts w:asciiTheme="majorHAnsi" w:hAnsiTheme="majorHAnsi" w:cstheme="majorHAnsi"/>
          <w:sz w:val="24"/>
          <w:szCs w:val="24"/>
        </w:rPr>
        <w:t>eight</w:t>
      </w:r>
      <w:r w:rsidR="00D164CD">
        <w:rPr>
          <w:rFonts w:asciiTheme="majorHAnsi" w:hAnsiTheme="majorHAnsi" w:cstheme="majorHAnsi"/>
          <w:sz w:val="24"/>
          <w:szCs w:val="24"/>
        </w:rPr>
        <w:t xml:space="preserve"> compounds than that of strains with </w:t>
      </w:r>
      <w:proofErr w:type="spellStart"/>
      <w:r w:rsidR="00D164CD">
        <w:rPr>
          <w:rFonts w:asciiTheme="majorHAnsi" w:hAnsiTheme="majorHAnsi" w:cstheme="majorHAnsi"/>
          <w:i/>
          <w:iCs/>
          <w:sz w:val="24"/>
          <w:szCs w:val="24"/>
        </w:rPr>
        <w:t>acrAB</w:t>
      </w:r>
      <w:proofErr w:type="spellEnd"/>
      <w:r w:rsidR="00D164CD">
        <w:rPr>
          <w:rFonts w:asciiTheme="majorHAnsi" w:hAnsiTheme="majorHAnsi" w:cstheme="majorHAnsi"/>
          <w:sz w:val="24"/>
          <w:szCs w:val="24"/>
        </w:rPr>
        <w:t xml:space="preserve"> deleted</w:t>
      </w:r>
      <w:r>
        <w:rPr>
          <w:rFonts w:asciiTheme="majorHAnsi" w:hAnsiTheme="majorHAnsi" w:cstheme="majorHAnsi"/>
          <w:sz w:val="24"/>
          <w:szCs w:val="24"/>
        </w:rPr>
        <w:t xml:space="preserve">. </w:t>
      </w:r>
      <w:r w:rsidR="00D164CD">
        <w:rPr>
          <w:rFonts w:asciiTheme="majorHAnsi" w:hAnsiTheme="majorHAnsi" w:cstheme="majorHAnsi"/>
          <w:sz w:val="24"/>
          <w:szCs w:val="24"/>
        </w:rPr>
        <w:t>T</w:t>
      </w:r>
      <w:r>
        <w:rPr>
          <w:rFonts w:asciiTheme="majorHAnsi" w:hAnsiTheme="majorHAnsi" w:cstheme="majorHAnsi"/>
          <w:sz w:val="24"/>
          <w:szCs w:val="24"/>
        </w:rPr>
        <w:t xml:space="preserve">he strain’s susceptibility </w:t>
      </w:r>
      <w:r w:rsidR="00D164CD">
        <w:rPr>
          <w:rFonts w:asciiTheme="majorHAnsi" w:hAnsiTheme="majorHAnsi" w:cstheme="majorHAnsi"/>
          <w:sz w:val="24"/>
          <w:szCs w:val="24"/>
        </w:rPr>
        <w:t xml:space="preserve">to </w:t>
      </w:r>
      <w:r>
        <w:rPr>
          <w:rFonts w:asciiTheme="majorHAnsi" w:hAnsiTheme="majorHAnsi" w:cstheme="majorHAnsi"/>
          <w:sz w:val="24"/>
          <w:szCs w:val="24"/>
        </w:rPr>
        <w:t xml:space="preserve">these </w:t>
      </w:r>
      <w:r w:rsidR="00E4786E">
        <w:rPr>
          <w:rFonts w:asciiTheme="majorHAnsi" w:hAnsiTheme="majorHAnsi" w:cstheme="majorHAnsi"/>
          <w:sz w:val="24"/>
          <w:szCs w:val="24"/>
        </w:rPr>
        <w:t>eight</w:t>
      </w:r>
      <w:r>
        <w:rPr>
          <w:rFonts w:asciiTheme="majorHAnsi" w:hAnsiTheme="majorHAnsi" w:cstheme="majorHAnsi"/>
          <w:sz w:val="24"/>
          <w:szCs w:val="24"/>
        </w:rPr>
        <w:t xml:space="preserve"> compounds is dependent on multiple RND efflux systems, meaning there is overlap in RND substrate ranges. Deleting </w:t>
      </w:r>
      <w:proofErr w:type="spellStart"/>
      <w:r>
        <w:rPr>
          <w:rFonts w:asciiTheme="majorHAnsi" w:hAnsiTheme="majorHAnsi" w:cstheme="majorHAnsi"/>
          <w:i/>
          <w:iCs/>
          <w:sz w:val="24"/>
          <w:szCs w:val="24"/>
        </w:rPr>
        <w:t>tolC</w:t>
      </w:r>
      <w:proofErr w:type="spellEnd"/>
      <w:r>
        <w:rPr>
          <w:rFonts w:asciiTheme="majorHAnsi" w:hAnsiTheme="majorHAnsi" w:cstheme="majorHAnsi"/>
          <w:sz w:val="24"/>
          <w:szCs w:val="24"/>
        </w:rPr>
        <w:t xml:space="preserve"> from </w:t>
      </w:r>
      <w:r>
        <w:rPr>
          <w:rFonts w:asciiTheme="majorHAnsi" w:hAnsiTheme="majorHAnsi" w:cstheme="majorHAnsi"/>
          <w:i/>
          <w:iCs/>
          <w:sz w:val="24"/>
          <w:szCs w:val="24"/>
        </w:rPr>
        <w:t>E. coli</w:t>
      </w:r>
      <w:r>
        <w:rPr>
          <w:rFonts w:asciiTheme="majorHAnsi" w:hAnsiTheme="majorHAnsi" w:cstheme="majorHAnsi"/>
          <w:sz w:val="24"/>
          <w:szCs w:val="24"/>
        </w:rPr>
        <w:t xml:space="preserve"> resulted in a strain </w:t>
      </w:r>
      <w:r w:rsidRPr="00AA2C59">
        <w:rPr>
          <w:rFonts w:asciiTheme="majorHAnsi" w:hAnsiTheme="majorHAnsi" w:cstheme="majorHAnsi"/>
          <w:sz w:val="24"/>
          <w:szCs w:val="24"/>
        </w:rPr>
        <w:t xml:space="preserve">with increased susceptibility to 29 of the 35 compounds. </w:t>
      </w:r>
      <w:r>
        <w:rPr>
          <w:rFonts w:asciiTheme="majorHAnsi" w:hAnsiTheme="majorHAnsi" w:cstheme="majorHAnsi"/>
          <w:sz w:val="24"/>
          <w:szCs w:val="24"/>
        </w:rPr>
        <w:t xml:space="preserve">Genes other than </w:t>
      </w:r>
      <w:proofErr w:type="spellStart"/>
      <w:r>
        <w:rPr>
          <w:rFonts w:asciiTheme="majorHAnsi" w:hAnsiTheme="majorHAnsi" w:cstheme="majorHAnsi"/>
          <w:i/>
          <w:iCs/>
          <w:sz w:val="24"/>
          <w:szCs w:val="24"/>
        </w:rPr>
        <w:t>tolC</w:t>
      </w:r>
      <w:proofErr w:type="spellEnd"/>
      <w:r>
        <w:rPr>
          <w:rFonts w:asciiTheme="majorHAnsi" w:hAnsiTheme="majorHAnsi" w:cstheme="majorHAnsi"/>
          <w:sz w:val="24"/>
          <w:szCs w:val="24"/>
        </w:rPr>
        <w:t xml:space="preserve"> that contribute to </w:t>
      </w:r>
      <w:r>
        <w:rPr>
          <w:rFonts w:asciiTheme="majorHAnsi" w:hAnsiTheme="majorHAnsi" w:cstheme="majorHAnsi"/>
          <w:i/>
          <w:iCs/>
          <w:sz w:val="24"/>
          <w:szCs w:val="24"/>
        </w:rPr>
        <w:t>E. coli</w:t>
      </w:r>
      <w:r>
        <w:rPr>
          <w:rFonts w:asciiTheme="majorHAnsi" w:hAnsiTheme="majorHAnsi" w:cstheme="majorHAnsi"/>
          <w:sz w:val="24"/>
          <w:szCs w:val="24"/>
        </w:rPr>
        <w:t xml:space="preserve">’s intrinsic resistance were found to be </w:t>
      </w:r>
      <w:proofErr w:type="spellStart"/>
      <w:r>
        <w:rPr>
          <w:rFonts w:asciiTheme="majorHAnsi" w:hAnsiTheme="majorHAnsi" w:cstheme="majorHAnsi"/>
          <w:i/>
          <w:iCs/>
          <w:sz w:val="24"/>
          <w:szCs w:val="24"/>
        </w:rPr>
        <w:t>acrAB</w:t>
      </w:r>
      <w:proofErr w:type="spellEnd"/>
      <w:r>
        <w:rPr>
          <w:rFonts w:asciiTheme="majorHAnsi" w:hAnsiTheme="majorHAnsi" w:cstheme="majorHAnsi"/>
          <w:i/>
          <w:iCs/>
          <w:sz w:val="24"/>
          <w:szCs w:val="24"/>
        </w:rPr>
        <w:t xml:space="preserve">, </w:t>
      </w:r>
      <w:proofErr w:type="spellStart"/>
      <w:r>
        <w:rPr>
          <w:rFonts w:asciiTheme="majorHAnsi" w:hAnsiTheme="majorHAnsi" w:cstheme="majorHAnsi"/>
          <w:i/>
          <w:iCs/>
          <w:sz w:val="24"/>
          <w:szCs w:val="24"/>
        </w:rPr>
        <w:t>yicP</w:t>
      </w:r>
      <w:proofErr w:type="spellEnd"/>
      <w:r>
        <w:rPr>
          <w:rFonts w:asciiTheme="majorHAnsi" w:hAnsiTheme="majorHAnsi" w:cstheme="majorHAnsi"/>
          <w:i/>
          <w:iCs/>
          <w:sz w:val="24"/>
          <w:szCs w:val="24"/>
        </w:rPr>
        <w:t xml:space="preserve">, </w:t>
      </w:r>
      <w:proofErr w:type="spellStart"/>
      <w:r>
        <w:rPr>
          <w:rFonts w:asciiTheme="majorHAnsi" w:hAnsiTheme="majorHAnsi" w:cstheme="majorHAnsi"/>
          <w:i/>
          <w:iCs/>
          <w:sz w:val="24"/>
          <w:szCs w:val="24"/>
        </w:rPr>
        <w:t>yohG</w:t>
      </w:r>
      <w:proofErr w:type="spellEnd"/>
      <w:r>
        <w:rPr>
          <w:rFonts w:asciiTheme="majorHAnsi" w:hAnsiTheme="majorHAnsi" w:cstheme="majorHAnsi"/>
          <w:i/>
          <w:iCs/>
          <w:sz w:val="24"/>
          <w:szCs w:val="24"/>
        </w:rPr>
        <w:t xml:space="preserve">, </w:t>
      </w:r>
      <w:proofErr w:type="spellStart"/>
      <w:r>
        <w:rPr>
          <w:rFonts w:asciiTheme="majorHAnsi" w:hAnsiTheme="majorHAnsi" w:cstheme="majorHAnsi"/>
          <w:i/>
          <w:iCs/>
          <w:sz w:val="24"/>
          <w:szCs w:val="24"/>
        </w:rPr>
        <w:t>mdfA</w:t>
      </w:r>
      <w:proofErr w:type="spellEnd"/>
      <w:r>
        <w:rPr>
          <w:rFonts w:asciiTheme="majorHAnsi" w:hAnsiTheme="majorHAnsi" w:cstheme="majorHAnsi"/>
          <w:i/>
          <w:iCs/>
          <w:sz w:val="24"/>
          <w:szCs w:val="24"/>
        </w:rPr>
        <w:t xml:space="preserve">, </w:t>
      </w:r>
      <w:r>
        <w:rPr>
          <w:rFonts w:asciiTheme="majorHAnsi" w:hAnsiTheme="majorHAnsi" w:cstheme="majorHAnsi"/>
          <w:sz w:val="24"/>
          <w:szCs w:val="24"/>
        </w:rPr>
        <w:t xml:space="preserve">and </w:t>
      </w:r>
      <w:r>
        <w:rPr>
          <w:rFonts w:asciiTheme="majorHAnsi" w:hAnsiTheme="majorHAnsi" w:cstheme="majorHAnsi"/>
          <w:i/>
          <w:iCs/>
          <w:sz w:val="24"/>
          <w:szCs w:val="24"/>
        </w:rPr>
        <w:t>emrE</w:t>
      </w:r>
      <w:r>
        <w:rPr>
          <w:rFonts w:asciiTheme="majorHAnsi" w:hAnsiTheme="majorHAnsi" w:cstheme="majorHAnsi"/>
          <w:sz w:val="24"/>
          <w:szCs w:val="24"/>
        </w:rPr>
        <w:t>.</w:t>
      </w:r>
      <w:r>
        <w:rPr>
          <w:rFonts w:asciiTheme="majorHAnsi" w:hAnsiTheme="majorHAnsi" w:cstheme="majorHAnsi"/>
          <w:sz w:val="24"/>
          <w:szCs w:val="24"/>
        </w:rPr>
        <w:fldChar w:fldCharType="begin"/>
      </w:r>
      <w:r w:rsidR="00771FFB">
        <w:rPr>
          <w:rFonts w:asciiTheme="majorHAnsi" w:hAnsiTheme="majorHAnsi" w:cstheme="majorHAnsi"/>
          <w:sz w:val="24"/>
          <w:szCs w:val="24"/>
        </w:rPr>
        <w:instrText xml:space="preserve"> ADDIN ZOTERO_ITEM CSL_CITATION {"citationID":"LIbjvhgG","properties":{"formattedCitation":"\\super 50\\nosupersub{}","plainCitation":"50","noteIndex":0},"citationItems":[{"id":1673,"uris":["http://zotero.org/users/1918630/items/MM36IZIC"],"itemData":{"id":1673,"type":"article-journal","abstract":"The contribution of seven known and nine predicted genes or operons associated with multidrug resistance to the susceptibility of Escherichia coli W3110 was assessed for 20 different classes of antimicrobial compounds that include antibiotics, antiseptics, detergents, and dyes. Strains were constructed with deletions for genes in the major facilitator superfamily, the resistance nodulation-cell division family, the small multidrug resistance family, the ATP-binding cassette family, and outer membrane factors. The agar dilution MICs of 35 compounds were determined for strains with deletions for multidrug resistance (MDR) pumps. Deletions in acrAB or tolC resulted in increased susceptibilities to the majority of compounds tested. The remaining MDR pump gene deletions resulted in increased susceptibilities to far fewer compounds. The results identify which MDR pumps contribute to intrinsic resistance under the conditions tested and supply practical information useful for designing sensitive assay strains for cell-based screening of antibacterial compounds.","container-title":"Antimicrobial Agents and Chemotherapy","DOI":"10.1128/AAC.45.4.1126-1136.2001","ISSN":"0066-4804","issue":"4","journalAbbreviation":"Antimicrob Agents Chemother","language":"eng","note":"PMID: 11257026\nPMCID: PMC90435","page":"1126-1136","source":"PubMed","title":"Antibiotic susceptibility profiles of Escherichia coli strains lacking multidrug efflux pump genes","volume":"45","author":[{"family":"Sulavik","given":"M. C."},{"family":"Houseweart","given":"C."},{"family":"Cramer","given":"C."},{"family":"Jiwani","given":"N."},{"family":"Murgolo","given":"N."},{"family":"Greene","given":"J."},{"family":"DiDomenico","given":"B."},{"family":"Shaw","given":"K. J."},{"family":"Miller","given":"G. H."},{"family":"Hare","given":"R."},{"family":"Shimer","given":"G."}],"issued":{"date-parts":[["2001",4]]}}}],"schema":"https://github.com/citation-style-language/schema/raw/master/csl-citation.json"} </w:instrText>
      </w:r>
      <w:r>
        <w:rPr>
          <w:rFonts w:asciiTheme="majorHAnsi" w:hAnsiTheme="majorHAnsi" w:cstheme="majorHAnsi"/>
          <w:sz w:val="24"/>
          <w:szCs w:val="24"/>
        </w:rPr>
        <w:fldChar w:fldCharType="separate"/>
      </w:r>
      <w:r w:rsidR="00771FFB" w:rsidRPr="00771FFB">
        <w:rPr>
          <w:rFonts w:ascii="Times New Roman" w:hAnsi="Times New Roman" w:cs="Times New Roman"/>
          <w:sz w:val="24"/>
          <w:szCs w:val="24"/>
          <w:vertAlign w:val="superscript"/>
        </w:rPr>
        <w:t>50</w:t>
      </w:r>
      <w:r>
        <w:rPr>
          <w:rFonts w:asciiTheme="majorHAnsi" w:hAnsiTheme="majorHAnsi" w:cstheme="majorHAnsi"/>
          <w:sz w:val="24"/>
          <w:szCs w:val="24"/>
        </w:rPr>
        <w:fldChar w:fldCharType="end"/>
      </w:r>
    </w:p>
    <w:p w14:paraId="62E689EF" w14:textId="269C3DA0" w:rsidR="002F1860" w:rsidRDefault="00304025" w:rsidP="00590B25">
      <w:pPr>
        <w:spacing w:line="360" w:lineRule="auto"/>
        <w:ind w:firstLine="720"/>
        <w:rPr>
          <w:sz w:val="24"/>
          <w:szCs w:val="24"/>
        </w:rPr>
      </w:pPr>
      <w:r w:rsidRPr="00590B25">
        <w:rPr>
          <w:rFonts w:asciiTheme="majorHAnsi" w:hAnsiTheme="majorHAnsi" w:cstheme="majorHAnsi"/>
          <w:sz w:val="24"/>
          <w:szCs w:val="24"/>
        </w:rPr>
        <w:t xml:space="preserve">The RND efflux pumps of </w:t>
      </w:r>
      <w:r w:rsidRPr="00590B25">
        <w:rPr>
          <w:rFonts w:asciiTheme="majorHAnsi" w:hAnsiTheme="majorHAnsi" w:cstheme="majorHAnsi"/>
          <w:i/>
          <w:iCs/>
          <w:sz w:val="24"/>
          <w:szCs w:val="24"/>
        </w:rPr>
        <w:t xml:space="preserve">A. baumannii </w:t>
      </w:r>
      <w:r w:rsidRPr="00590B25">
        <w:rPr>
          <w:sz w:val="24"/>
          <w:szCs w:val="24"/>
        </w:rPr>
        <w:t xml:space="preserve">are thought to be structurally similar to </w:t>
      </w:r>
      <w:r w:rsidRPr="00590B25">
        <w:rPr>
          <w:i/>
          <w:iCs/>
          <w:sz w:val="24"/>
          <w:szCs w:val="24"/>
        </w:rPr>
        <w:t>E. coli</w:t>
      </w:r>
      <w:r w:rsidRPr="00590B25">
        <w:rPr>
          <w:sz w:val="24"/>
          <w:szCs w:val="24"/>
        </w:rPr>
        <w:t xml:space="preserve">’s </w:t>
      </w:r>
      <w:proofErr w:type="spellStart"/>
      <w:r w:rsidRPr="00590B25">
        <w:rPr>
          <w:sz w:val="24"/>
          <w:szCs w:val="24"/>
        </w:rPr>
        <w:t>AcrAB-TolC</w:t>
      </w:r>
      <w:proofErr w:type="spellEnd"/>
      <w:r w:rsidRPr="00590B25">
        <w:rPr>
          <w:sz w:val="24"/>
          <w:szCs w:val="24"/>
        </w:rPr>
        <w:t>, but they have different substrate specificities.</w:t>
      </w:r>
      <w:r w:rsidR="00072A25" w:rsidRPr="00590B25">
        <w:rPr>
          <w:sz w:val="24"/>
          <w:szCs w:val="24"/>
        </w:rPr>
        <w:t xml:space="preserve"> Of the three main RND pumps in </w:t>
      </w:r>
      <w:r w:rsidR="00072A25" w:rsidRPr="00590B25">
        <w:rPr>
          <w:i/>
          <w:iCs/>
          <w:sz w:val="24"/>
          <w:szCs w:val="24"/>
        </w:rPr>
        <w:t>A. baumannii</w:t>
      </w:r>
      <w:r w:rsidR="00072A25" w:rsidRPr="00590B25">
        <w:rPr>
          <w:sz w:val="24"/>
          <w:szCs w:val="24"/>
        </w:rPr>
        <w:t xml:space="preserve">, the amino acid sequence for </w:t>
      </w:r>
      <w:proofErr w:type="spellStart"/>
      <w:r w:rsidR="00072A25" w:rsidRPr="00590B25">
        <w:rPr>
          <w:sz w:val="24"/>
          <w:szCs w:val="24"/>
        </w:rPr>
        <w:t>AdeJ</w:t>
      </w:r>
      <w:proofErr w:type="spellEnd"/>
      <w:r w:rsidR="00072A25" w:rsidRPr="00590B25">
        <w:rPr>
          <w:sz w:val="24"/>
          <w:szCs w:val="24"/>
        </w:rPr>
        <w:t xml:space="preserve"> is the most similar to </w:t>
      </w:r>
      <w:r w:rsidR="00072A25" w:rsidRPr="00590B25">
        <w:rPr>
          <w:i/>
          <w:iCs/>
          <w:sz w:val="24"/>
          <w:szCs w:val="24"/>
        </w:rPr>
        <w:t>E. coli</w:t>
      </w:r>
      <w:r w:rsidR="00072A25" w:rsidRPr="00590B25">
        <w:rPr>
          <w:sz w:val="24"/>
          <w:szCs w:val="24"/>
        </w:rPr>
        <w:t xml:space="preserve">’s AcrB with 57.68% identity, followed by </w:t>
      </w:r>
      <w:proofErr w:type="spellStart"/>
      <w:r w:rsidR="00072A25" w:rsidRPr="00590B25">
        <w:rPr>
          <w:sz w:val="24"/>
          <w:szCs w:val="24"/>
        </w:rPr>
        <w:t>AdeB</w:t>
      </w:r>
      <w:proofErr w:type="spellEnd"/>
      <w:r w:rsidR="00072A25" w:rsidRPr="00590B25">
        <w:rPr>
          <w:sz w:val="24"/>
          <w:szCs w:val="24"/>
        </w:rPr>
        <w:t xml:space="preserve"> with 49.51% and AdeG with 40.08%. </w:t>
      </w:r>
      <w:proofErr w:type="spellStart"/>
      <w:r w:rsidR="00072A25" w:rsidRPr="00590B25">
        <w:rPr>
          <w:sz w:val="24"/>
          <w:szCs w:val="24"/>
        </w:rPr>
        <w:t>AdeJ</w:t>
      </w:r>
      <w:proofErr w:type="spellEnd"/>
      <w:r w:rsidR="00072A25" w:rsidRPr="00590B25">
        <w:rPr>
          <w:sz w:val="24"/>
          <w:szCs w:val="24"/>
        </w:rPr>
        <w:t xml:space="preserve"> has a wide substrate range that includes </w:t>
      </w:r>
      <w:r w:rsidR="00072A25" w:rsidRPr="00590B25">
        <w:rPr>
          <w:rFonts w:cstheme="minorHAnsi"/>
          <w:sz w:val="24"/>
          <w:szCs w:val="24"/>
        </w:rPr>
        <w:t>β-lactams, chloramphenicol,</w:t>
      </w:r>
      <w:r w:rsidR="001B0934" w:rsidRPr="00590B25">
        <w:rPr>
          <w:rFonts w:cstheme="minorHAnsi"/>
          <w:sz w:val="24"/>
          <w:szCs w:val="24"/>
        </w:rPr>
        <w:t xml:space="preserve"> trimethoprim,</w:t>
      </w:r>
      <w:r w:rsidR="00072A25" w:rsidRPr="00590B25">
        <w:rPr>
          <w:rFonts w:cstheme="minorHAnsi"/>
          <w:sz w:val="24"/>
          <w:szCs w:val="24"/>
        </w:rPr>
        <w:t xml:space="preserve"> fluoroquinolones, and tetracyclines</w:t>
      </w:r>
      <w:r w:rsidR="001B0934" w:rsidRPr="00590B25">
        <w:rPr>
          <w:rFonts w:cstheme="minorHAnsi"/>
          <w:sz w:val="24"/>
          <w:szCs w:val="24"/>
        </w:rPr>
        <w:t xml:space="preserve"> as well as erythromycin, </w:t>
      </w:r>
      <w:proofErr w:type="spellStart"/>
      <w:r w:rsidR="001B0934" w:rsidRPr="00590B25">
        <w:rPr>
          <w:rFonts w:cstheme="minorHAnsi"/>
          <w:sz w:val="24"/>
          <w:szCs w:val="24"/>
        </w:rPr>
        <w:t>lincosamides</w:t>
      </w:r>
      <w:proofErr w:type="spellEnd"/>
      <w:r w:rsidR="001B0934" w:rsidRPr="00590B25">
        <w:rPr>
          <w:rFonts w:cstheme="minorHAnsi"/>
          <w:sz w:val="24"/>
          <w:szCs w:val="24"/>
        </w:rPr>
        <w:t xml:space="preserve">, </w:t>
      </w:r>
      <w:proofErr w:type="spellStart"/>
      <w:r w:rsidR="001B0934" w:rsidRPr="00590B25">
        <w:rPr>
          <w:rFonts w:cstheme="minorHAnsi"/>
          <w:sz w:val="24"/>
          <w:szCs w:val="24"/>
        </w:rPr>
        <w:t>fusidic</w:t>
      </w:r>
      <w:proofErr w:type="spellEnd"/>
      <w:r w:rsidR="001B0934" w:rsidRPr="00590B25">
        <w:rPr>
          <w:rFonts w:cstheme="minorHAnsi"/>
          <w:sz w:val="24"/>
          <w:szCs w:val="24"/>
        </w:rPr>
        <w:t xml:space="preserve"> acid, novobiocin, and rifampicin</w:t>
      </w:r>
      <w:r w:rsidR="00072A25" w:rsidRPr="00590B25">
        <w:rPr>
          <w:rFonts w:cstheme="minorHAnsi"/>
          <w:sz w:val="24"/>
          <w:szCs w:val="24"/>
        </w:rPr>
        <w:t>.</w:t>
      </w:r>
      <w:r w:rsidR="00072A25" w:rsidRPr="00590B25">
        <w:rPr>
          <w:sz w:val="24"/>
          <w:szCs w:val="24"/>
        </w:rPr>
        <w:fldChar w:fldCharType="begin"/>
      </w:r>
      <w:r w:rsidR="00864355" w:rsidRPr="00590B25">
        <w:rPr>
          <w:sz w:val="24"/>
          <w:szCs w:val="24"/>
        </w:rPr>
        <w:instrText xml:space="preserve"> ADDIN ZOTERO_ITEM CSL_CITATION {"citationID":"a2e315p4g8b","properties":{"formattedCitation":"\\super 51,52\\nosupersub{}","plainCitation":"51,52","noteIndex":0},"citationItems":[{"id":1461,"uris":["http://zotero.org/users/1918630/items/PIB2W35Z"],"itemData":{"id":1461,"type":"article-journal","abstract":"ABSTRACT\n            \n              We have identified a second resistance-nodulation-cell division (RND)-type efflux pump, AdeIJK, in clinical isolate\n              Acinetobacter baumannii\n              BM4454. The\n              adeI, adeJ\n              , and\n              adeK\n              genes encode, respectively, the membrane fusion, RND, and outer membrane components of the pump. AdeJ belongs to the AcrB protein family (57% identity with AcrB from\n              Escherichia coli\n              ). mRNA analysis by Northern blotting and reverse transcription-PCR indicated that the genes were cotranscribed. Overexpression of the cloned\n              adeIJK\n              operon was toxic in both\n              E. coli\n              and\n              Acinetobacter\n              . The\n              adeIJK\n              genes were detected in all of the 60 strains of\n              A. baumannii\n              tested. The two latter observations suggest that the AdeIJK complex might contribute to intrinsic but not to acquired antibiotic resistance in\n              Acinetobacter\n              . To characterize the substrate specificity of the pump, we have constructed derivatives of BM4454 in which\n              adeIJK\n              (strain BM4579),\n              adeABC\n              (strain BM4561), or both groups of genes (strain BM4652) were inactivated by deletion-insertion. Determination of the antibiotic susceptibility of these strains and of BM4652 and BM4579, in which the\n              adeIJK\n              operon was provided in\n              trans\n              , indicated that the AdeIJK pump contributes to resistance to β-lactams, chloramphenicol, tetracycline, erythromycin, lincosamides, fluoroquinolones, fusidic acid, novobiocin, rifampin, trimethoprim, acridine, safranin, pyronine, and sodium dodecyl sulfate. The chemical structure of these molecules suggests that amphiphilic compounds are the preferred substrates. The AdeABC and AdeIJK efflux systems contributed in a more than additive fashion to tigecycline resistance.","container-title":"Antimicrobial Agents and Chemotherapy","DOI":"10.1128/AAC.00732-07","ISSN":"0066-4804, 1098-6596","issue":"2","journalAbbreviation":"Antimicrob Agents Chemother","language":"en","page":"557-562","source":"DOI.org (Crossref)","title":"AdeIJK, a Resistance-Nodulation-Cell Division Pump Effluxing Multiple Antibiotics in &lt;i&gt;Acinetobacter baumannii&lt;/i&gt;","volume":"52","author":[{"family":"Damier-Piolle","given":"Laurence"},{"family":"Magnet","given":"Sophie"},{"family":"Brémont","given":"Sylvie"},{"family":"Lambert","given":"Thierry"},{"family":"Courvalin","given":"Patrice"}],"issued":{"date-parts":[["2008",2]]}}},{"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sidR="00072A25" w:rsidRPr="00590B25">
        <w:rPr>
          <w:sz w:val="24"/>
          <w:szCs w:val="24"/>
        </w:rPr>
        <w:fldChar w:fldCharType="separate"/>
      </w:r>
      <w:r w:rsidR="00864355" w:rsidRPr="00590B25">
        <w:rPr>
          <w:rFonts w:ascii="Times New Roman" w:hAnsi="Times New Roman" w:cs="Times New Roman"/>
          <w:sz w:val="24"/>
          <w:szCs w:val="24"/>
          <w:vertAlign w:val="superscript"/>
        </w:rPr>
        <w:t>51,52</w:t>
      </w:r>
      <w:r w:rsidR="00072A25" w:rsidRPr="00590B25">
        <w:rPr>
          <w:sz w:val="24"/>
          <w:szCs w:val="24"/>
        </w:rPr>
        <w:fldChar w:fldCharType="end"/>
      </w:r>
      <w:r w:rsidR="00072A25" w:rsidRPr="00590B25">
        <w:rPr>
          <w:sz w:val="24"/>
          <w:szCs w:val="24"/>
        </w:rPr>
        <w:t xml:space="preserve"> </w:t>
      </w:r>
      <w:proofErr w:type="spellStart"/>
      <w:r w:rsidR="00072A25" w:rsidRPr="00590B25">
        <w:rPr>
          <w:sz w:val="24"/>
          <w:szCs w:val="24"/>
        </w:rPr>
        <w:t>AdeB</w:t>
      </w:r>
      <w:proofErr w:type="spellEnd"/>
      <w:r w:rsidR="00072A25" w:rsidRPr="00590B25">
        <w:rPr>
          <w:sz w:val="24"/>
          <w:szCs w:val="24"/>
        </w:rPr>
        <w:t xml:space="preserve"> also exhibits </w:t>
      </w:r>
      <w:proofErr w:type="spellStart"/>
      <w:r w:rsidR="00072A25" w:rsidRPr="00590B25">
        <w:rPr>
          <w:sz w:val="24"/>
          <w:szCs w:val="24"/>
        </w:rPr>
        <w:t>polyspecificity</w:t>
      </w:r>
      <w:proofErr w:type="spellEnd"/>
      <w:r w:rsidR="00072A25" w:rsidRPr="00590B25">
        <w:rPr>
          <w:sz w:val="24"/>
          <w:szCs w:val="24"/>
        </w:rPr>
        <w:t xml:space="preserve"> in its substrate range, but to a narrower exten</w:t>
      </w:r>
      <w:r w:rsidR="003B4D12">
        <w:rPr>
          <w:sz w:val="24"/>
          <w:szCs w:val="24"/>
        </w:rPr>
        <w:t>t</w:t>
      </w:r>
      <w:r w:rsidR="00072A25" w:rsidRPr="00590B25">
        <w:rPr>
          <w:sz w:val="24"/>
          <w:szCs w:val="24"/>
        </w:rPr>
        <w:t xml:space="preserve"> compared to </w:t>
      </w:r>
      <w:proofErr w:type="spellStart"/>
      <w:r w:rsidR="00072A25" w:rsidRPr="00590B25">
        <w:rPr>
          <w:sz w:val="24"/>
          <w:szCs w:val="24"/>
        </w:rPr>
        <w:t>AdeJ</w:t>
      </w:r>
      <w:proofErr w:type="spellEnd"/>
      <w:r w:rsidR="00072A25" w:rsidRPr="00590B25">
        <w:rPr>
          <w:sz w:val="24"/>
          <w:szCs w:val="24"/>
        </w:rPr>
        <w:t xml:space="preserve">, with its ability to export </w:t>
      </w:r>
      <w:r w:rsidR="001B0934" w:rsidRPr="00590B25">
        <w:rPr>
          <w:rFonts w:cstheme="minorHAnsi"/>
          <w:sz w:val="24"/>
          <w:szCs w:val="24"/>
        </w:rPr>
        <w:t xml:space="preserve">β-lactams, fluoroquinolones, tetracyclines, tigecycline, macrolides, </w:t>
      </w:r>
      <w:proofErr w:type="spellStart"/>
      <w:r w:rsidR="001B0934" w:rsidRPr="00590B25">
        <w:rPr>
          <w:rFonts w:cstheme="minorHAnsi"/>
          <w:sz w:val="24"/>
          <w:szCs w:val="24"/>
        </w:rPr>
        <w:t>lincosamides</w:t>
      </w:r>
      <w:proofErr w:type="spellEnd"/>
      <w:r w:rsidR="001B0934" w:rsidRPr="00590B25">
        <w:rPr>
          <w:rFonts w:cstheme="minorHAnsi"/>
          <w:sz w:val="24"/>
          <w:szCs w:val="24"/>
        </w:rPr>
        <w:t>, chloramphenicol, and aminoglycosides</w:t>
      </w:r>
      <w:r w:rsidR="00E54286">
        <w:rPr>
          <w:rFonts w:cstheme="minorHAnsi"/>
          <w:sz w:val="24"/>
          <w:szCs w:val="24"/>
        </w:rPr>
        <w:t>.</w:t>
      </w:r>
      <w:r w:rsidR="00072A25" w:rsidRPr="00590B25">
        <w:rPr>
          <w:sz w:val="24"/>
          <w:szCs w:val="24"/>
        </w:rPr>
        <w:fldChar w:fldCharType="begin"/>
      </w:r>
      <w:r w:rsidR="00864355" w:rsidRPr="00590B25">
        <w:rPr>
          <w:sz w:val="24"/>
          <w:szCs w:val="24"/>
        </w:rPr>
        <w:instrText xml:space="preserve"> ADDIN ZOTERO_ITEM CSL_CITATION {"citationID":"ahlbmhmpeh","properties":{"formattedCitation":"\\super 53\\nosupersub{}","plainCitation":"53","noteIndex":0},"citationItems":[{"id":2167,"uris":["http://zotero.org/users/1918630/items/GS2R95YR"],"itemData":{"id":2167,"type":"article-journal","abstract":"Acinetobacter baumannii is a nosocomial pathogen of increasing importance due to its multiple resistance to antibiotics and ability to survive in the hospital environment linked to its capacity to form biofilms. To fully characterize the contribution of AdeABC, AdeFGH, and AdeIJK resistance-nodulation-cell division (RND)-type efflux systems to acquired and intrinsic resistance, we constructed, from an entirely sequenced susceptible A. baumannii strain, a set of isogenic mutants overexpressing each system following introduction of a point mutation in their cognate regulator or a deletion for the pump by allelic replacement. Pairwise comparison of every derivative with the parental strain indicated that AdeABC and AdeFGH are tightly regulated and contribute to acquisition of antibiotic resistance when overproduced. AdeABC had a broad substrate range, including β-lactams, fluoroquinolones, tetracyclines-tigecycline, macrolides-lincosamides, and chloramphenicol, and conferred clinical resistance to aminoglycosides. Importantly, when combined with enzymatic resistance to carbapenems and aminoglycosides, this pump contributed in a synergistic fashion to the level of resistance of the host. In contrast, AdeIJK was expressed constitutively and was responsible for intrinsic resistance to the same major drug classes as AdeABC as well as antifolates and fusidic acid. Surprisingly, overproduction of AdeABC and AdeIJK altered bacterial membrane composition, resulting in decreased biofilm formation but not motility. Natural transformation and plasmid transfer were diminished in recipients overproducing AdeABC. It thus appears that alteration in the expression of efflux systems leads to multiple changes in the relationship between the host and its environment, in addition to antibiotic resistance.\nIMPORTANCE: Increased expression of chromosomal genes for RND-type efflux systems plays a major role in bacterial multidrug resistance. Acinetobacter baumannii has recently emerged as an important human pathogen responsible for epidemics of hospital-acquired infections. Besides its remarkable ability to horizontally acquire resistance determinants, it has a broad intrinsic resistance due to low membrane permeability, endogenous resistance genes, and antibiotic efflux. The study of isogenic mutants from a susceptible A. baumannii clinical isolate overproducing or deleted for each of the three major RND-type pumps demonstrated their major contribution to intrinsic resistance and to the synergism between overproduction of an efflux system and acquisition of a resistance gene. We have also shown that modulation of expression of the structural genes for the efflux systems results in numerous alterations in membrane-associated cellular functions, in particular, in a decrease in biofilm formation and resistance gene acquisition.","container-title":"mBio","DOI":"10.1128/mBio.00309-15","ISSN":"2150-7511","issue":"2","journalAbbreviation":"mBio","language":"eng","note":"PMID: 25805730\nPMCID: PMC4453527","page":"e00309-15","source":"PubMed","title":"Contribution of resistance-nodulation-cell division efflux systems to antibiotic resistance and biofilm formation in Acinetobacter baumannii","volume":"6","author":[{"family":"Yoon","given":"Eun-Jeong"},{"family":"Chabane","given":"Yassine Nait"},{"family":"Goussard","given":"Sylvie"},{"family":"Snesrud","given":"Erik"},{"family":"Courvalin","given":"Patrice"},{"family":"Dé","given":"Emmanuelle"},{"family":"Grillot-Courvalin","given":"Catherine"}],"issued":{"date-parts":[["2015",3,24]]}}}],"schema":"https://github.com/citation-style-language/schema/raw/master/csl-citation.json"} </w:instrText>
      </w:r>
      <w:r w:rsidR="00072A25" w:rsidRPr="00590B25">
        <w:rPr>
          <w:sz w:val="24"/>
          <w:szCs w:val="24"/>
        </w:rPr>
        <w:fldChar w:fldCharType="separate"/>
      </w:r>
      <w:r w:rsidR="00864355" w:rsidRPr="00590B25">
        <w:rPr>
          <w:rFonts w:ascii="Times New Roman" w:hAnsi="Times New Roman" w:cs="Times New Roman"/>
          <w:sz w:val="24"/>
          <w:szCs w:val="24"/>
          <w:vertAlign w:val="superscript"/>
        </w:rPr>
        <w:t>53</w:t>
      </w:r>
      <w:r w:rsidR="00072A25" w:rsidRPr="00590B25">
        <w:rPr>
          <w:sz w:val="24"/>
          <w:szCs w:val="24"/>
        </w:rPr>
        <w:fldChar w:fldCharType="end"/>
      </w:r>
      <w:r w:rsidR="00072A25" w:rsidRPr="00590B25">
        <w:rPr>
          <w:sz w:val="24"/>
          <w:szCs w:val="24"/>
        </w:rPr>
        <w:t xml:space="preserve"> </w:t>
      </w:r>
      <w:r w:rsidR="001B0934" w:rsidRPr="00590B25">
        <w:rPr>
          <w:sz w:val="24"/>
          <w:szCs w:val="24"/>
        </w:rPr>
        <w:t xml:space="preserve">Lastly, AdeG exports mainly trimethoprim, </w:t>
      </w:r>
      <w:r w:rsidR="001B0934" w:rsidRPr="00590B25">
        <w:rPr>
          <w:sz w:val="24"/>
          <w:szCs w:val="24"/>
        </w:rPr>
        <w:lastRenderedPageBreak/>
        <w:t>chloramphenicol, and fluoroquinolones, but also tetracycline, tigecycline and clindamycin</w:t>
      </w:r>
      <w:r w:rsidR="00E54286">
        <w:rPr>
          <w:sz w:val="24"/>
          <w:szCs w:val="24"/>
        </w:rPr>
        <w:t>.</w:t>
      </w:r>
      <w:r w:rsidR="001B0934" w:rsidRPr="00590B25">
        <w:rPr>
          <w:sz w:val="24"/>
          <w:szCs w:val="24"/>
        </w:rPr>
        <w:fldChar w:fldCharType="begin"/>
      </w:r>
      <w:r w:rsidR="00864355" w:rsidRPr="00590B25">
        <w:rPr>
          <w:sz w:val="24"/>
          <w:szCs w:val="24"/>
        </w:rPr>
        <w:instrText xml:space="preserve"> ADDIN ZOTERO_ITEM CSL_CITATION {"citationID":"a1oha2pndqv","properties":{"formattedCitation":"\\super 54\\nosupersub{}","plainCitation":"54","noteIndex":0},"citationItems":[{"id":1789,"uris":["http://zotero.org/users/1918630/items/C3ZBU9AK"],"itemData":{"id":1789,"type":"article-journal","abstract":"Acinetobacter baumannii is a major nosocomial pathogen which frequently develops multidrug resistance by acquisition of antibiotic resistance genes and overexpression of intrinsic efflux systems, such as the RND efflux pumps AdeABC and AdeIJK. A third RND system was characterized by studying spontaneous mutants BM4663 and BM4664, which were selected in the presence of chloramphenicol and norfloxacin, respectively, from the AdeABC- and AdeIJK-defective derivative A. baumannii BM4652. They exhibited enhanced resistance to fluoroquinolones, tetracycline-tigecycline, chloramphenicol, clindamycin, trimethoprim, sulfamethoxazole, sodium dodecyl sulfate, and dyes such as ethidium bromide, safranin O, and acridine orange. Comparison of transcriptomes of mutants with that of their parental strain, using a microarray technology, demonstrated the overexpression of three genes that encoded an RND efflux system, named AdeFGH. Inactivation of AdeFGH in BM4664 restored an antibiotic susceptibility profile identical to that of BM4652, indicating that AdeFGH was cryptic in BM4652 and responsible for multidrug resistance in its mutants. RNA analysis demonstrated that the three genes were cotranscribed. The adeFGH operon was found in 36 out of 40 A. baumannii clinical isolates, but none of the 22 isolates tested overexpressed the pump genes. Spontaneous MDR mutant BM4684, overexpressing adeFGH, was obtained from clinical isolate BM4587, indicating that adeFGH can be overexpressed in a strain harboring adeABC-adeIJK. An open reading frame, coding a LysR-type transcriptional regulator, named adeL, was located upstream from the adeFGH operon and transcribed in the opposite direction. Mutations in adeL were found in the three adeFGH-overexpressing mutants, suggesting that they were responsible for overexpression of AdeFGH.","container-title":"Antimicrobial Agents and Chemotherapy","DOI":"10.1128/AAC.00155-10","ISSN":"0066-4804","issue":"10","journalAbbreviation":"Antimicrob Agents Chemother","note":"PMID: 20696879\nPMCID: PMC2944555","page":"4389-4393","source":"PubMed Central","title":"Overexpression of Resistance-Nodulation-Cell Division Pump AdeFGH Confers Multidrug Resistance in Acinetobacter baumannii","volume":"54","author":[{"family":"Coyne","given":"Sébastien"},{"family":"Rosenfeld","given":"Nicolas"},{"family":"Lambert","given":"Thierry"},{"family":"Courvalin","given":"Patrice"},{"family":"Périchon","given":"Bruno"}],"issued":{"date-parts":[["2010",10]]}}}],"schema":"https://github.com/citation-style-language/schema/raw/master/csl-citation.json"} </w:instrText>
      </w:r>
      <w:r w:rsidR="001B0934" w:rsidRPr="00590B25">
        <w:rPr>
          <w:sz w:val="24"/>
          <w:szCs w:val="24"/>
        </w:rPr>
        <w:fldChar w:fldCharType="separate"/>
      </w:r>
      <w:r w:rsidR="00864355" w:rsidRPr="00590B25">
        <w:rPr>
          <w:rFonts w:ascii="Times New Roman" w:hAnsi="Times New Roman" w:cs="Times New Roman"/>
          <w:sz w:val="24"/>
          <w:szCs w:val="24"/>
          <w:vertAlign w:val="superscript"/>
        </w:rPr>
        <w:t>54</w:t>
      </w:r>
      <w:r w:rsidR="001B0934" w:rsidRPr="00590B25">
        <w:rPr>
          <w:sz w:val="24"/>
          <w:szCs w:val="24"/>
        </w:rPr>
        <w:fldChar w:fldCharType="end"/>
      </w:r>
      <w:r w:rsidR="002F1860">
        <w:rPr>
          <w:sz w:val="24"/>
          <w:szCs w:val="24"/>
        </w:rPr>
        <w:t xml:space="preserve"> This dissertation will identify specific amino acid residues located within the hydrophobic binding pocket of RND transporters </w:t>
      </w:r>
      <w:proofErr w:type="spellStart"/>
      <w:r w:rsidR="002F1860">
        <w:rPr>
          <w:sz w:val="24"/>
          <w:szCs w:val="24"/>
        </w:rPr>
        <w:t>AdeG</w:t>
      </w:r>
      <w:proofErr w:type="spellEnd"/>
      <w:r w:rsidR="002F1860">
        <w:rPr>
          <w:sz w:val="24"/>
          <w:szCs w:val="24"/>
        </w:rPr>
        <w:t xml:space="preserve"> and </w:t>
      </w:r>
      <w:proofErr w:type="spellStart"/>
      <w:r w:rsidR="002F1860">
        <w:rPr>
          <w:sz w:val="24"/>
          <w:szCs w:val="24"/>
        </w:rPr>
        <w:t>AdeJ</w:t>
      </w:r>
      <w:proofErr w:type="spellEnd"/>
      <w:r w:rsidR="002F1860">
        <w:rPr>
          <w:sz w:val="24"/>
          <w:szCs w:val="24"/>
        </w:rPr>
        <w:t xml:space="preserve"> that </w:t>
      </w:r>
      <w:r w:rsidR="004A2506">
        <w:rPr>
          <w:sz w:val="24"/>
          <w:szCs w:val="24"/>
        </w:rPr>
        <w:t>are involved with the export of</w:t>
      </w:r>
      <w:r w:rsidR="002F1860">
        <w:rPr>
          <w:sz w:val="24"/>
          <w:szCs w:val="24"/>
        </w:rPr>
        <w:t xml:space="preserve"> specific pump substrates</w:t>
      </w:r>
      <w:r w:rsidR="004A2506">
        <w:rPr>
          <w:sz w:val="24"/>
          <w:szCs w:val="24"/>
        </w:rPr>
        <w:t>.</w:t>
      </w:r>
    </w:p>
    <w:p w14:paraId="00B6FE0E" w14:textId="184ED589" w:rsidR="00251E74" w:rsidRPr="001D3B45" w:rsidRDefault="003E6866" w:rsidP="00C836F0">
      <w:pPr>
        <w:rPr>
          <w:rFonts w:asciiTheme="majorHAnsi" w:hAnsiTheme="majorHAnsi" w:cstheme="majorHAnsi"/>
          <w:sz w:val="24"/>
          <w:szCs w:val="24"/>
          <w:u w:val="single"/>
        </w:rPr>
      </w:pPr>
      <w:r>
        <w:rPr>
          <w:rFonts w:asciiTheme="majorHAnsi" w:hAnsiTheme="majorHAnsi" w:cstheme="majorHAnsi"/>
          <w:sz w:val="24"/>
          <w:szCs w:val="24"/>
          <w:u w:val="single"/>
        </w:rPr>
        <w:t>1.3.2.</w:t>
      </w:r>
      <w:r w:rsidR="00DD6640">
        <w:rPr>
          <w:rFonts w:asciiTheme="majorHAnsi" w:hAnsiTheme="majorHAnsi" w:cstheme="majorHAnsi"/>
          <w:sz w:val="24"/>
          <w:szCs w:val="24"/>
          <w:u w:val="single"/>
        </w:rPr>
        <w:t xml:space="preserve"> </w:t>
      </w:r>
      <w:r w:rsidR="001D3B45">
        <w:rPr>
          <w:rFonts w:asciiTheme="majorHAnsi" w:hAnsiTheme="majorHAnsi" w:cstheme="majorHAnsi"/>
          <w:sz w:val="24"/>
          <w:szCs w:val="24"/>
          <w:u w:val="single"/>
        </w:rPr>
        <w:t>Major Facilitator Superfamily (MFS)</w:t>
      </w:r>
    </w:p>
    <w:p w14:paraId="1CFC17C5" w14:textId="6AC5CCF2" w:rsidR="00DA63F4" w:rsidRDefault="005A0406"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t>The Major Facilitator Superfamily (MFS) represents one of the largest and most diverse groups of transporters.</w:t>
      </w:r>
      <w:r w:rsidR="005E34C2">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{"citationID":"54zIB560","properties":{"formattedCitation":"\\super 55,56\\nosupersub{}","plainCitation":"55,56","noteIndex":0},"citationItems":[{"id":2075,"uris":["http://zotero.org/users/1918630/items/VYUJIQKY"],"itemData":{"id":2075,"type":"article-journal","abstract":"The major facilitator superfamily (MFS) is one of the two largest families of membrane transporters found on Earth. It is present ubiquitously in bacteria, archaea, and eukarya and includes members that can function by solute uniport, solute/cation symport, solute/cation antiport and/or solute/solute antiport with inwardly and/or outwardly directed polarity. All homologous MFS protein sequences in the public databases as of January 1997 were identified on the basis of sequence similarity and shown to be homologous. Phylogenetic analyses revealed the occurrence of 17 distinct families within the MFS, each of which generally transports a single class of compounds. Compounds transported by MFS permeases include simple sugars, oligosaccharides, inositols, drugs, amino acids, nucleosides, organophosphate esters, Krebs cycle metabolites, and a large variety of organic and inorganic anions and cations. Protein members of some MFS families are found exclusively in bacteria or in eukaryotes, but others are found in bacteria, archaea, and eukaryotes. All permeases of the MFS possess either 12 or 14 putative or established transmembrane α-helical spanners, and evidence is presented substantiating the proposal that an internal tandem gene duplication event gave rise to a primordial MFS protein prior to divergence of the family members. All 17 families are shown to exhibit the common feature of a well-conserved motif present between transmembrane spanners 2 and 3. The analyses reported serve to characterize one of the largest and most diverse families of transport proteins found in living organisms.","container-title":"Microbiology and Molecular Biology Reviews : MMBR","ISSN":"1092-2172","issue":"1","journalAbbreviation":"Microbiol Mol Biol Rev","note":"PMID: 9529885\nPMCID: PMC98904","page":"1-34","source":"PubMed Central","title":"Major Facilitator Superfamily","volume":"62","author":[{"family":"Pao","given":"Stephanie S."},{"family":"Paulsen","given":"Ian T."},{"family":"Saier","given":"Milton H."}],"issued":{"date-parts":[["1998",3]]}}},{"id":2078,"uris":["http://zotero.org/users/1918630/items/G2IHU4IU"],"itemData":{"id":2078,"type":"article-journal","abstract":"The major facilitator superfamily (MFS) is the largest known superfamily of secondary active transporters. MFS transporters are responsible for transporting a broad spectrum of substrates, either down their concentration gradient or uphill using the energy stored in the electrochemical gradients. Over the last 10 years, more than a hundred different MFS transporter structures covering close to 40 members have provided an atomic framework for piecing together the molecular basis of their transport cycles. Here, we summarize the remarkable promiscuity of MFS members in terms of substrate recognition and proton coupling as well as the intricate gating mechanisms undergone in achieving substrate translocation. We outline studies that show how residues far from the substrate binding site can be just as important for fine-tuning substrate recognition and specificity as those residues directly coordinating the substrate, and how a number of MFS transporters have evolved to form unique complexes with chaperone and signaling functions. Through a deeper mechanistic description of glucose (GLUT) transporters and multidrug resistance (MDR) antiporters, we outline novel refinements to the rocker-switch alternating-access model, such as a latch mechanism for proton-coupled monosaccharide transport. We emphasize that a full understanding of transport requires an elucidation of MFS transporter dynamics, energy landscapes, and the determination of how rate transitions are modulated by lipids.","container-title":"Chemical Reviews","DOI":"10.1021/acs.chemrev.0c00983","ISSN":"0009-2665","issue":"9","journalAbbreviation":"Chem. Rev.","note":"publisher: American Chemical Society","page":"5289-5335","source":"ACS Publications","title":"Structures and General Transport Mechanisms by the Major Facilitator Superfamily (MFS)","volume":"121","author":[{"family":"Drew","given":"David"},{"family":"North","given":"Rachel A."},{"family":"Nagarathinam","given":"Kumar"},{"family":"Tanabe","given":"Mikio"}],"issued":{"date-parts":[["2021",5,12]]}}}],"schema":"https://github.com/citation-style-language/schema/raw/master/csl-citation.json"} </w:instrText>
      </w:r>
      <w:r w:rsidR="005E34C2">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55,56</w:t>
      </w:r>
      <w:r w:rsidR="005E34C2">
        <w:rPr>
          <w:rFonts w:asciiTheme="majorHAnsi" w:hAnsiTheme="majorHAnsi" w:cstheme="majorHAnsi"/>
          <w:sz w:val="24"/>
          <w:szCs w:val="24"/>
        </w:rPr>
        <w:fldChar w:fldCharType="end"/>
      </w:r>
      <w:r w:rsidR="00FC7A06">
        <w:rPr>
          <w:rFonts w:asciiTheme="majorHAnsi" w:hAnsiTheme="majorHAnsi" w:cstheme="majorHAnsi"/>
          <w:sz w:val="24"/>
          <w:szCs w:val="24"/>
        </w:rPr>
        <w:t xml:space="preserve"> Members of this family include uniporters (transporters that do not require coupling ions), symporters (transporters that couple substrate transport with ion transport in the same direction as the substrate), and antiporters (transporters that facilitate substrate and ion transport in opposite directions).</w:t>
      </w:r>
      <w:r w:rsidR="00DA63F4">
        <w:rPr>
          <w:rFonts w:asciiTheme="majorHAnsi" w:hAnsiTheme="majorHAnsi" w:cstheme="majorHAnsi"/>
          <w:sz w:val="24"/>
          <w:szCs w:val="24"/>
        </w:rPr>
        <w:t xml:space="preserve"> </w:t>
      </w:r>
      <w:r w:rsidR="005A2C34">
        <w:rPr>
          <w:rFonts w:asciiTheme="majorHAnsi" w:hAnsiTheme="majorHAnsi" w:cstheme="majorHAnsi"/>
          <w:sz w:val="24"/>
          <w:szCs w:val="24"/>
        </w:rPr>
        <w:t xml:space="preserve">Most MFS transporters function as single, monomeric units that usually have 12 transmembrane helices, but sometimes have been found to have 14 (like </w:t>
      </w:r>
      <w:proofErr w:type="spellStart"/>
      <w:r w:rsidR="005A2C34">
        <w:rPr>
          <w:rFonts w:asciiTheme="majorHAnsi" w:hAnsiTheme="majorHAnsi" w:cstheme="majorHAnsi"/>
          <w:sz w:val="24"/>
          <w:szCs w:val="24"/>
        </w:rPr>
        <w:t>EmrB</w:t>
      </w:r>
      <w:proofErr w:type="spellEnd"/>
      <w:r w:rsidR="003E6866">
        <w:rPr>
          <w:rFonts w:asciiTheme="majorHAnsi" w:hAnsiTheme="majorHAnsi" w:cstheme="majorHAnsi"/>
          <w:sz w:val="24"/>
          <w:szCs w:val="24"/>
        </w:rPr>
        <w:t xml:space="preserve"> of </w:t>
      </w:r>
      <w:r w:rsidR="003E6866">
        <w:rPr>
          <w:rFonts w:asciiTheme="majorHAnsi" w:hAnsiTheme="majorHAnsi" w:cstheme="majorHAnsi"/>
          <w:i/>
          <w:iCs/>
          <w:sz w:val="24"/>
          <w:szCs w:val="24"/>
        </w:rPr>
        <w:t>E. coli</w:t>
      </w:r>
      <w:r w:rsidR="005A2C34">
        <w:rPr>
          <w:rFonts w:asciiTheme="majorHAnsi" w:hAnsiTheme="majorHAnsi" w:cstheme="majorHAnsi"/>
          <w:sz w:val="24"/>
          <w:szCs w:val="24"/>
        </w:rPr>
        <w:t xml:space="preserve">). These pumps have a transport mechanism </w:t>
      </w:r>
      <w:r w:rsidR="003E6866">
        <w:rPr>
          <w:rFonts w:asciiTheme="majorHAnsi" w:hAnsiTheme="majorHAnsi" w:cstheme="majorHAnsi"/>
          <w:sz w:val="24"/>
          <w:szCs w:val="24"/>
        </w:rPr>
        <w:t>called an alternate access</w:t>
      </w:r>
      <w:r w:rsidR="00083FF2">
        <w:rPr>
          <w:rFonts w:asciiTheme="majorHAnsi" w:hAnsiTheme="majorHAnsi" w:cstheme="majorHAnsi"/>
          <w:sz w:val="24"/>
          <w:szCs w:val="24"/>
        </w:rPr>
        <w:t xml:space="preserve"> </w:t>
      </w:r>
      <w:r w:rsidR="00083FF2" w:rsidRPr="00083FF2">
        <w:rPr>
          <w:sz w:val="24"/>
          <w:szCs w:val="24"/>
        </w:rPr>
        <w:t xml:space="preserve">– </w:t>
      </w:r>
      <w:r w:rsidR="00083FF2">
        <w:rPr>
          <w:sz w:val="24"/>
          <w:szCs w:val="24"/>
        </w:rPr>
        <w:t xml:space="preserve">the </w:t>
      </w:r>
      <w:r w:rsidR="00083FF2" w:rsidRPr="00083FF2">
        <w:rPr>
          <w:sz w:val="24"/>
          <w:szCs w:val="24"/>
        </w:rPr>
        <w:t xml:space="preserve">two halves of the pump structure switch between </w:t>
      </w:r>
      <w:r w:rsidR="00083FF2">
        <w:rPr>
          <w:sz w:val="24"/>
          <w:szCs w:val="24"/>
        </w:rPr>
        <w:t xml:space="preserve">the </w:t>
      </w:r>
      <w:r w:rsidR="00083FF2" w:rsidRPr="00083FF2">
        <w:rPr>
          <w:sz w:val="24"/>
          <w:szCs w:val="24"/>
        </w:rPr>
        <w:t>inward-open state</w:t>
      </w:r>
      <w:r w:rsidR="00083FF2">
        <w:rPr>
          <w:rFonts w:asciiTheme="majorHAnsi" w:hAnsiTheme="majorHAnsi" w:cstheme="majorHAnsi"/>
          <w:sz w:val="28"/>
          <w:szCs w:val="28"/>
        </w:rPr>
        <w:t xml:space="preserve"> </w:t>
      </w:r>
      <w:r w:rsidR="00083FF2">
        <w:rPr>
          <w:rFonts w:asciiTheme="majorHAnsi" w:hAnsiTheme="majorHAnsi" w:cstheme="majorHAnsi"/>
          <w:sz w:val="24"/>
          <w:szCs w:val="24"/>
        </w:rPr>
        <w:t xml:space="preserve">and the </w:t>
      </w:r>
      <w:r w:rsidR="00AF3618">
        <w:rPr>
          <w:rFonts w:asciiTheme="majorHAnsi" w:hAnsiTheme="majorHAnsi" w:cstheme="majorHAnsi"/>
          <w:sz w:val="24"/>
          <w:szCs w:val="24"/>
        </w:rPr>
        <w:t>outward</w:t>
      </w:r>
      <w:r w:rsidR="00E54286">
        <w:rPr>
          <w:rFonts w:asciiTheme="majorHAnsi" w:hAnsiTheme="majorHAnsi" w:cstheme="majorHAnsi"/>
          <w:sz w:val="24"/>
          <w:szCs w:val="24"/>
        </w:rPr>
        <w:t>-</w:t>
      </w:r>
      <w:r w:rsidR="00083FF2">
        <w:rPr>
          <w:rFonts w:asciiTheme="majorHAnsi" w:hAnsiTheme="majorHAnsi" w:cstheme="majorHAnsi"/>
          <w:sz w:val="24"/>
          <w:szCs w:val="24"/>
        </w:rPr>
        <w:t>open state.</w:t>
      </w:r>
      <w:r w:rsidR="005E34C2">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{"citationID":"tf6Yb7js","properties":{"formattedCitation":"\\super 56\\nosupersub{}","plainCitation":"56","noteIndex":0},"citationItems":[{"id":2078,"uris":["http://zotero.org/users/1918630/items/G2IHU4IU"],"itemData":{"id":2078,"type":"article-journal","abstract":"The major facilitator superfamily (MFS) is the largest known superfamily of secondary active transporters. MFS transporters are responsible for transporting a broad spectrum of substrates, either down their concentration gradient or uphill using the energy stored in the electrochemical gradients. Over the last 10 years, more than a hundred different MFS transporter structures covering close to 40 members have provided an atomic framework for piecing together the molecular basis of their transport cycles. Here, we summarize the remarkable promiscuity of MFS members in terms of substrate recognition and proton coupling as well as the intricate gating mechanisms undergone in achieving substrate translocation. We outline studies that show how residues far from the substrate binding site can be just as important for fine-tuning substrate recognition and specificity as those residues directly coordinating the substrate, and how a number of MFS transporters have evolved to form unique complexes with chaperone and signaling functions. Through a deeper mechanistic description of glucose (GLUT) transporters and multidrug resistance (MDR) antiporters, we outline novel refinements to the rocker-switch alternating-access model, such as a latch mechanism for proton-coupled monosaccharide transport. We emphasize that a full understanding of transport requires an elucidation of MFS transporter dynamics, energy landscapes, and the determination of how rate transitions are modulated by lipids.","container-title":"Chemical Reviews","DOI":"10.1021/acs.chemrev.0c00983","ISSN":"0009-2665","issue":"9","journalAbbreviation":"Chem. Rev.","note":"publisher: American Chemical Society","page":"5289-5335","source":"ACS Publications","title":"Structures and General Transport Mechanisms by the Major Facilitator Superfamily (MFS)","volume":"121","author":[{"family":"Drew","given":"David"},{"family":"North","given":"Rachel A."},{"family":"Nagarathinam","given":"Kumar"},{"family":"Tanabe","given":"Mikio"}],"issued":{"date-parts":[["2021",5,12]]}}}],"schema":"https://github.com/citation-style-language/schema/raw/master/csl-citation.json"} </w:instrText>
      </w:r>
      <w:r w:rsidR="005E34C2">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56</w:t>
      </w:r>
      <w:r w:rsidR="005E34C2">
        <w:rPr>
          <w:rFonts w:asciiTheme="majorHAnsi" w:hAnsiTheme="majorHAnsi" w:cstheme="majorHAnsi"/>
          <w:sz w:val="24"/>
          <w:szCs w:val="24"/>
        </w:rPr>
        <w:fldChar w:fldCharType="end"/>
      </w:r>
      <w:r w:rsidR="00083FF2">
        <w:rPr>
          <w:rFonts w:asciiTheme="majorHAnsi" w:hAnsiTheme="majorHAnsi" w:cstheme="majorHAnsi"/>
          <w:sz w:val="24"/>
          <w:szCs w:val="24"/>
        </w:rPr>
        <w:t xml:space="preserve"> The transport cycling of MFS pumps appears to be coordinated by the ordered binding and release of proton and substrate, which drives the conformational shift between inward and outward states.</w:t>
      </w:r>
      <w:r w:rsidR="005A2C34">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{"citationID":"FAPOr7kT","properties":{"formattedCitation":"\\super 45\\nosupersub{}","plainCitation":"45","noteIndex":0},"citationItems":[{"id":1829,"uris":["http://zotero.org/users/1918630/items/49A5K388"],"itemData":{"id":1829,"type":"article-journal","abstract":"Infections arising from multidrug-r esistant pathogenic bacteria are spreading rapidly throughout the world and threaten to become untreatable. The origins of resistance are numerous and complex, but one underlying factor is the capacity of bacteria to rapidly export drugs through the intrinsic activity of efflux pumps. In this Review , we describe recent advances that have increased our understanding of the structures and molecular mechanisms of multidrug efflux pumps in bacteria. Clinical and laboratory data indicate that efflux pumps function not only in the drug extrusion process but also in virulence and the adaptive responses that contribute to antimicrobial resistance during infection. The emerging picture of the structure, function and regulation of efflux pumps suggests opportunities for countering their activities.","container-title":"Nature Reviews Microbiology","DOI":"10.1038/s41579-018-0048-6","ISSN":"1740-1526, 1740-1534","issue":"9","journalAbbreviation":"Nat Rev Microbiol","language":"en","page":"523-539","source":"DOI.org (Crossref)","title":"Multidrug efflux pumps: structure, function and regulation","title-short":"Multidrug efflux pumps","volume":"16","author":[{"family":"Du","given":"Dijun"},{"family":"Wang-Kan","given":"Xuan"},{"family":"Neuberger","given":"Arthur"},{"family":"Van Veen","given":"Hendrik W."},{"family":"Pos","given":"Klaas M."},{"family":"Piddock","given":"Laura J. V."},{"family":"Luisi","given":"Ben F."}],"issued":{"date-parts":[["2018",9]]}}}],"schema":"https://github.com/citation-style-language/schema/raw/master/csl-citation.json"} </w:instrText>
      </w:r>
      <w:r w:rsidR="005A2C34">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45</w:t>
      </w:r>
      <w:r w:rsidR="005A2C34">
        <w:rPr>
          <w:rFonts w:asciiTheme="majorHAnsi" w:hAnsiTheme="majorHAnsi" w:cstheme="majorHAnsi"/>
          <w:sz w:val="24"/>
          <w:szCs w:val="24"/>
        </w:rPr>
        <w:fldChar w:fldCharType="end"/>
      </w:r>
    </w:p>
    <w:p w14:paraId="476C36C2" w14:textId="49DFDF26" w:rsidR="00334D5D" w:rsidRPr="00304025" w:rsidRDefault="005A0406" w:rsidP="00304025">
      <w:pPr>
        <w:spacing w:line="360" w:lineRule="auto"/>
        <w:ind w:firstLine="720"/>
        <w:rPr>
          <w:rFonts w:asciiTheme="majorHAnsi" w:hAnsiTheme="majorHAnsi" w:cstheme="majorHAnsi"/>
          <w:sz w:val="24"/>
          <w:szCs w:val="24"/>
          <w:highlight w:val="yellow"/>
        </w:rPr>
      </w:pPr>
      <w:r>
        <w:rPr>
          <w:rFonts w:asciiTheme="majorHAnsi" w:hAnsiTheme="majorHAnsi" w:cstheme="majorHAnsi"/>
          <w:sz w:val="24"/>
          <w:szCs w:val="24"/>
        </w:rPr>
        <w:t xml:space="preserve"> </w:t>
      </w:r>
      <w:r w:rsidR="00334D5D">
        <w:rPr>
          <w:rFonts w:asciiTheme="majorHAnsi" w:hAnsiTheme="majorHAnsi" w:cstheme="majorHAnsi"/>
          <w:sz w:val="24"/>
          <w:szCs w:val="24"/>
        </w:rPr>
        <w:t>Similar to RND pumps, MFS pump activity is dependent on the electrochemical gradient across the inner membrane rather than ATP hydrolysis.</w:t>
      </w:r>
      <w:r w:rsidR="00334D5D">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{"citationID":"tAHde6hv","properties":{"formattedCitation":"\\super 57\\nosupersub{}","plainCitation":"57","noteIndex":0},"citationItems":[{"id":1724,"uris":["http://zotero.org/users/1918630/items/TNSBK394"],"itemData":{"id":1724,"type":"article-journal","abstract":"Variants of the microorganism Staphylococcus aureus which are resistant to antimicrobial agents exist as causative agents of serious infectious disease and constitute a considerable public health concern. One of the main antimicrobial resistance mechanisms ...","container-title":"AIMS Microbiology","DOI":"10.3934/microbiol.2018.1.1","issue":"1","language":"en","note":"publisher: AIMS Press\nPMID: 31294201","page":"1","source":"www.ncbi.nlm.nih.gov","title":"Modulation of antimicrobial efflux pumps of the major facilitator superfamily in Staphylococcus aureus","volume":"4","author":[{"family":"Lekshmi","given":"Manjusha"},{"family":"Ammini","given":"Parvathi"},{"family":"Adjei","given":"Jones"},{"family":"Sanford","given":"Leslie M."},{"family":"Shrestha","given":"Ugina"},{"family":"Kumar","given":"Sanath"},{"family":"Varela","given":"Manuel F."}],"issued":{"date-parts":[["2018"]]}}}],"schema":"https://github.com/citation-style-language/schema/raw/master/csl-citation.json"} </w:instrText>
      </w:r>
      <w:r w:rsidR="00334D5D">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57</w:t>
      </w:r>
      <w:r w:rsidR="00334D5D">
        <w:rPr>
          <w:rFonts w:asciiTheme="majorHAnsi" w:hAnsiTheme="majorHAnsi" w:cstheme="majorHAnsi"/>
          <w:sz w:val="24"/>
          <w:szCs w:val="24"/>
        </w:rPr>
        <w:fldChar w:fldCharType="end"/>
      </w:r>
      <w:r w:rsidR="00334D5D">
        <w:rPr>
          <w:rFonts w:asciiTheme="majorHAnsi" w:hAnsiTheme="majorHAnsi" w:cstheme="majorHAnsi"/>
          <w:sz w:val="24"/>
          <w:szCs w:val="24"/>
        </w:rPr>
        <w:t xml:space="preserve"> MFS pumps usually consume one proton for every one </w:t>
      </w:r>
      <w:r w:rsidR="00E54286">
        <w:rPr>
          <w:rFonts w:asciiTheme="majorHAnsi" w:hAnsiTheme="majorHAnsi" w:cstheme="majorHAnsi"/>
          <w:sz w:val="24"/>
          <w:szCs w:val="24"/>
        </w:rPr>
        <w:t xml:space="preserve">substrate </w:t>
      </w:r>
      <w:r w:rsidR="00334D5D">
        <w:rPr>
          <w:rFonts w:asciiTheme="majorHAnsi" w:hAnsiTheme="majorHAnsi" w:cstheme="majorHAnsi"/>
          <w:sz w:val="24"/>
          <w:szCs w:val="24"/>
        </w:rPr>
        <w:t>molecule transported across the inner membrane. This is a significantly more energy efficient method of substrate transport compared to ABC transporters, which require two ATP molecules (the equivalent of six protons). This suggests that MFS pumps are especially useful for cells under various stress conditions, like starvation and in the presence of antibiotics.</w:t>
      </w:r>
      <w:r w:rsidR="00334D5D">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{"citationID":"PvANU4G9","properties":{"formattedCitation":"\\super 58\\nosupersub{}","plainCitation":"58","noteIndex":0},"citationItems":[{"id":1711,"uris":["http://zotero.org/users/1918630/items/IECREBZV"],"itemData":{"id":1711,"type":"article-journal","abstract":"Antibiotic tolerance is not only the key underlying the cause of recurrent and chronic bacterial infections but it is also a factor linked to exacerbation of diseases, such as tuberculosis, cystic fibrosis-associated lung infection, and candidiasis. This phenomenon was previously attributed to a switch to physiological dormancy in a bacterial subpopulation triggered by environmental signals. However, we recently showed that expression of phenotypic antibiotic tolerance during nutrient starvation is highly dependent on robust production of proteins that actively maintain the bacterial transmembrane proton motive force (PMF), even under a nutrient-deficient environment. To investigate why PMF needs to be maintained for expression of phenotypic antibiotic tolerance, we tested the relative functional role of known transporters and efflux pumps in tolerance development by assessing the effect of deletion of specific efflux pump and transporter-encoding genes on long-term maintenance of antibiotic tolerance in an Escherichia coli population under starvation. We identified eight specific efflux pumps and transporters and two known efflux pump components, namely, ChaA, EmrK, EmrY, SsuA, NhaA, GadC, YdjK, YphD, TolC, and ChaB, that play a key role in tolerance development and maintenance. In particular, deletion of each of the nhaA and chaB genes is sufficient to totally abolish the tolerance phenotypes during prolonged antimicrobial treatment. These findings therefore depict active, efflux-mediated bacterial tolerance mechanisms and facilitate design of intervention strategies to prevent and treat chronic and recurrent infections due to persistence of antibiotic-tolerant subpopulations in the human body. IMPORTANCE We recently showed that the antibiotic-tolerant subpopulation of bacteria or persisters actively maintain the transmembrane proton motive force (PMF) to survive starvation stress for a prolonged period. This work further shows that the reason why antibiotic persisters need to maintain PMF is that PMF is required to support a range of efflux or transportation functions. Intriguingly, we found that tolerance-maintaining efflux activities were mainly encoded by 10 efflux or transporter genes. Because our study showed that deletion of even one of these genes could cause a significant reduction in tolerance level, we conclude that the products of these genes play an essential role in enhancing the survival fitness of bacteria during starvation or under other adverse environmental conditions. These gene products are therefore excellent targets for future design of antimicrobial agents that eradicate antibiotic tolerant persisters and prevent occurrence of chronic and recurrent human infections.","container-title":"Microbiology Spectrum","DOI":"10.1128/Spectrum.01846-21","ISSN":"2165-0497","issue":"3","journalAbbreviation":"Microbiol Spectr","language":"eng","note":"PMID: 34787438\nPMCID: PMC8597633","page":"e0184621","source":"PubMed","title":"Membrane Transporters of the Major Facilitator Superfamily Are Essential for Long-Term Maintenance of Phenotypic Tolerance to Multiple Antibiotics in E. coli","volume":"9","author":[{"family":"Wan","given":"Yingkun"},{"family":"Wang","given":"Miaomiao"},{"family":"Chan","given":"Edward Wai Chi"},{"family":"Chen","given":"Sheng"}],"issued":{"date-parts":[["2021",12,22]]}}}],"schema":"https://github.com/citation-style-language/schema/raw/master/csl-citation.json"} </w:instrText>
      </w:r>
      <w:r w:rsidR="00334D5D">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58</w:t>
      </w:r>
      <w:r w:rsidR="00334D5D">
        <w:rPr>
          <w:rFonts w:asciiTheme="majorHAnsi" w:hAnsiTheme="majorHAnsi" w:cstheme="majorHAnsi"/>
          <w:sz w:val="24"/>
          <w:szCs w:val="24"/>
        </w:rPr>
        <w:fldChar w:fldCharType="end"/>
      </w:r>
      <w:r w:rsidR="003E6866" w:rsidRPr="003E6866">
        <w:rPr>
          <w:rFonts w:asciiTheme="majorHAnsi" w:hAnsiTheme="majorHAnsi" w:cstheme="majorHAnsi"/>
          <w:sz w:val="24"/>
          <w:szCs w:val="24"/>
          <w:highlight w:val="yellow"/>
        </w:rPr>
        <w:t xml:space="preserve"> </w:t>
      </w:r>
    </w:p>
    <w:p w14:paraId="7A3C4D98" w14:textId="39657659" w:rsidR="00974E54" w:rsidRPr="00974E54" w:rsidRDefault="00334D5D" w:rsidP="00304025">
      <w:pPr>
        <w:spacing w:line="360" w:lineRule="auto"/>
        <w:ind w:firstLine="720"/>
        <w:rPr>
          <w:rFonts w:asciiTheme="majorHAnsi" w:hAnsiTheme="majorHAnsi" w:cstheme="majorHAnsi"/>
          <w:sz w:val="24"/>
          <w:szCs w:val="24"/>
        </w:rPr>
      </w:pPr>
      <w:r>
        <w:rPr>
          <w:rFonts w:asciiTheme="majorHAnsi" w:hAnsiTheme="majorHAnsi" w:cstheme="majorHAnsi"/>
          <w:sz w:val="24"/>
          <w:szCs w:val="24"/>
        </w:rPr>
        <w:t>MFS efflux pumps contribute to a bacteri</w:t>
      </w:r>
      <w:r w:rsidR="00A02D90">
        <w:rPr>
          <w:rFonts w:asciiTheme="majorHAnsi" w:hAnsiTheme="majorHAnsi" w:cstheme="majorHAnsi"/>
          <w:sz w:val="24"/>
          <w:szCs w:val="24"/>
        </w:rPr>
        <w:t>um</w:t>
      </w:r>
      <w:r>
        <w:rPr>
          <w:rFonts w:asciiTheme="majorHAnsi" w:hAnsiTheme="majorHAnsi" w:cstheme="majorHAnsi"/>
          <w:sz w:val="24"/>
          <w:szCs w:val="24"/>
        </w:rPr>
        <w:t>’s resistance to antimicrobial agents by actively pumping out these small molecules from the cell.</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{"citationID":"mJjC0F5V","properties":{"formattedCitation":"\\super 59\\nosupersub{}","plainCitation":"59","noteIndex":0},"citationItems":[{"id":1630,"uris":["http://zotero.org/users/1918630/items/4KDIGV8H"],"itemData":{"id":1630,"type":"article-journal","abstract":"Pathogenic microorganisms that are multidrug-resistant can pose severe clinical and public health concerns. In particular, bacterial multidrug efflux transporters of the major facilitator superfamily constitute a notable group of drug resistance mechanisms primarily because multidrug-resistant pathogens can become refractory to antimicrobial agents, thus resulting in potentially untreatable bacterial infections. The major facilitator superfamily is composed of thousands of solute transporters that are related in terms of their phylogenetic relationships, primary amino acid sequences, two- and three-dimensional structures, modes of energization (passive and secondary active), and in their mechanisms of solute and ion translocation across the membrane. The major facilitator superfamily is also composed of numerous families and sub-families of homologous transporters that are conserved across all living taxa, from bacteria to humans. Members of this superfamily share several classes of highly conserved amino acid sequence motifs that play essential mechanistic roles during transport. The structural and functional importance of multidrug efflux pumps that belong to the major facilitator family and that are harbored by Gram-negative and -positive bacterial pathogens are considered here.","container-title":"Microorganisms","DOI":"10.3390/microorganisms8020266","ISSN":"2076-2607","issue":"2","journalAbbreviation":"Microorganisms","note":"PMID: 32079127\nPMCID: PMC7074785","page":"266","source":"PubMed Central","title":"Functional and Structural Roles of the Major Facilitator Superfamily Bacterial Multidrug Efflux Pumps","volume":"8","author":[{"family":"Kumar","given":"Sanath"},{"family":"Lekshmi","given":"Manjusha"},{"family":"Parvathi","given":"Ammini"},{"family":"Ojha","given":"Manisha"},{"family":"Wenzel","given":"Nicholas"},{"family":"Varela","given":"Manuel F."}],"issued":{"date-parts":[["2020",2,16]]}}}],"schema":"https://github.com/citation-style-language/schema/raw/master/csl-citation.json"}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59</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sidR="005A0406">
        <w:rPr>
          <w:rFonts w:asciiTheme="majorHAnsi" w:hAnsiTheme="majorHAnsi" w:cstheme="majorHAnsi"/>
          <w:sz w:val="24"/>
          <w:szCs w:val="24"/>
        </w:rPr>
        <w:t xml:space="preserve">The substrates of MFS efflux pumps can vary wildly, including ions, sugars, lipids, and drugs. </w:t>
      </w:r>
      <w:r w:rsidR="00974E54">
        <w:rPr>
          <w:rFonts w:asciiTheme="majorHAnsi" w:hAnsiTheme="majorHAnsi" w:cstheme="majorHAnsi"/>
          <w:sz w:val="24"/>
          <w:szCs w:val="24"/>
        </w:rPr>
        <w:t xml:space="preserve">Even so, MFS pumps have not been seen to be overproduced in clinical isolates of multidrug resistant bacterial strains. This dissertation aims to shed light on the role MFS pumps play in </w:t>
      </w:r>
      <w:r w:rsidR="00974E54">
        <w:rPr>
          <w:rFonts w:asciiTheme="majorHAnsi" w:hAnsiTheme="majorHAnsi" w:cstheme="majorHAnsi"/>
          <w:i/>
          <w:iCs/>
          <w:sz w:val="24"/>
          <w:szCs w:val="24"/>
        </w:rPr>
        <w:t>A. baumannii</w:t>
      </w:r>
      <w:r w:rsidR="00974E54">
        <w:rPr>
          <w:rFonts w:asciiTheme="majorHAnsi" w:hAnsiTheme="majorHAnsi" w:cstheme="majorHAnsi"/>
          <w:sz w:val="24"/>
          <w:szCs w:val="24"/>
        </w:rPr>
        <w:t xml:space="preserve"> physiology.</w:t>
      </w:r>
    </w:p>
    <w:p w14:paraId="030CD8A2" w14:textId="6AD2D29D" w:rsidR="00531608" w:rsidRPr="00531608" w:rsidRDefault="00531608" w:rsidP="0021013E">
      <w:pPr>
        <w:spacing w:line="360" w:lineRule="auto"/>
        <w:ind w:firstLine="720"/>
        <w:rPr>
          <w:rFonts w:asciiTheme="majorHAnsi" w:hAnsiTheme="majorHAnsi" w:cstheme="majorHAnsi"/>
          <w:sz w:val="24"/>
          <w:szCs w:val="24"/>
        </w:rPr>
      </w:pPr>
      <w:r w:rsidRPr="00FF423E">
        <w:rPr>
          <w:rFonts w:asciiTheme="majorHAnsi" w:hAnsiTheme="majorHAnsi" w:cstheme="majorHAnsi"/>
          <w:sz w:val="24"/>
          <w:szCs w:val="24"/>
        </w:rPr>
        <w:lastRenderedPageBreak/>
        <w:t xml:space="preserve">Like RND pumps, MFS pumps also form tripartite complexes with outer membrane channels like </w:t>
      </w:r>
      <w:r w:rsidRPr="00FF423E">
        <w:rPr>
          <w:rFonts w:asciiTheme="majorHAnsi" w:hAnsiTheme="majorHAnsi" w:cstheme="majorHAnsi"/>
          <w:i/>
          <w:iCs/>
          <w:sz w:val="24"/>
          <w:szCs w:val="24"/>
        </w:rPr>
        <w:t>E. coli</w:t>
      </w:r>
      <w:r w:rsidRPr="00FF423E">
        <w:rPr>
          <w:rFonts w:asciiTheme="majorHAnsi" w:hAnsiTheme="majorHAnsi" w:cstheme="majorHAnsi"/>
          <w:sz w:val="24"/>
          <w:szCs w:val="24"/>
        </w:rPr>
        <w:t xml:space="preserve">’s </w:t>
      </w:r>
      <w:proofErr w:type="spellStart"/>
      <w:r w:rsidRPr="00FF423E">
        <w:rPr>
          <w:rFonts w:asciiTheme="majorHAnsi" w:hAnsiTheme="majorHAnsi" w:cstheme="majorHAnsi"/>
          <w:sz w:val="24"/>
          <w:szCs w:val="24"/>
        </w:rPr>
        <w:t>EmrAB</w:t>
      </w:r>
      <w:proofErr w:type="spellEnd"/>
      <w:r w:rsidRPr="00FF423E">
        <w:rPr>
          <w:rFonts w:asciiTheme="majorHAnsi" w:hAnsiTheme="majorHAnsi" w:cstheme="majorHAnsi"/>
          <w:sz w:val="24"/>
          <w:szCs w:val="24"/>
        </w:rPr>
        <w:t>.</w:t>
      </w:r>
      <w:r w:rsidR="00974E54">
        <w:rPr>
          <w:rFonts w:asciiTheme="majorHAnsi" w:hAnsiTheme="majorHAnsi" w:cstheme="majorHAnsi"/>
          <w:sz w:val="24"/>
          <w:szCs w:val="24"/>
        </w:rPr>
        <w:t xml:space="preserve"> Yousefian et al. found that the periplasmic membrane fusion protein EmrA links to the outer membrane channel </w:t>
      </w:r>
      <w:proofErr w:type="spellStart"/>
      <w:r w:rsidR="00974E54">
        <w:rPr>
          <w:rFonts w:asciiTheme="majorHAnsi" w:hAnsiTheme="majorHAnsi" w:cstheme="majorHAnsi"/>
          <w:sz w:val="24"/>
          <w:szCs w:val="24"/>
        </w:rPr>
        <w:t>TolC</w:t>
      </w:r>
      <w:proofErr w:type="spellEnd"/>
      <w:r w:rsidR="00974E54">
        <w:rPr>
          <w:rFonts w:asciiTheme="majorHAnsi" w:hAnsiTheme="majorHAnsi" w:cstheme="majorHAnsi"/>
          <w:sz w:val="24"/>
          <w:szCs w:val="24"/>
        </w:rPr>
        <w:t xml:space="preserve">, forming the </w:t>
      </w:r>
      <w:proofErr w:type="spellStart"/>
      <w:r w:rsidR="00974E54">
        <w:rPr>
          <w:rFonts w:asciiTheme="majorHAnsi" w:hAnsiTheme="majorHAnsi" w:cstheme="majorHAnsi"/>
          <w:sz w:val="24"/>
          <w:szCs w:val="24"/>
        </w:rPr>
        <w:t>EmrAB-TolC</w:t>
      </w:r>
      <w:proofErr w:type="spellEnd"/>
      <w:r w:rsidR="00974E54">
        <w:rPr>
          <w:rFonts w:asciiTheme="majorHAnsi" w:hAnsiTheme="majorHAnsi" w:cstheme="majorHAnsi"/>
          <w:sz w:val="24"/>
          <w:szCs w:val="24"/>
        </w:rPr>
        <w:t xml:space="preserve"> complex which can then</w:t>
      </w:r>
      <w:r w:rsidR="00C352BA">
        <w:rPr>
          <w:rFonts w:asciiTheme="majorHAnsi" w:hAnsiTheme="majorHAnsi" w:cstheme="majorHAnsi"/>
          <w:sz w:val="24"/>
          <w:szCs w:val="24"/>
        </w:rPr>
        <w:t xml:space="preserve"> facilitate the export of substrates all the way across the outer membrane.</w:t>
      </w:r>
      <w:r w:rsidR="00974E54">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{"citationID":"a41hqbj3n1","properties":{"formattedCitation":"\\super 49\\nosupersub{}","plainCitation":"49","noteIndex":0},"citationItems":[{"id":1367,"uris":["http://zotero.org/users/1918630/items/TTDJ9LBZ"],"itemData":{"id":1367,"type":"article-journal","abstract":"Gram-negative bacteria export a large variety of antimicrobial compounds by forming two-membrane spanning tripartite multidrug efflux systems composed of an inner membrane transporter, an outer membrane channel and a periplasmic adaptor protein. Here we present the co-expression, purification and first electron microscopy insights of the Escherichia coli EmrAB–TolC tripartite Major Facilitator Superfamily (MSF) efflux system as a whole complex stabilized by Amphipol polymer. The structure reveals a 33 nm long complex delineated by the Amphipol belt at both extremities. Comparison of projection structures of EmrAB-TolC and AcrAB-TolC indicates that the outer membrane protein TolC linked to the periplasmic adaptor EmrA protein form an extended periplasmic canal. The overall length of EmrAB-TolC complex is similar to that of AcrAB-TolC with a probable tip-to-tip interaction between EmrA and TolC unveiling how the adaptor protein connects TolC and EmrB embedded in the inner membrane.","container-title":"Biochimica et Biophysica Acta (BBA) - Biomembranes","DOI":"10.1016/j.bbamem.2020.183488","ISSN":"0005-2736","issue":"1","journalAbbreviation":"Biochimica et Biophysica Acta (BBA) - Biomembranes","language":"en","page":"183488","source":"ScienceDirect","title":"Structural characterization of the EmrAB-TolC efflux complex from E. coli","volume":"1863","author":[{"family":"Yousefian","given":"Narek"},{"family":"Ornik-Cha","given":"Alina"},{"family":"Poussard","given":"Sylvie"},{"family":"Decossas","given":"Marion"},{"family":"Berbon","given":"Melanie"},{"family":"Daury","given":"Laetitia"},{"family":"Taveau","given":"Jean-Christophe"},{"family":"Dupuy","given":"Jean-William"},{"family":"Đorđević-Marquardt","given":"Selena"},{"family":"Lambert","given":"Olivier"},{"family":"Pos","given":"Klaas M."}],"issued":{"date-parts":[["2021",1,1]]}}}],"schema":"https://github.com/citation-style-language/schema/raw/master/csl-citation.json"} </w:instrText>
      </w:r>
      <w:r w:rsidR="00974E54">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49</w:t>
      </w:r>
      <w:r w:rsidR="00974E54">
        <w:rPr>
          <w:rFonts w:asciiTheme="majorHAnsi" w:hAnsiTheme="majorHAnsi" w:cstheme="majorHAnsi"/>
          <w:sz w:val="24"/>
          <w:szCs w:val="24"/>
        </w:rPr>
        <w:fldChar w:fldCharType="end"/>
      </w:r>
      <w:r w:rsidR="00C352BA">
        <w:rPr>
          <w:rFonts w:asciiTheme="majorHAnsi" w:hAnsiTheme="majorHAnsi" w:cstheme="majorHAnsi"/>
          <w:sz w:val="24"/>
          <w:szCs w:val="24"/>
        </w:rPr>
        <w:t xml:space="preserve"> We anticipate the mechanism of transport of other MFS pumps to be similar to the </w:t>
      </w:r>
      <w:proofErr w:type="spellStart"/>
      <w:r w:rsidR="00C352BA">
        <w:rPr>
          <w:rFonts w:asciiTheme="majorHAnsi" w:hAnsiTheme="majorHAnsi" w:cstheme="majorHAnsi"/>
          <w:sz w:val="24"/>
          <w:szCs w:val="24"/>
        </w:rPr>
        <w:t>EmrAB-TolC</w:t>
      </w:r>
      <w:proofErr w:type="spellEnd"/>
      <w:r w:rsidR="00C352BA">
        <w:rPr>
          <w:rFonts w:asciiTheme="majorHAnsi" w:hAnsiTheme="majorHAnsi" w:cstheme="majorHAnsi"/>
          <w:sz w:val="24"/>
          <w:szCs w:val="24"/>
        </w:rPr>
        <w:t xml:space="preserve"> tripartite complex.</w:t>
      </w:r>
    </w:p>
    <w:p w14:paraId="05A68C51" w14:textId="45466F84" w:rsidR="00A02D90" w:rsidRDefault="0077004F" w:rsidP="004A2506">
      <w:pPr>
        <w:spacing w:line="360" w:lineRule="auto"/>
        <w:rPr>
          <w:rFonts w:asciiTheme="majorHAnsi" w:hAnsiTheme="majorHAnsi" w:cstheme="majorHAnsi"/>
          <w:sz w:val="24"/>
          <w:szCs w:val="24"/>
        </w:rPr>
      </w:pPr>
      <w:r>
        <w:rPr>
          <w:rFonts w:asciiTheme="majorHAnsi" w:hAnsiTheme="majorHAnsi" w:cstheme="majorHAnsi"/>
          <w:sz w:val="24"/>
          <w:szCs w:val="24"/>
        </w:rPr>
        <w:tab/>
      </w:r>
      <w:r w:rsidR="005A2C34">
        <w:rPr>
          <w:rFonts w:asciiTheme="majorHAnsi" w:hAnsiTheme="majorHAnsi" w:cstheme="majorHAnsi"/>
          <w:sz w:val="24"/>
          <w:szCs w:val="24"/>
        </w:rPr>
        <w:t>The first Gram-negative multidrug efflux pump reported on in the literature was the MFS pump EmrAB.</w:t>
      </w:r>
      <w:r w:rsidR="005A2C34">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{"citationID":"NqMRXFfp","properties":{"formattedCitation":"\\super 60\\nosupersub{}","plainCitation":"60","noteIndex":0},"citationItems":[{"id":1600,"uris":["http://zotero.org/users/1918630/items/JFGBI78C"],"itemData":{"id":1600,"type":"article-journal","abstract":"An Escherichia coli chromosomal DNA fragment cloned on a multicopy plasmid conferred resistance to carbonylcyanide m-chlorophenylhydrazone, nalidixic acid, and a number of other toxic compounds. The sequence of the cloned emr locus located at minute 57.5 of the chromosome revealed two open reading frames, emrA and emrB. emrB encodes a highly hydrophobic 56.2-kDa peptide, with 14 potential alpha-helices to span the inner membrane. The peptide is homologous to QacA, a multidrug-resistant pump from Staphylococcus aureus, and belongs to a gene family that includes tetracycline-resistant pumps of Gram-positive bacteria and the galactose/H+ symporter of E. coli. emrA encodes a putative 42.7-kDa peptide containing a single hydrophobic domain and a large C-terminal hydrophilic domain. An active pho-fusion to the C domain suggested that EmrA is a membrane protein. Disruption of emrB significantly increased sensitivity of cells to uncouplers. The cellular content of uncoupler increased in the order: overexpressed emrB cells greater than wild type greater than emrB-.","container-title":"Proceedings of the National Academy of Sciences of the United States of America","DOI":"10.1073/pnas.89.19.8938","ISSN":"0027-8424","issue":"19","journalAbbreviation":"Proc Natl Acad Sci U S A","language":"eng","note":"PMID: 1409590\nPMCID: PMC50039","page":"8938-8942","source":"PubMed","title":"Emr, an Escherichia coli locus for multidrug resistance","volume":"89","author":[{"family":"Lomovskaya","given":"O."},{"family":"Lewis","given":"K."}],"issued":{"date-parts":[["1992",10,1]]}}}],"schema":"https://github.com/citation-style-language/schema/raw/master/csl-citation.json"} </w:instrText>
      </w:r>
      <w:r w:rsidR="005A2C34">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60</w:t>
      </w:r>
      <w:r w:rsidR="005A2C34">
        <w:rPr>
          <w:rFonts w:asciiTheme="majorHAnsi" w:hAnsiTheme="majorHAnsi" w:cstheme="majorHAnsi"/>
          <w:sz w:val="24"/>
          <w:szCs w:val="24"/>
        </w:rPr>
        <w:fldChar w:fldCharType="end"/>
      </w:r>
      <w:r w:rsidR="005A2C34">
        <w:rPr>
          <w:rFonts w:asciiTheme="majorHAnsi" w:hAnsiTheme="majorHAnsi" w:cstheme="majorHAnsi"/>
          <w:sz w:val="24"/>
          <w:szCs w:val="24"/>
        </w:rPr>
        <w:t xml:space="preserve"> </w:t>
      </w:r>
      <w:r>
        <w:rPr>
          <w:rFonts w:asciiTheme="majorHAnsi" w:hAnsiTheme="majorHAnsi" w:cstheme="majorHAnsi"/>
          <w:sz w:val="24"/>
          <w:szCs w:val="24"/>
        </w:rPr>
        <w:t xml:space="preserve">The transporter </w:t>
      </w:r>
      <w:proofErr w:type="spellStart"/>
      <w:r>
        <w:rPr>
          <w:rFonts w:asciiTheme="majorHAnsi" w:hAnsiTheme="majorHAnsi" w:cstheme="majorHAnsi"/>
          <w:sz w:val="24"/>
          <w:szCs w:val="24"/>
        </w:rPr>
        <w:t>EmrB</w:t>
      </w:r>
      <w:proofErr w:type="spellEnd"/>
      <w:r>
        <w:rPr>
          <w:rFonts w:asciiTheme="majorHAnsi" w:hAnsiTheme="majorHAnsi" w:cstheme="majorHAnsi"/>
          <w:sz w:val="24"/>
          <w:szCs w:val="24"/>
        </w:rPr>
        <w:t xml:space="preserve"> was found to be homologous to </w:t>
      </w:r>
      <w:proofErr w:type="spellStart"/>
      <w:r>
        <w:rPr>
          <w:rFonts w:asciiTheme="majorHAnsi" w:hAnsiTheme="majorHAnsi" w:cstheme="majorHAnsi"/>
          <w:sz w:val="24"/>
          <w:szCs w:val="24"/>
        </w:rPr>
        <w:t>QacA</w:t>
      </w:r>
      <w:proofErr w:type="spellEnd"/>
      <w:r>
        <w:rPr>
          <w:rFonts w:asciiTheme="majorHAnsi" w:hAnsiTheme="majorHAnsi" w:cstheme="majorHAnsi"/>
          <w:sz w:val="24"/>
          <w:szCs w:val="24"/>
        </w:rPr>
        <w:t xml:space="preserve">, a multidrug-resistant pump from </w:t>
      </w:r>
      <w:r>
        <w:rPr>
          <w:rFonts w:asciiTheme="majorHAnsi" w:hAnsiTheme="majorHAnsi" w:cstheme="majorHAnsi"/>
          <w:i/>
          <w:iCs/>
          <w:sz w:val="24"/>
          <w:szCs w:val="24"/>
        </w:rPr>
        <w:t>Staphylococcus aureus</w:t>
      </w:r>
      <w:r>
        <w:rPr>
          <w:rFonts w:asciiTheme="majorHAnsi" w:hAnsiTheme="majorHAnsi" w:cstheme="majorHAnsi"/>
          <w:sz w:val="24"/>
          <w:szCs w:val="24"/>
        </w:rPr>
        <w:t>.</w:t>
      </w:r>
      <w:r w:rsidR="003514B1">
        <w:rPr>
          <w:rFonts w:asciiTheme="majorHAnsi" w:hAnsiTheme="majorHAnsi" w:cstheme="majorHAnsi"/>
          <w:sz w:val="24"/>
          <w:szCs w:val="24"/>
        </w:rPr>
        <w:t xml:space="preserve"> Reports on </w:t>
      </w:r>
      <w:proofErr w:type="spellStart"/>
      <w:r w:rsidR="003514B1">
        <w:rPr>
          <w:rFonts w:asciiTheme="majorHAnsi" w:hAnsiTheme="majorHAnsi" w:cstheme="majorHAnsi"/>
          <w:sz w:val="24"/>
          <w:szCs w:val="24"/>
        </w:rPr>
        <w:t>QacA</w:t>
      </w:r>
      <w:proofErr w:type="spellEnd"/>
      <w:r w:rsidR="003514B1">
        <w:rPr>
          <w:rFonts w:asciiTheme="majorHAnsi" w:hAnsiTheme="majorHAnsi" w:cstheme="majorHAnsi"/>
          <w:sz w:val="24"/>
          <w:szCs w:val="24"/>
        </w:rPr>
        <w:t xml:space="preserve"> describe it as appearing to be a membrane translocase that could extrude ethidium bromide and other drugs from the cell in a proton motive force (</w:t>
      </w:r>
      <w:r w:rsidR="00AF3618">
        <w:rPr>
          <w:rFonts w:asciiTheme="majorHAnsi" w:hAnsiTheme="majorHAnsi" w:cstheme="majorHAnsi"/>
          <w:sz w:val="24"/>
          <w:szCs w:val="24"/>
        </w:rPr>
        <w:t>PMF</w:t>
      </w:r>
      <w:r w:rsidR="003514B1">
        <w:rPr>
          <w:rFonts w:asciiTheme="majorHAnsi" w:hAnsiTheme="majorHAnsi" w:cstheme="majorHAnsi"/>
          <w:sz w:val="24"/>
          <w:szCs w:val="24"/>
        </w:rPr>
        <w:t>) dependent manner.</w:t>
      </w:r>
      <w:r w:rsidR="003514B1">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{"citationID":"nEt9nuvF","properties":{"formattedCitation":"\\super 61\\nosupersub{}","plainCitation":"61","noteIndex":0},"citationItems":[{"id":1535,"uris":["http://zotero.org/users/1918630/items/UTYVFQC4"],"itemData":{"id":1535,"type":"article-journal","abstract":"Multidrug resistance pumps (MDRs) arise from three different gene families and are widespread in bacteria. For example, in Escherichia coli alone, there seem to be seven distinct MDRs. The most common belong to the major facilitator family of membrane translocases; this type of MDR is closely related to specific antibiotic extrusion pumps such as the tetracycline/H+ antiporter. This similarity in design, and the high incidence of apparently independent evolution of MDRs, suggests that the property of multidrug resistance might have resulted from a loss of specificity in a specific hydrophobic-drug efflux pump.","container-title":"Trends in Biochemical Sciences","DOI":"10.1016/0968-0004(94)90204-6","ISSN":"0968-0004","issue":"3","journalAbbreviation":"Trends Biochem Sci","language":"eng","note":"PMID: 8203018","page":"119-123","source":"PubMed","title":"Multidrug resistance pumps in bacteria: variations on a theme","title-short":"Multidrug resistance pumps in bacteria","volume":"19","author":[{"family":"Lewis","given":"K."}],"issued":{"date-parts":[["1994",3]]}}}],"schema":"https://github.com/citation-style-language/schema/raw/master/csl-citation.json"} </w:instrText>
      </w:r>
      <w:r w:rsidR="003514B1">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61</w:t>
      </w:r>
      <w:r w:rsidR="003514B1">
        <w:rPr>
          <w:rFonts w:asciiTheme="majorHAnsi" w:hAnsiTheme="majorHAnsi" w:cstheme="majorHAnsi"/>
          <w:sz w:val="24"/>
          <w:szCs w:val="24"/>
        </w:rPr>
        <w:fldChar w:fldCharType="end"/>
      </w:r>
      <w:r>
        <w:rPr>
          <w:rFonts w:asciiTheme="majorHAnsi" w:hAnsiTheme="majorHAnsi" w:cstheme="majorHAnsi"/>
          <w:sz w:val="24"/>
          <w:szCs w:val="24"/>
        </w:rPr>
        <w:t xml:space="preserve"> </w:t>
      </w:r>
      <w:proofErr w:type="spellStart"/>
      <w:r w:rsidR="004B5E50">
        <w:rPr>
          <w:rFonts w:asciiTheme="majorHAnsi" w:hAnsiTheme="majorHAnsi" w:cstheme="majorHAnsi"/>
          <w:sz w:val="24"/>
          <w:szCs w:val="24"/>
        </w:rPr>
        <w:t>Lomovskaya</w:t>
      </w:r>
      <w:proofErr w:type="spellEnd"/>
      <w:r w:rsidR="004B5E50">
        <w:rPr>
          <w:rFonts w:asciiTheme="majorHAnsi" w:hAnsiTheme="majorHAnsi" w:cstheme="majorHAnsi"/>
          <w:sz w:val="24"/>
          <w:szCs w:val="24"/>
        </w:rPr>
        <w:t xml:space="preserve"> and Lewis found that t</w:t>
      </w:r>
      <w:r w:rsidR="00893376">
        <w:rPr>
          <w:rFonts w:asciiTheme="majorHAnsi" w:hAnsiTheme="majorHAnsi" w:cstheme="majorHAnsi"/>
          <w:sz w:val="24"/>
          <w:szCs w:val="24"/>
        </w:rPr>
        <w:t>he</w:t>
      </w:r>
      <w:r>
        <w:rPr>
          <w:rFonts w:asciiTheme="majorHAnsi" w:hAnsiTheme="majorHAnsi" w:cstheme="majorHAnsi"/>
          <w:sz w:val="24"/>
          <w:szCs w:val="24"/>
        </w:rPr>
        <w:t xml:space="preserve"> chromosomal locus, </w:t>
      </w:r>
      <w:proofErr w:type="spellStart"/>
      <w:r>
        <w:rPr>
          <w:rFonts w:asciiTheme="majorHAnsi" w:hAnsiTheme="majorHAnsi" w:cstheme="majorHAnsi"/>
          <w:i/>
          <w:iCs/>
          <w:sz w:val="24"/>
          <w:szCs w:val="24"/>
        </w:rPr>
        <w:t>emr</w:t>
      </w:r>
      <w:proofErr w:type="spellEnd"/>
      <w:r>
        <w:rPr>
          <w:rFonts w:asciiTheme="majorHAnsi" w:hAnsiTheme="majorHAnsi" w:cstheme="majorHAnsi"/>
          <w:sz w:val="24"/>
          <w:szCs w:val="24"/>
        </w:rPr>
        <w:t xml:space="preserve"> (</w:t>
      </w:r>
      <w:r w:rsidRPr="004B5E50">
        <w:rPr>
          <w:rFonts w:asciiTheme="majorHAnsi" w:hAnsiTheme="majorHAnsi" w:cstheme="majorHAnsi"/>
          <w:i/>
          <w:iCs/>
          <w:sz w:val="24"/>
          <w:szCs w:val="24"/>
          <w:u w:val="single"/>
        </w:rPr>
        <w:t>E</w:t>
      </w:r>
      <w:r>
        <w:rPr>
          <w:rFonts w:asciiTheme="majorHAnsi" w:hAnsiTheme="majorHAnsi" w:cstheme="majorHAnsi"/>
          <w:i/>
          <w:iCs/>
          <w:sz w:val="24"/>
          <w:szCs w:val="24"/>
        </w:rPr>
        <w:t xml:space="preserve">. coli </w:t>
      </w:r>
      <w:proofErr w:type="spellStart"/>
      <w:r w:rsidRPr="004B5E50">
        <w:rPr>
          <w:rFonts w:asciiTheme="majorHAnsi" w:hAnsiTheme="majorHAnsi" w:cstheme="majorHAnsi"/>
          <w:sz w:val="24"/>
          <w:szCs w:val="24"/>
          <w:u w:val="single"/>
        </w:rPr>
        <w:t>m</w:t>
      </w:r>
      <w:r>
        <w:rPr>
          <w:rFonts w:asciiTheme="majorHAnsi" w:hAnsiTheme="majorHAnsi" w:cstheme="majorHAnsi"/>
          <w:sz w:val="24"/>
          <w:szCs w:val="24"/>
        </w:rPr>
        <w:t>d</w:t>
      </w:r>
      <w:r w:rsidRPr="004B5E50">
        <w:rPr>
          <w:rFonts w:asciiTheme="majorHAnsi" w:hAnsiTheme="majorHAnsi" w:cstheme="majorHAnsi"/>
          <w:sz w:val="24"/>
          <w:szCs w:val="24"/>
          <w:u w:val="single"/>
        </w:rPr>
        <w:t>r</w:t>
      </w:r>
      <w:proofErr w:type="spellEnd"/>
      <w:r>
        <w:rPr>
          <w:rFonts w:asciiTheme="majorHAnsi" w:hAnsiTheme="majorHAnsi" w:cstheme="majorHAnsi"/>
          <w:sz w:val="24"/>
          <w:szCs w:val="24"/>
        </w:rPr>
        <w:t>)</w:t>
      </w:r>
      <w:r w:rsidR="004A2506">
        <w:rPr>
          <w:rFonts w:asciiTheme="majorHAnsi" w:hAnsiTheme="majorHAnsi" w:cstheme="majorHAnsi"/>
          <w:sz w:val="24"/>
          <w:szCs w:val="24"/>
        </w:rPr>
        <w:t xml:space="preserve"> protects the cell from damage caused by </w:t>
      </w:r>
      <w:proofErr w:type="spellStart"/>
      <w:r w:rsidR="00D93B01">
        <w:rPr>
          <w:rFonts w:asciiTheme="majorHAnsi" w:hAnsiTheme="majorHAnsi" w:cstheme="majorHAnsi"/>
          <w:sz w:val="24"/>
          <w:szCs w:val="24"/>
        </w:rPr>
        <w:t>carbonylcyanide</w:t>
      </w:r>
      <w:proofErr w:type="spellEnd"/>
      <w:r w:rsidR="00D93B01">
        <w:rPr>
          <w:rFonts w:asciiTheme="majorHAnsi" w:hAnsiTheme="majorHAnsi" w:cstheme="majorHAnsi"/>
          <w:sz w:val="24"/>
          <w:szCs w:val="24"/>
        </w:rPr>
        <w:t xml:space="preserve"> </w:t>
      </w:r>
      <w:r w:rsidR="00D93B01">
        <w:rPr>
          <w:rFonts w:asciiTheme="majorHAnsi" w:hAnsiTheme="majorHAnsi" w:cstheme="majorHAnsi"/>
          <w:i/>
          <w:iCs/>
          <w:sz w:val="24"/>
          <w:szCs w:val="24"/>
        </w:rPr>
        <w:t>m-</w:t>
      </w:r>
      <w:r w:rsidR="00D93B01">
        <w:rPr>
          <w:rFonts w:asciiTheme="majorHAnsi" w:hAnsiTheme="majorHAnsi" w:cstheme="majorHAnsi"/>
          <w:sz w:val="24"/>
          <w:szCs w:val="24"/>
        </w:rPr>
        <w:t>chlorophenylhydrazone</w:t>
      </w:r>
      <w:r w:rsidR="004A2506">
        <w:rPr>
          <w:rFonts w:asciiTheme="majorHAnsi" w:hAnsiTheme="majorHAnsi" w:cstheme="majorHAnsi"/>
          <w:sz w:val="24"/>
          <w:szCs w:val="24"/>
        </w:rPr>
        <w:t xml:space="preserve"> (CCCP</w:t>
      </w:r>
      <w:r w:rsidR="004A2506" w:rsidRPr="004A2506">
        <w:rPr>
          <w:rFonts w:asciiTheme="majorHAnsi" w:hAnsiTheme="majorHAnsi" w:cstheme="majorHAnsi"/>
          <w:sz w:val="24"/>
          <w:szCs w:val="24"/>
        </w:rPr>
        <w:t>)</w:t>
      </w:r>
      <w:r w:rsidR="00D93B01" w:rsidRPr="004A2506">
        <w:rPr>
          <w:rFonts w:asciiTheme="majorHAnsi" w:hAnsiTheme="majorHAnsi" w:cstheme="majorHAnsi"/>
          <w:sz w:val="24"/>
          <w:szCs w:val="24"/>
        </w:rPr>
        <w:t xml:space="preserve"> </w:t>
      </w:r>
      <w:r w:rsidRPr="004A2506">
        <w:rPr>
          <w:sz w:val="24"/>
          <w:szCs w:val="24"/>
        </w:rPr>
        <w:t>and</w:t>
      </w:r>
      <w:r w:rsidRPr="004A2506">
        <w:rPr>
          <w:rFonts w:asciiTheme="majorHAnsi" w:hAnsiTheme="majorHAnsi" w:cstheme="majorHAnsi"/>
          <w:sz w:val="24"/>
          <w:szCs w:val="24"/>
        </w:rPr>
        <w:t xml:space="preserve"> from</w:t>
      </w:r>
      <w:r>
        <w:rPr>
          <w:rFonts w:asciiTheme="majorHAnsi" w:hAnsiTheme="majorHAnsi" w:cstheme="majorHAnsi"/>
          <w:sz w:val="24"/>
          <w:szCs w:val="24"/>
        </w:rPr>
        <w:t xml:space="preserve"> a number of </w:t>
      </w:r>
      <w:r w:rsidR="00334D5D">
        <w:rPr>
          <w:rFonts w:asciiTheme="majorHAnsi" w:hAnsiTheme="majorHAnsi" w:cstheme="majorHAnsi"/>
          <w:sz w:val="24"/>
          <w:szCs w:val="24"/>
        </w:rPr>
        <w:t xml:space="preserve">structurally </w:t>
      </w:r>
      <w:r>
        <w:rPr>
          <w:rFonts w:asciiTheme="majorHAnsi" w:hAnsiTheme="majorHAnsi" w:cstheme="majorHAnsi"/>
          <w:sz w:val="24"/>
          <w:szCs w:val="24"/>
        </w:rPr>
        <w:t>unrelated compounds</w:t>
      </w:r>
      <w:r w:rsidR="004A52E9">
        <w:rPr>
          <w:rFonts w:asciiTheme="majorHAnsi" w:hAnsiTheme="majorHAnsi" w:cstheme="majorHAnsi"/>
          <w:sz w:val="24"/>
          <w:szCs w:val="24"/>
        </w:rPr>
        <w:t xml:space="preserve"> like nalidixic acid and thiolactomycin</w:t>
      </w:r>
      <w:r>
        <w:rPr>
          <w:rFonts w:asciiTheme="majorHAnsi" w:hAnsiTheme="majorHAnsi" w:cstheme="majorHAnsi"/>
          <w:sz w:val="24"/>
          <w:szCs w:val="24"/>
        </w:rPr>
        <w:t xml:space="preserve">. From the compounds they tested, they found that </w:t>
      </w:r>
      <w:proofErr w:type="spellStart"/>
      <w:r>
        <w:rPr>
          <w:rFonts w:asciiTheme="majorHAnsi" w:hAnsiTheme="majorHAnsi" w:cstheme="majorHAnsi"/>
          <w:sz w:val="24"/>
          <w:szCs w:val="24"/>
        </w:rPr>
        <w:t>EmrAB</w:t>
      </w:r>
      <w:proofErr w:type="spellEnd"/>
      <w:r>
        <w:rPr>
          <w:rFonts w:asciiTheme="majorHAnsi" w:hAnsiTheme="majorHAnsi" w:cstheme="majorHAnsi"/>
          <w:sz w:val="24"/>
          <w:szCs w:val="24"/>
        </w:rPr>
        <w:t xml:space="preserve"> seems to confer resistance only to the more hydrophobic compounds.</w:t>
      </w:r>
      <w:r w:rsidR="00D93B01">
        <w:rPr>
          <w:rFonts w:asciiTheme="majorHAnsi" w:hAnsiTheme="majorHAnsi" w:cstheme="majorHAnsi"/>
          <w:sz w:val="24"/>
          <w:szCs w:val="24"/>
        </w:rPr>
        <w:t xml:space="preserve"> An example of this was seen when </w:t>
      </w:r>
      <w:proofErr w:type="spellStart"/>
      <w:r w:rsidR="00D93B01">
        <w:rPr>
          <w:rFonts w:asciiTheme="majorHAnsi" w:hAnsiTheme="majorHAnsi" w:cstheme="majorHAnsi"/>
          <w:i/>
          <w:iCs/>
          <w:sz w:val="24"/>
          <w:szCs w:val="24"/>
        </w:rPr>
        <w:t>emr</w:t>
      </w:r>
      <w:proofErr w:type="spellEnd"/>
      <w:r w:rsidR="00D93B01">
        <w:rPr>
          <w:rFonts w:asciiTheme="majorHAnsi" w:hAnsiTheme="majorHAnsi" w:cstheme="majorHAnsi"/>
          <w:sz w:val="24"/>
          <w:szCs w:val="24"/>
        </w:rPr>
        <w:t xml:space="preserve"> carrying cells were protected from nalidixic acid, but not from more hydrophilic nalidixic acid analogues.</w:t>
      </w:r>
      <w:r w:rsidR="005453B3">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{"citationID":"7QENkSvj","properties":{"formattedCitation":"\\super 60\\nosupersub{}","plainCitation":"60","noteIndex":0},"citationItems":[{"id":1600,"uris":["http://zotero.org/users/1918630/items/JFGBI78C"],"itemData":{"id":1600,"type":"article-journal","abstract":"An Escherichia coli chromosomal DNA fragment cloned on a multicopy plasmid conferred resistance to carbonylcyanide m-chlorophenylhydrazone, nalidixic acid, and a number of other toxic compounds. The sequence of the cloned emr locus located at minute 57.5 of the chromosome revealed two open reading frames, emrA and emrB. emrB encodes a highly hydrophobic 56.2-kDa peptide, with 14 potential alpha-helices to span the inner membrane. The peptide is homologous to QacA, a multidrug-resistant pump from Staphylococcus aureus, and belongs to a gene family that includes tetracycline-resistant pumps of Gram-positive bacteria and the galactose/H+ symporter of E. coli. emrA encodes a putative 42.7-kDa peptide containing a single hydrophobic domain and a large C-terminal hydrophilic domain. An active pho-fusion to the C domain suggested that EmrA is a membrane protein. Disruption of emrB significantly increased sensitivity of cells to uncouplers. The cellular content of uncoupler increased in the order: overexpressed emrB cells greater than wild type greater than emrB-.","container-title":"Proceedings of the National Academy of Sciences of the United States of America","DOI":"10.1073/pnas.89.19.8938","ISSN":"0027-8424","issue":"19","journalAbbreviation":"Proc Natl Acad Sci U S A","language":"eng","note":"PMID: 1409590\nPMCID: PMC50039","page":"8938-8942","source":"PubMed","title":"Emr, an Escherichia coli locus for multidrug resistance","volume":"89","author":[{"family":"Lomovskaya","given":"O."},{"family":"Lewis","given":"K."}],"issued":{"date-parts":[["1992",10,1]]}}}],"schema":"https://github.com/citation-style-language/schema/raw/master/csl-citation.json"} </w:instrText>
      </w:r>
      <w:r w:rsidR="005453B3">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60</w:t>
      </w:r>
      <w:r w:rsidR="005453B3">
        <w:rPr>
          <w:rFonts w:asciiTheme="majorHAnsi" w:hAnsiTheme="majorHAnsi" w:cstheme="majorHAnsi"/>
          <w:sz w:val="24"/>
          <w:szCs w:val="24"/>
        </w:rPr>
        <w:fldChar w:fldCharType="end"/>
      </w:r>
      <w:r w:rsidR="00D93B01">
        <w:rPr>
          <w:rFonts w:asciiTheme="majorHAnsi" w:hAnsiTheme="majorHAnsi" w:cstheme="majorHAnsi"/>
          <w:sz w:val="24"/>
          <w:szCs w:val="24"/>
        </w:rPr>
        <w:t xml:space="preserve"> </w:t>
      </w:r>
      <w:bookmarkStart w:id="6" w:name="_Hlk152153405"/>
      <w:r w:rsidR="005453B3">
        <w:rPr>
          <w:rFonts w:asciiTheme="majorHAnsi" w:hAnsiTheme="majorHAnsi" w:cstheme="majorHAnsi"/>
          <w:sz w:val="24"/>
          <w:szCs w:val="24"/>
        </w:rPr>
        <w:t xml:space="preserve">Expression of plasmid encoded </w:t>
      </w:r>
      <w:proofErr w:type="spellStart"/>
      <w:r w:rsidR="005453B3">
        <w:rPr>
          <w:rFonts w:asciiTheme="majorHAnsi" w:hAnsiTheme="majorHAnsi" w:cstheme="majorHAnsi"/>
          <w:sz w:val="24"/>
          <w:szCs w:val="24"/>
        </w:rPr>
        <w:t>EmrKY</w:t>
      </w:r>
      <w:proofErr w:type="spellEnd"/>
      <w:r w:rsidR="005453B3">
        <w:rPr>
          <w:rFonts w:asciiTheme="majorHAnsi" w:hAnsiTheme="majorHAnsi" w:cstheme="majorHAnsi"/>
          <w:sz w:val="24"/>
          <w:szCs w:val="24"/>
        </w:rPr>
        <w:t xml:space="preserve"> in a drug-susceptible strain of </w:t>
      </w:r>
      <w:r w:rsidR="005453B3">
        <w:rPr>
          <w:rFonts w:asciiTheme="majorHAnsi" w:hAnsiTheme="majorHAnsi" w:cstheme="majorHAnsi"/>
          <w:i/>
          <w:iCs/>
          <w:sz w:val="24"/>
          <w:szCs w:val="24"/>
        </w:rPr>
        <w:t xml:space="preserve">E. </w:t>
      </w:r>
      <w:r w:rsidR="005453B3" w:rsidRPr="00A02D90">
        <w:rPr>
          <w:rFonts w:asciiTheme="majorHAnsi" w:hAnsiTheme="majorHAnsi" w:cstheme="majorHAnsi"/>
          <w:i/>
          <w:iCs/>
          <w:sz w:val="24"/>
          <w:szCs w:val="24"/>
        </w:rPr>
        <w:t>coli</w:t>
      </w:r>
      <w:r w:rsidR="005453B3">
        <w:rPr>
          <w:rFonts w:asciiTheme="majorHAnsi" w:hAnsiTheme="majorHAnsi" w:cstheme="majorHAnsi"/>
          <w:i/>
          <w:iCs/>
          <w:sz w:val="24"/>
          <w:szCs w:val="24"/>
        </w:rPr>
        <w:t xml:space="preserve"> </w:t>
      </w:r>
      <w:r w:rsidR="005453B3">
        <w:rPr>
          <w:rFonts w:asciiTheme="majorHAnsi" w:hAnsiTheme="majorHAnsi" w:cstheme="majorHAnsi"/>
          <w:sz w:val="24"/>
          <w:szCs w:val="24"/>
        </w:rPr>
        <w:t>significantly increased MICs for the following: doxorubicin (32-fold), rhodamine 6G (16-fold), benzalkonium (8-fold), erythromycin (4-fold), crystal violet (4-fold), TPP (tetraphenylphosphonium bromide) (4-fold), deoxycholate (4-fold).</w:t>
      </w:r>
      <w:r w:rsidR="005453B3">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{"citationID":"PQI9CCHO","properties":{"formattedCitation":"\\super 62\\nosupersub{}","plainCitation":"62","noteIndex":0},"citationItems":[{"id":1676,"uris":["http://zotero.org/users/1918630/items/H7ZJCRK3"],"itemData":{"id":1676,"type":"article-journal","abstract":"The complete sequencing of bacterial genomes has revealed a large number of drug transporter genes. In Escherichia coli, there are 37 open reading frames (ORFs) assumed to be drug transporter genes on the basis of sequence similarities, although the transport capabilities of most of them have not been established yet. We cloned all 37 putative drug transporter genes in E. coli and investigated their drug resistance phenotypes using an E. coli drug-sensitive mutant as a host. E. coli cells transformed with a plasmid carrying one of 20 ORFs, i.e., fsr, mdfA, yceE, yceL, bcr, emrKY, emrAB, emrD, yidY, yjiO, ydhE, acrAB, cusA (formerly ybdE), yegMNO, acrD, acrEF, yhiUV, emrE, ydgFE, and ybjYZ, exhibited increased resistance to some of the 26 representative antimicrobial agents and chemical compounds tested in this study. Of these 20 ORFs, cusA, yegMNO, ydgFE, yceE, yceL, yidY, and ybjYZ are novel drug resistance genes. The fsr, bcr, yjiO, ydhE, acrD, and yhiUV genes gave broader resistance spectra than previously reported.","container-title":"Journal of Bacteriology","DOI":"10.1128/JB.183.20.5803-5812.2001","ISSN":"0021-9193","issue":"20","journalAbbreviation":"J Bacteriol","language":"eng","note":"PMID: 11566977\nPMCID: PMC99656","page":"5803-5812","source":"PubMed","title":"Analysis of a complete library of putative drug transporter genes in Escherichia coli","volume":"183","author":[{"family":"Nishino","given":"K."},{"family":"Yamaguchi","given":"A."}],"issued":{"date-parts":[["2001",10]]}}}],"schema":"https://github.com/citation-style-language/schema/raw/master/csl-citation.json"} </w:instrText>
      </w:r>
      <w:r w:rsidR="005453B3">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62</w:t>
      </w:r>
      <w:r w:rsidR="005453B3">
        <w:rPr>
          <w:rFonts w:asciiTheme="majorHAnsi" w:hAnsiTheme="majorHAnsi" w:cstheme="majorHAnsi"/>
          <w:sz w:val="24"/>
          <w:szCs w:val="24"/>
        </w:rPr>
        <w:fldChar w:fldCharType="end"/>
      </w:r>
      <w:bookmarkEnd w:id="6"/>
    </w:p>
    <w:p w14:paraId="7B7AFC04" w14:textId="2A8162C6" w:rsidR="00DF2F2E" w:rsidRPr="00141481" w:rsidRDefault="00DF2F2E" w:rsidP="0021013E">
      <w:pPr>
        <w:spacing w:line="360" w:lineRule="auto"/>
        <w:ind w:firstLine="720"/>
        <w:rPr>
          <w:sz w:val="24"/>
          <w:szCs w:val="24"/>
        </w:rPr>
      </w:pPr>
      <w:r>
        <w:rPr>
          <w:rFonts w:asciiTheme="majorHAnsi" w:hAnsiTheme="majorHAnsi" w:cstheme="majorHAnsi"/>
          <w:sz w:val="24"/>
          <w:szCs w:val="24"/>
        </w:rPr>
        <w:t>Again</w:t>
      </w:r>
      <w:r w:rsidR="00141481">
        <w:rPr>
          <w:rFonts w:asciiTheme="majorHAnsi" w:hAnsiTheme="majorHAnsi" w:cstheme="majorHAnsi"/>
          <w:sz w:val="24"/>
          <w:szCs w:val="24"/>
        </w:rPr>
        <w:t>,</w:t>
      </w:r>
      <w:r>
        <w:rPr>
          <w:rFonts w:asciiTheme="majorHAnsi" w:hAnsiTheme="majorHAnsi" w:cstheme="majorHAnsi"/>
          <w:sz w:val="24"/>
          <w:szCs w:val="24"/>
        </w:rPr>
        <w:t xml:space="preserve"> referring back to </w:t>
      </w:r>
      <w:proofErr w:type="spellStart"/>
      <w:r>
        <w:rPr>
          <w:rFonts w:asciiTheme="majorHAnsi" w:hAnsiTheme="majorHAnsi" w:cstheme="majorHAnsi"/>
          <w:sz w:val="24"/>
          <w:szCs w:val="24"/>
        </w:rPr>
        <w:t>Sulavik</w:t>
      </w:r>
      <w:proofErr w:type="spellEnd"/>
      <w:r>
        <w:rPr>
          <w:rFonts w:asciiTheme="majorHAnsi" w:hAnsiTheme="majorHAnsi" w:cstheme="majorHAnsi"/>
          <w:sz w:val="24"/>
          <w:szCs w:val="24"/>
        </w:rPr>
        <w:t xml:space="preserve"> et al.’s 2001 publication, i</w:t>
      </w:r>
      <w:r w:rsidRPr="00AA2C59">
        <w:rPr>
          <w:rFonts w:asciiTheme="majorHAnsi" w:hAnsiTheme="majorHAnsi" w:cstheme="majorHAnsi"/>
          <w:sz w:val="24"/>
          <w:szCs w:val="24"/>
        </w:rPr>
        <w:t xml:space="preserve">n the case of MFS pumps, strains with single deletions in </w:t>
      </w:r>
      <w:proofErr w:type="spellStart"/>
      <w:r w:rsidRPr="00AA2C59">
        <w:rPr>
          <w:rFonts w:asciiTheme="majorHAnsi" w:hAnsiTheme="majorHAnsi" w:cstheme="majorHAnsi"/>
          <w:i/>
          <w:iCs/>
          <w:sz w:val="24"/>
          <w:szCs w:val="24"/>
        </w:rPr>
        <w:t>emrD</w:t>
      </w:r>
      <w:proofErr w:type="spellEnd"/>
      <w:r w:rsidRPr="00AA2C59">
        <w:rPr>
          <w:rFonts w:asciiTheme="majorHAnsi" w:hAnsiTheme="majorHAnsi" w:cstheme="majorHAnsi"/>
          <w:i/>
          <w:iCs/>
          <w:sz w:val="24"/>
          <w:szCs w:val="24"/>
        </w:rPr>
        <w:t xml:space="preserve">, </w:t>
      </w:r>
      <w:proofErr w:type="spellStart"/>
      <w:r w:rsidRPr="00AA2C59">
        <w:rPr>
          <w:rFonts w:asciiTheme="majorHAnsi" w:hAnsiTheme="majorHAnsi" w:cstheme="majorHAnsi"/>
          <w:i/>
          <w:iCs/>
          <w:sz w:val="24"/>
          <w:szCs w:val="24"/>
        </w:rPr>
        <w:t>emrAB</w:t>
      </w:r>
      <w:proofErr w:type="spellEnd"/>
      <w:r w:rsidRPr="00AA2C59">
        <w:rPr>
          <w:rFonts w:asciiTheme="majorHAnsi" w:hAnsiTheme="majorHAnsi" w:cstheme="majorHAnsi"/>
          <w:i/>
          <w:iCs/>
          <w:sz w:val="24"/>
          <w:szCs w:val="24"/>
        </w:rPr>
        <w:t xml:space="preserve">, </w:t>
      </w:r>
      <w:r w:rsidRPr="00AA2C59">
        <w:rPr>
          <w:rFonts w:asciiTheme="majorHAnsi" w:hAnsiTheme="majorHAnsi" w:cstheme="majorHAnsi"/>
          <w:sz w:val="24"/>
          <w:szCs w:val="24"/>
        </w:rPr>
        <w:t xml:space="preserve">and </w:t>
      </w:r>
      <w:proofErr w:type="spellStart"/>
      <w:r w:rsidRPr="00AA2C59">
        <w:rPr>
          <w:rFonts w:asciiTheme="majorHAnsi" w:hAnsiTheme="majorHAnsi" w:cstheme="majorHAnsi"/>
          <w:i/>
          <w:iCs/>
          <w:sz w:val="24"/>
          <w:szCs w:val="24"/>
        </w:rPr>
        <w:t>emrKY</w:t>
      </w:r>
      <w:proofErr w:type="spellEnd"/>
      <w:r w:rsidRPr="00AA2C59">
        <w:rPr>
          <w:rFonts w:asciiTheme="majorHAnsi" w:hAnsiTheme="majorHAnsi" w:cstheme="majorHAnsi"/>
          <w:sz w:val="24"/>
          <w:szCs w:val="24"/>
        </w:rPr>
        <w:t xml:space="preserve"> showed no differences in susceptibility to the 35 tested compounds compared </w:t>
      </w:r>
      <w:r w:rsidR="00C26070">
        <w:rPr>
          <w:rFonts w:asciiTheme="majorHAnsi" w:hAnsiTheme="majorHAnsi" w:cstheme="majorHAnsi"/>
          <w:sz w:val="24"/>
          <w:szCs w:val="24"/>
        </w:rPr>
        <w:t xml:space="preserve">to the drug-susceptible </w:t>
      </w:r>
      <w:r w:rsidR="00C26070">
        <w:rPr>
          <w:rFonts w:asciiTheme="majorHAnsi" w:hAnsiTheme="majorHAnsi" w:cstheme="majorHAnsi"/>
          <w:i/>
          <w:iCs/>
          <w:sz w:val="24"/>
          <w:szCs w:val="24"/>
        </w:rPr>
        <w:t>E. coli</w:t>
      </w:r>
      <w:r w:rsidRPr="00AA2C59">
        <w:rPr>
          <w:rFonts w:asciiTheme="majorHAnsi" w:hAnsiTheme="majorHAnsi" w:cstheme="majorHAnsi"/>
          <w:sz w:val="24"/>
          <w:szCs w:val="24"/>
        </w:rPr>
        <w:t xml:space="preserve"> W3110 strain. The </w:t>
      </w:r>
      <w:r w:rsidRPr="00AA2C59">
        <w:rPr>
          <w:rFonts w:asciiTheme="majorHAnsi" w:hAnsiTheme="majorHAnsi" w:cstheme="majorHAnsi"/>
          <w:i/>
          <w:iCs/>
          <w:sz w:val="24"/>
          <w:szCs w:val="24"/>
        </w:rPr>
        <w:t>E. coli</w:t>
      </w:r>
      <w:r w:rsidRPr="00AA2C59">
        <w:rPr>
          <w:rFonts w:asciiTheme="majorHAnsi" w:hAnsiTheme="majorHAnsi" w:cstheme="majorHAnsi"/>
          <w:sz w:val="24"/>
          <w:szCs w:val="24"/>
        </w:rPr>
        <w:t xml:space="preserve"> strain with deletions for </w:t>
      </w:r>
      <w:proofErr w:type="spellStart"/>
      <w:r w:rsidRPr="00AA2C59">
        <w:rPr>
          <w:rFonts w:asciiTheme="majorHAnsi" w:hAnsiTheme="majorHAnsi" w:cstheme="majorHAnsi"/>
          <w:i/>
          <w:iCs/>
          <w:sz w:val="24"/>
          <w:szCs w:val="24"/>
        </w:rPr>
        <w:t>emrAB</w:t>
      </w:r>
      <w:proofErr w:type="spellEnd"/>
      <w:r w:rsidRPr="00AA2C59">
        <w:rPr>
          <w:rFonts w:asciiTheme="majorHAnsi" w:hAnsiTheme="majorHAnsi" w:cstheme="majorHAnsi"/>
          <w:i/>
          <w:iCs/>
          <w:sz w:val="24"/>
          <w:szCs w:val="24"/>
        </w:rPr>
        <w:t xml:space="preserve"> </w:t>
      </w:r>
      <w:r w:rsidRPr="00AA2C59">
        <w:rPr>
          <w:rFonts w:asciiTheme="majorHAnsi" w:hAnsiTheme="majorHAnsi" w:cstheme="majorHAnsi"/>
          <w:sz w:val="24"/>
          <w:szCs w:val="24"/>
        </w:rPr>
        <w:t xml:space="preserve">and </w:t>
      </w:r>
      <w:proofErr w:type="spellStart"/>
      <w:r w:rsidRPr="00AA2C59">
        <w:rPr>
          <w:rFonts w:asciiTheme="majorHAnsi" w:hAnsiTheme="majorHAnsi" w:cstheme="majorHAnsi"/>
          <w:i/>
          <w:iCs/>
          <w:sz w:val="24"/>
          <w:szCs w:val="24"/>
        </w:rPr>
        <w:t>emrKY</w:t>
      </w:r>
      <w:proofErr w:type="spellEnd"/>
      <w:r w:rsidRPr="00AA2C59">
        <w:rPr>
          <w:rFonts w:asciiTheme="majorHAnsi" w:hAnsiTheme="majorHAnsi" w:cstheme="majorHAnsi"/>
          <w:sz w:val="24"/>
          <w:szCs w:val="24"/>
        </w:rPr>
        <w:t xml:space="preserve"> showed a susceptibility profile similar to WT W3110</w:t>
      </w:r>
      <w:r>
        <w:rPr>
          <w:rFonts w:asciiTheme="majorHAnsi" w:hAnsiTheme="majorHAnsi" w:cstheme="majorHAnsi"/>
          <w:sz w:val="24"/>
          <w:szCs w:val="24"/>
        </w:rPr>
        <w:t>.</w:t>
      </w:r>
      <w:r w:rsidRPr="00AA2C59">
        <w:rPr>
          <w:rFonts w:asciiTheme="majorHAnsi" w:hAnsiTheme="majorHAnsi" w:cstheme="majorHAnsi"/>
          <w:sz w:val="24"/>
          <w:szCs w:val="24"/>
        </w:rPr>
        <w:t xml:space="preserve"> </w:t>
      </w:r>
      <w:r>
        <w:rPr>
          <w:sz w:val="24"/>
          <w:szCs w:val="24"/>
        </w:rPr>
        <w:t xml:space="preserve">Although previously published studies showed that </w:t>
      </w:r>
      <w:r>
        <w:rPr>
          <w:i/>
          <w:iCs/>
          <w:sz w:val="24"/>
          <w:szCs w:val="24"/>
        </w:rPr>
        <w:t>E. coli</w:t>
      </w:r>
      <w:r>
        <w:rPr>
          <w:sz w:val="24"/>
          <w:szCs w:val="24"/>
        </w:rPr>
        <w:t xml:space="preserve"> strains overexpressing </w:t>
      </w:r>
      <w:proofErr w:type="spellStart"/>
      <w:r>
        <w:rPr>
          <w:i/>
          <w:iCs/>
          <w:sz w:val="24"/>
          <w:szCs w:val="24"/>
        </w:rPr>
        <w:t>emrAB</w:t>
      </w:r>
      <w:proofErr w:type="spellEnd"/>
      <w:r>
        <w:rPr>
          <w:sz w:val="24"/>
          <w:szCs w:val="24"/>
        </w:rPr>
        <w:t xml:space="preserve"> were resistant to </w:t>
      </w:r>
      <w:r w:rsidR="00141481">
        <w:rPr>
          <w:sz w:val="24"/>
          <w:szCs w:val="24"/>
        </w:rPr>
        <w:t>n</w:t>
      </w:r>
      <w:r>
        <w:rPr>
          <w:sz w:val="24"/>
          <w:szCs w:val="24"/>
        </w:rPr>
        <w:t xml:space="preserve">alidixic acid and CCCP </w:t>
      </w:r>
      <w:r>
        <w:rPr>
          <w:sz w:val="24"/>
          <w:szCs w:val="24"/>
        </w:rPr>
        <w:fldChar w:fldCharType="begin"/>
      </w:r>
      <w:r w:rsidR="00864355">
        <w:rPr>
          <w:sz w:val="24"/>
          <w:szCs w:val="24"/>
        </w:rPr>
        <w:instrText xml:space="preserve"> ADDIN ZOTERO_ITEM CSL_CITATION {"citationID":"XxdT0VxX","properties":{"formattedCitation":"\\super 60\\nosupersub{}","plainCitation":"60","noteIndex":0},"citationItems":[{"id":1600,"uris":["http://zotero.org/users/1918630/items/JFGBI78C"],"itemData":{"id":1600,"type":"article-journal","abstract":"An Escherichia coli chromosomal DNA fragment cloned on a multicopy plasmid conferred resistance to carbonylcyanide m-chlorophenylhydrazone, nalidixic acid, and a number of other toxic compounds. The sequence of the cloned emr locus located at minute 57.5 of the chromosome revealed two open reading frames, emrA and emrB. emrB encodes a highly hydrophobic 56.2-kDa peptide, with 14 potential alpha-helices to span the inner membrane. The peptide is homologous to QacA, a multidrug-resistant pump from Staphylococcus aureus, and belongs to a gene family that includes tetracycline-resistant pumps of Gram-positive bacteria and the galactose/H+ symporter of E. coli. emrA encodes a putative 42.7-kDa peptide containing a single hydrophobic domain and a large C-terminal hydrophilic domain. An active pho-fusion to the C domain suggested that EmrA is a membrane protein. Disruption of emrB significantly increased sensitivity of cells to uncouplers. The cellular content of uncoupler increased in the order: overexpressed emrB cells greater than wild type greater than emrB-.","container-title":"Proceedings of the National Academy of Sciences of the United States of America","DOI":"10.1073/pnas.89.19.8938","ISSN":"0027-8424","issue":"19","journalAbbreviation":"Proc Natl Acad Sci U S A","language":"eng","note":"PMID: 1409590\nPMCID: PMC50039","page":"8938-8942","source":"PubMed","title":"Emr, an Escherichia coli locus for multidrug resistance","volume":"89","author":[{"family":"Lomovskaya","given":"O."},{"family":"Lewis","given":"K."}],"issued":{"date-parts":[["1992",10,1]]}}}],"schema":"https://github.com/citation-style-language/schema/raw/master/csl-citation.json"} </w:instrText>
      </w:r>
      <w:r>
        <w:rPr>
          <w:sz w:val="24"/>
          <w:szCs w:val="24"/>
        </w:rPr>
        <w:fldChar w:fldCharType="separate"/>
      </w:r>
      <w:r w:rsidR="00864355" w:rsidRPr="00864355">
        <w:rPr>
          <w:rFonts w:ascii="Times New Roman" w:hAnsi="Times New Roman" w:cs="Times New Roman"/>
          <w:sz w:val="24"/>
          <w:szCs w:val="24"/>
          <w:vertAlign w:val="superscript"/>
        </w:rPr>
        <w:t>60</w:t>
      </w:r>
      <w:r>
        <w:rPr>
          <w:sz w:val="24"/>
          <w:szCs w:val="24"/>
        </w:rPr>
        <w:fldChar w:fldCharType="end"/>
      </w:r>
      <w:r>
        <w:rPr>
          <w:sz w:val="24"/>
          <w:szCs w:val="24"/>
        </w:rPr>
        <w:t xml:space="preserve">, deletion of </w:t>
      </w:r>
      <w:proofErr w:type="spellStart"/>
      <w:r>
        <w:rPr>
          <w:i/>
          <w:iCs/>
          <w:sz w:val="24"/>
          <w:szCs w:val="24"/>
        </w:rPr>
        <w:t>emrAB</w:t>
      </w:r>
      <w:proofErr w:type="spellEnd"/>
      <w:r>
        <w:rPr>
          <w:sz w:val="24"/>
          <w:szCs w:val="24"/>
        </w:rPr>
        <w:t xml:space="preserve"> did not increase the strains’ susceptibility to these two </w:t>
      </w:r>
      <w:r w:rsidRPr="004E7AF2">
        <w:rPr>
          <w:sz w:val="24"/>
          <w:szCs w:val="24"/>
        </w:rPr>
        <w:t xml:space="preserve">compounds. </w:t>
      </w:r>
      <w:r w:rsidR="004E7AF2" w:rsidRPr="004E7AF2">
        <w:rPr>
          <w:sz w:val="24"/>
          <w:szCs w:val="24"/>
        </w:rPr>
        <w:t xml:space="preserve">A </w:t>
      </w:r>
      <w:r w:rsidR="004E7AF2">
        <w:rPr>
          <w:sz w:val="24"/>
          <w:szCs w:val="24"/>
        </w:rPr>
        <w:t>2004</w:t>
      </w:r>
      <w:r w:rsidR="004E7AF2" w:rsidRPr="004E7AF2">
        <w:rPr>
          <w:sz w:val="24"/>
          <w:szCs w:val="24"/>
        </w:rPr>
        <w:t xml:space="preserve"> study showed that deletion of </w:t>
      </w:r>
      <w:proofErr w:type="spellStart"/>
      <w:r w:rsidR="004E7AF2" w:rsidRPr="004E7AF2">
        <w:rPr>
          <w:i/>
          <w:iCs/>
          <w:sz w:val="24"/>
          <w:szCs w:val="24"/>
        </w:rPr>
        <w:t>emrKY</w:t>
      </w:r>
      <w:proofErr w:type="spellEnd"/>
      <w:r w:rsidR="004E7AF2" w:rsidRPr="004E7AF2">
        <w:rPr>
          <w:i/>
          <w:iCs/>
          <w:sz w:val="24"/>
          <w:szCs w:val="24"/>
        </w:rPr>
        <w:t xml:space="preserve"> </w:t>
      </w:r>
      <w:r w:rsidR="004E7AF2" w:rsidRPr="004E7AF2">
        <w:rPr>
          <w:sz w:val="24"/>
          <w:szCs w:val="24"/>
        </w:rPr>
        <w:t xml:space="preserve">genes from a K-12 derived </w:t>
      </w:r>
      <w:r w:rsidR="004E7AF2" w:rsidRPr="004E7AF2">
        <w:rPr>
          <w:i/>
          <w:iCs/>
          <w:sz w:val="24"/>
          <w:szCs w:val="24"/>
        </w:rPr>
        <w:t xml:space="preserve">E. coli </w:t>
      </w:r>
      <w:r w:rsidR="004E7AF2" w:rsidRPr="004E7AF2">
        <w:rPr>
          <w:sz w:val="24"/>
          <w:szCs w:val="24"/>
        </w:rPr>
        <w:t xml:space="preserve">strain with </w:t>
      </w:r>
      <w:proofErr w:type="spellStart"/>
      <w:r w:rsidR="004E7AF2" w:rsidRPr="00141481">
        <w:rPr>
          <w:i/>
          <w:iCs/>
          <w:sz w:val="24"/>
          <w:szCs w:val="24"/>
        </w:rPr>
        <w:t>acrAB</w:t>
      </w:r>
      <w:proofErr w:type="spellEnd"/>
      <w:r w:rsidR="004E7AF2" w:rsidRPr="004E7AF2">
        <w:rPr>
          <w:sz w:val="24"/>
          <w:szCs w:val="24"/>
        </w:rPr>
        <w:t xml:space="preserve"> </w:t>
      </w:r>
      <w:r w:rsidR="004E7AF2" w:rsidRPr="00141481">
        <w:rPr>
          <w:sz w:val="24"/>
          <w:szCs w:val="24"/>
        </w:rPr>
        <w:t xml:space="preserve">deleted did not change drug susceptibility levels, suggesting that </w:t>
      </w:r>
      <w:proofErr w:type="spellStart"/>
      <w:r w:rsidR="00141481">
        <w:rPr>
          <w:sz w:val="24"/>
          <w:szCs w:val="24"/>
        </w:rPr>
        <w:lastRenderedPageBreak/>
        <w:t>E</w:t>
      </w:r>
      <w:r w:rsidR="004E7AF2" w:rsidRPr="00141481">
        <w:rPr>
          <w:sz w:val="24"/>
          <w:szCs w:val="24"/>
        </w:rPr>
        <w:t>mrKY</w:t>
      </w:r>
      <w:proofErr w:type="spellEnd"/>
      <w:r w:rsidR="004E7AF2" w:rsidRPr="00141481">
        <w:rPr>
          <w:sz w:val="24"/>
          <w:szCs w:val="24"/>
        </w:rPr>
        <w:t xml:space="preserve"> is not expressed under normal conditions.</w:t>
      </w:r>
      <w:r w:rsidR="004E7AF2" w:rsidRPr="00141481">
        <w:rPr>
          <w:sz w:val="24"/>
          <w:szCs w:val="24"/>
        </w:rPr>
        <w:fldChar w:fldCharType="begin"/>
      </w:r>
      <w:r w:rsidR="00864355" w:rsidRPr="00141481">
        <w:rPr>
          <w:sz w:val="24"/>
          <w:szCs w:val="24"/>
        </w:rPr>
        <w:instrText xml:space="preserve"> ADDIN ZOTERO_ITEM CSL_CITATION {"citationID":"IwfeMhai","properties":{"formattedCitation":"\\super 63\\nosupersub{}","plainCitation":"63","noteIndex":0},"citationItems":[{"id":1705,"uris":["http://zotero.org/users/1918630/items/YCEL5L77"],"itemData":{"id":1705,"type":"article-journal","abstract":"The histone-like protein H-NS is a major component of the bacterial nucleoid and plays a crucial role in global gene regulation of enteric bacteria. It is known that the expression of a variety of genes is repressed by H-NS, and mutations in hns result in various phenotypes, but the role of H-NS in the drug resistance of Escherichia coli has not been known. Here we present data showing that H-NS contributes to multidrug resistance by regulating the expression of multidrug exporter genes. Deletion of the hns gene from the DeltaacrAB mutant increased levels of resistance against antibiotics, antiseptics, dyes, and detergents. Decreased accumulation of ethidium bromide and rhodamine 6G in the hns mutant compared to that in the parental strain was observed, suggesting the increased expression of some drug exporter(s) in this mutant. The increased drug resistance and decreased drug accumulation caused by the hns deletion were completely suppressed by deletion of the multifunctional outer membrane channel gene tolC. At least eight drug exporter systems require TolC for their functions. Among these, increased expression of acrEF, mdtEF, and emrKY was observed in the Deltahns strain by quantitative real-time reverse transcription-PCR analysis. The Deltahns-mediated multidrug resistance pattern is quite similar to that caused by overproduction of the AcrEF exporter. Deletion of the acrEF gene greatly suppressed the level of Deltahns-mediated multidrug resistance. However, this strain still retained resistance to some compounds. The remainder of the multidrug resistance pattern was similar to that conferred by overproduction of the MdtEF exporter. Double deletion of the mdtEF and acrEF genes completely suppressed Deltahns-mediated multidrug resistance, indicating that Deltahns-mediated multidrug resistance is due to derepression of the acrEF and mdtEF drug exporter genes.","container-title":"Journal of Bacteriology","DOI":"10.1128/JB.186.5.1423-1429.2004","ISSN":"0021-9193","issue":"5","journalAbbreviation":"J Bacteriol","language":"eng","note":"PMID: 14973023\nPMCID: PMC344412","page":"1423-1429","source":"PubMed","title":"Role of histone-like protein H-NS in multidrug resistance of Escherichia coli","volume":"186","author":[{"family":"Nishino","given":"Kunihiko"},{"family":"Yamaguchi","given":"Akihito"}],"issued":{"date-parts":[["2004",3]]}}}],"schema":"https://github.com/citation-style-language/schema/raw/master/csl-citation.json"} </w:instrText>
      </w:r>
      <w:r w:rsidR="004E7AF2" w:rsidRPr="00141481">
        <w:rPr>
          <w:sz w:val="24"/>
          <w:szCs w:val="24"/>
        </w:rPr>
        <w:fldChar w:fldCharType="separate"/>
      </w:r>
      <w:r w:rsidR="00864355" w:rsidRPr="00141481">
        <w:rPr>
          <w:rFonts w:ascii="Times New Roman" w:hAnsi="Times New Roman" w:cs="Times New Roman"/>
          <w:sz w:val="24"/>
          <w:szCs w:val="24"/>
          <w:vertAlign w:val="superscript"/>
        </w:rPr>
        <w:t>63</w:t>
      </w:r>
      <w:r w:rsidR="004E7AF2" w:rsidRPr="00141481">
        <w:rPr>
          <w:sz w:val="24"/>
          <w:szCs w:val="24"/>
        </w:rPr>
        <w:fldChar w:fldCharType="end"/>
      </w:r>
      <w:r w:rsidR="004E7AF2" w:rsidRPr="00141481">
        <w:rPr>
          <w:sz w:val="24"/>
          <w:szCs w:val="24"/>
        </w:rPr>
        <w:t xml:space="preserve"> </w:t>
      </w:r>
      <w:r w:rsidRPr="00141481">
        <w:rPr>
          <w:sz w:val="24"/>
          <w:szCs w:val="24"/>
        </w:rPr>
        <w:t>The</w:t>
      </w:r>
      <w:r w:rsidRPr="00141481">
        <w:rPr>
          <w:rFonts w:asciiTheme="majorHAnsi" w:hAnsiTheme="majorHAnsi" w:cstheme="majorHAnsi"/>
          <w:sz w:val="24"/>
          <w:szCs w:val="24"/>
        </w:rPr>
        <w:t xml:space="preserve"> MFS pump with the highest difference in susceptibility when deleted was </w:t>
      </w:r>
      <w:proofErr w:type="spellStart"/>
      <w:r w:rsidRPr="00141481">
        <w:rPr>
          <w:rFonts w:asciiTheme="majorHAnsi" w:hAnsiTheme="majorHAnsi" w:cstheme="majorHAnsi"/>
          <w:i/>
          <w:iCs/>
          <w:sz w:val="24"/>
          <w:szCs w:val="24"/>
        </w:rPr>
        <w:t>mdfA</w:t>
      </w:r>
      <w:proofErr w:type="spellEnd"/>
      <w:r w:rsidRPr="00141481">
        <w:rPr>
          <w:rFonts w:asciiTheme="majorHAnsi" w:hAnsiTheme="majorHAnsi" w:cstheme="majorHAnsi"/>
          <w:sz w:val="24"/>
          <w:szCs w:val="24"/>
        </w:rPr>
        <w:t xml:space="preserve">, as its deletion resulted in increased susceptibility to ethidium bromide and benzalkonium chloride. Even deleting all four MFS loci resulted in MICs similar to those for the </w:t>
      </w:r>
      <w:r w:rsidRPr="00141481">
        <w:rPr>
          <w:rFonts w:asciiTheme="majorHAnsi" w:hAnsiTheme="majorHAnsi" w:cstheme="majorHAnsi"/>
          <w:i/>
          <w:iCs/>
          <w:sz w:val="24"/>
          <w:szCs w:val="24"/>
        </w:rPr>
        <w:t>E. coli</w:t>
      </w:r>
      <w:r w:rsidRPr="00141481">
        <w:rPr>
          <w:sz w:val="24"/>
          <w:szCs w:val="24"/>
        </w:rPr>
        <w:t xml:space="preserve"> strain with a deletion of </w:t>
      </w:r>
      <w:proofErr w:type="spellStart"/>
      <w:r w:rsidRPr="00141481">
        <w:rPr>
          <w:i/>
          <w:iCs/>
          <w:sz w:val="24"/>
          <w:szCs w:val="24"/>
        </w:rPr>
        <w:t>mdfA</w:t>
      </w:r>
      <w:proofErr w:type="spellEnd"/>
      <w:r w:rsidRPr="00141481">
        <w:rPr>
          <w:sz w:val="24"/>
          <w:szCs w:val="24"/>
        </w:rPr>
        <w:t xml:space="preserve"> alone. This result suggests that among these four specific MFS pumps, there is no additive or synergistic effect of multiple deletions. </w:t>
      </w:r>
    </w:p>
    <w:p w14:paraId="01E7555F" w14:textId="1BD52A94" w:rsidR="008527F4" w:rsidRDefault="00D93B01"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Based on </w:t>
      </w:r>
      <w:proofErr w:type="spellStart"/>
      <w:r>
        <w:rPr>
          <w:rFonts w:asciiTheme="majorHAnsi" w:hAnsiTheme="majorHAnsi" w:cstheme="majorHAnsi"/>
          <w:sz w:val="24"/>
          <w:szCs w:val="24"/>
        </w:rPr>
        <w:t>EmrAB’s</w:t>
      </w:r>
      <w:proofErr w:type="spellEnd"/>
      <w:r>
        <w:rPr>
          <w:rFonts w:asciiTheme="majorHAnsi" w:hAnsiTheme="majorHAnsi" w:cstheme="majorHAnsi"/>
          <w:sz w:val="24"/>
          <w:szCs w:val="24"/>
        </w:rPr>
        <w:t xml:space="preserve"> nucleotide sequence, amino acid sequence, and related protein homologies, the researchers </w:t>
      </w:r>
      <w:r w:rsidR="009B0912">
        <w:rPr>
          <w:rFonts w:asciiTheme="majorHAnsi" w:hAnsiTheme="majorHAnsi" w:cstheme="majorHAnsi"/>
          <w:sz w:val="24"/>
          <w:szCs w:val="24"/>
        </w:rPr>
        <w:t xml:space="preserve">noted that that it was likely that </w:t>
      </w:r>
      <w:proofErr w:type="spellStart"/>
      <w:r w:rsidR="009B0912">
        <w:rPr>
          <w:rFonts w:asciiTheme="majorHAnsi" w:hAnsiTheme="majorHAnsi" w:cstheme="majorHAnsi"/>
          <w:sz w:val="24"/>
          <w:szCs w:val="24"/>
        </w:rPr>
        <w:t>EmrAB</w:t>
      </w:r>
      <w:proofErr w:type="spellEnd"/>
      <w:r w:rsidR="009B0912">
        <w:rPr>
          <w:rFonts w:asciiTheme="majorHAnsi" w:hAnsiTheme="majorHAnsi" w:cstheme="majorHAnsi"/>
          <w:sz w:val="24"/>
          <w:szCs w:val="24"/>
        </w:rPr>
        <w:t xml:space="preserve"> worked with some other mechanism to extrude compounds across both membranes, as “such a mechanism would take advantage of the low permeability of the outer membrane to hydrophobic substances”.</w:t>
      </w:r>
      <w:r w:rsidR="00141481">
        <w:rPr>
          <w:rFonts w:asciiTheme="majorHAnsi" w:hAnsiTheme="majorHAnsi" w:cstheme="majorHAnsi"/>
          <w:sz w:val="24"/>
          <w:szCs w:val="24"/>
        </w:rPr>
        <w:fldChar w:fldCharType="begin"/>
      </w:r>
      <w:r w:rsidR="00141481">
        <w:rPr>
          <w:rFonts w:asciiTheme="majorHAnsi" w:hAnsiTheme="majorHAnsi" w:cstheme="majorHAnsi"/>
          <w:sz w:val="24"/>
          <w:szCs w:val="24"/>
        </w:rPr>
        <w:instrText xml:space="preserve"> ADDIN ZOTERO_ITEM CSL_CITATION {"citationID":"oC0sPtni","properties":{"formattedCitation":"\\super 60\\nosupersub{}","plainCitation":"60","noteIndex":0},"citationItems":[{"id":1600,"uris":["http://zotero.org/users/1918630/items/JFGBI78C"],"itemData":{"id":1600,"type":"article-journal","abstract":"An Escherichia coli chromosomal DNA fragment cloned on a multicopy plasmid conferred resistance to carbonylcyanide m-chlorophenylhydrazone, nalidixic acid, and a number of other toxic compounds. The sequence of the cloned emr locus located at minute 57.5 of the chromosome revealed two open reading frames, emrA and emrB. emrB encodes a highly hydrophobic 56.2-kDa peptide, with 14 potential alpha-helices to span the inner membrane. The peptide is homologous to QacA, a multidrug-resistant pump from Staphylococcus aureus, and belongs to a gene family that includes tetracycline-resistant pumps of Gram-positive bacteria and the galactose/H+ symporter of E. coli. emrA encodes a putative 42.7-kDa peptide containing a single hydrophobic domain and a large C-terminal hydrophilic domain. An active pho-fusion to the C domain suggested that EmrA is a membrane protein. Disruption of emrB significantly increased sensitivity of cells to uncouplers. The cellular content of uncoupler increased in the order: overexpressed emrB cells greater than wild type greater than emrB-.","container-title":"Proceedings of the National Academy of Sciences of the United States of America","DOI":"10.1073/pnas.89.19.8938","ISSN":"0027-8424","issue":"19","journalAbbreviation":"Proc Natl Acad Sci U S A","language":"eng","note":"PMID: 1409590\nPMCID: PMC50039","page":"8938-8942","source":"PubMed","title":"Emr, an Escherichia coli locus for multidrug resistance","volume":"89","author":[{"family":"Lomovskaya","given":"O."},{"family":"Lewis","given":"K."}],"issued":{"date-parts":[["1992",10,1]]}}}],"schema":"https://github.com/citation-style-language/schema/raw/master/csl-citation.json"} </w:instrText>
      </w:r>
      <w:r w:rsidR="00141481">
        <w:rPr>
          <w:rFonts w:asciiTheme="majorHAnsi" w:hAnsiTheme="majorHAnsi" w:cstheme="majorHAnsi"/>
          <w:sz w:val="24"/>
          <w:szCs w:val="24"/>
        </w:rPr>
        <w:fldChar w:fldCharType="separate"/>
      </w:r>
      <w:r w:rsidR="00141481" w:rsidRPr="00864355">
        <w:rPr>
          <w:rFonts w:ascii="Times New Roman" w:hAnsi="Times New Roman" w:cs="Times New Roman"/>
          <w:sz w:val="24"/>
          <w:szCs w:val="24"/>
          <w:vertAlign w:val="superscript"/>
        </w:rPr>
        <w:t>60</w:t>
      </w:r>
      <w:r w:rsidR="00141481">
        <w:rPr>
          <w:rFonts w:asciiTheme="majorHAnsi" w:hAnsiTheme="majorHAnsi" w:cstheme="majorHAnsi"/>
          <w:sz w:val="24"/>
          <w:szCs w:val="24"/>
        </w:rPr>
        <w:fldChar w:fldCharType="end"/>
      </w:r>
      <w:r w:rsidR="00141481">
        <w:rPr>
          <w:rFonts w:asciiTheme="majorHAnsi" w:hAnsiTheme="majorHAnsi" w:cstheme="majorHAnsi"/>
          <w:sz w:val="24"/>
          <w:szCs w:val="24"/>
        </w:rPr>
        <w:t xml:space="preserve"> </w:t>
      </w:r>
      <w:r w:rsidR="009B0912">
        <w:rPr>
          <w:rFonts w:asciiTheme="majorHAnsi" w:hAnsiTheme="majorHAnsi" w:cstheme="majorHAnsi"/>
          <w:sz w:val="24"/>
          <w:szCs w:val="24"/>
        </w:rPr>
        <w:t xml:space="preserve"> These findings laid the foundation for decades of MDR efflux research that continues today. </w:t>
      </w:r>
    </w:p>
    <w:p w14:paraId="1C8FAA13" w14:textId="45B8D053" w:rsidR="00C352BA" w:rsidRDefault="00C352BA"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RND efflux deficient strains of </w:t>
      </w:r>
      <w:r>
        <w:rPr>
          <w:rFonts w:asciiTheme="majorHAnsi" w:hAnsiTheme="majorHAnsi" w:cstheme="majorHAnsi"/>
          <w:i/>
          <w:iCs/>
          <w:sz w:val="24"/>
          <w:szCs w:val="24"/>
        </w:rPr>
        <w:t>A. baumannii</w:t>
      </w:r>
      <w:r>
        <w:rPr>
          <w:rFonts w:asciiTheme="majorHAnsi" w:hAnsiTheme="majorHAnsi" w:cstheme="majorHAnsi"/>
          <w:sz w:val="24"/>
          <w:szCs w:val="24"/>
        </w:rPr>
        <w:t xml:space="preserve"> have been found to overexpress some MFS efflux pumps, including </w:t>
      </w:r>
      <w:proofErr w:type="spellStart"/>
      <w:r>
        <w:rPr>
          <w:rFonts w:asciiTheme="majorHAnsi" w:hAnsiTheme="majorHAnsi" w:cstheme="majorHAnsi"/>
          <w:sz w:val="24"/>
          <w:szCs w:val="24"/>
        </w:rPr>
        <w:t>EmrAB</w:t>
      </w:r>
      <w:proofErr w:type="spellEnd"/>
      <w:r>
        <w:rPr>
          <w:rFonts w:asciiTheme="majorHAnsi" w:hAnsiTheme="majorHAnsi" w:cstheme="majorHAnsi"/>
          <w:sz w:val="24"/>
          <w:szCs w:val="24"/>
        </w:rPr>
        <w:t>-like homologs.</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{"citationID":"a15qe5gu1ut","properties":{"formattedCitation":"\\super 64\\nosupersub{}","plainCitation":"64","noteIndex":0},"citationItems":[{"id":1165,"uris":["http://zotero.org/users/1918630/items/HJJI4U4R"],"itemData":{"id":1165,"type":"article-journal","abstract":"Multidrug resistant (MDR) strains of Acinetobacter baumannii present a serious clinical challenge. The development of antibiotic resistance in this species is enabled by efflux pumps of the Resistance-Nodulation-Division (RND) superfamily of proteins creating an efficient permeability barrier for antibiotics. At least three RND pumps, AdeABC, AdeIJK, and AdeFGH are encoded in the A. baumannii genome and are reported to contribute to antibiotic resistance in clinical isolates. In this study, we analyzed the contributions of AdeABC and AdeIJK in antibiotic resistance and growth physiology of the two MDR strains, AYE and AB5075. We found that not only the two pumps have nonoverlapping substrate specificities, their inactivation leads to specific nonoverlapping changes in gene expression as determined by RNA sequencing and confirmed by gene knockouts and growth phenotypes. Our results suggest that inactivation of AdeIJK elicits broader changes in the abundances of mRNAs and this response is modified in the absence of AdeB. In contrast, inactivation of AdeB leads to a focused cellular response, which is not sensitive to the activity of AdeIJK. We identified additional efflux pumps and transcriptional regulators that contribute to MDR phenotype of clinical A. baumannii isolates.","container-title":"Molecular Microbiology","DOI":"10.1111/mmi.14594","ISSN":"1365-2958","issue":"6","journalAbbreviation":"Mol Microbiol","language":"eng","note":"PMID: 32858760","page":"1049-1065","source":"PubMed","title":"Inactivation of AdeABC and AdeIJK efflux pumps elicits specific nonoverlapping transcriptional and phenotypic responses in Acinetobacter baumannii","volume":"114","author":[{"family":"Leus","given":"Inga V."},{"family":"Adamiak","given":"Justyna"},{"family":"Trinh","given":"Anhthu N."},{"family":"Smith","given":"Richard D."},{"family":"Smith","given":"Lauren"},{"family":"Richardson","given":"Sophie"},{"family":"Ernst","given":"Robert K."},{"family":"Zgurskaya","given":"Helen I."}],"issued":{"date-parts":[["2020",12]]}}}],"schema":"https://github.com/citation-style-language/schema/raw/master/csl-citation.json"}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64</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sidR="00BE4ADC">
        <w:rPr>
          <w:rFonts w:asciiTheme="majorHAnsi" w:hAnsiTheme="majorHAnsi" w:cstheme="majorHAnsi"/>
          <w:sz w:val="24"/>
          <w:szCs w:val="24"/>
        </w:rPr>
        <w:t>However, t</w:t>
      </w:r>
      <w:r>
        <w:rPr>
          <w:rFonts w:asciiTheme="majorHAnsi" w:hAnsiTheme="majorHAnsi" w:cstheme="majorHAnsi"/>
          <w:sz w:val="24"/>
          <w:szCs w:val="24"/>
        </w:rPr>
        <w:t xml:space="preserve">heir role in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w:t>
      </w:r>
      <w:r w:rsidR="00BE4ADC">
        <w:rPr>
          <w:rFonts w:asciiTheme="majorHAnsi" w:hAnsiTheme="majorHAnsi" w:cstheme="majorHAnsi"/>
          <w:sz w:val="24"/>
          <w:szCs w:val="24"/>
        </w:rPr>
        <w:t>s</w:t>
      </w:r>
      <w:proofErr w:type="spellEnd"/>
      <w:r w:rsidR="00BE4ADC">
        <w:rPr>
          <w:rFonts w:asciiTheme="majorHAnsi" w:hAnsiTheme="majorHAnsi" w:cstheme="majorHAnsi"/>
          <w:sz w:val="24"/>
          <w:szCs w:val="24"/>
        </w:rPr>
        <w:t xml:space="preserve"> </w:t>
      </w:r>
      <w:r>
        <w:rPr>
          <w:rFonts w:asciiTheme="majorHAnsi" w:hAnsiTheme="majorHAnsi" w:cstheme="majorHAnsi"/>
          <w:sz w:val="24"/>
          <w:szCs w:val="24"/>
        </w:rPr>
        <w:t xml:space="preserve">bacterial physiology is still unknown. </w:t>
      </w:r>
      <w:r w:rsidR="00BE4ADC">
        <w:rPr>
          <w:rFonts w:asciiTheme="majorHAnsi" w:hAnsiTheme="majorHAnsi" w:cstheme="majorHAnsi"/>
          <w:sz w:val="24"/>
          <w:szCs w:val="24"/>
        </w:rPr>
        <w:t xml:space="preserve">Through genetic context analysis and functional characterization, this dissertation begins </w:t>
      </w:r>
      <w:r w:rsidR="00215A94">
        <w:rPr>
          <w:rFonts w:asciiTheme="majorHAnsi" w:hAnsiTheme="majorHAnsi" w:cstheme="majorHAnsi"/>
          <w:sz w:val="24"/>
          <w:szCs w:val="24"/>
        </w:rPr>
        <w:t xml:space="preserve">to </w:t>
      </w:r>
      <w:r w:rsidR="00BE4ADC">
        <w:rPr>
          <w:rFonts w:asciiTheme="majorHAnsi" w:hAnsiTheme="majorHAnsi" w:cstheme="majorHAnsi"/>
          <w:sz w:val="24"/>
          <w:szCs w:val="24"/>
        </w:rPr>
        <w:t>identify some of the cellular processes the MFS pumps are involved in.</w:t>
      </w:r>
    </w:p>
    <w:p w14:paraId="127A4CBA" w14:textId="77777777" w:rsidR="00795E97" w:rsidRDefault="00795E97" w:rsidP="00C836F0">
      <w:pPr>
        <w:rPr>
          <w:rFonts w:asciiTheme="majorHAnsi" w:hAnsiTheme="majorHAnsi" w:cstheme="majorHAnsi"/>
          <w:sz w:val="24"/>
          <w:szCs w:val="24"/>
          <w:u w:val="single"/>
        </w:rPr>
      </w:pPr>
    </w:p>
    <w:p w14:paraId="36CC3533" w14:textId="77777777" w:rsidR="00B91F28" w:rsidRDefault="00B91F28" w:rsidP="00C836F0">
      <w:pPr>
        <w:rPr>
          <w:rFonts w:asciiTheme="majorHAnsi" w:hAnsiTheme="majorHAnsi" w:cstheme="majorHAnsi"/>
          <w:sz w:val="24"/>
          <w:szCs w:val="24"/>
          <w:u w:val="single"/>
        </w:rPr>
      </w:pPr>
    </w:p>
    <w:p w14:paraId="51E7FD1C" w14:textId="77777777" w:rsidR="00B91F28" w:rsidRDefault="00B91F28" w:rsidP="00C836F0">
      <w:pPr>
        <w:rPr>
          <w:rFonts w:asciiTheme="majorHAnsi" w:hAnsiTheme="majorHAnsi" w:cstheme="majorHAnsi"/>
          <w:sz w:val="24"/>
          <w:szCs w:val="24"/>
          <w:u w:val="single"/>
        </w:rPr>
      </w:pPr>
    </w:p>
    <w:p w14:paraId="536A9DEE" w14:textId="77777777" w:rsidR="00B91F28" w:rsidRDefault="00B91F28" w:rsidP="00C836F0">
      <w:pPr>
        <w:rPr>
          <w:rFonts w:asciiTheme="majorHAnsi" w:hAnsiTheme="majorHAnsi" w:cstheme="majorHAnsi"/>
          <w:sz w:val="24"/>
          <w:szCs w:val="24"/>
          <w:u w:val="single"/>
        </w:rPr>
      </w:pPr>
    </w:p>
    <w:p w14:paraId="065EDB1D" w14:textId="77777777" w:rsidR="00B91F28" w:rsidRDefault="00B91F28" w:rsidP="00C836F0">
      <w:pPr>
        <w:rPr>
          <w:rFonts w:asciiTheme="majorHAnsi" w:hAnsiTheme="majorHAnsi" w:cstheme="majorHAnsi"/>
          <w:sz w:val="24"/>
          <w:szCs w:val="24"/>
          <w:u w:val="single"/>
        </w:rPr>
      </w:pPr>
    </w:p>
    <w:p w14:paraId="67407BF7" w14:textId="77777777" w:rsidR="00B91F28" w:rsidRDefault="00B91F28" w:rsidP="00C836F0">
      <w:pPr>
        <w:rPr>
          <w:rFonts w:asciiTheme="majorHAnsi" w:hAnsiTheme="majorHAnsi" w:cstheme="majorHAnsi"/>
          <w:sz w:val="24"/>
          <w:szCs w:val="24"/>
          <w:u w:val="single"/>
        </w:rPr>
      </w:pPr>
    </w:p>
    <w:p w14:paraId="55C54D9B" w14:textId="77777777" w:rsidR="00B91F28" w:rsidRDefault="00B91F28" w:rsidP="00C836F0">
      <w:pPr>
        <w:rPr>
          <w:rFonts w:asciiTheme="majorHAnsi" w:hAnsiTheme="majorHAnsi" w:cstheme="majorHAnsi"/>
          <w:sz w:val="24"/>
          <w:szCs w:val="24"/>
          <w:u w:val="single"/>
        </w:rPr>
      </w:pPr>
    </w:p>
    <w:p w14:paraId="45C309AB" w14:textId="77777777" w:rsidR="00B91F28" w:rsidRDefault="00B91F28" w:rsidP="00C836F0">
      <w:pPr>
        <w:rPr>
          <w:rFonts w:asciiTheme="majorHAnsi" w:hAnsiTheme="majorHAnsi" w:cstheme="majorHAnsi"/>
          <w:sz w:val="24"/>
          <w:szCs w:val="24"/>
          <w:u w:val="single"/>
        </w:rPr>
      </w:pPr>
    </w:p>
    <w:p w14:paraId="4BB91D87" w14:textId="77777777" w:rsidR="00A16F48" w:rsidRDefault="00A16F48" w:rsidP="00C836F0">
      <w:pPr>
        <w:rPr>
          <w:rFonts w:asciiTheme="majorHAnsi" w:hAnsiTheme="majorHAnsi" w:cstheme="majorHAnsi"/>
          <w:sz w:val="24"/>
          <w:szCs w:val="24"/>
          <w:u w:val="single"/>
        </w:rPr>
      </w:pPr>
    </w:p>
    <w:p w14:paraId="1ED230F6" w14:textId="77777777" w:rsidR="00A16F48" w:rsidRDefault="00A16F48" w:rsidP="00C836F0">
      <w:pPr>
        <w:rPr>
          <w:rFonts w:asciiTheme="majorHAnsi" w:hAnsiTheme="majorHAnsi" w:cstheme="majorHAnsi"/>
          <w:sz w:val="24"/>
          <w:szCs w:val="24"/>
          <w:u w:val="single"/>
        </w:rPr>
      </w:pPr>
    </w:p>
    <w:p w14:paraId="08764B1A" w14:textId="77777777" w:rsidR="00A16F48" w:rsidRDefault="00A16F48" w:rsidP="00C836F0">
      <w:pPr>
        <w:rPr>
          <w:rFonts w:asciiTheme="majorHAnsi" w:hAnsiTheme="majorHAnsi" w:cstheme="majorHAnsi"/>
          <w:sz w:val="24"/>
          <w:szCs w:val="24"/>
          <w:u w:val="single"/>
        </w:rPr>
      </w:pPr>
    </w:p>
    <w:p w14:paraId="289838A9" w14:textId="77777777" w:rsidR="00B91F28" w:rsidRDefault="00B91F28" w:rsidP="00C836F0">
      <w:pPr>
        <w:rPr>
          <w:rFonts w:asciiTheme="majorHAnsi" w:hAnsiTheme="majorHAnsi" w:cstheme="majorHAnsi"/>
          <w:sz w:val="24"/>
          <w:szCs w:val="24"/>
          <w:u w:val="single"/>
        </w:rPr>
      </w:pPr>
    </w:p>
    <w:p w14:paraId="23731EA6" w14:textId="101D90D1" w:rsidR="006A5154" w:rsidRDefault="00893376" w:rsidP="00C836F0">
      <w:pPr>
        <w:rPr>
          <w:rFonts w:asciiTheme="majorHAnsi" w:hAnsiTheme="majorHAnsi" w:cstheme="majorHAnsi"/>
          <w:sz w:val="24"/>
          <w:szCs w:val="24"/>
          <w:u w:val="single"/>
        </w:rPr>
      </w:pPr>
      <w:r>
        <w:rPr>
          <w:rFonts w:asciiTheme="majorHAnsi" w:hAnsiTheme="majorHAnsi" w:cstheme="majorHAnsi"/>
          <w:sz w:val="24"/>
          <w:szCs w:val="24"/>
          <w:u w:val="single"/>
        </w:rPr>
        <w:lastRenderedPageBreak/>
        <w:t>1.</w:t>
      </w:r>
      <w:r w:rsidR="007D3623">
        <w:rPr>
          <w:rFonts w:asciiTheme="majorHAnsi" w:hAnsiTheme="majorHAnsi" w:cstheme="majorHAnsi"/>
          <w:sz w:val="24"/>
          <w:szCs w:val="24"/>
          <w:u w:val="single"/>
        </w:rPr>
        <w:t>4</w:t>
      </w:r>
      <w:r>
        <w:rPr>
          <w:rFonts w:asciiTheme="majorHAnsi" w:hAnsiTheme="majorHAnsi" w:cstheme="majorHAnsi"/>
          <w:sz w:val="24"/>
          <w:szCs w:val="24"/>
          <w:u w:val="single"/>
        </w:rPr>
        <w:t xml:space="preserve">. </w:t>
      </w:r>
      <w:r w:rsidR="00251E74" w:rsidRPr="00734E96">
        <w:rPr>
          <w:rFonts w:asciiTheme="majorHAnsi" w:hAnsiTheme="majorHAnsi" w:cstheme="majorHAnsi"/>
          <w:sz w:val="24"/>
          <w:szCs w:val="24"/>
          <w:u w:val="single"/>
        </w:rPr>
        <w:t xml:space="preserve">Pathogen </w:t>
      </w:r>
      <w:r w:rsidR="007D3623">
        <w:rPr>
          <w:rFonts w:asciiTheme="majorHAnsi" w:hAnsiTheme="majorHAnsi" w:cstheme="majorHAnsi"/>
          <w:sz w:val="24"/>
          <w:szCs w:val="24"/>
          <w:u w:val="single"/>
        </w:rPr>
        <w:t>s</w:t>
      </w:r>
      <w:r w:rsidR="00251E74" w:rsidRPr="00734E96">
        <w:rPr>
          <w:rFonts w:asciiTheme="majorHAnsi" w:hAnsiTheme="majorHAnsi" w:cstheme="majorHAnsi"/>
          <w:sz w:val="24"/>
          <w:szCs w:val="24"/>
          <w:u w:val="single"/>
        </w:rPr>
        <w:t xml:space="preserve">trategies to </w:t>
      </w:r>
      <w:r w:rsidR="007D3623">
        <w:rPr>
          <w:rFonts w:asciiTheme="majorHAnsi" w:hAnsiTheme="majorHAnsi" w:cstheme="majorHAnsi"/>
          <w:sz w:val="24"/>
          <w:szCs w:val="24"/>
          <w:u w:val="single"/>
        </w:rPr>
        <w:t>s</w:t>
      </w:r>
      <w:r w:rsidR="00251E74" w:rsidRPr="00734E96">
        <w:rPr>
          <w:rFonts w:asciiTheme="majorHAnsi" w:hAnsiTheme="majorHAnsi" w:cstheme="majorHAnsi"/>
          <w:sz w:val="24"/>
          <w:szCs w:val="24"/>
          <w:u w:val="single"/>
        </w:rPr>
        <w:t xml:space="preserve">urvive </w:t>
      </w:r>
      <w:r w:rsidR="007D3623">
        <w:rPr>
          <w:rFonts w:asciiTheme="majorHAnsi" w:hAnsiTheme="majorHAnsi" w:cstheme="majorHAnsi"/>
          <w:sz w:val="24"/>
          <w:szCs w:val="24"/>
          <w:u w:val="single"/>
        </w:rPr>
        <w:t>d</w:t>
      </w:r>
      <w:r w:rsidR="00251E74" w:rsidRPr="00734E96">
        <w:rPr>
          <w:rFonts w:asciiTheme="majorHAnsi" w:hAnsiTheme="majorHAnsi" w:cstheme="majorHAnsi"/>
          <w:sz w:val="24"/>
          <w:szCs w:val="24"/>
          <w:u w:val="single"/>
        </w:rPr>
        <w:t xml:space="preserve">uring </w:t>
      </w:r>
      <w:proofErr w:type="gramStart"/>
      <w:r w:rsidR="007D3623">
        <w:rPr>
          <w:rFonts w:asciiTheme="majorHAnsi" w:hAnsiTheme="majorHAnsi" w:cstheme="majorHAnsi"/>
          <w:sz w:val="24"/>
          <w:szCs w:val="24"/>
          <w:u w:val="single"/>
        </w:rPr>
        <w:t>i</w:t>
      </w:r>
      <w:r w:rsidR="00251E74" w:rsidRPr="00734E96">
        <w:rPr>
          <w:rFonts w:asciiTheme="majorHAnsi" w:hAnsiTheme="majorHAnsi" w:cstheme="majorHAnsi"/>
          <w:sz w:val="24"/>
          <w:szCs w:val="24"/>
          <w:u w:val="single"/>
        </w:rPr>
        <w:t>nfections</w:t>
      </w:r>
      <w:proofErr w:type="gramEnd"/>
      <w:r w:rsidR="00F2254A">
        <w:rPr>
          <w:rFonts w:asciiTheme="majorHAnsi" w:hAnsiTheme="majorHAnsi" w:cstheme="majorHAnsi"/>
          <w:sz w:val="24"/>
          <w:szCs w:val="24"/>
          <w:u w:val="single"/>
        </w:rPr>
        <w:t xml:space="preserve">  </w:t>
      </w:r>
    </w:p>
    <w:p w14:paraId="60F98EE9" w14:textId="42830666" w:rsidR="002859C6" w:rsidRDefault="00EE0D20" w:rsidP="002859C6">
      <w:pPr>
        <w:jc w:val="center"/>
        <w:rPr>
          <w:rFonts w:asciiTheme="majorHAnsi" w:hAnsiTheme="majorHAnsi" w:cstheme="majorHAnsi"/>
          <w:b/>
          <w:bCs/>
          <w:sz w:val="24"/>
          <w:szCs w:val="24"/>
        </w:rPr>
      </w:pPr>
      <w:r w:rsidRPr="00EE0D20">
        <w:rPr>
          <w:noProof/>
        </w:rPr>
        <w:drawing>
          <wp:inline distT="0" distB="0" distL="0" distR="0" wp14:anchorId="14455C4B" wp14:editId="28C37DEA">
            <wp:extent cx="2651548" cy="2762250"/>
            <wp:effectExtent l="0" t="0" r="0" b="0"/>
            <wp:docPr id="55508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83482" name=""/>
                    <pic:cNvPicPr/>
                  </pic:nvPicPr>
                  <pic:blipFill rotWithShape="1">
                    <a:blip r:embed="rId20"/>
                    <a:srcRect t="4731"/>
                    <a:stretch/>
                  </pic:blipFill>
                  <pic:spPr bwMode="auto">
                    <a:xfrm>
                      <a:off x="0" y="0"/>
                      <a:ext cx="2655604" cy="2766475"/>
                    </a:xfrm>
                    <a:prstGeom prst="rect">
                      <a:avLst/>
                    </a:prstGeom>
                    <a:ln>
                      <a:noFill/>
                    </a:ln>
                    <a:extLst>
                      <a:ext uri="{53640926-AAD7-44D8-BBD7-CCE9431645EC}">
                        <a14:shadowObscured xmlns:a14="http://schemas.microsoft.com/office/drawing/2010/main"/>
                      </a:ext>
                    </a:extLst>
                  </pic:spPr>
                </pic:pic>
              </a:graphicData>
            </a:graphic>
          </wp:inline>
        </w:drawing>
      </w:r>
    </w:p>
    <w:p w14:paraId="0811793C" w14:textId="238144C3" w:rsidR="001C02A1" w:rsidRDefault="001C02A1" w:rsidP="00C836F0">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00EE0D20">
        <w:rPr>
          <w:rFonts w:asciiTheme="majorHAnsi" w:hAnsiTheme="majorHAnsi" w:cstheme="majorHAnsi"/>
          <w:b/>
          <w:bCs/>
          <w:sz w:val="24"/>
          <w:szCs w:val="24"/>
        </w:rPr>
        <w:t>1</w:t>
      </w:r>
      <w:r>
        <w:rPr>
          <w:rFonts w:asciiTheme="majorHAnsi" w:hAnsiTheme="majorHAnsi" w:cstheme="majorHAnsi"/>
          <w:b/>
          <w:bCs/>
          <w:sz w:val="24"/>
          <w:szCs w:val="24"/>
        </w:rPr>
        <w:t>.</w:t>
      </w:r>
      <w:r w:rsidR="00063D04">
        <w:rPr>
          <w:rFonts w:asciiTheme="majorHAnsi" w:hAnsiTheme="majorHAnsi" w:cstheme="majorHAnsi"/>
          <w:b/>
          <w:bCs/>
          <w:sz w:val="24"/>
          <w:szCs w:val="24"/>
        </w:rPr>
        <w:t>10</w:t>
      </w:r>
      <w:r w:rsidR="00EE0D20">
        <w:rPr>
          <w:rFonts w:asciiTheme="majorHAnsi" w:hAnsiTheme="majorHAnsi" w:cstheme="majorHAnsi"/>
          <w:b/>
          <w:bCs/>
          <w:sz w:val="24"/>
          <w:szCs w:val="24"/>
        </w:rPr>
        <w:t xml:space="preserve"> Human </w:t>
      </w:r>
      <w:r w:rsidR="007D3623">
        <w:rPr>
          <w:rFonts w:asciiTheme="majorHAnsi" w:hAnsiTheme="majorHAnsi" w:cstheme="majorHAnsi"/>
          <w:b/>
          <w:bCs/>
          <w:sz w:val="24"/>
          <w:szCs w:val="24"/>
        </w:rPr>
        <w:t>h</w:t>
      </w:r>
      <w:r w:rsidR="00EE0D20">
        <w:rPr>
          <w:rFonts w:asciiTheme="majorHAnsi" w:hAnsiTheme="majorHAnsi" w:cstheme="majorHAnsi"/>
          <w:b/>
          <w:bCs/>
          <w:sz w:val="24"/>
          <w:szCs w:val="24"/>
        </w:rPr>
        <w:t xml:space="preserve">ost </w:t>
      </w:r>
      <w:r w:rsidR="007D3623">
        <w:rPr>
          <w:rFonts w:asciiTheme="majorHAnsi" w:hAnsiTheme="majorHAnsi" w:cstheme="majorHAnsi"/>
          <w:b/>
          <w:bCs/>
          <w:sz w:val="24"/>
          <w:szCs w:val="24"/>
        </w:rPr>
        <w:t>i</w:t>
      </w:r>
      <w:r w:rsidR="00EE0D20">
        <w:rPr>
          <w:rFonts w:asciiTheme="majorHAnsi" w:hAnsiTheme="majorHAnsi" w:cstheme="majorHAnsi"/>
          <w:b/>
          <w:bCs/>
          <w:sz w:val="24"/>
          <w:szCs w:val="24"/>
        </w:rPr>
        <w:t xml:space="preserve">nfection </w:t>
      </w:r>
      <w:r w:rsidR="007D3623">
        <w:rPr>
          <w:rFonts w:asciiTheme="majorHAnsi" w:hAnsiTheme="majorHAnsi" w:cstheme="majorHAnsi"/>
          <w:b/>
          <w:bCs/>
          <w:sz w:val="24"/>
          <w:szCs w:val="24"/>
        </w:rPr>
        <w:t>s</w:t>
      </w:r>
      <w:r w:rsidR="00EE0D20">
        <w:rPr>
          <w:rFonts w:asciiTheme="majorHAnsi" w:hAnsiTheme="majorHAnsi" w:cstheme="majorHAnsi"/>
          <w:b/>
          <w:bCs/>
          <w:sz w:val="24"/>
          <w:szCs w:val="24"/>
        </w:rPr>
        <w:t xml:space="preserve">tress </w:t>
      </w:r>
      <w:r w:rsidR="007D3623">
        <w:rPr>
          <w:rFonts w:asciiTheme="majorHAnsi" w:hAnsiTheme="majorHAnsi" w:cstheme="majorHAnsi"/>
          <w:b/>
          <w:bCs/>
          <w:sz w:val="24"/>
          <w:szCs w:val="24"/>
        </w:rPr>
        <w:t>c</w:t>
      </w:r>
      <w:r w:rsidR="00EE0D20">
        <w:rPr>
          <w:rFonts w:asciiTheme="majorHAnsi" w:hAnsiTheme="majorHAnsi" w:cstheme="majorHAnsi"/>
          <w:b/>
          <w:bCs/>
          <w:sz w:val="24"/>
          <w:szCs w:val="24"/>
        </w:rPr>
        <w:t>onditions</w:t>
      </w:r>
    </w:p>
    <w:p w14:paraId="567F47B3" w14:textId="25EC155E" w:rsidR="00EE0D20" w:rsidRPr="00EE0D20" w:rsidRDefault="00EE0D20" w:rsidP="00132A7B">
      <w:pPr>
        <w:jc w:val="both"/>
        <w:rPr>
          <w:rFonts w:asciiTheme="majorHAnsi" w:hAnsiTheme="majorHAnsi" w:cstheme="majorHAnsi"/>
          <w:sz w:val="24"/>
          <w:szCs w:val="24"/>
        </w:rPr>
      </w:pPr>
      <w:r>
        <w:rPr>
          <w:rFonts w:asciiTheme="majorHAnsi" w:hAnsiTheme="majorHAnsi" w:cstheme="majorHAnsi"/>
          <w:sz w:val="24"/>
          <w:szCs w:val="24"/>
        </w:rPr>
        <w:t xml:space="preserve">An illustrated representation of five human host associated stress conditions that </w:t>
      </w:r>
      <w:r>
        <w:rPr>
          <w:rFonts w:asciiTheme="majorHAnsi" w:hAnsiTheme="majorHAnsi" w:cstheme="majorHAnsi"/>
          <w:i/>
          <w:iCs/>
          <w:sz w:val="24"/>
          <w:szCs w:val="24"/>
        </w:rPr>
        <w:t>A</w:t>
      </w:r>
      <w:r w:rsidR="00B91F28">
        <w:rPr>
          <w:rFonts w:asciiTheme="majorHAnsi" w:hAnsiTheme="majorHAnsi" w:cstheme="majorHAnsi"/>
          <w:i/>
          <w:iCs/>
          <w:sz w:val="24"/>
          <w:szCs w:val="24"/>
        </w:rPr>
        <w:t>.</w:t>
      </w:r>
      <w:r>
        <w:rPr>
          <w:rFonts w:asciiTheme="majorHAnsi" w:hAnsiTheme="majorHAnsi" w:cstheme="majorHAnsi"/>
          <w:i/>
          <w:iCs/>
          <w:sz w:val="24"/>
          <w:szCs w:val="24"/>
        </w:rPr>
        <w:t xml:space="preserve"> baumannii</w:t>
      </w:r>
      <w:r>
        <w:rPr>
          <w:rFonts w:asciiTheme="majorHAnsi" w:hAnsiTheme="majorHAnsi" w:cstheme="majorHAnsi"/>
          <w:sz w:val="24"/>
          <w:szCs w:val="24"/>
        </w:rPr>
        <w:t xml:space="preserve"> encounters during infection</w:t>
      </w:r>
      <w:r w:rsidR="00AF3618">
        <w:rPr>
          <w:rFonts w:asciiTheme="majorHAnsi" w:hAnsiTheme="majorHAnsi" w:cstheme="majorHAnsi"/>
          <w:sz w:val="24"/>
          <w:szCs w:val="24"/>
        </w:rPr>
        <w:t xml:space="preserve">, including high temperature (41°C), bile stress (0.5% </w:t>
      </w:r>
      <w:r w:rsidR="00DA159F">
        <w:rPr>
          <w:rFonts w:asciiTheme="majorHAnsi" w:hAnsiTheme="majorHAnsi" w:cstheme="majorHAnsi"/>
          <w:sz w:val="24"/>
          <w:szCs w:val="24"/>
        </w:rPr>
        <w:t>b</w:t>
      </w:r>
      <w:r w:rsidR="00AF3618">
        <w:rPr>
          <w:rFonts w:asciiTheme="majorHAnsi" w:hAnsiTheme="majorHAnsi" w:cstheme="majorHAnsi"/>
          <w:sz w:val="24"/>
          <w:szCs w:val="24"/>
        </w:rPr>
        <w:t xml:space="preserve">ile </w:t>
      </w:r>
      <w:r w:rsidR="00DA159F">
        <w:rPr>
          <w:rFonts w:asciiTheme="majorHAnsi" w:hAnsiTheme="majorHAnsi" w:cstheme="majorHAnsi"/>
          <w:sz w:val="24"/>
          <w:szCs w:val="24"/>
        </w:rPr>
        <w:t>sa</w:t>
      </w:r>
      <w:r w:rsidR="00AF3618">
        <w:rPr>
          <w:rFonts w:asciiTheme="majorHAnsi" w:hAnsiTheme="majorHAnsi" w:cstheme="majorHAnsi"/>
          <w:sz w:val="24"/>
          <w:szCs w:val="24"/>
        </w:rPr>
        <w:t>lts</w:t>
      </w:r>
      <w:r w:rsidR="00DA159F">
        <w:rPr>
          <w:rFonts w:asciiTheme="majorHAnsi" w:hAnsiTheme="majorHAnsi" w:cstheme="majorHAnsi"/>
          <w:sz w:val="24"/>
          <w:szCs w:val="24"/>
        </w:rPr>
        <w:t>/DOC</w:t>
      </w:r>
      <w:r w:rsidR="00AF3618">
        <w:rPr>
          <w:rFonts w:asciiTheme="majorHAnsi" w:hAnsiTheme="majorHAnsi" w:cstheme="majorHAnsi"/>
          <w:sz w:val="24"/>
          <w:szCs w:val="24"/>
        </w:rPr>
        <w:t>)</w:t>
      </w:r>
      <w:r w:rsidR="00DA159F">
        <w:rPr>
          <w:rFonts w:asciiTheme="majorHAnsi" w:hAnsiTheme="majorHAnsi" w:cstheme="majorHAnsi"/>
          <w:sz w:val="24"/>
          <w:szCs w:val="24"/>
        </w:rPr>
        <w:t>, low pH (pH 4.6), osmotic stress (0.5 M NaCl), and limited iron (125 µM 2-2’-dipyridyl).</w:t>
      </w:r>
    </w:p>
    <w:p w14:paraId="72F89C5A" w14:textId="4E9DC77B" w:rsidR="00434B87" w:rsidRPr="00BE4ADC" w:rsidRDefault="00BE4ADC" w:rsidP="006B1E2F">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Immediately upon entering the human host, </w:t>
      </w:r>
      <w:r w:rsidR="007A285D">
        <w:rPr>
          <w:rFonts w:asciiTheme="majorHAnsi" w:hAnsiTheme="majorHAnsi" w:cstheme="majorHAnsi"/>
          <w:sz w:val="24"/>
          <w:szCs w:val="24"/>
        </w:rPr>
        <w:t>pathogenic</w:t>
      </w:r>
      <w:r>
        <w:rPr>
          <w:rFonts w:asciiTheme="majorHAnsi" w:hAnsiTheme="majorHAnsi" w:cstheme="majorHAnsi"/>
          <w:sz w:val="24"/>
          <w:szCs w:val="24"/>
        </w:rPr>
        <w:t xml:space="preserve"> bacteria must adapt to various stress conditions in order to survive. Some of these conditions include low pH, high temperature, and nutrient scarcity.</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{"citationID":"a2d967hcn4q","properties":{"formattedCitation":"\\super 65\\nosupersub{}","plainCitation":"65","noteIndex":0},"citationItems":[{"id":2176,"uris":["http://zotero.org/users/1918630/items/YW2Y7DXW"],"itemData":{"id":2176,"type":"article-journal","abstract":"Pathogenic bacteria must withstand diverse host environments during infection. Environmental signals, such as pH, temperature, nutrient scarcity, etc., not only trigger adaptive responses within bacteria to these specific stress conditions but also direct the expression of virulence genes at an appropriate time and place. An appreciation of stress responses and their regulation is therefore essential for an understanding of bacterial pathogenesis. This review considers specific stresses in the host environment and their relevance to pathogenesis, with a particular focus on the enteric pathogen Salmonella.","container-title":"Cell host &amp; microbe","DOI":"10.1016/j.chom.2016.07.009","ISSN":"1931-3128","issue":"2","journalAbbreviation":"Cell Host Microbe","note":"PMID: 27512901\nPMCID: PMC4985009","page":"133-143","source":"PubMed Central","title":"Bacterial Stress Responses during Host Infection","volume":"20","author":[{"family":"Fang","given":"Ferric C."},{"family":"Frawley","given":"Elaine R."},{"family":"Tapscott","given":"Timothy"},{"family":"Vazquez-Torres","given":"Andrés"}],"issued":{"date-parts":[["2016",8,10]]}}}],"schema":"https://github.com/citation-style-language/schema/raw/master/csl-citation.json"}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65</w:t>
      </w:r>
      <w:r>
        <w:rPr>
          <w:rFonts w:asciiTheme="majorHAnsi" w:hAnsiTheme="majorHAnsi" w:cstheme="majorHAnsi"/>
          <w:sz w:val="24"/>
          <w:szCs w:val="24"/>
        </w:rPr>
        <w:fldChar w:fldCharType="end"/>
      </w:r>
      <w:r>
        <w:rPr>
          <w:rFonts w:asciiTheme="majorHAnsi" w:hAnsiTheme="majorHAnsi" w:cstheme="majorHAnsi"/>
          <w:sz w:val="24"/>
          <w:szCs w:val="24"/>
        </w:rPr>
        <w:t xml:space="preserve"> </w:t>
      </w:r>
      <w:r w:rsidR="00E8519D">
        <w:rPr>
          <w:rFonts w:asciiTheme="majorHAnsi" w:hAnsiTheme="majorHAnsi" w:cstheme="majorHAnsi"/>
          <w:sz w:val="24"/>
          <w:szCs w:val="24"/>
        </w:rPr>
        <w:t>Bacteria have general and specific stress response systems they use to respond to</w:t>
      </w:r>
      <w:r w:rsidR="006B1E2F">
        <w:rPr>
          <w:rFonts w:asciiTheme="majorHAnsi" w:hAnsiTheme="majorHAnsi" w:cstheme="majorHAnsi"/>
          <w:sz w:val="24"/>
          <w:szCs w:val="24"/>
        </w:rPr>
        <w:t xml:space="preserve"> detrimental growth environments.</w:t>
      </w:r>
      <w:r w:rsidR="006B1E2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{"citationID":"a2h1t2acebu","properties":{"formattedCitation":"\\super 66\\nosupersub{}","plainCitation":"66","noteIndex":0},"citationItems":[{"id":2179,"uris":["http://zotero.org/users/1918630/items/2INNYBGG"],"itemData":{"id":2179,"type":"article-journal","abstract":"Bacteria can be adapted to adverse and detrimental conditions that induce general and specific responses to DNA damage as well as acid, heat, cold, starvation, oxidative, envelope, and osmotic stresses. The stress-triggered regulatory systems are involved in bacterial survival processes, such as adaptation, physiological changes, virulence potential, and antibiotic resistance. Antibiotic susceptibility to several antibiotics is reduced due to the activation of stress responses in cellular physiology by the stimulation of resistance mechanisms, the promotion of a resistant lifestyle (biofilm or persistence), and/or the induction of resistance mutations. Hence, the activation of bacterial stress responses poses a serious threat to the efficacy and clinical success of antibiotic therapy. Bacterial stress responses can be potential targets for therapeutic alternatives to antibiotics. An understanding of the regulation of stress response in association with antibiotic resistance provides useful information for the discovery of novel antimicrobial adjuvants and the development of effective therapeutic strategies to control antibiotic resistance in bacteria. Therefore, this review discusses bacterial stress responses linked to antibiotic resistance in Gram-negative bacteria and also provides information on novel therapies targeting bacterial stress responses that have been identified as potential candidates for the effective control of Gram-negative antibiotic-resistant bacteria.","container-title":"Microorganisms","DOI":"10.3390/microorganisms10071385","ISSN":"2076-2607","issue":"7","journalAbbreviation":"Microorganisms","note":"PMID: 35889104\nPMCID: PMC9322497","page":"1385","source":"PubMed Central","title":"Bacterial Stress Responses as Potential Targets in Overcoming Antibiotic Resistance","volume":"10","author":[{"family":"Dawan","given":"Jirapat"},{"family":"Ahn","given":"Juhee"}],"issued":{"date-parts":[["2022",7,9]]}}}],"schema":"https://github.com/citation-style-language/schema/raw/master/csl-citation.json"} </w:instrText>
      </w:r>
      <w:r w:rsidR="006B1E2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66</w:t>
      </w:r>
      <w:r w:rsidR="006B1E2F">
        <w:rPr>
          <w:rFonts w:asciiTheme="majorHAnsi" w:hAnsiTheme="majorHAnsi" w:cstheme="majorHAnsi"/>
          <w:sz w:val="24"/>
          <w:szCs w:val="24"/>
        </w:rPr>
        <w:fldChar w:fldCharType="end"/>
      </w:r>
      <w:r w:rsidR="006B1E2F">
        <w:rPr>
          <w:rFonts w:asciiTheme="majorHAnsi" w:hAnsiTheme="majorHAnsi" w:cstheme="majorHAnsi"/>
          <w:sz w:val="24"/>
          <w:szCs w:val="24"/>
        </w:rPr>
        <w:t xml:space="preserve"> </w:t>
      </w:r>
      <w:proofErr w:type="spellStart"/>
      <w:r w:rsidR="006B1E2F">
        <w:rPr>
          <w:rFonts w:asciiTheme="majorHAnsi" w:hAnsiTheme="majorHAnsi" w:cstheme="majorHAnsi"/>
          <w:sz w:val="24"/>
          <w:szCs w:val="24"/>
        </w:rPr>
        <w:t>Avican</w:t>
      </w:r>
      <w:proofErr w:type="spellEnd"/>
      <w:r w:rsidR="006B1E2F">
        <w:rPr>
          <w:rFonts w:asciiTheme="majorHAnsi" w:hAnsiTheme="majorHAnsi" w:cstheme="majorHAnsi"/>
          <w:sz w:val="24"/>
          <w:szCs w:val="24"/>
        </w:rPr>
        <w:t xml:space="preserve"> et al. identified species-specific “universal stress responders” that were seen to have altered expression under multiple stress conditions, including some transporters.</w:t>
      </w:r>
      <w:r w:rsidR="006B1E2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{"citationID":"aq2uaim0p1","properties":{"formattedCitation":"\\super 67\\nosupersub{}","plainCitation":"67","noteIndex":0},"citationItems":[{"id":1277,"uris":["http://zotero.org/users/1918630/items/T5RT5BXB"],"itemData":{"id":1277,"type":"article-journal","abstract":"Bacterial processes necessary for adaption to stressful host environments are potential targets for new antimicrobials. Here, we report large-scale transcriptomic analyses of 32 human bacterial pathogens grown under 11 stress conditions mimicking human host environments. The potential relevance of the in vitro stress conditions and responses is supported by comparisons with available in vivo transcriptomes of clinically important pathogens. Calculation of a probability score enables comparative cross-microbial analyses of the stress responses, revealing common and unique regulatory responses to different stresses, as well as overlapping processes participating in different stress responses. We identify conserved and species-specific ‘universal stress responders’, that is, genes showing altered expression in multiple stress conditions. Non-coding RNAs are involved in a substantial proportion of the responses. The data are collected in a freely available, interactive online resource (PATHOgenex).","container-title":"Nature Communications","DOI":"10.1038/s41467-021-23588-w","ISSN":"2041-1723","issue":"1","journalAbbreviation":"Nat Commun","language":"en","license":"2021 The Author(s)","note":"Bandiera_abtest: a\nCc_license_type: cc_by\nCg_type: Nature Research Journals\nnumber: 1\nPrimary_atype: Research\npublisher: Nature Publishing Group\nSubject_term: Bacterial physiology;Bacterial transcription;Gene regulation;Pathogens\nSubject_term_id: bacterial-physiology;bacterial-transcription;gene-regulation;pathogens","page":"3282","source":"www.nature.com","title":"RNA atlas of human bacterial pathogens uncovers stress dynamics linked to infection","volume":"12","author":[{"family":"Avican","given":"Kemal"},{"family":"Aldahdooh","given":"Jehad"},{"family":"Togninalli","given":"Matteo"},{"family":"Mahmud","given":"A. K. M. Firoj"},{"family":"Tang","given":"Jing"},{"family":"Borgwardt","given":"Karsten M."},{"family":"Rhen","given":"Mikael"},{"family":"Fällman","given":"Maria"}],"issued":{"date-parts":[["2021",6,2]]}}}],"schema":"https://github.com/citation-style-language/schema/raw/master/csl-citation.json"} </w:instrText>
      </w:r>
      <w:r w:rsidR="006B1E2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67</w:t>
      </w:r>
      <w:r w:rsidR="006B1E2F">
        <w:rPr>
          <w:rFonts w:asciiTheme="majorHAnsi" w:hAnsiTheme="majorHAnsi" w:cstheme="majorHAnsi"/>
          <w:sz w:val="24"/>
          <w:szCs w:val="24"/>
        </w:rPr>
        <w:fldChar w:fldCharType="end"/>
      </w:r>
      <w:r w:rsidR="006B1E2F">
        <w:rPr>
          <w:rFonts w:asciiTheme="majorHAnsi" w:hAnsiTheme="majorHAnsi" w:cstheme="majorHAnsi"/>
          <w:sz w:val="24"/>
          <w:szCs w:val="24"/>
        </w:rPr>
        <w:t xml:space="preserve"> In addition to conferring multidrug resistance, efflux pumps have been implicated in bacterial virulence and stress responses.</w:t>
      </w:r>
      <w:r w:rsidR="006B1E2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{"citationID":"aujjve1def","properties":{"formattedCitation":"\\super 68\\nosupersub{}","plainCitation":"68","noteIndex":0},"citationItems":[{"id":2182,"uris":["http://zotero.org/users/1918630/items/WNJKSYLR"],"itemData":{"id":2182,"type":"article-journal","abstract":"The problem of antibiotic resistance among pathogenic bacteria has reached a crisis level. The treatment options against infections caused by multiple drug-resistant bacteria are shrinking gradually. The current pace of the discovery of new antibacterial entities is lagging behind the rate of development of new resistance. Efflux pumps play a central role in making a bacterium resistant to multiple antibiotics due to their ability to expel a wide range of structurally diverse compounds. Besides providing an escape from antibacterial compounds, efflux pumps are also involved in bacterial stress response, virulence, biofilm formation, and altering host physiology. Efflux pumps are unique yet challenging targets for the discovery of novel efflux pump inhibitors (EPIs). EPIs could help rejuvenate our currently dried pipeline of antibacterial drug discovery. The current article highlights the recent developments in the field of efflux pumps, challenges faced during the development of EPIs and potential approaches for their development. Additionally, this review highlights the utility of resources such as natural products and machine learning to expand our EPIs arsenal using these latest technologies.","container-title":"Microbiology","DOI":"10.1099/mic.0.001333","ISSN":"1350-0872","issue":"5","journalAbbreviation":"Microbiology (Reading)","note":"PMID: 37224055\nPMCID: PMC10268834","page":"001333","source":"PubMed Central","title":"Role of bacterial efflux pumps in antibiotic resistance, virulence, and strategies to discover novel efflux pump inhibitors","volume":"169","author":[{"family":"Gaurav","given":"Amit"},{"family":"Bakht","given":"Perwez"},{"family":"Saini","given":"Mahak"},{"family":"Pandey","given":"Shivam"},{"family":"Pathania","given":"Ranjana"}],"issued":{"date-parts":[["2023",5,24]]}}}],"schema":"https://github.com/citation-style-language/schema/raw/master/csl-citation.json"} </w:instrText>
      </w:r>
      <w:r w:rsidR="006B1E2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68</w:t>
      </w:r>
      <w:r w:rsidR="006B1E2F">
        <w:rPr>
          <w:rFonts w:asciiTheme="majorHAnsi" w:hAnsiTheme="majorHAnsi" w:cstheme="majorHAnsi"/>
          <w:sz w:val="24"/>
          <w:szCs w:val="24"/>
        </w:rPr>
        <w:fldChar w:fldCharType="end"/>
      </w:r>
      <w:r w:rsidR="006B1E2F">
        <w:rPr>
          <w:rFonts w:asciiTheme="majorHAnsi" w:hAnsiTheme="majorHAnsi" w:cstheme="majorHAnsi"/>
          <w:sz w:val="24"/>
          <w:szCs w:val="24"/>
        </w:rPr>
        <w:t xml:space="preserve"> </w:t>
      </w:r>
      <w:r w:rsidR="00434B87">
        <w:rPr>
          <w:rFonts w:asciiTheme="majorHAnsi" w:hAnsiTheme="majorHAnsi" w:cstheme="majorHAnsi"/>
          <w:sz w:val="24"/>
          <w:szCs w:val="24"/>
        </w:rPr>
        <w:t xml:space="preserve">Targeting these bacterial stress responses could be a potential alternative treatment strategy, </w:t>
      </w:r>
      <w:r w:rsidR="00D164CD">
        <w:rPr>
          <w:rFonts w:asciiTheme="majorHAnsi" w:hAnsiTheme="majorHAnsi" w:cstheme="majorHAnsi"/>
          <w:sz w:val="24"/>
          <w:szCs w:val="24"/>
        </w:rPr>
        <w:t xml:space="preserve">and </w:t>
      </w:r>
      <w:r w:rsidR="00434B87">
        <w:rPr>
          <w:rFonts w:asciiTheme="majorHAnsi" w:hAnsiTheme="majorHAnsi" w:cstheme="majorHAnsi"/>
          <w:sz w:val="24"/>
          <w:szCs w:val="24"/>
        </w:rPr>
        <w:t>therefore it is beneficial to better understand these stress responses systems.</w:t>
      </w:r>
    </w:p>
    <w:p w14:paraId="5BB0259B" w14:textId="6CFC89F1" w:rsidR="00251E74" w:rsidRPr="006A5154" w:rsidRDefault="00356D8C" w:rsidP="00C836F0">
      <w:pPr>
        <w:rPr>
          <w:rFonts w:asciiTheme="majorHAnsi" w:hAnsiTheme="majorHAnsi" w:cstheme="majorHAnsi"/>
          <w:sz w:val="24"/>
          <w:szCs w:val="24"/>
          <w:u w:val="single"/>
        </w:rPr>
      </w:pPr>
      <w:r>
        <w:rPr>
          <w:rFonts w:asciiTheme="majorHAnsi" w:hAnsiTheme="majorHAnsi" w:cstheme="majorHAnsi"/>
          <w:sz w:val="24"/>
          <w:szCs w:val="24"/>
          <w:u w:val="single"/>
        </w:rPr>
        <w:t>1.</w:t>
      </w:r>
      <w:r w:rsidR="007D3623">
        <w:rPr>
          <w:rFonts w:asciiTheme="majorHAnsi" w:hAnsiTheme="majorHAnsi" w:cstheme="majorHAnsi"/>
          <w:sz w:val="24"/>
          <w:szCs w:val="24"/>
          <w:u w:val="single"/>
        </w:rPr>
        <w:t>4</w:t>
      </w:r>
      <w:r>
        <w:rPr>
          <w:rFonts w:asciiTheme="majorHAnsi" w:hAnsiTheme="majorHAnsi" w:cstheme="majorHAnsi"/>
          <w:sz w:val="24"/>
          <w:szCs w:val="24"/>
          <w:u w:val="single"/>
        </w:rPr>
        <w:t>.1</w:t>
      </w:r>
      <w:r w:rsidR="00B91F28">
        <w:rPr>
          <w:rFonts w:asciiTheme="majorHAnsi" w:hAnsiTheme="majorHAnsi" w:cstheme="majorHAnsi"/>
          <w:sz w:val="24"/>
          <w:szCs w:val="24"/>
          <w:u w:val="single"/>
        </w:rPr>
        <w:t>.</w:t>
      </w:r>
      <w:r>
        <w:rPr>
          <w:rFonts w:asciiTheme="majorHAnsi" w:hAnsiTheme="majorHAnsi" w:cstheme="majorHAnsi"/>
          <w:sz w:val="24"/>
          <w:szCs w:val="24"/>
          <w:u w:val="single"/>
        </w:rPr>
        <w:t xml:space="preserve"> </w:t>
      </w:r>
      <w:r w:rsidR="005A0406">
        <w:rPr>
          <w:rFonts w:asciiTheme="majorHAnsi" w:hAnsiTheme="majorHAnsi" w:cstheme="majorHAnsi"/>
          <w:sz w:val="24"/>
          <w:szCs w:val="24"/>
          <w:u w:val="single"/>
        </w:rPr>
        <w:t xml:space="preserve">Heat </w:t>
      </w:r>
      <w:proofErr w:type="gramStart"/>
      <w:r w:rsidR="007D3623">
        <w:rPr>
          <w:rFonts w:asciiTheme="majorHAnsi" w:hAnsiTheme="majorHAnsi" w:cstheme="majorHAnsi"/>
          <w:sz w:val="24"/>
          <w:szCs w:val="24"/>
          <w:u w:val="single"/>
        </w:rPr>
        <w:t>s</w:t>
      </w:r>
      <w:r w:rsidR="005A0406">
        <w:rPr>
          <w:rFonts w:asciiTheme="majorHAnsi" w:hAnsiTheme="majorHAnsi" w:cstheme="majorHAnsi"/>
          <w:sz w:val="24"/>
          <w:szCs w:val="24"/>
          <w:u w:val="single"/>
        </w:rPr>
        <w:t>hock</w:t>
      </w:r>
      <w:proofErr w:type="gramEnd"/>
    </w:p>
    <w:p w14:paraId="44E35C85" w14:textId="37339067" w:rsidR="00F2254A" w:rsidRDefault="00DA3DEE"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F2254A">
        <w:rPr>
          <w:rFonts w:asciiTheme="majorHAnsi" w:hAnsiTheme="majorHAnsi" w:cstheme="majorHAnsi"/>
          <w:sz w:val="24"/>
          <w:szCs w:val="24"/>
        </w:rPr>
        <w:t xml:space="preserve">Environmental temperatures higher than a bacteria’s </w:t>
      </w:r>
      <w:r w:rsidR="006A5154">
        <w:rPr>
          <w:rFonts w:asciiTheme="majorHAnsi" w:hAnsiTheme="majorHAnsi" w:cstheme="majorHAnsi"/>
          <w:sz w:val="24"/>
          <w:szCs w:val="24"/>
        </w:rPr>
        <w:t xml:space="preserve">optimum </w:t>
      </w:r>
      <w:r w:rsidR="00F2254A">
        <w:rPr>
          <w:rFonts w:asciiTheme="majorHAnsi" w:hAnsiTheme="majorHAnsi" w:cstheme="majorHAnsi"/>
          <w:sz w:val="24"/>
          <w:szCs w:val="24"/>
        </w:rPr>
        <w:t>temperature can cause defects in the formation and stability of macromolecules</w:t>
      </w:r>
      <w:r w:rsidR="00CD1258">
        <w:rPr>
          <w:rFonts w:asciiTheme="majorHAnsi" w:hAnsiTheme="majorHAnsi" w:cstheme="majorHAnsi"/>
          <w:sz w:val="24"/>
          <w:szCs w:val="24"/>
        </w:rPr>
        <w:t xml:space="preserve">. This leads to loss of protein function and misfolded proteins, which can accumulate within the cell and lead to </w:t>
      </w:r>
      <w:r w:rsidR="00CD1258">
        <w:rPr>
          <w:rFonts w:asciiTheme="majorHAnsi" w:hAnsiTheme="majorHAnsi" w:cstheme="majorHAnsi"/>
          <w:sz w:val="24"/>
          <w:szCs w:val="24"/>
        </w:rPr>
        <w:lastRenderedPageBreak/>
        <w:t xml:space="preserve">more </w:t>
      </w:r>
      <w:r w:rsidR="007B57E3">
        <w:rPr>
          <w:rFonts w:asciiTheme="majorHAnsi" w:hAnsiTheme="majorHAnsi" w:cstheme="majorHAnsi"/>
          <w:sz w:val="24"/>
          <w:szCs w:val="24"/>
        </w:rPr>
        <w:t>disruption of regular cellular processes</w:t>
      </w:r>
      <w:r w:rsidR="00CD1258">
        <w:rPr>
          <w:rFonts w:asciiTheme="majorHAnsi" w:hAnsiTheme="majorHAnsi" w:cstheme="majorHAnsi"/>
          <w:sz w:val="24"/>
          <w:szCs w:val="24"/>
        </w:rPr>
        <w:t>.</w:t>
      </w:r>
      <w:r w:rsidR="00356D8C">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{"citationID":"a1ortme89t8","properties":{"formattedCitation":"\\super 69\\nosupersub{}","plainCitation":"69","noteIndex":0},"citationItems":[{"id":2089,"uris":["http://zotero.org/users/1918630/items/RVUE5XCR"],"itemData":{"id":2089,"type":"article-journal","abstract":"Proteins generally must fold into precise three-dimensional conformations to fulfill their biological functions. In the cell, this fundamental process is aided by molecular chaperones, which act in preventing protein misfolding and aggregation. How this machinery assists newly synthesized polypeptide chains in navigating the complex folding energy landscape is now being understood in considerable detail. The mechanisms that ensure the maintenance of a functional proteome under normal and stress conditions are also of great medical relevance, as the aggregation of proteins that escape the cellular quality control underlies a range of debilitating diseases, including many age-of-onset neurodegenerative disorders., Chaperones such as Hsp70 prevent protein misfolding and aggregation. They are up-regulated when cells are stressed but decline during aging, which may lead to increased cellular levels of toxic aggregates.","container-title":"Cold Spring Harbor Perspectives in Biology","DOI":"10.1101/cshperspect.a004390","ISSN":"1943-0264","issue":"12","journalAbbreviation":"Cold Spring Harb Perspect Biol","note":"PMID: 21123396\nPMCID: PMC2982175","page":"a004390","source":"PubMed Central","title":"Protein Folding in the Cytoplasm and the Heat Shock Response","volume":"2","author":[{"family":"Vabulas","given":"R. Martin"},{"family":"Raychaudhuri","given":"Swasti"},{"family":"Hayer-Hartl","given":"Manajit"},{"family":"Hartl","given":"F. Ulrich"}],"issued":{"date-parts":[["2010",12]]}}}],"schema":"https://github.com/citation-style-language/schema/raw/master/csl-citation.json"} </w:instrText>
      </w:r>
      <w:r w:rsidR="00356D8C">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69</w:t>
      </w:r>
      <w:r w:rsidR="00356D8C">
        <w:rPr>
          <w:rFonts w:asciiTheme="majorHAnsi" w:hAnsiTheme="majorHAnsi" w:cstheme="majorHAnsi"/>
          <w:sz w:val="24"/>
          <w:szCs w:val="24"/>
        </w:rPr>
        <w:fldChar w:fldCharType="end"/>
      </w:r>
      <w:r w:rsidR="0089485F">
        <w:rPr>
          <w:rFonts w:asciiTheme="majorHAnsi" w:hAnsiTheme="majorHAnsi" w:cstheme="majorHAnsi"/>
          <w:sz w:val="24"/>
          <w:szCs w:val="24"/>
        </w:rPr>
        <w:t xml:space="preserve"> Protein aggregates damage membranes</w:t>
      </w:r>
      <w:r w:rsidR="0089485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{"citationID":"a10ool0tljg","properties":{"formattedCitation":"\\super 70\\nosupersub{}","plainCitation":"70","noteIndex":0},"citationItems":[{"id":2094,"uris":["http://zotero.org/users/1918630/items/ZUQX53XF"],"itemData":{"id":2094,"type":"article-journal","abstract":"Motoneuron diseases (MNDs) are neurodegenerative conditions associated with death of upper and/or lower motoneurons (MNs). Proteostasis alteration is a pathogenic mechanism involved in many MNDs and is due to the excessive presence of misfolded and aggregated proteins. Protein misfolding may be the product of gene mutations, or due to defects in the translation process, or to stress agents; all these conditions may alter the native conformation of proteins making them prone to aggregate. Alternatively, mutations in members of the protein quality control (PQC) system may determine a loss of function of the proteostasis network. This causes an impairment in the capability to handle and remove aberrant or damaged proteins. The PQC system consists of the degradative pathways, which are the autophagy and the proteasome, and a network of chaperones and co-chaperones. Among these components, Heat Shock Protein 70 represents the main factor in substrate triage to folding, refolding, or degradation, and it is assisted in this task by a subclass of the chaperone network, the small heat shock protein (sHSPs/HSPBs) family. HSPBs take part in proteostasis by bridging misfolded and aggregated proteins to the HSP70 machinery and to the degradative pathways, facilitating refolding or clearance of the potentially toxic proteins. Because of its activity against proteostasis alteration, the chaperone system plays a relevant role in the protection against proteotoxicity in MNDs. Here, we discuss the role of HSPBs in MNDs and which HSPBs may represent a valid target for therapeutic purposes.","container-title":"International Journal of Molecular Sciences","DOI":"10.3390/ijms231911759","ISSN":"1422-0067","issue":"19","language":"en","license":"http://creativecommons.org/licenses/by/3.0/","note":"number: 19\npublisher: Multidisciplinary Digital Publishing Institute","page":"11759","source":"www.mdpi.com","title":"The Role of Small Heat Shock Proteins in Protein Misfolding Associated Motoneuron Diseases","volume":"23","author":[{"family":"Tedesco","given":"Barbara"},{"family":"Ferrari","given":"Veronica"},{"family":"Cozzi","given":"Marta"},{"family":"Chierichetti","given":"Marta"},{"family":"Casarotto","given":"Elena"},{"family":"Pramaggiore","given":"Paola"},{"family":"Mina","given":"Francesco"},{"family":"Galbiati","given":"Mariarita"},{"family":"Rusmini","given":"Paola"},{"family":"Crippa","given":"Valeria"},{"family":"Cristofani","given":"Riccardo"},{"family":"Poletti","given":"Angelo"}],"issued":{"date-parts":[["2022",1]]}}}],"schema":"https://github.com/citation-style-language/schema/raw/master/csl-citation.json"} </w:instrText>
      </w:r>
      <w:r w:rsidR="0089485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70</w:t>
      </w:r>
      <w:r w:rsidR="0089485F">
        <w:rPr>
          <w:rFonts w:asciiTheme="majorHAnsi" w:hAnsiTheme="majorHAnsi" w:cstheme="majorHAnsi"/>
          <w:sz w:val="24"/>
          <w:szCs w:val="24"/>
        </w:rPr>
        <w:fldChar w:fldCharType="end"/>
      </w:r>
      <w:r w:rsidR="0089485F">
        <w:rPr>
          <w:rFonts w:asciiTheme="majorHAnsi" w:hAnsiTheme="majorHAnsi" w:cstheme="majorHAnsi"/>
          <w:sz w:val="24"/>
          <w:szCs w:val="24"/>
        </w:rPr>
        <w:t xml:space="preserve"> and heat shock can induce changes to the membrane’s fluidity through membrane lipid remodeling.</w:t>
      </w:r>
      <w:r w:rsidR="0089485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{"citationID":"a3l38b800q","properties":{"formattedCitation":"\\super 71\\nosupersub{}","plainCitation":"71","noteIndex":0},"citationItems":[{"id":2096,"uris":["http://zotero.org/users/1918630/items/9BYFYNH8"],"itemData":{"id":2096,"type":"article-journal","abstract":"The heat shock response (HSR) is a cellular response to diverse environmental and physiological stressors resulting in the induction of genes encoding molecular chaperones, proteases, and other proteins that are essential for protection and recovery from cellular damage. Since different perturbations cause accumulation of misfolded proteins, cells frequently encounter fluctuations in the environment which alter proteostasis. Since tumor cells use their natural adaptive mechanism of coping with stress and misfolded proteins, in recent years, the proteostasis network became a promising target for anti-tumor therapy. The membrane is the first to be affected by heat shock and therefore may be the first one to sense heat shock. The membrane also connects between the extracellular and the intracellular signals. Hence, there is a “cross talk” between the HSR and the membranes since heat shock can induce changes in the fluidity of membranes, leading to membrane lipid remodeling that occurs in several diseases such as cancer. During the last decade, a new possible therapy has emerged in which an external molecule is used that could induce membrane lipid re-organization. Since at the moment there are very few substances that regulate the HSR effectively, an alternative way has been searched to modulate chaperone activities through the plasma membrane. Recently, we suggested that the use of the membrane Transient Receptor Potential Vanilloid-1 (TRPV1) modulators regulated the HSR in cancer cells. However, the primary targets of the signal transduction pathway are yet un-known. This review provides an overview of the current literature regarding the role of HSR in membrane remodeling in cancer since a deep understanding of the membrane biology in cancer and the membrane heat sensing pathway is essential to design novel efficient therapies.","container-title":"Frontiers in Molecular Biosciences","DOI":"10.3389/fmolb.2016.00012","ISSN":"2296-889X","journalAbbreviation":"Front Mol Biosci","note":"PMID: 27200359\nPMCID: PMC4847117","page":"12","source":"PubMed Central","title":"The Role of the Membrane-Initiated Heat Shock Response in Cancer","volume":"3","author":[{"family":"Bromberg","given":"Zohar"},{"family":"Weiss","given":"Yoram"}],"issued":{"date-parts":[["2016",4,27]]}}}],"schema":"https://github.com/citation-style-language/schema/raw/master/csl-citation.json"} </w:instrText>
      </w:r>
      <w:r w:rsidR="0089485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71</w:t>
      </w:r>
      <w:r w:rsidR="0089485F">
        <w:rPr>
          <w:rFonts w:asciiTheme="majorHAnsi" w:hAnsiTheme="majorHAnsi" w:cstheme="majorHAnsi"/>
          <w:sz w:val="24"/>
          <w:szCs w:val="24"/>
        </w:rPr>
        <w:fldChar w:fldCharType="end"/>
      </w:r>
      <w:r w:rsidR="0089485F">
        <w:rPr>
          <w:rFonts w:asciiTheme="majorHAnsi" w:hAnsiTheme="majorHAnsi" w:cstheme="majorHAnsi"/>
          <w:sz w:val="24"/>
          <w:szCs w:val="24"/>
        </w:rPr>
        <w:t xml:space="preserve"> </w:t>
      </w:r>
      <w:r w:rsidR="00CD1258">
        <w:rPr>
          <w:rFonts w:asciiTheme="majorHAnsi" w:hAnsiTheme="majorHAnsi" w:cstheme="majorHAnsi"/>
          <w:sz w:val="24"/>
          <w:szCs w:val="24"/>
        </w:rPr>
        <w:t>High heat can also denature nucleic acids, leading to unfolded ribosomes and stalled protein synthesis. Further cell disruption would be caused by the loss of the many functions of small RNAs as well.</w:t>
      </w:r>
    </w:p>
    <w:p w14:paraId="0262A90A" w14:textId="6CA568F0" w:rsidR="007B57E3" w:rsidRDefault="00D405C5" w:rsidP="0021013E">
      <w:pPr>
        <w:spacing w:line="360" w:lineRule="auto"/>
        <w:ind w:firstLine="720"/>
        <w:rPr>
          <w:rFonts w:asciiTheme="majorHAnsi" w:hAnsiTheme="majorHAnsi" w:cstheme="majorHAnsi"/>
          <w:sz w:val="24"/>
          <w:szCs w:val="24"/>
        </w:rPr>
      </w:pPr>
      <w:r>
        <w:rPr>
          <w:rFonts w:asciiTheme="majorHAnsi" w:hAnsiTheme="majorHAnsi" w:cstheme="majorHAnsi"/>
          <w:sz w:val="24"/>
          <w:szCs w:val="24"/>
        </w:rPr>
        <w:t>Bacterial pathogens possess intricate mechanisms to survive and adapt to heat shock. These mechanisms ensure a balanced physiological state, enabling the bacteria to withstand thermal stress while maintaining vital cellular functions.</w:t>
      </w:r>
      <w:r w:rsidR="00F2254A">
        <w:rPr>
          <w:rFonts w:asciiTheme="majorHAnsi" w:hAnsiTheme="majorHAnsi" w:cstheme="majorHAnsi"/>
          <w:sz w:val="24"/>
          <w:szCs w:val="24"/>
        </w:rPr>
        <w:t xml:space="preserve"> </w:t>
      </w:r>
      <w:r>
        <w:rPr>
          <w:rFonts w:asciiTheme="majorHAnsi" w:hAnsiTheme="majorHAnsi" w:cstheme="majorHAnsi"/>
          <w:sz w:val="24"/>
          <w:szCs w:val="24"/>
        </w:rPr>
        <w:t>One of the primary responses to heat shock is the increased production of heat shock proteins (HSPs).</w:t>
      </w:r>
      <w:r w:rsidR="00356D8C">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{"citationID":"aiup3e980t","properties":{"formattedCitation":"\\super 69\\nosupersub{}","plainCitation":"69","noteIndex":0},"citationItems":[{"id":2089,"uris":["http://zotero.org/users/1918630/items/RVUE5XCR"],"itemData":{"id":2089,"type":"article-journal","abstract":"Proteins generally must fold into precise three-dimensional conformations to fulfill their biological functions. In the cell, this fundamental process is aided by molecular chaperones, which act in preventing protein misfolding and aggregation. How this machinery assists newly synthesized polypeptide chains in navigating the complex folding energy landscape is now being understood in considerable detail. The mechanisms that ensure the maintenance of a functional proteome under normal and stress conditions are also of great medical relevance, as the aggregation of proteins that escape the cellular quality control underlies a range of debilitating diseases, including many age-of-onset neurodegenerative disorders., Chaperones such as Hsp70 prevent protein misfolding and aggregation. They are up-regulated when cells are stressed but decline during aging, which may lead to increased cellular levels of toxic aggregates.","container-title":"Cold Spring Harbor Perspectives in Biology","DOI":"10.1101/cshperspect.a004390","ISSN":"1943-0264","issue":"12","journalAbbreviation":"Cold Spring Harb Perspect Biol","note":"PMID: 21123396\nPMCID: PMC2982175","page":"a004390","source":"PubMed Central","title":"Protein Folding in the Cytoplasm and the Heat Shock Response","volume":"2","author":[{"family":"Vabulas","given":"R. Martin"},{"family":"Raychaudhuri","given":"Swasti"},{"family":"Hayer-Hartl","given":"Manajit"},{"family":"Hartl","given":"F. Ulrich"}],"issued":{"date-parts":[["2010",12]]}}}],"schema":"https://github.com/citation-style-language/schema/raw/master/csl-citation.json"} </w:instrText>
      </w:r>
      <w:r w:rsidR="00356D8C">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69</w:t>
      </w:r>
      <w:r w:rsidR="00356D8C">
        <w:rPr>
          <w:rFonts w:asciiTheme="majorHAnsi" w:hAnsiTheme="majorHAnsi" w:cstheme="majorHAnsi"/>
          <w:sz w:val="24"/>
          <w:szCs w:val="24"/>
        </w:rPr>
        <w:fldChar w:fldCharType="end"/>
      </w:r>
      <w:r w:rsidR="006D4FE3">
        <w:rPr>
          <w:rFonts w:asciiTheme="majorHAnsi" w:hAnsiTheme="majorHAnsi" w:cstheme="majorHAnsi"/>
          <w:sz w:val="24"/>
          <w:szCs w:val="24"/>
        </w:rPr>
        <w:t xml:space="preserve"> </w:t>
      </w:r>
      <w:r w:rsidR="003C5088">
        <w:rPr>
          <w:rFonts w:asciiTheme="majorHAnsi" w:hAnsiTheme="majorHAnsi" w:cstheme="majorHAnsi"/>
          <w:sz w:val="24"/>
          <w:szCs w:val="24"/>
        </w:rPr>
        <w:t xml:space="preserve">These proteins are </w:t>
      </w:r>
      <w:r w:rsidR="003A0B05">
        <w:rPr>
          <w:rFonts w:asciiTheme="majorHAnsi" w:hAnsiTheme="majorHAnsi" w:cstheme="majorHAnsi"/>
          <w:sz w:val="24"/>
          <w:szCs w:val="24"/>
        </w:rPr>
        <w:t xml:space="preserve">molecular </w:t>
      </w:r>
      <w:r w:rsidR="003C5088">
        <w:rPr>
          <w:rFonts w:asciiTheme="majorHAnsi" w:hAnsiTheme="majorHAnsi" w:cstheme="majorHAnsi"/>
          <w:sz w:val="24"/>
          <w:szCs w:val="24"/>
        </w:rPr>
        <w:t xml:space="preserve">chaperones that </w:t>
      </w:r>
      <w:r>
        <w:rPr>
          <w:rFonts w:asciiTheme="majorHAnsi" w:hAnsiTheme="majorHAnsi" w:cstheme="majorHAnsi"/>
          <w:sz w:val="24"/>
          <w:szCs w:val="24"/>
        </w:rPr>
        <w:t>play a critical role in maintaining cellular homeostasis by assisting in proper protein folding, preventing aggregation of denatured proteins, and aiding in their refolding or degradation.</w:t>
      </w:r>
      <w:r w:rsidR="003C5088">
        <w:rPr>
          <w:rFonts w:asciiTheme="majorHAnsi" w:hAnsiTheme="majorHAnsi" w:cstheme="majorHAnsi"/>
          <w:sz w:val="24"/>
          <w:szCs w:val="24"/>
        </w:rPr>
        <w:t xml:space="preserve"> </w:t>
      </w:r>
      <w:r w:rsidR="007B57E3">
        <w:rPr>
          <w:rFonts w:asciiTheme="majorHAnsi" w:hAnsiTheme="majorHAnsi" w:cstheme="majorHAnsi"/>
          <w:sz w:val="24"/>
          <w:szCs w:val="24"/>
        </w:rPr>
        <w:t xml:space="preserve">Some HSP proteins perform essential functions under normal physiological conditions, like </w:t>
      </w:r>
      <w:r w:rsidR="006D4FE3">
        <w:rPr>
          <w:rFonts w:asciiTheme="majorHAnsi" w:hAnsiTheme="majorHAnsi" w:cstheme="majorHAnsi"/>
          <w:sz w:val="24"/>
          <w:szCs w:val="24"/>
        </w:rPr>
        <w:t>assisting in correct protein folding.</w:t>
      </w:r>
      <w:r w:rsidR="006D4FE3">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{"citationID":"JUG6ld48","properties":{"formattedCitation":"\\super 72\\nosupersub{}","plainCitation":"72","noteIndex":0},"citationItems":[{"id":1733,"uris":["http://zotero.org/users/1918630/items/FS6ZTM2L"],"itemData":{"id":1733,"type":"article-journal","abstract":"Increased synthesis of heat shock proteins (hsp) occurs in prokaryotic and eukaryotic cells when they are exposed to stress. By increasing their hsp content, cells protect themselves from lethal assaults, primarily because hsp interfere with the uncontrolled protein unfolding that occurs under stress. However, hsp are not produced only by stressed cells; some hsp are synthesized constitutively and perform important housekeeping functions. Accordingly, hsp are involved in the assembly of molecules which play important roles in the immune system. It is not surprising that due to their wide distribution and their homology among different species, hsp represent target antigens of the immune response. Frequent confrontation of the immune system with conserved regions of hsp which are shared by various microbial pathogens can potentiate antimicrobial immunity. However, long-term confrontation of the immune system with hsp antigens which are similar in the host and invaders may convert the immune response against these host antigens and promote autoimmune disease. This review provides an overview of the role of hsp in immunity with a focus on infectious and autoimmune diseases.","container-title":"Clinical Microbiology Reviews","ISSN":"0893-8512","issue":"1","journalAbbreviation":"Clin Microbiol Rev","note":"PMID: 9880473\nPMCID: PMC88905","page":"19-39","source":"PubMed Central","title":"Role of Heat Shock Proteins in Protection from and Pathogenesis of Infectious Diseases","volume":"12","author":[{"family":"Zügel","given":"Ulrich"},{"family":"Kaufmann","given":"Stefan H. E."}],"issued":{"date-parts":[["1999",1]]}}}],"schema":"https://github.com/citation-style-language/schema/raw/master/csl-citation.json"} </w:instrText>
      </w:r>
      <w:r w:rsidR="006D4FE3">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72</w:t>
      </w:r>
      <w:r w:rsidR="006D4FE3">
        <w:rPr>
          <w:rFonts w:asciiTheme="majorHAnsi" w:hAnsiTheme="majorHAnsi" w:cstheme="majorHAnsi"/>
          <w:sz w:val="24"/>
          <w:szCs w:val="24"/>
        </w:rPr>
        <w:fldChar w:fldCharType="end"/>
      </w:r>
    </w:p>
    <w:p w14:paraId="386F3423" w14:textId="52006C3E" w:rsidR="00DA3DEE" w:rsidRDefault="003C5088" w:rsidP="00EE0D20">
      <w:pPr>
        <w:spacing w:line="360" w:lineRule="auto"/>
        <w:ind w:firstLine="720"/>
        <w:rPr>
          <w:rFonts w:asciiTheme="majorHAnsi" w:hAnsiTheme="majorHAnsi" w:cstheme="majorHAnsi"/>
          <w:sz w:val="24"/>
          <w:szCs w:val="24"/>
        </w:rPr>
      </w:pPr>
      <w:r>
        <w:rPr>
          <w:rFonts w:asciiTheme="majorHAnsi" w:hAnsiTheme="majorHAnsi" w:cstheme="majorHAnsi"/>
          <w:sz w:val="24"/>
          <w:szCs w:val="24"/>
        </w:rPr>
        <w:t>Production of proteins associated with DNA repair machinery is also needed to repair heat-induced mutations</w:t>
      </w:r>
      <w:r w:rsidR="00840BE0">
        <w:rPr>
          <w:rFonts w:asciiTheme="majorHAnsi" w:hAnsiTheme="majorHAnsi" w:cstheme="majorHAnsi"/>
          <w:sz w:val="24"/>
          <w:szCs w:val="24"/>
        </w:rPr>
        <w:t>.</w:t>
      </w:r>
      <w:r w:rsidR="00840BE0">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{"citationID":"IRIVlGdz","properties":{"formattedCitation":"\\super 73\\nosupersub{}","plainCitation":"73","noteIndex":0},"citationItems":[{"id":1736,"uris":["http://zotero.org/users/1918630/items/FMAE98KM"],"itemData":{"id":1736,"type":"article-journal","abstract":"Heat shock proteins (HSPs), also known as molecular chaperones, participate in important cellular processes, such as protein aggregation, disaggregation, folding, and unfolding. HSPs have cytoprotective functions that are commonly explained by their antiapoptotic role. Their involvement in anticancer drug resistance has been the focus of intense research efforts, and the relationship between HSP induction and DNA repair mechanisms has been in the spotlight during the past decades. Because DNA is permanently subject to damage, many DNA repair pathways are involved in the recognition and removal of a diverse array of DNA lesions. Hence, DNA repair mechanisms are key to maintain genome stability. In addition, the interactome network of HSPs with DNA repair proteins has become an exciting research field and so their use as emerging targets for cancer therapy. This article provides a historical overview of the participation of HSPs in DNA repair mechanisms as part of their molecular chaperone capabilities.","container-title":"Cell Stress &amp; Chaperones","DOI":"10.1007/s12192-017-0843-4","ISSN":"1355-8145","issue":"3","journalAbbreviation":"Cell Stress Chaperones","note":"PMID: 28952019\nPMCID: PMC5904076","page":"303-315","source":"PubMed Central","title":"Heat shock proteins and DNA repair mechanisms: an updated overview","title-short":"Heat shock proteins and DNA repair mechanisms","volume":"23","author":[{"family":"Sottile","given":"Mayra L."},{"family":"Nadin","given":"Silvina B."}],"issued":{"date-parts":[["2018",5]]}}}],"schema":"https://github.com/citation-style-language/schema/raw/master/csl-citation.json"} </w:instrText>
      </w:r>
      <w:r w:rsidR="00840BE0">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73</w:t>
      </w:r>
      <w:r w:rsidR="00840BE0">
        <w:rPr>
          <w:rFonts w:asciiTheme="majorHAnsi" w:hAnsiTheme="majorHAnsi" w:cstheme="majorHAnsi"/>
          <w:sz w:val="24"/>
          <w:szCs w:val="24"/>
        </w:rPr>
        <w:fldChar w:fldCharType="end"/>
      </w:r>
      <w:r w:rsidR="00840BE0">
        <w:rPr>
          <w:rFonts w:asciiTheme="majorHAnsi" w:hAnsiTheme="majorHAnsi" w:cstheme="majorHAnsi"/>
          <w:sz w:val="24"/>
          <w:szCs w:val="24"/>
        </w:rPr>
        <w:t xml:space="preserve"> </w:t>
      </w:r>
      <w:r>
        <w:rPr>
          <w:rFonts w:asciiTheme="majorHAnsi" w:hAnsiTheme="majorHAnsi" w:cstheme="majorHAnsi"/>
          <w:sz w:val="24"/>
          <w:szCs w:val="24"/>
        </w:rPr>
        <w:t xml:space="preserve">As the repair process gets underway, it is advantageous for the cell to </w:t>
      </w:r>
      <w:r w:rsidR="00D405C5">
        <w:rPr>
          <w:rFonts w:asciiTheme="majorHAnsi" w:hAnsiTheme="majorHAnsi" w:cstheme="majorHAnsi"/>
          <w:sz w:val="24"/>
          <w:szCs w:val="24"/>
        </w:rPr>
        <w:t xml:space="preserve">alter </w:t>
      </w:r>
      <w:r w:rsidR="00C158D7">
        <w:rPr>
          <w:rFonts w:asciiTheme="majorHAnsi" w:hAnsiTheme="majorHAnsi" w:cstheme="majorHAnsi"/>
          <w:sz w:val="24"/>
          <w:szCs w:val="24"/>
        </w:rPr>
        <w:t xml:space="preserve">its </w:t>
      </w:r>
      <w:r w:rsidR="00D405C5">
        <w:rPr>
          <w:rFonts w:asciiTheme="majorHAnsi" w:hAnsiTheme="majorHAnsi" w:cstheme="majorHAnsi"/>
          <w:sz w:val="24"/>
          <w:szCs w:val="24"/>
        </w:rPr>
        <w:t xml:space="preserve">metabolic pathways </w:t>
      </w:r>
      <w:r>
        <w:rPr>
          <w:rFonts w:asciiTheme="majorHAnsi" w:hAnsiTheme="majorHAnsi" w:cstheme="majorHAnsi"/>
          <w:sz w:val="24"/>
          <w:szCs w:val="24"/>
        </w:rPr>
        <w:t>to conserve resources</w:t>
      </w:r>
      <w:r w:rsidR="00D405C5">
        <w:rPr>
          <w:rFonts w:asciiTheme="majorHAnsi" w:hAnsiTheme="majorHAnsi" w:cstheme="majorHAnsi"/>
          <w:sz w:val="24"/>
          <w:szCs w:val="24"/>
        </w:rPr>
        <w:t xml:space="preserve">. </w:t>
      </w:r>
      <w:r w:rsidR="00B21D77">
        <w:rPr>
          <w:rFonts w:asciiTheme="majorHAnsi" w:hAnsiTheme="majorHAnsi" w:cstheme="majorHAnsi"/>
          <w:sz w:val="24"/>
          <w:szCs w:val="24"/>
        </w:rPr>
        <w:t>Some bacteria respond to heat stress by enhancing biofilm formation. This complex communal formation offers increased resistance to environmental stressors, including heat.</w:t>
      </w:r>
      <w:r w:rsidR="00B21D77">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{"citationID":"Fcxr2oTi","properties":{"formattedCitation":"\\super 74\\nosupersub{}","plainCitation":"74","noteIndex":0},"citationItems":[{"id":1742,"uris":["http://zotero.org/users/1918630/items/HZPGTXAN"],"itemData":{"id":1742,"type":"article-journal","container-title":"Applied and Environmental Microbiology","DOI":"10.1128/aem.00601-23","issue":"10","note":"publisher: American Society for Microbiology","page":"e00601-23","source":"journals.asm.org (Atypon)","title":"Biofilm formation stabilizes metabolism in a Roseobacteraceae bacterium under temperature increase","volume":"89","author":[{"family":"Wang","given":"Meng"},{"family":"Lu","given":"Jie"},{"family":"Qin","given":"Peng"},{"family":"Wang","given":"Shuaitao"},{"family":"Ding","given":"Wei"},{"family":"Fu","given":"Hui-Hui"},{"family":"Zhang","given":"Yu-Zhong"},{"family":"Zhang","given":"Weipeng"}],"issued":{"date-parts":[["2023",9,28]]}}}],"schema":"https://github.com/citation-style-language/schema/raw/master/csl-citation.json"} </w:instrText>
      </w:r>
      <w:r w:rsidR="00B21D77">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74</w:t>
      </w:r>
      <w:r w:rsidR="00B21D77">
        <w:rPr>
          <w:rFonts w:asciiTheme="majorHAnsi" w:hAnsiTheme="majorHAnsi" w:cstheme="majorHAnsi"/>
          <w:sz w:val="24"/>
          <w:szCs w:val="24"/>
        </w:rPr>
        <w:fldChar w:fldCharType="end"/>
      </w:r>
      <w:r w:rsidR="00EE0D20">
        <w:rPr>
          <w:rFonts w:asciiTheme="majorHAnsi" w:hAnsiTheme="majorHAnsi" w:cstheme="majorHAnsi"/>
          <w:sz w:val="24"/>
          <w:szCs w:val="24"/>
        </w:rPr>
        <w:t xml:space="preserve"> </w:t>
      </w:r>
      <w:r w:rsidR="00D405C5">
        <w:rPr>
          <w:rFonts w:asciiTheme="majorHAnsi" w:hAnsiTheme="majorHAnsi" w:cstheme="majorHAnsi"/>
          <w:sz w:val="24"/>
          <w:szCs w:val="24"/>
        </w:rPr>
        <w:t>This adaptation includes shifts in energy production and consumption patterns, ensuring that recourses are optimally managed and utilized for survival under heat stress</w:t>
      </w:r>
      <w:r w:rsidR="00840BE0">
        <w:rPr>
          <w:rFonts w:asciiTheme="majorHAnsi" w:hAnsiTheme="majorHAnsi" w:cstheme="majorHAnsi"/>
          <w:sz w:val="24"/>
          <w:szCs w:val="24"/>
        </w:rPr>
        <w:t>.</w:t>
      </w:r>
      <w:r w:rsidR="00840BE0">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{"citationID":"cXjUwWXd","properties":{"formattedCitation":"\\super 75\\nosupersub{}","plainCitation":"75","noteIndex":0},"citationItems":[{"id":1739,"uris":["http://zotero.org/users/1918630/items/44GG76DB"],"itemData":{"id":1739,"type":"article-journal","abstract":"DNA repair and metabolic pathways are vital to maintain cellular homeostasis in normal human cells. Both of these pathways, however, undergo extensive changes during tumorigenesis, including modifications that promote rapid growth, genetic heterogeneity, and survival. While these two areas of research have remained relatively distinct, there is growing evidence that the pathways are interdependent and intrinsically linked. Therapeutic interventions that target metabolism or DNA repair systems have entered clinical practice in recent years, highlighting the potential of targeting these pathways in cancer. Further exploration of the links between metabolic and DNA repair pathways may open new therapeutic avenues in the future. Here, we discuss the dependence of DNA repair processes upon cellular metabolism; including the production of nucleotides required for repair, the necessity of metabolic pathways for the chromatin remodeling required for DNA repair, and the ways in which metabolism itself can induce and prevent DNA damage. We will also discuss the roles of metabolic proteins in DNA repair and, conversely, how DNA repair proteins can impact upon cell metabolism. Finally, we will discuss how further research may open therapeutic avenues in the treatment of cancer.","container-title":"Frontiers in Cell and Developmental Biology","DOI":"10.3389/fcell.2021.633305","ISSN":"2296-634X","journalAbbreviation":"Front Cell Dev Biol","language":"eng","note":"PMID: 33834022\nPMCID: PMC8021863","page":"633305","source":"PubMed","title":"Cell Metabolism and DNA Repair Pathways: Implications for Cancer Therapy","title-short":"Cell Metabolism and DNA Repair Pathways","volume":"9","author":[{"family":"Sobanski","given":"Thais"},{"family":"Rose","given":"Maddison"},{"family":"Suraweera","given":"Amila"},{"family":"O'Byrne","given":"Kenneth"},{"family":"Richard","given":"Derek J."},{"family":"Bolderson","given":"Emma"}],"issued":{"date-parts":[["2021"]]}}}],"schema":"https://github.com/citation-style-language/schema/raw/master/csl-citation.json"} </w:instrText>
      </w:r>
      <w:r w:rsidR="00840BE0">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75</w:t>
      </w:r>
      <w:r w:rsidR="00840BE0">
        <w:rPr>
          <w:rFonts w:asciiTheme="majorHAnsi" w:hAnsiTheme="majorHAnsi" w:cstheme="majorHAnsi"/>
          <w:sz w:val="24"/>
          <w:szCs w:val="24"/>
        </w:rPr>
        <w:fldChar w:fldCharType="end"/>
      </w:r>
      <w:r w:rsidR="00840BE0">
        <w:rPr>
          <w:rFonts w:asciiTheme="majorHAnsi" w:hAnsiTheme="majorHAnsi" w:cstheme="majorHAnsi"/>
          <w:sz w:val="24"/>
          <w:szCs w:val="24"/>
        </w:rPr>
        <w:t xml:space="preserve"> </w:t>
      </w:r>
    </w:p>
    <w:p w14:paraId="434981ED" w14:textId="700B39F3" w:rsidR="00D405C5" w:rsidRPr="00734E96" w:rsidRDefault="00D405C5" w:rsidP="0021013E">
      <w:pPr>
        <w:spacing w:line="360" w:lineRule="auto"/>
        <w:rPr>
          <w:rFonts w:asciiTheme="majorHAnsi" w:hAnsiTheme="majorHAnsi" w:cstheme="majorHAnsi"/>
          <w:sz w:val="24"/>
          <w:szCs w:val="24"/>
        </w:rPr>
      </w:pPr>
      <w:r>
        <w:rPr>
          <w:rFonts w:asciiTheme="majorHAnsi" w:hAnsiTheme="majorHAnsi" w:cstheme="majorHAnsi"/>
          <w:sz w:val="24"/>
          <w:szCs w:val="24"/>
        </w:rPr>
        <w:tab/>
        <w:t>In pathogenic bacteria, heat shock can trigger changes in the expression of virulence factors. This adaptive response can influence the pathogen’s ability to infect and survive within the host</w:t>
      </w:r>
      <w:r w:rsidR="00185EAA">
        <w:rPr>
          <w:rFonts w:asciiTheme="majorHAnsi" w:hAnsiTheme="majorHAnsi" w:cstheme="majorHAnsi"/>
          <w:sz w:val="24"/>
          <w:szCs w:val="24"/>
        </w:rPr>
        <w:t xml:space="preserve">. </w:t>
      </w:r>
      <w:r w:rsidR="00B01879" w:rsidRPr="00F2254A">
        <w:rPr>
          <w:rFonts w:asciiTheme="majorHAnsi" w:hAnsiTheme="majorHAnsi" w:cstheme="majorHAnsi"/>
          <w:sz w:val="24"/>
          <w:szCs w:val="24"/>
        </w:rPr>
        <w:t>These mechanisms collectively enhance the bacterial cell’s ability to endure heat stress, ensuring survival and continued pathogenicity in hostile environmental conditions</w:t>
      </w:r>
      <w:r w:rsidR="00AF3D2F">
        <w:rPr>
          <w:rFonts w:asciiTheme="majorHAnsi" w:hAnsiTheme="majorHAnsi" w:cstheme="majorHAnsi"/>
          <w:sz w:val="24"/>
          <w:szCs w:val="24"/>
        </w:rPr>
        <w:t>.</w:t>
      </w:r>
    </w:p>
    <w:p w14:paraId="65F0463D" w14:textId="7A171131" w:rsidR="00251E74" w:rsidRPr="004E09CD" w:rsidRDefault="00356D8C" w:rsidP="00C836F0">
      <w:pPr>
        <w:rPr>
          <w:rFonts w:asciiTheme="majorHAnsi" w:hAnsiTheme="majorHAnsi" w:cstheme="majorHAnsi"/>
          <w:sz w:val="24"/>
          <w:szCs w:val="24"/>
          <w:u w:val="single"/>
        </w:rPr>
      </w:pPr>
      <w:r>
        <w:rPr>
          <w:rFonts w:asciiTheme="majorHAnsi" w:hAnsiTheme="majorHAnsi" w:cstheme="majorHAnsi"/>
          <w:sz w:val="24"/>
          <w:szCs w:val="24"/>
          <w:u w:val="single"/>
        </w:rPr>
        <w:t>1.</w:t>
      </w:r>
      <w:r w:rsidR="007D3623">
        <w:rPr>
          <w:rFonts w:asciiTheme="majorHAnsi" w:hAnsiTheme="majorHAnsi" w:cstheme="majorHAnsi"/>
          <w:sz w:val="24"/>
          <w:szCs w:val="24"/>
          <w:u w:val="single"/>
        </w:rPr>
        <w:t>4</w:t>
      </w:r>
      <w:r>
        <w:rPr>
          <w:rFonts w:asciiTheme="majorHAnsi" w:hAnsiTheme="majorHAnsi" w:cstheme="majorHAnsi"/>
          <w:sz w:val="24"/>
          <w:szCs w:val="24"/>
          <w:u w:val="single"/>
        </w:rPr>
        <w:t xml:space="preserve">.2. </w:t>
      </w:r>
      <w:r w:rsidR="004E09CD" w:rsidRPr="004E09CD">
        <w:rPr>
          <w:rFonts w:asciiTheme="majorHAnsi" w:hAnsiTheme="majorHAnsi" w:cstheme="majorHAnsi"/>
          <w:sz w:val="24"/>
          <w:szCs w:val="24"/>
          <w:u w:val="single"/>
        </w:rPr>
        <w:t>Low pH</w:t>
      </w:r>
    </w:p>
    <w:p w14:paraId="6B391EDB" w14:textId="3178B696" w:rsidR="00C13A82" w:rsidRDefault="003272C6" w:rsidP="0021013E">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Acid damage in bacterial cells can have several significant effects including pH homeostasis disruption, membrane damage, and DNA damage. </w:t>
      </w:r>
      <w:r w:rsidR="00B01879">
        <w:rPr>
          <w:rFonts w:asciiTheme="majorHAnsi" w:hAnsiTheme="majorHAnsi" w:cstheme="majorHAnsi"/>
          <w:sz w:val="24"/>
          <w:szCs w:val="24"/>
        </w:rPr>
        <w:t xml:space="preserve">Bacterial pathogens </w:t>
      </w:r>
      <w:r w:rsidR="00B01879">
        <w:rPr>
          <w:rFonts w:asciiTheme="majorHAnsi" w:hAnsiTheme="majorHAnsi" w:cstheme="majorHAnsi"/>
          <w:sz w:val="24"/>
          <w:szCs w:val="24"/>
        </w:rPr>
        <w:lastRenderedPageBreak/>
        <w:t>em</w:t>
      </w:r>
      <w:r w:rsidR="00AF3D2F">
        <w:rPr>
          <w:rFonts w:asciiTheme="majorHAnsi" w:hAnsiTheme="majorHAnsi" w:cstheme="majorHAnsi"/>
          <w:sz w:val="24"/>
          <w:szCs w:val="24"/>
        </w:rPr>
        <w:t>ploy various strategies to survive in acidic environments</w:t>
      </w:r>
      <w:r w:rsidR="00C13A82">
        <w:rPr>
          <w:rFonts w:asciiTheme="majorHAnsi" w:hAnsiTheme="majorHAnsi" w:cstheme="majorHAnsi"/>
          <w:sz w:val="24"/>
          <w:szCs w:val="24"/>
        </w:rPr>
        <w:t>, including “maintenance of pH homeostasis, cell membrane integrity and fluidity, metabolic regulation, and macromolecule repair”</w:t>
      </w:r>
      <w:r w:rsidR="006058B2">
        <w:rPr>
          <w:rFonts w:asciiTheme="majorHAnsi" w:hAnsiTheme="majorHAnsi" w:cstheme="majorHAnsi"/>
          <w:sz w:val="24"/>
          <w:szCs w:val="24"/>
        </w:rPr>
        <w:t>.</w:t>
      </w:r>
      <w:r w:rsidR="00C13A82">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{"citationID":"2scbJhvA","properties":{"formattedCitation":"\\super 76\\nosupersub{}","plainCitation":"76","noteIndex":0},"citationItems":[{"id":1603,"uris":["http://zotero.org/users/1918630/items/QZR5KCKT"],"itemData":{"id":1603,"type":"article-journal","abstract":"Microorganisms encounter acid stress during multiple bioprocesses. Microbial species have therefore developed a variety of resistance mechanisms. The damage caused by acidic environments is mitigated through the maintenance of pH homeostasis, cell membrane integrity and fluidity, metabolic regulation, and macromolecule repair. The acid tolerance mechanisms can be used to protect probiotics against gastric acids during the process of food intake, and can enhance the biosynthesis of organic acids. The combination of systems and synthetic biology technologies offers new and wide prospects for the industrial applications of microbial acid tolerance mechanisms. In this review, we summarize acid stress response mechanisms of microbial cells, illustrate the application of microbial acid tolerance in industry, and prospect the introduction of systems and synthetic biology to further explore the acid tolerance mechanisms and construct a microbial cell factory for valuable chemicals.","container-title":"Applied Microbiology and Biotechnology","DOI":"10.1007/s00253-019-10226-1","ISSN":"0175-7598","issue":"1","journalAbbreviation":"Appl Microbiol Biotechnol","note":"PMID: 31773206\nPMCID: PMC6942593","page":"51-65","source":"PubMed Central","title":"Microbial response to acid stress: mechanisms and applications","title-short":"Microbial response to acid stress","volume":"104","author":[{"family":"Guan","given":"Ningzi"},{"family":"Liu","given":"Long"}],"issued":{"date-parts":[["2020"]]}}}],"schema":"https://github.com/citation-style-language/schema/raw/master/csl-citation.json"} </w:instrText>
      </w:r>
      <w:r w:rsidR="00C13A82">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76</w:t>
      </w:r>
      <w:r w:rsidR="00C13A82">
        <w:rPr>
          <w:rFonts w:asciiTheme="majorHAnsi" w:hAnsiTheme="majorHAnsi" w:cstheme="majorHAnsi"/>
          <w:sz w:val="24"/>
          <w:szCs w:val="24"/>
        </w:rPr>
        <w:fldChar w:fldCharType="end"/>
      </w:r>
      <w:r w:rsidR="00AF3D2F">
        <w:rPr>
          <w:rFonts w:asciiTheme="majorHAnsi" w:hAnsiTheme="majorHAnsi" w:cstheme="majorHAnsi"/>
          <w:sz w:val="24"/>
          <w:szCs w:val="24"/>
        </w:rPr>
        <w:t xml:space="preserve"> Bacteria maintain their internal pH within a viable range despite external acidity. This involves mechanisms that expel excess protons from the cell or neutralize internal prot</w:t>
      </w:r>
      <w:r w:rsidR="005537F0">
        <w:rPr>
          <w:rFonts w:asciiTheme="majorHAnsi" w:hAnsiTheme="majorHAnsi" w:cstheme="majorHAnsi"/>
          <w:sz w:val="24"/>
          <w:szCs w:val="24"/>
        </w:rPr>
        <w:t>o</w:t>
      </w:r>
      <w:r w:rsidR="00AF3D2F">
        <w:rPr>
          <w:rFonts w:asciiTheme="majorHAnsi" w:hAnsiTheme="majorHAnsi" w:cstheme="majorHAnsi"/>
          <w:sz w:val="24"/>
          <w:szCs w:val="24"/>
        </w:rPr>
        <w:t>ns, thus preventing acidification of the cytoplasm.</w:t>
      </w:r>
      <w:r w:rsidR="00AF3D2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{"citationID":"xxJW5ZYc","properties":{"formattedCitation":"\\super 76\\nosupersub{}","plainCitation":"76","noteIndex":0},"citationItems":[{"id":1603,"uris":["http://zotero.org/users/1918630/items/QZR5KCKT"],"itemData":{"id":1603,"type":"article-journal","abstract":"Microorganisms encounter acid stress during multiple bioprocesses. Microbial species have therefore developed a variety of resistance mechanisms. The damage caused by acidic environments is mitigated through the maintenance of pH homeostasis, cell membrane integrity and fluidity, metabolic regulation, and macromolecule repair. The acid tolerance mechanisms can be used to protect probiotics against gastric acids during the process of food intake, and can enhance the biosynthesis of organic acids. The combination of systems and synthetic biology technologies offers new and wide prospects for the industrial applications of microbial acid tolerance mechanisms. In this review, we summarize acid stress response mechanisms of microbial cells, illustrate the application of microbial acid tolerance in industry, and prospect the introduction of systems and synthetic biology to further explore the acid tolerance mechanisms and construct a microbial cell factory for valuable chemicals.","container-title":"Applied Microbiology and Biotechnology","DOI":"10.1007/s00253-019-10226-1","ISSN":"0175-7598","issue":"1","journalAbbreviation":"Appl Microbiol Biotechnol","note":"PMID: 31773206\nPMCID: PMC6942593","page":"51-65","source":"PubMed Central","title":"Microbial response to acid stress: mechanisms and applications","title-short":"Microbial response to acid stress","volume":"104","author":[{"family":"Guan","given":"Ningzi"},{"family":"Liu","given":"Long"}],"issued":{"date-parts":[["2020"]]}}}],"schema":"https://github.com/citation-style-language/schema/raw/master/csl-citation.json"} </w:instrText>
      </w:r>
      <w:r w:rsidR="00AF3D2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76</w:t>
      </w:r>
      <w:r w:rsidR="00AF3D2F">
        <w:rPr>
          <w:rFonts w:asciiTheme="majorHAnsi" w:hAnsiTheme="majorHAnsi" w:cstheme="majorHAnsi"/>
          <w:sz w:val="24"/>
          <w:szCs w:val="24"/>
        </w:rPr>
        <w:fldChar w:fldCharType="end"/>
      </w:r>
      <w:r w:rsidR="00AF3D2F">
        <w:rPr>
          <w:rFonts w:asciiTheme="majorHAnsi" w:hAnsiTheme="majorHAnsi" w:cstheme="majorHAnsi"/>
          <w:sz w:val="24"/>
          <w:szCs w:val="24"/>
        </w:rPr>
        <w:t xml:space="preserve"> Some bacteria may modify their membrane structures as a response to acidic stress.</w:t>
      </w:r>
      <w:r w:rsidR="00F17E75">
        <w:rPr>
          <w:rFonts w:asciiTheme="majorHAnsi" w:hAnsiTheme="majorHAnsi" w:cstheme="majorHAnsi"/>
          <w:sz w:val="24"/>
          <w:szCs w:val="24"/>
        </w:rPr>
        <w:t xml:space="preserve"> </w:t>
      </w:r>
      <w:r w:rsidR="00AF3D2F">
        <w:rPr>
          <w:rFonts w:asciiTheme="majorHAnsi" w:hAnsiTheme="majorHAnsi" w:cstheme="majorHAnsi"/>
          <w:sz w:val="24"/>
          <w:szCs w:val="24"/>
        </w:rPr>
        <w:t>Acidophiles, for example, may have a positively charged membrane surface and a high internal buffer capacity, helping to protect against acid damage.</w:t>
      </w:r>
      <w:r w:rsidR="00B21D77">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{"citationID":"RrszvJnh","properties":{"formattedCitation":"\\super 77\\nosupersub{}","plainCitation":"77","noteIndex":0},"citationItems":[{"id":1744,"uris":["http://zotero.org/users/1918630/items/QLEE7NHZ"],"itemData":{"id":1744,"type":"article-journal","abstract":"Thiobacillus ferrooxidans, an obligate acidophile, possesses an electron transport chain that uses oxidation of ferrous iron to generate proton motive force. The cells possess an efficient machinery for inter-conversion of the two components of the free energy, namely pH gradient and membrane potential. Incidentally, unlike most of the naturally occurring membranes, surface in T. ferrooxidans appears to be positively charged at or near its physiological pH. Independent estimate of such charge was obtained from binding studies with anionic optical and fluorescent probes. When the external pH is lowered below a critical value the inter-conversion of the two components of the proton motive force was no longer operative. A surface charge mediated phase separation of membrane is suggested as one of the possible mechanisms for the failure of such inter-conversion process.","container-title":"Indian Journal of Biochemistry &amp; Biophysics","ISSN":"0301-1208","issue":"5","journalAbbreviation":"Indian J Biochem Biophys","language":"eng","note":"PMID: 9029821","page":"398-402","source":"PubMed","title":"The possible role of surface charge in membrane organization in an acidophile","volume":"33","author":[{"family":"Kar","given":"N. S."},{"family":"Dasgupta","given":"A. K."}],"issued":{"date-parts":[["1996",10]]}}}],"schema":"https://github.com/citation-style-language/schema/raw/master/csl-citation.json"} </w:instrText>
      </w:r>
      <w:r w:rsidR="00B21D77">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77</w:t>
      </w:r>
      <w:r w:rsidR="00B21D77">
        <w:rPr>
          <w:rFonts w:asciiTheme="majorHAnsi" w:hAnsiTheme="majorHAnsi" w:cstheme="majorHAnsi"/>
          <w:sz w:val="24"/>
          <w:szCs w:val="24"/>
        </w:rPr>
        <w:fldChar w:fldCharType="end"/>
      </w:r>
      <w:r w:rsidR="005537F0">
        <w:rPr>
          <w:rFonts w:asciiTheme="majorHAnsi" w:hAnsiTheme="majorHAnsi" w:cstheme="majorHAnsi"/>
          <w:sz w:val="24"/>
          <w:szCs w:val="24"/>
        </w:rPr>
        <w:t xml:space="preserve"> </w:t>
      </w:r>
      <w:r w:rsidR="00C13A82">
        <w:rPr>
          <w:rFonts w:asciiTheme="majorHAnsi" w:hAnsiTheme="majorHAnsi" w:cstheme="majorHAnsi"/>
          <w:sz w:val="24"/>
          <w:szCs w:val="24"/>
        </w:rPr>
        <w:t>Bacteria also adapt to acidic environments through the expression of acid shock proteins and alterations in metabolic pathways to reduce the production of acid</w:t>
      </w:r>
      <w:r w:rsidR="00357E78">
        <w:rPr>
          <w:rFonts w:asciiTheme="majorHAnsi" w:hAnsiTheme="majorHAnsi" w:cstheme="majorHAnsi"/>
          <w:sz w:val="24"/>
          <w:szCs w:val="24"/>
        </w:rPr>
        <w:t>ic</w:t>
      </w:r>
      <w:r w:rsidR="00C13A82">
        <w:rPr>
          <w:rFonts w:asciiTheme="majorHAnsi" w:hAnsiTheme="majorHAnsi" w:cstheme="majorHAnsi"/>
          <w:sz w:val="24"/>
          <w:szCs w:val="24"/>
        </w:rPr>
        <w:t xml:space="preserve"> by-products. </w:t>
      </w:r>
    </w:p>
    <w:p w14:paraId="0C4A9460" w14:textId="4D1F1BD9" w:rsidR="001B39B4" w:rsidRPr="001B39B4" w:rsidRDefault="001B39B4"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0220E2">
        <w:rPr>
          <w:rFonts w:asciiTheme="majorHAnsi" w:hAnsiTheme="majorHAnsi" w:cstheme="majorHAnsi"/>
          <w:sz w:val="24"/>
          <w:szCs w:val="24"/>
        </w:rPr>
        <w:t xml:space="preserve">Some of the less energy intensive acid resistance systems (ARs) utilized by </w:t>
      </w:r>
      <w:r w:rsidR="000220E2">
        <w:rPr>
          <w:rFonts w:asciiTheme="majorHAnsi" w:hAnsiTheme="majorHAnsi" w:cstheme="majorHAnsi"/>
          <w:i/>
          <w:iCs/>
          <w:sz w:val="24"/>
          <w:szCs w:val="24"/>
        </w:rPr>
        <w:t>E. coli</w:t>
      </w:r>
      <w:r w:rsidR="000220E2">
        <w:rPr>
          <w:rFonts w:asciiTheme="majorHAnsi" w:hAnsiTheme="majorHAnsi" w:cstheme="majorHAnsi"/>
          <w:sz w:val="24"/>
          <w:szCs w:val="24"/>
        </w:rPr>
        <w:t xml:space="preserve"> are amino acid dependent: AR2 and AR3.</w:t>
      </w:r>
      <w:r w:rsidR="004E61D5">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{"citationID":"a2kmbet8pgj","properties":{"formattedCitation":"\\super 78,79\\nosupersub{}","plainCitation":"78,79","noteIndex":0},"citationItems":[{"id":2101,"uris":["http://zotero.org/users/1918630/items/K75IG2UE"],"itemData":{"id":2101,"type":"article-journal","abstract":"Due to the acidic nature of the stomach, enteric organisms must withstand extreme acid stress for colonization and pathogenesis. Escherichia coli contains several acid resistance systems that protect cells to pH 2. One acid resistance system, acid resistance system 2 (AR2), requires extracellular glutamate, while another (AR3) requires extracellular arginine. Little is known about how these systems protect cells from acid stress. AR2 and AR3 are thought to consume intracellular protons through amino acid decarboxylation. Antiport mechanisms then exchange decarboxylation products for new amino acid substrates. This form of proton consumption could maintain an internal pH (pHi) conducive to cell survival. The model was tested by estimating the pHi and transmembrane potential (DeltaPsi) of cells acid stressed at pH 2.5. During acid challenge, glutamate- and arginine-dependent systems elevated pHi from 3.6 to 4.2 and 4.7, respectively. However, when pHi was manipulated to 4.0 in the presence or absence of glutamate, only cultures challenged in the presence of glutamate survived, indicating that a physiological parameter aside from pHi was also important. Measurements of DeltaPsi indicated that amino acid-dependent acid resistance systems help convert membrane potential from an inside negative to inside positive charge, an established acidophile strategy used to survive extreme acidic environments. Thus, reversing DeltaPsi may be a more important acid resistance strategy than maintaining a specific pHi value.","container-title":"Journal of Bacteriology","DOI":"10.1128/JB.186.18.6032-6041.2004","ISSN":"0021-9193","issue":"18","journalAbbreviation":"J Bacteriol","language":"eng","note":"PMID: 15342572\nPMCID: PMC515135","page":"6032-6041","source":"PubMed","title":"Escherichia coli glutamate- and arginine-dependent acid resistance systems increase internal pH and reverse transmembrane potential","volume":"186","author":[{"family":"Richard","given":"Hope"},{"family":"Foster","given":"John W."}],"issued":{"date-parts":[["2004",9]]}}},{"id":2099,"uris":["http://zotero.org/users/1918630/items/99YJDIQ4"],"itemData":{"id":2099,"type":"article-journal","abstract":"Enteric Escherichia coli survives the highly acidic environment of the stomach through multiple acid resistance (AR) mechanisms. The most effective system, AR2, decarboxylates externally-derived glutamate to remove cytoplasmic protons and excrete GABA. The first described system, AR1, does not require an external amino acid. Its mechanism has not been determined. The regulation of the multiple AR systems and their coordination with broader cellular metabolism has not been fully explored.","container-title":"BMC Systems Biology","DOI":"10.1186/s12918-016-0376-y","ISSN":"1752-0509","issue":"1","journalAbbreviation":"BMC Systems Biology","page":"1","source":"BioMed Central","title":"Coordinated regulation of acid resistance in Escherichia coli","volume":"11","author":[{"family":"Aquino","given":"Patricia"},{"family":"Honda","given":"Brent"},{"family":"Jaini","given":"Suma"},{"family":"Lyubetskaya","given":"Anna"},{"family":"Hosur","given":"Krutika"},{"family":"Chiu","given":"Joanna G."},{"family":"Ekladious","given":"Iriny"},{"family":"Hu","given":"Dongjian"},{"family":"Jin","given":"Lin"},{"family":"Sayeg","given":"Marianna K."},{"family":"Stettner","given":"Arion I."},{"family":"Wang","given":"Julia"},{"family":"Wong","given":"Brandon G."},{"family":"Wong","given":"Winnie S."},{"family":"Alexander","given":"Stephen L."},{"family":"Ba","given":"Cong"},{"family":"Bensussen","given":"Seth I."},{"family":"Bernstein","given":"David B."},{"family":"Braff","given":"Dana"},{"family":"Cha","given":"Susie"},{"family":"Cheng","given":"Daniel I."},{"family":"Cho","given":"Jang Hwan"},{"family":"Chou","given":"Kenny"},{"family":"Chuang","given":"James"},{"family":"Gastler","given":"Daniel E."},{"family":"Grasso","given":"Daniel J."},{"family":"Greifenberger","given":"John S."},{"family":"Guo","given":"Chen"},{"family":"Hawes","given":"Anna K."},{"family":"Israni","given":"Divya V."},{"family":"Jain","given":"Saloni R."},{"family":"Kim","given":"Jessica"},{"family":"Lei","given":"Junyu"},{"family":"Li","given":"Hao"},{"family":"Li","given":"David"},{"family":"Li","given":"Qian"},{"family":"Mancuso","given":"Christopher P."},{"family":"Mao","given":"Ning"},{"family":"Masud","given":"Salwa F."},{"family":"Meisel","given":"Cari L."},{"family":"Mi","given":"Jing"},{"family":"Nykyforchyn","given":"Christine S."},{"family":"Park","given":"Minhee"},{"family":"Peterson","given":"Hannah M."},{"family":"Ramirez","given":"Alfred K."},{"family":"Reynolds","given":"Daniel S."},{"family":"Rim","given":"Nae Gyune"},{"family":"Saffie","given":"Jared C."},{"family":"Su","given":"Hang"},{"family":"Su","given":"Wendell R."},{"family":"Su","given":"Yaqing"},{"family":"Sun","given":"Meng"},{"family":"Thommes","given":"Meghan M."},{"family":"Tu","given":"Tao"},{"family":"Varongchayakul","given":"Nitinun"},{"family":"Wagner","given":"Tyler E."},{"family":"Weinberg","given":"Benjamin H."},{"family":"Yang","given":"Rouhui"},{"family":"Yaroslavsky","given":"Anastasia"},{"family":"Yoon","given":"Christine"},{"family":"Zhao","given":"Yanyu"},{"family":"Zollinger","given":"Alicia J."},{"family":"Stringer","given":"Anne M."},{"family":"Foster","given":"John W."},{"family":"Wade","given":"Joseph"},{"family":"Raman","given":"Sahadaven"},{"family":"Broude","given":"Natasha"},{"family":"Wong","given":"Wilson W."},{"family":"Galagan","given":"James E."}],"issued":{"date-parts":[["2017",1,6]]}}}],"schema":"https://github.com/citation-style-language/schema/raw/master/csl-citation.json"} </w:instrText>
      </w:r>
      <w:r w:rsidR="004E61D5">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78,79</w:t>
      </w:r>
      <w:r w:rsidR="004E61D5">
        <w:rPr>
          <w:rFonts w:asciiTheme="majorHAnsi" w:hAnsiTheme="majorHAnsi" w:cstheme="majorHAnsi"/>
          <w:sz w:val="24"/>
          <w:szCs w:val="24"/>
        </w:rPr>
        <w:fldChar w:fldCharType="end"/>
      </w:r>
      <w:r w:rsidR="000220E2">
        <w:rPr>
          <w:rFonts w:asciiTheme="majorHAnsi" w:hAnsiTheme="majorHAnsi" w:cstheme="majorHAnsi"/>
          <w:sz w:val="24"/>
          <w:szCs w:val="24"/>
        </w:rPr>
        <w:t xml:space="preserve"> These two systems function by the decarboxylation of </w:t>
      </w:r>
      <w:r w:rsidR="00BF5B99">
        <w:rPr>
          <w:rFonts w:asciiTheme="majorHAnsi" w:hAnsiTheme="majorHAnsi" w:cstheme="majorHAnsi"/>
          <w:sz w:val="24"/>
          <w:szCs w:val="24"/>
        </w:rPr>
        <w:t xml:space="preserve">glutamate and arginine by </w:t>
      </w:r>
      <w:proofErr w:type="spellStart"/>
      <w:r w:rsidR="00BF5B99">
        <w:rPr>
          <w:rFonts w:asciiTheme="majorHAnsi" w:hAnsiTheme="majorHAnsi" w:cstheme="majorHAnsi"/>
          <w:sz w:val="24"/>
          <w:szCs w:val="24"/>
        </w:rPr>
        <w:t>GadA</w:t>
      </w:r>
      <w:proofErr w:type="spellEnd"/>
      <w:r w:rsidR="00BF5B99">
        <w:rPr>
          <w:rFonts w:asciiTheme="majorHAnsi" w:hAnsiTheme="majorHAnsi" w:cstheme="majorHAnsi"/>
          <w:sz w:val="24"/>
          <w:szCs w:val="24"/>
        </w:rPr>
        <w:t xml:space="preserve"> or </w:t>
      </w:r>
      <w:proofErr w:type="spellStart"/>
      <w:r w:rsidR="00BF5B99">
        <w:rPr>
          <w:rFonts w:asciiTheme="majorHAnsi" w:hAnsiTheme="majorHAnsi" w:cstheme="majorHAnsi"/>
          <w:sz w:val="24"/>
          <w:szCs w:val="24"/>
        </w:rPr>
        <w:t>GadB</w:t>
      </w:r>
      <w:proofErr w:type="spellEnd"/>
      <w:r w:rsidR="00BF5B99">
        <w:rPr>
          <w:rFonts w:asciiTheme="majorHAnsi" w:hAnsiTheme="majorHAnsi" w:cstheme="majorHAnsi"/>
          <w:sz w:val="24"/>
          <w:szCs w:val="24"/>
        </w:rPr>
        <w:t xml:space="preserve"> (for glutamate) or </w:t>
      </w:r>
      <w:proofErr w:type="spellStart"/>
      <w:r w:rsidR="00BF5B99">
        <w:rPr>
          <w:rFonts w:asciiTheme="majorHAnsi" w:hAnsiTheme="majorHAnsi" w:cstheme="majorHAnsi"/>
          <w:sz w:val="24"/>
          <w:szCs w:val="24"/>
        </w:rPr>
        <w:t>AdiA</w:t>
      </w:r>
      <w:proofErr w:type="spellEnd"/>
      <w:r w:rsidR="00BF5B99">
        <w:rPr>
          <w:rFonts w:asciiTheme="majorHAnsi" w:hAnsiTheme="majorHAnsi" w:cstheme="majorHAnsi"/>
          <w:sz w:val="24"/>
          <w:szCs w:val="24"/>
        </w:rPr>
        <w:t xml:space="preserve"> (for arginine), a reaction which consumes one cytoplasmic proton and produces either </w:t>
      </w:r>
      <w:r w:rsidR="00BF5B99" w:rsidRPr="00BF5B99">
        <w:rPr>
          <w:sz w:val="24"/>
          <w:szCs w:val="24"/>
        </w:rPr>
        <w:t>γ</w:t>
      </w:r>
      <w:r w:rsidR="00BF5B99">
        <w:rPr>
          <w:sz w:val="24"/>
          <w:szCs w:val="24"/>
        </w:rPr>
        <w:t>-amino butyric acid (GABA) or agmatine. The decarboxylation products are then exported from the cell in exchange for new amino acid substrates.</w:t>
      </w:r>
      <w:r w:rsidR="00BD7C0B">
        <w:rPr>
          <w:sz w:val="24"/>
          <w:szCs w:val="24"/>
        </w:rPr>
        <w:fldChar w:fldCharType="begin"/>
      </w:r>
      <w:r w:rsidR="00864355">
        <w:rPr>
          <w:sz w:val="24"/>
          <w:szCs w:val="24"/>
        </w:rPr>
        <w:instrText xml:space="preserve"> ADDIN ZOTERO_ITEM CSL_CITATION {"citationID":"pFnYoMk5","properties":{"formattedCitation":"\\super 80\\nosupersub{}","plainCitation":"80","noteIndex":0},"citationItems":[{"id":1813,"uris":["http://zotero.org/users/1918630/items/YUJSYITF"],"itemData":{"id":1813,"type":"article-journal","abstract":"There are four known acid-resistance systems present in pathogenic and non-pathogenic strains of Escherichia coli.The two most effective systems involve the decarboxylation of glutamate or arginine, a process that consumes an intracellular proton.In combination with cognate amino acid antiporters, the amino-acid-dependent systems increase intracellular pH and reverse transmembrane potential. Cl−/H+ antiporters are also important in this process.Genetic regulation of the glutamate-dependent acid-resistance system involves a complex regulatory network of at least 10 proteins that mediate induction of gadE, the direct activator of the glutamate decarboxylase and antiporter genes.Glutamate-dependent acid resistance seems to be important for the survival of E. coli O157:H7 in the bovine gastrointestinal tract.","container-title":"Nature Reviews Microbiology","DOI":"10.1038/nrmicro1021","ISSN":"1740-1534","issue":"11","journalAbbreviation":"Nat Rev Microbiol","language":"en","license":"2004 Springer Nature Limited","note":"number: 11\npublisher: Nature Publishing Group","page":"898-907","source":"www.nature.com","title":"Escherichia coli acid resistance: tales of an amateur acidophile","title-short":"Escherichia coli acid resistance","volume":"2","author":[{"family":"Foster","given":"John W."}],"issued":{"date-parts":[["2004",11]]}}}],"schema":"https://github.com/citation-style-language/schema/raw/master/csl-citation.json"} </w:instrText>
      </w:r>
      <w:r w:rsidR="00BD7C0B">
        <w:rPr>
          <w:sz w:val="24"/>
          <w:szCs w:val="24"/>
        </w:rPr>
        <w:fldChar w:fldCharType="separate"/>
      </w:r>
      <w:r w:rsidR="00864355" w:rsidRPr="00864355">
        <w:rPr>
          <w:rFonts w:ascii="Times New Roman" w:hAnsi="Times New Roman" w:cs="Times New Roman"/>
          <w:sz w:val="24"/>
          <w:szCs w:val="24"/>
          <w:vertAlign w:val="superscript"/>
        </w:rPr>
        <w:t>80</w:t>
      </w:r>
      <w:r w:rsidR="00BD7C0B">
        <w:rPr>
          <w:sz w:val="24"/>
          <w:szCs w:val="24"/>
        </w:rPr>
        <w:fldChar w:fldCharType="end"/>
      </w:r>
      <w:r w:rsidR="00BF5B99">
        <w:rPr>
          <w:sz w:val="24"/>
          <w:szCs w:val="24"/>
        </w:rPr>
        <w:t xml:space="preserve"> </w:t>
      </w:r>
      <w:r>
        <w:rPr>
          <w:rFonts w:asciiTheme="majorHAnsi" w:hAnsiTheme="majorHAnsi" w:cstheme="majorHAnsi"/>
          <w:sz w:val="24"/>
          <w:szCs w:val="24"/>
        </w:rPr>
        <w:t>An</w:t>
      </w:r>
      <w:r w:rsidR="00BD7C0B">
        <w:rPr>
          <w:rFonts w:asciiTheme="majorHAnsi" w:hAnsiTheme="majorHAnsi" w:cstheme="majorHAnsi"/>
          <w:sz w:val="24"/>
          <w:szCs w:val="24"/>
        </w:rPr>
        <w:t xml:space="preserve"> additional</w:t>
      </w:r>
      <w:r>
        <w:rPr>
          <w:rFonts w:asciiTheme="majorHAnsi" w:hAnsiTheme="majorHAnsi" w:cstheme="majorHAnsi"/>
          <w:sz w:val="24"/>
          <w:szCs w:val="24"/>
        </w:rPr>
        <w:t xml:space="preserve"> acid response mechanism </w:t>
      </w:r>
      <w:r w:rsidR="00BF5B99">
        <w:rPr>
          <w:rFonts w:asciiTheme="majorHAnsi" w:hAnsiTheme="majorHAnsi" w:cstheme="majorHAnsi"/>
          <w:i/>
          <w:iCs/>
          <w:sz w:val="24"/>
          <w:szCs w:val="24"/>
        </w:rPr>
        <w:t>E. coli</w:t>
      </w:r>
      <w:r w:rsidR="00BF5B99">
        <w:rPr>
          <w:rFonts w:asciiTheme="majorHAnsi" w:hAnsiTheme="majorHAnsi" w:cstheme="majorHAnsi"/>
          <w:sz w:val="24"/>
          <w:szCs w:val="24"/>
        </w:rPr>
        <w:t xml:space="preserve"> has</w:t>
      </w:r>
      <w:r>
        <w:rPr>
          <w:rFonts w:asciiTheme="majorHAnsi" w:hAnsiTheme="majorHAnsi" w:cstheme="majorHAnsi"/>
          <w:sz w:val="24"/>
          <w:szCs w:val="24"/>
        </w:rPr>
        <w:t xml:space="preserve"> been found to employ the deamination of amino acids to raise intracellular </w:t>
      </w:r>
      <w:proofErr w:type="spellStart"/>
      <w:r>
        <w:rPr>
          <w:rFonts w:asciiTheme="majorHAnsi" w:hAnsiTheme="majorHAnsi" w:cstheme="majorHAnsi"/>
          <w:sz w:val="24"/>
          <w:szCs w:val="24"/>
        </w:rPr>
        <w:t>pH.</w:t>
      </w:r>
      <w:proofErr w:type="spellEnd"/>
      <w:r>
        <w:rPr>
          <w:rFonts w:asciiTheme="majorHAnsi" w:hAnsiTheme="majorHAnsi" w:cstheme="majorHAnsi"/>
          <w:sz w:val="24"/>
          <w:szCs w:val="24"/>
        </w:rPr>
        <w:t xml:space="preserve"> Researchers</w:t>
      </w:r>
      <w:r w:rsidR="00BD7C0B">
        <w:rPr>
          <w:rFonts w:asciiTheme="majorHAnsi" w:hAnsiTheme="majorHAnsi" w:cstheme="majorHAnsi"/>
          <w:sz w:val="24"/>
          <w:szCs w:val="24"/>
        </w:rPr>
        <w:t xml:space="preserve"> Wiebe et al.</w:t>
      </w:r>
      <w:r>
        <w:rPr>
          <w:rFonts w:asciiTheme="majorHAnsi" w:hAnsiTheme="majorHAnsi" w:cstheme="majorHAnsi"/>
          <w:sz w:val="24"/>
          <w:szCs w:val="24"/>
        </w:rPr>
        <w:t xml:space="preserve"> found that the deletion of  L-serine deaminases </w:t>
      </w:r>
      <w:proofErr w:type="spellStart"/>
      <w:r>
        <w:rPr>
          <w:rFonts w:asciiTheme="majorHAnsi" w:hAnsiTheme="majorHAnsi" w:cstheme="majorHAnsi"/>
          <w:sz w:val="24"/>
          <w:szCs w:val="24"/>
        </w:rPr>
        <w:t>SdaA</w:t>
      </w:r>
      <w:proofErr w:type="spellEnd"/>
      <w:r>
        <w:rPr>
          <w:rFonts w:asciiTheme="majorHAnsi" w:hAnsiTheme="majorHAnsi" w:cstheme="majorHAnsi"/>
          <w:sz w:val="24"/>
          <w:szCs w:val="24"/>
        </w:rPr>
        <w:t xml:space="preserve"> and </w:t>
      </w:r>
      <w:proofErr w:type="spellStart"/>
      <w:r>
        <w:rPr>
          <w:rFonts w:asciiTheme="majorHAnsi" w:hAnsiTheme="majorHAnsi" w:cstheme="majorHAnsi"/>
          <w:sz w:val="24"/>
          <w:szCs w:val="24"/>
        </w:rPr>
        <w:t>SdaB</w:t>
      </w:r>
      <w:proofErr w:type="spellEnd"/>
      <w:r>
        <w:rPr>
          <w:rFonts w:asciiTheme="majorHAnsi" w:hAnsiTheme="majorHAnsi" w:cstheme="majorHAnsi"/>
          <w:sz w:val="24"/>
          <w:szCs w:val="24"/>
        </w:rPr>
        <w:t xml:space="preserve"> from </w:t>
      </w:r>
      <w:proofErr w:type="spellStart"/>
      <w:r>
        <w:rPr>
          <w:rFonts w:asciiTheme="majorHAnsi" w:hAnsiTheme="majorHAnsi" w:cstheme="majorHAnsi"/>
          <w:sz w:val="24"/>
          <w:szCs w:val="24"/>
        </w:rPr>
        <w:t>uropathogenic</w:t>
      </w:r>
      <w:proofErr w:type="spellEnd"/>
      <w:r>
        <w:rPr>
          <w:rFonts w:asciiTheme="majorHAnsi" w:hAnsiTheme="majorHAnsi" w:cstheme="majorHAnsi"/>
          <w:sz w:val="24"/>
          <w:szCs w:val="24"/>
        </w:rPr>
        <w:t xml:space="preserve">  </w:t>
      </w:r>
      <w:r>
        <w:rPr>
          <w:rFonts w:asciiTheme="majorHAnsi" w:hAnsiTheme="majorHAnsi" w:cstheme="majorHAnsi"/>
          <w:i/>
          <w:iCs/>
          <w:sz w:val="24"/>
          <w:szCs w:val="24"/>
        </w:rPr>
        <w:t>E. coli</w:t>
      </w:r>
      <w:r>
        <w:rPr>
          <w:rFonts w:asciiTheme="majorHAnsi" w:hAnsiTheme="majorHAnsi" w:cstheme="majorHAnsi"/>
          <w:sz w:val="24"/>
          <w:szCs w:val="24"/>
        </w:rPr>
        <w:t xml:space="preserve"> strain UTI89 resulted in acid stress susceptibility, similar to other </w:t>
      </w:r>
      <w:r>
        <w:rPr>
          <w:rFonts w:asciiTheme="majorHAnsi" w:hAnsiTheme="majorHAnsi" w:cstheme="majorHAnsi"/>
          <w:i/>
          <w:iCs/>
          <w:sz w:val="24"/>
          <w:szCs w:val="24"/>
        </w:rPr>
        <w:t>E. coli</w:t>
      </w:r>
      <w:r>
        <w:rPr>
          <w:rFonts w:asciiTheme="majorHAnsi" w:hAnsiTheme="majorHAnsi" w:cstheme="majorHAnsi"/>
          <w:sz w:val="24"/>
          <w:szCs w:val="24"/>
        </w:rPr>
        <w:t xml:space="preserve"> acid stress deletion mutants.</w:t>
      </w:r>
      <w:r w:rsidR="004E61D5">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{"citationID":"a21pri0217a","properties":{"formattedCitation":"\\super 81\\nosupersub{}","plainCitation":"81","noteIndex":0},"citationItems":[{"id":1810,"uris":["http://zotero.org/users/1918630/items/JX4HGSA5"],"itemData":{"id":1810,"type":"article-journal","abstract":"Escherichia coli associates with humans early in life and can occupy several body niches either as a commensal in the gut and vagina, or as a pathogen in the urinary tract. As such, E. coli has an arsenal of acid response mechanisms that allow it to withstand the different levels of acid stress encountered within and outside the host. Here, we report the discovery of an additional acid response mechanism that involves the deamination of l-serine to pyruvate by the conserved l-serine deaminases SdaA and SdaB. l-serine is the first amino acid to be imported in E. coli during growth in laboratory media. However, there remains a lack in knowledge as to how l-serine is utilized. Using a uropathogenic strain of E. coli, UTI89, we show that in acidified media, l-serine is brought into the cell via the SdaC transporter. We further demonstrate that deletion of the l-serine deaminases SdaA and SdaB renders E. coli susceptible to acid stress, similar to other acid stress deletion mutants. The pyruvate produced by l-serine deamination activates the pyruvate sensor BtsS, which in concert with the noncognate response regulator YpdB upregulates the putative transporter YhjX. Based on these observations, we propose that l-serine deamination constitutes another acid response mechanism in E. coli.","container-title":"mBio","DOI":"10.1128/mbio.02963-22","ISSN":"2150-7511","issue":"6","journalAbbreviation":"mBio","note":"PMID: 36468870\nPMCID: PMC9765748","page":"e02963-22","source":"PubMed Central","title":"Serine Deamination Is a New Acid Tolerance Mechanism Observed in Uropathogenic Escherichia coli","volume":"13","author":[{"family":"Wiebe","given":"Michelle A."},{"family":"Brannon","given":"John R."},{"family":"Steiner","given":"Bradley D."},{"family":"Bamidele","given":"Adebisi"},{"family":"Schrimpe-Rutledge","given":"Alexandra C."},{"family":"Codreanu","given":"Simona G."},{"family":"Sherrod","given":"Stacy D."},{"family":"McLean","given":"John A."},{"family":"Hadjifrangiskou","given":"Maria"}]}}],"schema":"https://github.com/citation-style-language/schema/raw/master/csl-citation.json"} </w:instrText>
      </w:r>
      <w:r w:rsidR="004E61D5">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81</w:t>
      </w:r>
      <w:r w:rsidR="004E61D5">
        <w:rPr>
          <w:rFonts w:asciiTheme="majorHAnsi" w:hAnsiTheme="majorHAnsi" w:cstheme="majorHAnsi"/>
          <w:sz w:val="24"/>
          <w:szCs w:val="24"/>
        </w:rPr>
        <w:fldChar w:fldCharType="end"/>
      </w:r>
      <w:r w:rsidR="00BD7C0B">
        <w:rPr>
          <w:rFonts w:asciiTheme="majorHAnsi" w:hAnsiTheme="majorHAnsi" w:cstheme="majorHAnsi"/>
          <w:sz w:val="24"/>
          <w:szCs w:val="24"/>
        </w:rPr>
        <w:t xml:space="preserve"> The deamination of L-serine produces pyruvate and ammonia, and the researchers postulate that the produced ammonia functions as a base which increases intracellular pH of </w:t>
      </w:r>
      <w:r w:rsidR="00BD7C0B">
        <w:rPr>
          <w:rFonts w:asciiTheme="majorHAnsi" w:hAnsiTheme="majorHAnsi" w:cstheme="majorHAnsi"/>
          <w:i/>
          <w:iCs/>
          <w:sz w:val="24"/>
          <w:szCs w:val="24"/>
        </w:rPr>
        <w:t>E. coli</w:t>
      </w:r>
      <w:r w:rsidR="00BD7C0B">
        <w:rPr>
          <w:rFonts w:asciiTheme="majorHAnsi" w:hAnsiTheme="majorHAnsi" w:cstheme="majorHAnsi"/>
          <w:sz w:val="24"/>
          <w:szCs w:val="24"/>
        </w:rPr>
        <w:t xml:space="preserve"> when under acidic stress conditions.</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{"citationID":"pROKkeGx","properties":{"formattedCitation":"\\super 81\\nosupersub{}","plainCitation":"81","noteIndex":0},"citationItems":[{"id":1810,"uris":["http://zotero.org/users/1918630/items/JX4HGSA5"],"itemData":{"id":1810,"type":"article-journal","abstract":"Escherichia coli associates with humans early in life and can occupy several body niches either as a commensal in the gut and vagina, or as a pathogen in the urinary tract. As such, E. coli has an arsenal of acid response mechanisms that allow it to withstand the different levels of acid stress encountered within and outside the host. Here, we report the discovery of an additional acid response mechanism that involves the deamination of l-serine to pyruvate by the conserved l-serine deaminases SdaA and SdaB. l-serine is the first amino acid to be imported in E. coli during growth in laboratory media. However, there remains a lack in knowledge as to how l-serine is utilized. Using a uropathogenic strain of E. coli, UTI89, we show that in acidified media, l-serine is brought into the cell via the SdaC transporter. We further demonstrate that deletion of the l-serine deaminases SdaA and SdaB renders E. coli susceptible to acid stress, similar to other acid stress deletion mutants. The pyruvate produced by l-serine deamination activates the pyruvate sensor BtsS, which in concert with the noncognate response regulator YpdB upregulates the putative transporter YhjX. Based on these observations, we propose that l-serine deamination constitutes another acid response mechanism in E. coli.","container-title":"mBio","DOI":"10.1128/mbio.02963-22","ISSN":"2150-7511","issue":"6","journalAbbreviation":"mBio","note":"PMID: 36468870\nPMCID: PMC9765748","page":"e02963-22","source":"PubMed Central","title":"Serine Deamination Is a New Acid Tolerance Mechanism Observed in Uropathogenic Escherichia coli","volume":"13","author":[{"family":"Wiebe","given":"Michelle A."},{"family":"Brannon","given":"John R."},{"family":"Steiner","given":"Bradley D."},{"family":"Bamidele","given":"Adebisi"},{"family":"Schrimpe-Rutledge","given":"Alexandra C."},{"family":"Codreanu","given":"Simona G."},{"family":"Sherrod","given":"Stacy D."},{"family":"McLean","given":"John A."},{"family":"Hadjifrangiskou","given":"Maria"}]}}],"schema":"https://github.com/citation-style-language/schema/raw/master/csl-citation.json"}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81</w:t>
      </w:r>
      <w:r>
        <w:rPr>
          <w:rFonts w:asciiTheme="majorHAnsi" w:hAnsiTheme="majorHAnsi" w:cstheme="majorHAnsi"/>
          <w:sz w:val="24"/>
          <w:szCs w:val="24"/>
        </w:rPr>
        <w:fldChar w:fldCharType="end"/>
      </w:r>
    </w:p>
    <w:p w14:paraId="1D37381D" w14:textId="07D3760C" w:rsidR="00251E74" w:rsidRPr="005A0406" w:rsidRDefault="00356D8C" w:rsidP="00C836F0">
      <w:pPr>
        <w:rPr>
          <w:rFonts w:asciiTheme="majorHAnsi" w:hAnsiTheme="majorHAnsi" w:cstheme="majorHAnsi"/>
          <w:sz w:val="24"/>
          <w:szCs w:val="24"/>
          <w:u w:val="single"/>
        </w:rPr>
      </w:pPr>
      <w:r>
        <w:rPr>
          <w:rFonts w:asciiTheme="majorHAnsi" w:hAnsiTheme="majorHAnsi" w:cstheme="majorHAnsi"/>
          <w:sz w:val="24"/>
          <w:szCs w:val="24"/>
          <w:u w:val="single"/>
        </w:rPr>
        <w:t>1.</w:t>
      </w:r>
      <w:r w:rsidR="007D3623">
        <w:rPr>
          <w:rFonts w:asciiTheme="majorHAnsi" w:hAnsiTheme="majorHAnsi" w:cstheme="majorHAnsi"/>
          <w:sz w:val="24"/>
          <w:szCs w:val="24"/>
          <w:u w:val="single"/>
        </w:rPr>
        <w:t>4</w:t>
      </w:r>
      <w:r>
        <w:rPr>
          <w:rFonts w:asciiTheme="majorHAnsi" w:hAnsiTheme="majorHAnsi" w:cstheme="majorHAnsi"/>
          <w:sz w:val="24"/>
          <w:szCs w:val="24"/>
          <w:u w:val="single"/>
        </w:rPr>
        <w:t xml:space="preserve">.3. </w:t>
      </w:r>
      <w:r w:rsidR="00251E74" w:rsidRPr="005A0406">
        <w:rPr>
          <w:rFonts w:asciiTheme="majorHAnsi" w:hAnsiTheme="majorHAnsi" w:cstheme="majorHAnsi"/>
          <w:sz w:val="24"/>
          <w:szCs w:val="24"/>
          <w:u w:val="single"/>
        </w:rPr>
        <w:t xml:space="preserve">Low </w:t>
      </w:r>
      <w:r w:rsidR="007D3623">
        <w:rPr>
          <w:rFonts w:asciiTheme="majorHAnsi" w:hAnsiTheme="majorHAnsi" w:cstheme="majorHAnsi"/>
          <w:sz w:val="24"/>
          <w:szCs w:val="24"/>
          <w:u w:val="single"/>
        </w:rPr>
        <w:t>i</w:t>
      </w:r>
      <w:r w:rsidR="00251E74" w:rsidRPr="005A0406">
        <w:rPr>
          <w:rFonts w:asciiTheme="majorHAnsi" w:hAnsiTheme="majorHAnsi" w:cstheme="majorHAnsi"/>
          <w:sz w:val="24"/>
          <w:szCs w:val="24"/>
          <w:u w:val="single"/>
        </w:rPr>
        <w:t>ron</w:t>
      </w:r>
    </w:p>
    <w:p w14:paraId="79EB2EEB" w14:textId="3FA83141" w:rsidR="00385F06" w:rsidRDefault="005E0BAA" w:rsidP="0021013E">
      <w:pPr>
        <w:spacing w:line="360" w:lineRule="auto"/>
        <w:rPr>
          <w:rFonts w:asciiTheme="majorHAnsi" w:hAnsiTheme="majorHAnsi" w:cstheme="majorHAnsi"/>
          <w:sz w:val="24"/>
          <w:szCs w:val="24"/>
        </w:rPr>
      </w:pPr>
      <w:r>
        <w:rPr>
          <w:rFonts w:asciiTheme="majorHAnsi" w:hAnsiTheme="majorHAnsi" w:cstheme="majorHAnsi"/>
          <w:sz w:val="24"/>
          <w:szCs w:val="24"/>
        </w:rPr>
        <w:tab/>
        <w:t>Iron is critical for various physiological functions in bacteria, including DNA replication, transcription, metabolism, and energy generation via respiration.</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{"citationID":"C79MQsUv","properties":{"formattedCitation":"\\super 82\\nosupersub{}","plainCitation":"82","noteIndex":0},"citationItems":[{"id":1618,"uris":["http://zotero.org/users/1918630/items/CB398G4A"],"itemData":{"id":1618,"type":"article-journal","abstract":"Iron is the most abundant transition metal in the human body and its bioavailability is stringently controlled. In particular, iron is tightly bound to host proteins such as transferrin to maintain homeostasis, to limit potential damage caused by iron toxicity under physiological conditions and to restrict access by pathogens. Therefore, iron acquisition during infection of a human host is a challenge that must be surmounted by every successful pathogenic microorganism. Iron is essential for bacterial and fungal physiological processes such as DNA replication, transcription, metabolism, and energy generation via respiration. Hence, pathogenic bacteria and fungi have developed sophisticated strategies to gain access to iron from host sources. Indeed, siderophore production and transport, iron acquisition from heme and host iron-containing proteins such as hemoglobin and transferrin, and reduction of ferric to ferrous iron with subsequent transport are all strategies found in bacterial and fungal pathogens of humans. This review focuses on a comparison of these strategies between bacterial and fungal pathogens in the context of virulence and the iron limitation that occurs in the human body as a mechanism of innate nutritional defense.","container-title":"Frontiers in Cellular and Infection Microbiology","DOI":"10.3389/fcimb.2013.00080","ISSN":"2235-2988","journalAbbreviation":"Front Cell Infect Microbiol","note":"PMID: 24312900\nPMCID: PMC3832793","page":"80","source":"PubMed Central","title":"Shared and distinct mechanisms of iron acquisition by bacterial and fungal pathogens of humans","volume":"3","author":[{"family":"Caza","given":"Mélissa"},{"family":"Kronstad","given":"James W."}],"issued":{"date-parts":[["2013",11,19]]}}}],"schema":"https://github.com/citation-style-language/schema/raw/master/csl-citation.json"}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82</w:t>
      </w:r>
      <w:r>
        <w:rPr>
          <w:rFonts w:asciiTheme="majorHAnsi" w:hAnsiTheme="majorHAnsi" w:cstheme="majorHAnsi"/>
          <w:sz w:val="24"/>
          <w:szCs w:val="24"/>
        </w:rPr>
        <w:fldChar w:fldCharType="end"/>
      </w:r>
      <w:r>
        <w:rPr>
          <w:rFonts w:asciiTheme="majorHAnsi" w:hAnsiTheme="majorHAnsi" w:cstheme="majorHAnsi"/>
          <w:sz w:val="24"/>
          <w:szCs w:val="24"/>
        </w:rPr>
        <w:t xml:space="preserve"> Iron is similarly critical for eukaryotic cells and is </w:t>
      </w:r>
      <w:r w:rsidR="004E61D5">
        <w:rPr>
          <w:rFonts w:asciiTheme="majorHAnsi" w:hAnsiTheme="majorHAnsi" w:cstheme="majorHAnsi"/>
          <w:sz w:val="24"/>
          <w:szCs w:val="24"/>
        </w:rPr>
        <w:t>one of the</w:t>
      </w:r>
      <w:r>
        <w:rPr>
          <w:rFonts w:asciiTheme="majorHAnsi" w:hAnsiTheme="majorHAnsi" w:cstheme="majorHAnsi"/>
          <w:sz w:val="24"/>
          <w:szCs w:val="24"/>
        </w:rPr>
        <w:t xml:space="preserve"> most restricted micronutrient</w:t>
      </w:r>
      <w:r w:rsidR="00EA65CA">
        <w:rPr>
          <w:rFonts w:asciiTheme="majorHAnsi" w:hAnsiTheme="majorHAnsi" w:cstheme="majorHAnsi"/>
          <w:sz w:val="24"/>
          <w:szCs w:val="24"/>
        </w:rPr>
        <w:t>s</w:t>
      </w:r>
      <w:r>
        <w:rPr>
          <w:rFonts w:asciiTheme="majorHAnsi" w:hAnsiTheme="majorHAnsi" w:cstheme="majorHAnsi"/>
          <w:sz w:val="24"/>
          <w:szCs w:val="24"/>
        </w:rPr>
        <w:t xml:space="preserve"> in the human host.</w:t>
      </w:r>
      <w:r w:rsidR="004E61D5">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{"citationID":"a1d1vrg910d","properties":{"formattedCitation":"\\super 83\\nosupersub{}","plainCitation":"83","noteIndex":0},"citationItems":[{"id":2105,"uris":["http://zotero.org/users/1918630/items/JMJDJETD"],"itemData":{"id":2105,"type":"article-journal","abstract":"Trace metals are essential micronutrients required for survival across all kingdoms of life. From bacteria to animals, metals have critical roles as both structural and catalytic cofactors for an estimated third of the proteome, representing a major contributor to the maintenance of cellular homeostasis. The reactivity of metal ions engenders them with the ability to promote enzyme catalysis and stabilize reaction intermediates. However, these properties render metals toxic at high concentrations and, therefore, metal levels must be tightly regulated. Having evolved in close association with bacteria, vertebrate hosts have developed numerous strategies of metal limitation and intoxication that prevent bacterial proliferation, a process termed nutritional immunity. In turn, bacterial pathogens have evolved adaptive mechanisms to survive in conditions of metal depletion or excess. In this Review, we discuss mechanisms by which nutrient metals shape the interactions between bacterial pathogens and animal hosts. We explore the cell-specific and tissue-specific roles of distinct trace metals in shaping bacterial infections, as well as implications for future research and new therapeutic development.","container-title":"Nature Reviews Microbiology","DOI":"10.1038/s41579-022-00745-6","ISSN":"1740-1534","issue":"11","journalAbbreviation":"Nat Rev Microbiol","language":"en","license":"2022 Springer Nature Limited","note":"number: 11\npublisher: Nature Publishing Group","page":"657-670","source":"www.nature.com","title":"Nutritional immunity: the battle for nutrient metals at the host–pathogen interface","title-short":"Nutritional immunity","volume":"20","author":[{"family":"Murdoch","given":"Caitlin C."},{"family":"Skaar","given":"Eric P."}],"issued":{"date-parts":[["2022",11]]}}}],"schema":"https://github.com/citation-style-language/schema/raw/master/csl-citation.json"} </w:instrText>
      </w:r>
      <w:r w:rsidR="004E61D5">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83</w:t>
      </w:r>
      <w:r w:rsidR="004E61D5">
        <w:rPr>
          <w:rFonts w:asciiTheme="majorHAnsi" w:hAnsiTheme="majorHAnsi" w:cstheme="majorHAnsi"/>
          <w:sz w:val="24"/>
          <w:szCs w:val="24"/>
        </w:rPr>
        <w:fldChar w:fldCharType="end"/>
      </w:r>
      <w:r w:rsidR="004E61D5">
        <w:rPr>
          <w:rFonts w:asciiTheme="majorHAnsi" w:hAnsiTheme="majorHAnsi" w:cstheme="majorHAnsi"/>
          <w:sz w:val="24"/>
          <w:szCs w:val="24"/>
        </w:rPr>
        <w:t xml:space="preserve"> </w:t>
      </w:r>
      <w:r w:rsidR="00B36C5B">
        <w:rPr>
          <w:rFonts w:asciiTheme="majorHAnsi" w:hAnsiTheme="majorHAnsi" w:cstheme="majorHAnsi"/>
          <w:sz w:val="24"/>
          <w:szCs w:val="24"/>
        </w:rPr>
        <w:t>In order to protect host cells from iron toxicity</w:t>
      </w:r>
      <w:r w:rsidR="00CF5139">
        <w:rPr>
          <w:rFonts w:asciiTheme="majorHAnsi" w:hAnsiTheme="majorHAnsi" w:cstheme="majorHAnsi"/>
          <w:sz w:val="24"/>
          <w:szCs w:val="24"/>
        </w:rPr>
        <w:t>,</w:t>
      </w:r>
      <w:r w:rsidR="00B36C5B">
        <w:rPr>
          <w:rFonts w:asciiTheme="majorHAnsi" w:hAnsiTheme="majorHAnsi" w:cstheme="majorHAnsi"/>
          <w:sz w:val="24"/>
          <w:szCs w:val="24"/>
        </w:rPr>
        <w:t xml:space="preserve"> intracellular iron is either incorporated into metalloproteins or stored by associating with ferritin.</w:t>
      </w:r>
      <w:r w:rsidR="00B36C5B">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{"citationID":"a4bnt8vjer","properties":{"formattedCitation":"\\super 84\\nosupersub{}","plainCitation":"84","noteIndex":0},"citationItems":[{"id":2107,"uris":["http://zotero.org/users/1918630/items/D2URS6VA"],"itemData":{"id":2107,"type":"article-journal","abstract":"The control over iron availability is crucial under homeostatic conditions and even more in the case of an infection. This results from diverse properties of iron: first, iron is an important trace element for the host as well as for the pathogen for various cellular and metabolic processes, second, free iron catalyzes Fenton reaction and is therefore producing reactive oxygen species as a part of the host defense machinery, third, iron exhibits important effects on immune cell function and differentiation and fourth almost every immune activation in turn impacts on iron metabolism and spatio-temporal iron distribution. The central importance of iron in the host and microbe interplay and thus for the course of infections led to diverse strategies to restrict iron for invading pathogens. In this review, we focus on how iron restriction to the pathogen is a powerful innate immune defense mechanism of the host called “nutritional immunity”. Important proteins in the iron-host-pathogen interplay will be discussed as well as the influence of iron on the efficacy of innate and adaptive immunity. Recently described processes like ferritinophagy and ferroptosis are further covered in respect to their impact on inflammation and infection control and how they impact on our understanding of the interaction of host and pathogen.","collection-title":"Metals in Infectious Diseases","container-title":"Seminars in Cell &amp; Developmental Biology","DOI":"10.1016/j.semcdb.2020.12.005","ISSN":"1084-9521","journalAbbreviation":"Seminars in Cell &amp; Developmental Biology","page":"27-36","source":"ScienceDirect","title":"Iron in immune cell function and host defense","volume":"115","author":[{"family":"Haschka","given":"David"},{"family":"Hoffmann","given":"Alexander"},{"family":"Weiss","given":"Günter"}],"issued":{"date-parts":[["2021",7,1]]}}}],"schema":"https://github.com/citation-style-language/schema/raw/master/csl-citation.json"} </w:instrText>
      </w:r>
      <w:r w:rsidR="00B36C5B">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84</w:t>
      </w:r>
      <w:r w:rsidR="00B36C5B">
        <w:rPr>
          <w:rFonts w:asciiTheme="majorHAnsi" w:hAnsiTheme="majorHAnsi" w:cstheme="majorHAnsi"/>
          <w:sz w:val="24"/>
          <w:szCs w:val="24"/>
        </w:rPr>
        <w:fldChar w:fldCharType="end"/>
      </w:r>
      <w:r w:rsidR="00B36C5B">
        <w:rPr>
          <w:rFonts w:asciiTheme="majorHAnsi" w:hAnsiTheme="majorHAnsi" w:cstheme="majorHAnsi"/>
          <w:sz w:val="24"/>
          <w:szCs w:val="24"/>
        </w:rPr>
        <w:t xml:space="preserve"> This iron sequestration system used by the host cells doubles as pathogen protection by limiting the </w:t>
      </w:r>
      <w:r w:rsidR="00B36C5B">
        <w:rPr>
          <w:rFonts w:asciiTheme="majorHAnsi" w:hAnsiTheme="majorHAnsi" w:cstheme="majorHAnsi"/>
          <w:sz w:val="24"/>
          <w:szCs w:val="24"/>
        </w:rPr>
        <w:lastRenderedPageBreak/>
        <w:t>amount of free iron.</w:t>
      </w:r>
      <w:r>
        <w:rPr>
          <w:rFonts w:asciiTheme="majorHAnsi" w:hAnsiTheme="majorHAnsi" w:cstheme="majorHAnsi"/>
          <w:sz w:val="24"/>
          <w:szCs w:val="24"/>
        </w:rPr>
        <w:t xml:space="preserve"> </w:t>
      </w:r>
      <w:r w:rsidR="002550DB">
        <w:rPr>
          <w:rFonts w:asciiTheme="majorHAnsi" w:hAnsiTheme="majorHAnsi" w:cstheme="majorHAnsi"/>
          <w:sz w:val="24"/>
          <w:szCs w:val="24"/>
        </w:rPr>
        <w:t>In order for bacteria to obtain this vital metal</w:t>
      </w:r>
      <w:r w:rsidR="00385F06">
        <w:rPr>
          <w:rFonts w:asciiTheme="majorHAnsi" w:hAnsiTheme="majorHAnsi" w:cstheme="majorHAnsi"/>
          <w:sz w:val="24"/>
          <w:szCs w:val="24"/>
        </w:rPr>
        <w:t>,</w:t>
      </w:r>
      <w:r w:rsidR="002550DB">
        <w:rPr>
          <w:rFonts w:asciiTheme="majorHAnsi" w:hAnsiTheme="majorHAnsi" w:cstheme="majorHAnsi"/>
          <w:sz w:val="24"/>
          <w:szCs w:val="24"/>
        </w:rPr>
        <w:t xml:space="preserve"> </w:t>
      </w:r>
      <w:r w:rsidR="00385F06">
        <w:rPr>
          <w:rFonts w:asciiTheme="majorHAnsi" w:hAnsiTheme="majorHAnsi" w:cstheme="majorHAnsi"/>
          <w:sz w:val="24"/>
          <w:szCs w:val="24"/>
        </w:rPr>
        <w:t>they</w:t>
      </w:r>
      <w:r w:rsidR="002550DB">
        <w:rPr>
          <w:rFonts w:asciiTheme="majorHAnsi" w:hAnsiTheme="majorHAnsi" w:cstheme="majorHAnsi"/>
          <w:sz w:val="24"/>
          <w:szCs w:val="24"/>
        </w:rPr>
        <w:t xml:space="preserve"> have developed various mechanisms to sequester or scavenge iron from their environment.</w:t>
      </w:r>
      <w:r w:rsidR="00385F06">
        <w:rPr>
          <w:rFonts w:asciiTheme="majorHAnsi" w:hAnsiTheme="majorHAnsi" w:cstheme="majorHAnsi"/>
          <w:sz w:val="24"/>
          <w:szCs w:val="24"/>
        </w:rPr>
        <w:t xml:space="preserve"> One key strategy involves the production of siderophores, which are small, high affinity iron-chelating compounds secreted by bacteria.</w:t>
      </w:r>
      <w:r w:rsidR="00B36C5B">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{"citationID":"af9s71d4at","properties":{"formattedCitation":"\\super 85\\nosupersub{}","plainCitation":"85","noteIndex":0},"citationItems":[{"id":2109,"uris":["http://zotero.org/users/1918630/items/T9J8JCWI"],"itemData":{"id":2109,"type":"article-journal","abstract":"Iron is an essential element for all microorganisms. Siderophores are low-weight, high-affinity iron chelating molecules produced in response to iron deficiency by Gram-positive and Gram-negative bacteria which also known as essential virulence factors of bacteria. Several studies have indicated that defective production and/or function of these molecules as well as iron acquisition systems in pathogens are associated with a reduction in pathogenicity of bacteria. Because of their potential role in various biological pathways, siderophores have been received special attention as secondary metabolites. Siderophores can detect iron levels in a variety of environments with a biosensor function. In medicine, siderophores are used to deliver antibiotics (Trojan horse strategy) to resistant bacteria and to treat diseases such as cancer and malaria. In this review, we discuss the iron acquisition pathways in Gram-positive and -negative bacteria, importance of siderophore production in pathogenesis of bacteria, classification of siderophores, and main applications of siderophores in medicine and industry.","container-title":"Microbiological Research","DOI":"10.1016/j.micres.2021.126790","ISSN":"1618-0623","journalAbbreviation":"Microbiol Res","language":"eng","note":"PMID: 34098495","page":"126790","source":"PubMed","title":"Siderophores: Importance in bacterial pathogenesis and applications in medicine and industry","title-short":"Siderophores","volume":"250","author":[{"family":"Khasheii","given":"Behnoush"},{"family":"Mahmoodi","given":"Pezhman"},{"family":"Mohammadzadeh","given":"Abdolmajid"}],"issued":{"date-parts":[["2021",9]]}}}],"schema":"https://github.com/citation-style-language/schema/raw/master/csl-citation.json"} </w:instrText>
      </w:r>
      <w:r w:rsidR="00B36C5B">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85</w:t>
      </w:r>
      <w:r w:rsidR="00B36C5B">
        <w:rPr>
          <w:rFonts w:asciiTheme="majorHAnsi" w:hAnsiTheme="majorHAnsi" w:cstheme="majorHAnsi"/>
          <w:sz w:val="24"/>
          <w:szCs w:val="24"/>
        </w:rPr>
        <w:fldChar w:fldCharType="end"/>
      </w:r>
      <w:r w:rsidR="00385F06">
        <w:rPr>
          <w:rFonts w:asciiTheme="majorHAnsi" w:hAnsiTheme="majorHAnsi" w:cstheme="majorHAnsi"/>
          <w:sz w:val="24"/>
          <w:szCs w:val="24"/>
        </w:rPr>
        <w:t xml:space="preserve"> These siderophores scavenge iron from the host environment and transport it back to the bacterial cells.</w:t>
      </w:r>
      <w:r w:rsidR="00AD5D70">
        <w:rPr>
          <w:rFonts w:asciiTheme="majorHAnsi" w:hAnsiTheme="majorHAnsi" w:cstheme="majorHAnsi"/>
          <w:sz w:val="24"/>
          <w:szCs w:val="24"/>
        </w:rPr>
        <w:t xml:space="preserve"> The siderophores solubilize the iron and then are taken up back into the cell via specific outer membrane receptors involved in a process driven by the proton motive force and mediated by the energy-transducing </w:t>
      </w:r>
      <w:proofErr w:type="spellStart"/>
      <w:r w:rsidR="00AD5D70">
        <w:rPr>
          <w:rFonts w:asciiTheme="majorHAnsi" w:hAnsiTheme="majorHAnsi" w:cstheme="majorHAnsi"/>
          <w:sz w:val="24"/>
          <w:szCs w:val="24"/>
        </w:rPr>
        <w:t>TonB-ExbB-ExbD</w:t>
      </w:r>
      <w:proofErr w:type="spellEnd"/>
      <w:r w:rsidR="00AD5D70">
        <w:rPr>
          <w:rFonts w:asciiTheme="majorHAnsi" w:hAnsiTheme="majorHAnsi" w:cstheme="majorHAnsi"/>
          <w:sz w:val="24"/>
          <w:szCs w:val="24"/>
        </w:rPr>
        <w:t xml:space="preserve"> system.</w:t>
      </w:r>
      <w:r w:rsidR="005D53FA">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{"citationID":"a1mk4oegtuh","properties":{"formattedCitation":"\\super 86\\nosupersub{}","plainCitation":"86","noteIndex":0},"citationItems":[{"id":2111,"uris":["http://zotero.org/users/1918630/items/2LBFHL7G"],"itemData":{"id":2111,"type":"article-journal","abstract":"Ferric enterobactin (FeEnt) acquisition plays a critical role in the pathophysiology of Campylobacter, the leading bacterial cause of human gastroenteritis in industrialized countries. In Campylobacter, the surface-exposed receptor, CfrA or CfrB, functions as a “gatekeeper” for initial binding of FeEnt. Subsequent transport across the outer membrane is energized by TonB-ExbB-ExbD energy transduction systems. Although there are up to three TonB-ExbB-ExbD systems in Campylobacter, the cognate components of TonB-ExbB-ExbD for FeEnt acquisition are still largely unknown. In this study, we addressed this issue using complementary molecular approaches including: comparative genomic analysis, random transposon mutagenesis, and site-directed mutagenesis in two representative C. jejuni strains, NCTC 11168 and 81-176. We demonstrated that CfrB could interact with either TonB2 or TonB3 for efficient Ent-mediated iron acquisition. However, TonB3 is a dominant player in CfrA-dependent pathway. The ExbB2 and ExbD2 components were essential for both CfrA- and CfrB-dependent FeEnt acquisition. Sequences analysis identified potential TonB boxes in CfrA and CfrB, and the corresponding binding sites in TonB. In conclusion, these findings reveal identities of specific TonB-ExbB-ExbD energy transduction components required for FeEnt acquisition, and provide insights into the complex molecular interactions of FeEnt acquisition systems in Campylobacter.","container-title":"FEMS microbiology letters","DOI":"10.1111/1574-6968.12221","ISSN":"0378-1097","issue":"1","journalAbbreviation":"FEMS Microbiol Lett","note":"PMID: 23905838\nPMCID: PMC3774156","page":"83-91","source":"PubMed Central","title":"Specific TonB-ExbB-ExbD energy transduction systems required for ferric enterobactin acquisition in Campylobacter","volume":"347","author":[{"family":"Zeng","given":"Ximin"},{"family":"Xu","given":"Fuzhou"},{"family":"Lin","given":"Jun"}],"issued":{"date-parts":[["2013",10]]}}}],"schema":"https://github.com/citation-style-language/schema/raw/master/csl-citation.json"} </w:instrText>
      </w:r>
      <w:r w:rsidR="005D53FA">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86</w:t>
      </w:r>
      <w:r w:rsidR="005D53FA">
        <w:rPr>
          <w:rFonts w:asciiTheme="majorHAnsi" w:hAnsiTheme="majorHAnsi" w:cstheme="majorHAnsi"/>
          <w:sz w:val="24"/>
          <w:szCs w:val="24"/>
        </w:rPr>
        <w:fldChar w:fldCharType="end"/>
      </w:r>
      <w:r w:rsidR="00AD5D70">
        <w:rPr>
          <w:rFonts w:asciiTheme="majorHAnsi" w:hAnsiTheme="majorHAnsi" w:cstheme="majorHAnsi"/>
          <w:sz w:val="24"/>
          <w:szCs w:val="24"/>
        </w:rPr>
        <w:t xml:space="preserve"> Once back within the cell, the </w:t>
      </w:r>
      <w:proofErr w:type="spellStart"/>
      <w:r w:rsidR="00AD5D70">
        <w:rPr>
          <w:rFonts w:asciiTheme="majorHAnsi" w:hAnsiTheme="majorHAnsi" w:cstheme="majorHAnsi"/>
          <w:sz w:val="24"/>
          <w:szCs w:val="24"/>
        </w:rPr>
        <w:t>ferri</w:t>
      </w:r>
      <w:proofErr w:type="spellEnd"/>
      <w:r w:rsidR="00AD5D70">
        <w:rPr>
          <w:rFonts w:asciiTheme="majorHAnsi" w:hAnsiTheme="majorHAnsi" w:cstheme="majorHAnsi"/>
          <w:sz w:val="24"/>
          <w:szCs w:val="24"/>
        </w:rPr>
        <w:t>-siderophore complex dissociates to free the complexed iron for use in cellular metabolism.</w:t>
      </w:r>
      <w:r w:rsidR="002A7257">
        <w:rPr>
          <w:rFonts w:asciiTheme="majorHAnsi" w:hAnsiTheme="majorHAnsi" w:cstheme="majorHAnsi"/>
          <w:sz w:val="24"/>
          <w:szCs w:val="24"/>
        </w:rPr>
        <w:t xml:space="preserve"> Besides using bacterial siderophores to acquire iron from the host, pathogenic bacteria can acquire iron directly from iron-binding proteins from the host by using receptor-mediated transport systems specific for those host-iron protein complexes.</w:t>
      </w:r>
      <w:r w:rsidR="003C6F4E">
        <w:rPr>
          <w:rFonts w:asciiTheme="majorHAnsi" w:hAnsiTheme="majorHAnsi" w:cstheme="majorHAnsi"/>
          <w:sz w:val="24"/>
          <w:szCs w:val="24"/>
        </w:rPr>
        <w:t xml:space="preserve"> </w:t>
      </w:r>
      <w:r w:rsidR="008B1A19">
        <w:rPr>
          <w:rFonts w:asciiTheme="majorHAnsi" w:hAnsiTheme="majorHAnsi" w:cstheme="majorHAnsi"/>
          <w:sz w:val="24"/>
          <w:szCs w:val="24"/>
        </w:rPr>
        <w:t>Under low iron stress, bacteria are likely to upregulate the production of siderophores</w:t>
      </w:r>
      <w:r w:rsidR="00CB557C">
        <w:rPr>
          <w:rFonts w:asciiTheme="majorHAnsi" w:hAnsiTheme="majorHAnsi" w:cstheme="majorHAnsi"/>
          <w:sz w:val="24"/>
          <w:szCs w:val="24"/>
        </w:rPr>
        <w:t xml:space="preserve"> and</w:t>
      </w:r>
      <w:r w:rsidR="008B1A19">
        <w:rPr>
          <w:rFonts w:asciiTheme="majorHAnsi" w:hAnsiTheme="majorHAnsi" w:cstheme="majorHAnsi"/>
          <w:sz w:val="24"/>
          <w:szCs w:val="24"/>
        </w:rPr>
        <w:t xml:space="preserve"> iron transport systems</w:t>
      </w:r>
      <w:r w:rsidR="00CB557C">
        <w:rPr>
          <w:rFonts w:asciiTheme="majorHAnsi" w:hAnsiTheme="majorHAnsi" w:cstheme="majorHAnsi"/>
          <w:sz w:val="24"/>
          <w:szCs w:val="24"/>
        </w:rPr>
        <w:t>.</w:t>
      </w:r>
    </w:p>
    <w:p w14:paraId="0803A478" w14:textId="4F60907E" w:rsidR="005E0BAA" w:rsidRPr="00734E96" w:rsidRDefault="00385F06"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AD5D70">
        <w:rPr>
          <w:rFonts w:asciiTheme="majorHAnsi" w:hAnsiTheme="majorHAnsi" w:cstheme="majorHAnsi"/>
          <w:sz w:val="24"/>
          <w:szCs w:val="24"/>
        </w:rPr>
        <w:t xml:space="preserve">Bacteria will also mobilize their intracellular iron </w:t>
      </w:r>
      <w:r w:rsidR="003C6F4E">
        <w:rPr>
          <w:rFonts w:asciiTheme="majorHAnsi" w:hAnsiTheme="majorHAnsi" w:cstheme="majorHAnsi"/>
          <w:sz w:val="24"/>
          <w:szCs w:val="24"/>
        </w:rPr>
        <w:t xml:space="preserve">storage proteins </w:t>
      </w:r>
      <w:r w:rsidR="00AD5D70">
        <w:rPr>
          <w:rFonts w:asciiTheme="majorHAnsi" w:hAnsiTheme="majorHAnsi" w:cstheme="majorHAnsi"/>
          <w:sz w:val="24"/>
          <w:szCs w:val="24"/>
        </w:rPr>
        <w:t>to provide a source of iron when external iron availability is limited.</w:t>
      </w:r>
      <w:r w:rsidR="002A7257">
        <w:rPr>
          <w:rFonts w:asciiTheme="majorHAnsi" w:hAnsiTheme="majorHAnsi" w:cstheme="majorHAnsi"/>
          <w:sz w:val="24"/>
          <w:szCs w:val="24"/>
        </w:rPr>
        <w:t xml:space="preserve"> </w:t>
      </w:r>
      <w:r>
        <w:rPr>
          <w:rFonts w:asciiTheme="majorHAnsi" w:hAnsiTheme="majorHAnsi" w:cstheme="majorHAnsi"/>
          <w:sz w:val="24"/>
          <w:szCs w:val="24"/>
        </w:rPr>
        <w:t>Additionally, in response to low levels of freely available iron, bacteria reduce the activity of non-essential iron-utilizing enzymes, activate iron-independent pathways, and express specific genes that are regulated by the availability of iron.</w:t>
      </w:r>
      <w:r w:rsidR="003C6F4E">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{"citationID":"MlaxpQXw","properties":{"formattedCitation":"\\super 87\\nosupersub{}","plainCitation":"87","noteIndex":0},"citationItems":[{"id":1621,"uris":["http://zotero.org/users/1918630/items/BQ776P6T"],"itemData":{"id":1621,"type":"article-journal","abstract":"Iron is essential to virtually all organisms, but poses problems of toxicity and poor solubility. Bacteria have evolved various mechanisms to counter the problems imposed by their iron dependence, allowing them to achieve effective iron homeostasis under a range of iron regimes. Highly efficient iron acquisition systems are used to scavenge iron from the environment under iron-restricted conditions. In many cases, this involves the secretion and internalisation of extracellular ferric chelators called siderophores. Ferrous iron can also be directly imported by the G protein-like transporter, FeoB. For pathogens, host–iron complexes (transferrin, lactoferrin, haem, haemoglobin) are directly used as iron sources. Bacterial iron storage proteins (ferritin, bacterioferritin) provide intracellular iron reserves for use when external supplies are restricted, and iron detoxification proteins (Dps) are employed to protect the chromosome from iron-induced free radical damage. There is evidence that bacteria control their iron requirements in response to iron availability by down-regulating the expression of iron proteins during iron-restricted growth. And finally, the expression of the iron homeostatic machinery is subject to iron-dependent global control ensuring that iron acquisition, storage and consumption are geared to iron availability and that intracellular levels of free iron do not reach toxic levels.","container-title":"FEMS Microbiology Reviews","DOI":"10.1016/S0168-6445(03)00055-X","ISSN":"0168-6445","issue":"2-3","journalAbbreviation":"FEMS Microbiology Reviews","page":"215-237","source":"Silverchair","title":"Bacterial iron homeostasis","volume":"27","author":[{"family":"Andrews","given":"Simon C."},{"family":"Robinson","given":"Andrea K."},{"family":"Rodríguez-Quiñones","given":"Francisco"}],"issued":{"date-parts":[["2003",6,1]]}}}],"schema":"https://github.com/citation-style-language/schema/raw/master/csl-citation.json"} </w:instrText>
      </w:r>
      <w:r w:rsidR="003C6F4E">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87</w:t>
      </w:r>
      <w:r w:rsidR="003C6F4E">
        <w:rPr>
          <w:rFonts w:asciiTheme="majorHAnsi" w:hAnsiTheme="majorHAnsi" w:cstheme="majorHAnsi"/>
          <w:sz w:val="24"/>
          <w:szCs w:val="24"/>
        </w:rPr>
        <w:fldChar w:fldCharType="end"/>
      </w:r>
    </w:p>
    <w:p w14:paraId="278D8B01" w14:textId="43822212" w:rsidR="00251E74" w:rsidRPr="00F17E75" w:rsidRDefault="00356D8C" w:rsidP="00C836F0">
      <w:pPr>
        <w:rPr>
          <w:rFonts w:asciiTheme="majorHAnsi" w:hAnsiTheme="majorHAnsi" w:cstheme="majorHAnsi"/>
          <w:sz w:val="24"/>
          <w:szCs w:val="24"/>
        </w:rPr>
      </w:pPr>
      <w:r>
        <w:rPr>
          <w:rFonts w:asciiTheme="majorHAnsi" w:hAnsiTheme="majorHAnsi" w:cstheme="majorHAnsi"/>
          <w:sz w:val="24"/>
          <w:szCs w:val="24"/>
          <w:u w:val="single"/>
        </w:rPr>
        <w:t>1.</w:t>
      </w:r>
      <w:r w:rsidR="007D3623">
        <w:rPr>
          <w:rFonts w:asciiTheme="majorHAnsi" w:hAnsiTheme="majorHAnsi" w:cstheme="majorHAnsi"/>
          <w:sz w:val="24"/>
          <w:szCs w:val="24"/>
          <w:u w:val="single"/>
        </w:rPr>
        <w:t>4</w:t>
      </w:r>
      <w:r>
        <w:rPr>
          <w:rFonts w:asciiTheme="majorHAnsi" w:hAnsiTheme="majorHAnsi" w:cstheme="majorHAnsi"/>
          <w:sz w:val="24"/>
          <w:szCs w:val="24"/>
          <w:u w:val="single"/>
        </w:rPr>
        <w:t xml:space="preserve">.4. </w:t>
      </w:r>
      <w:r w:rsidR="00F17E75">
        <w:rPr>
          <w:rFonts w:asciiTheme="majorHAnsi" w:hAnsiTheme="majorHAnsi" w:cstheme="majorHAnsi"/>
          <w:sz w:val="24"/>
          <w:szCs w:val="24"/>
          <w:u w:val="single"/>
        </w:rPr>
        <w:t xml:space="preserve">Osmotic </w:t>
      </w:r>
      <w:r w:rsidR="007D3623">
        <w:rPr>
          <w:rFonts w:asciiTheme="majorHAnsi" w:hAnsiTheme="majorHAnsi" w:cstheme="majorHAnsi"/>
          <w:sz w:val="24"/>
          <w:szCs w:val="24"/>
          <w:u w:val="single"/>
        </w:rPr>
        <w:t>p</w:t>
      </w:r>
      <w:r w:rsidR="00F17E75">
        <w:rPr>
          <w:rFonts w:asciiTheme="majorHAnsi" w:hAnsiTheme="majorHAnsi" w:cstheme="majorHAnsi"/>
          <w:sz w:val="24"/>
          <w:szCs w:val="24"/>
          <w:u w:val="single"/>
        </w:rPr>
        <w:t>ressure</w:t>
      </w:r>
    </w:p>
    <w:p w14:paraId="5BB9F3AB" w14:textId="5588C80B" w:rsidR="00217523" w:rsidRDefault="00217523" w:rsidP="0021013E">
      <w:pPr>
        <w:spacing w:line="360" w:lineRule="auto"/>
        <w:rPr>
          <w:rFonts w:asciiTheme="majorHAnsi" w:hAnsiTheme="majorHAnsi" w:cstheme="majorHAnsi"/>
          <w:sz w:val="24"/>
          <w:szCs w:val="24"/>
        </w:rPr>
      </w:pPr>
      <w:r>
        <w:rPr>
          <w:rFonts w:asciiTheme="majorHAnsi" w:hAnsiTheme="majorHAnsi" w:cstheme="majorHAnsi"/>
          <w:sz w:val="24"/>
          <w:szCs w:val="24"/>
        </w:rPr>
        <w:tab/>
      </w:r>
      <w:r w:rsidR="00761E39">
        <w:rPr>
          <w:rFonts w:asciiTheme="majorHAnsi" w:hAnsiTheme="majorHAnsi" w:cstheme="majorHAnsi"/>
          <w:sz w:val="24"/>
          <w:szCs w:val="24"/>
        </w:rPr>
        <w:t>Changes in external osmotic pressure have direct effects on the integrity and hydration of bacterial cells. A decrease causes water influx and swelling or even cell lysis. An increase in external osmotic pressure causes water efflux and dehydration.</w:t>
      </w:r>
      <w:r w:rsidR="005D53FA">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{"citationID":"a11anpjvc8n","properties":{"formattedCitation":"\\super 88\\nosupersub{}","plainCitation":"88","noteIndex":0},"citationItems":[{"id":1505,"uris":["http://zotero.org/users/1918630/items/RK4X5VDE"],"itemData":{"id":1505,"type":"article-journal","container-title":"The Journal of General Physiology","DOI":"10.1085/jgp.201411296","ISSN":"0022-1295","issue":"5","journalAbbreviation":"J Gen Physiol","note":"PMID: 25870209\nPMCID: PMC4411257","page":"381-388","source":"PubMed Central","title":"Bacterial responses to osmotic challenges","volume":"145","author":[{"family":"Wood","given":"Janet M."}],"issued":{"date-parts":[["2015",5]]}}}],"schema":"https://github.com/citation-style-language/schema/raw/master/csl-citation.json"} </w:instrText>
      </w:r>
      <w:r w:rsidR="005D53FA">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88</w:t>
      </w:r>
      <w:r w:rsidR="005D53FA">
        <w:rPr>
          <w:rFonts w:asciiTheme="majorHAnsi" w:hAnsiTheme="majorHAnsi" w:cstheme="majorHAnsi"/>
          <w:sz w:val="24"/>
          <w:szCs w:val="24"/>
        </w:rPr>
        <w:fldChar w:fldCharType="end"/>
      </w:r>
      <w:r w:rsidR="00761E39">
        <w:rPr>
          <w:rFonts w:asciiTheme="majorHAnsi" w:hAnsiTheme="majorHAnsi" w:cstheme="majorHAnsi"/>
          <w:sz w:val="24"/>
          <w:szCs w:val="24"/>
        </w:rPr>
        <w:t xml:space="preserve"> Both of these changes can perturb many cellular properties </w:t>
      </w:r>
      <w:r w:rsidR="00D164CD">
        <w:rPr>
          <w:rFonts w:asciiTheme="majorHAnsi" w:hAnsiTheme="majorHAnsi" w:cstheme="majorHAnsi"/>
          <w:sz w:val="24"/>
          <w:szCs w:val="24"/>
        </w:rPr>
        <w:t>including</w:t>
      </w:r>
      <w:r w:rsidR="00761E39">
        <w:rPr>
          <w:rFonts w:asciiTheme="majorHAnsi" w:hAnsiTheme="majorHAnsi" w:cstheme="majorHAnsi"/>
          <w:sz w:val="24"/>
          <w:szCs w:val="24"/>
        </w:rPr>
        <w:t xml:space="preserve"> cell volume, </w:t>
      </w:r>
      <w:r w:rsidR="000D09D1">
        <w:rPr>
          <w:rFonts w:asciiTheme="majorHAnsi" w:hAnsiTheme="majorHAnsi" w:cstheme="majorHAnsi"/>
          <w:sz w:val="24"/>
          <w:szCs w:val="24"/>
        </w:rPr>
        <w:t>turgor pressure, cell wall strain, and cytoplasmic membrane tension. Bacterial cells exposed to high osmotic pressure must maintain correspondingly high intracellular solute concentrations.</w:t>
      </w:r>
    </w:p>
    <w:p w14:paraId="36991C8A" w14:textId="777F9EC7" w:rsidR="000D09D1" w:rsidRDefault="000D09D1" w:rsidP="0021013E">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Bacteria possess osmoregulatory machinery that senses changes in osmotic pressure. This machinery helps in maintaining cell integrity by balancing the internal and external osmotic pressure. Much of this machinery is made up of enzymes, transporters, </w:t>
      </w:r>
      <w:r>
        <w:rPr>
          <w:rFonts w:asciiTheme="majorHAnsi" w:hAnsiTheme="majorHAnsi" w:cstheme="majorHAnsi"/>
          <w:sz w:val="24"/>
          <w:szCs w:val="24"/>
        </w:rPr>
        <w:lastRenderedPageBreak/>
        <w:t>and channels that mediate solute accumulation and release. The structural integrity of the cell wall allows bacteria to withstand the mechanical stress exerted by osmotic pressure changes, thus protecting the cell from lysis or collapse.</w:t>
      </w:r>
      <w:r w:rsidR="00CA2A91">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{"citationID":"q1Gsv5KR","properties":{"formattedCitation":"\\super 89\\nosupersub{}","plainCitation":"89","noteIndex":0},"citationItems":[{"id":1612,"uris":["http://zotero.org/users/1918630/items/IWCFEBMZ"],"itemData":{"id":1612,"type":"article-journal","abstract":"Cellular mechanical properties play an integral role in bacterial survival and adaptation. Historically, the bacterial cell wall and, in particular, the layer of polymeric material called the peptidoglycan were the elements to which cell mechanics could be primarily attributed. Disrupting the biochemical machinery that assembles the peptidoglycan (e.g., using the β-lactam family of antibiotics) alters the structure of this material, leads to mechanical defects, and results in cell lysis. Decades after the discovery of peptidoglycan-synthesizing enzymes, the mechanisms that underlie their positioning and regulation are still not entirely understood. In addition, recent evidence suggests a diverse group of other biochemical elements influence bacterial cell mechanics, may be regulated by new cellular mechanisms, and may be triggered in different environmental contexts to enable cell adaptation and survival. This review summarizes the contributions that different biomolecular components of the cell wall (e.g., lipopolysaccharides, wall and lipoteichoic acids, lipid bilayers, peptidoglycan, and proteins) make to Gram-negative and Gram-positive bacterial cell mechanics. We discuss the contribution of individual proteins and macromolecular complexes in cell mechanics and the tools that make it possible to quantitatively decipher the biochemical machinery that contributes to bacterial cell mechanics. Advances in this area may provide insight into new biology and influence the development of antibacterial chemotherapies.,","container-title":"Biochemistry","DOI":"10.1021/acs.biochem.7b00346","ISSN":"0006-2960","issue":"29","journalAbbreviation":"Biochemistry","note":"PMID: 28666084\nPMCID: PMC6260806","page":"3710-3724","source":"PubMed Central","title":"Bacterial Cell Mechanics","volume":"56","author":[{"family":"Auer","given":"George K."},{"family":"Weibel","given":"Douglas B."}],"issued":{"date-parts":[["2017",7,25]]}}}],"schema":"https://github.com/citation-style-language/schema/raw/master/csl-citation.json"} </w:instrText>
      </w:r>
      <w:r w:rsidR="00CA2A91">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89</w:t>
      </w:r>
      <w:r w:rsidR="00CA2A91">
        <w:rPr>
          <w:rFonts w:asciiTheme="majorHAnsi" w:hAnsiTheme="majorHAnsi" w:cstheme="majorHAnsi"/>
          <w:sz w:val="24"/>
          <w:szCs w:val="24"/>
        </w:rPr>
        <w:fldChar w:fldCharType="end"/>
      </w:r>
      <w:r>
        <w:rPr>
          <w:rFonts w:asciiTheme="majorHAnsi" w:hAnsiTheme="majorHAnsi" w:cstheme="majorHAnsi"/>
          <w:sz w:val="24"/>
          <w:szCs w:val="24"/>
        </w:rPr>
        <w:t xml:space="preserve"> Bacteria often respond to high salinity</w:t>
      </w:r>
      <w:r w:rsidR="00CA2A91">
        <w:rPr>
          <w:rFonts w:asciiTheme="majorHAnsi" w:hAnsiTheme="majorHAnsi" w:cstheme="majorHAnsi"/>
          <w:sz w:val="24"/>
          <w:szCs w:val="24"/>
        </w:rPr>
        <w:t xml:space="preserve"> by using compatible solutes. </w:t>
      </w:r>
      <w:r w:rsidR="005D53FA">
        <w:rPr>
          <w:rFonts w:asciiTheme="majorHAnsi" w:hAnsiTheme="majorHAnsi" w:cstheme="majorHAnsi"/>
          <w:sz w:val="24"/>
          <w:szCs w:val="24"/>
        </w:rPr>
        <w:t xml:space="preserve">For example, the halophile </w:t>
      </w:r>
      <w:proofErr w:type="spellStart"/>
      <w:r w:rsidR="005D53FA">
        <w:rPr>
          <w:rFonts w:asciiTheme="majorHAnsi" w:hAnsiTheme="majorHAnsi" w:cstheme="majorHAnsi"/>
          <w:i/>
          <w:iCs/>
          <w:sz w:val="24"/>
          <w:szCs w:val="24"/>
        </w:rPr>
        <w:t>Halobacillus</w:t>
      </w:r>
      <w:proofErr w:type="spellEnd"/>
      <w:r w:rsidR="005D53FA">
        <w:rPr>
          <w:rFonts w:asciiTheme="majorHAnsi" w:hAnsiTheme="majorHAnsi" w:cstheme="majorHAnsi"/>
          <w:i/>
          <w:iCs/>
          <w:sz w:val="24"/>
          <w:szCs w:val="24"/>
        </w:rPr>
        <w:t xml:space="preserve"> </w:t>
      </w:r>
      <w:proofErr w:type="spellStart"/>
      <w:r w:rsidR="005D53FA">
        <w:rPr>
          <w:rFonts w:asciiTheme="majorHAnsi" w:hAnsiTheme="majorHAnsi" w:cstheme="majorHAnsi"/>
          <w:i/>
          <w:iCs/>
          <w:sz w:val="24"/>
          <w:szCs w:val="24"/>
        </w:rPr>
        <w:t>halophilus</w:t>
      </w:r>
      <w:proofErr w:type="spellEnd"/>
      <w:r w:rsidR="005D53FA">
        <w:rPr>
          <w:rFonts w:asciiTheme="majorHAnsi" w:hAnsiTheme="majorHAnsi" w:cstheme="majorHAnsi"/>
          <w:sz w:val="24"/>
          <w:szCs w:val="24"/>
        </w:rPr>
        <w:t xml:space="preserve"> responds to high salinity by upregulating proline production</w:t>
      </w:r>
      <w:r w:rsidR="004B36BF">
        <w:rPr>
          <w:rFonts w:asciiTheme="majorHAnsi" w:hAnsiTheme="majorHAnsi" w:cstheme="majorHAnsi"/>
          <w:sz w:val="24"/>
          <w:szCs w:val="24"/>
        </w:rPr>
        <w:t>.</w:t>
      </w:r>
      <w:r w:rsidR="004B36B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{"citationID":"a1i23drp2d9","properties":{"formattedCitation":"\\super 90\\nosupersub{}","plainCitation":"90","noteIndex":0},"citationItems":[{"id":2114,"uris":["http://zotero.org/users/1918630/items/2ANSGHAV"],"itemData":{"id":2114,"type":"article-journal","abstract":"The moderately halophilic bacterium Halobacillus halophilus copes with the salinity in its environment by the production of compatible solutes. At intermediate salinities of around 1 M NaCl, cells produce glutamate and glutamine in a chloride-dependent manner (S. H. Saum, J. F. Sydow, P. Palm, F. Pfeiffer, D. Oesterhelt, and V. Müller, J. Bacteriol. 188:6808-6815, 2006). Here, we report that H. halophilus switches its osmolyte strategy and produces proline as the dominant solute at higher salinities (2 to 3 M NaCl). The proline biosynthesis genes proH, proJ, and proA were identified. They form a transcriptional unit and encode the pyrroline-5-carboxylate reductase, the glutamate-5-kinase, and the glutamate-5-semialdehyde dehydrogenase, respectively, catalyzing proline biosynthesis from glutamate. Expression of the genes was clearly salinity dependent and reached a maximum at 2.5 M NaCl, indicating that the pro operon is involved in salinity-induced proline biosynthesis. To address the role of anions in the process of pro gene activation and proline biosynthesis, we used a cell suspension system. Chloride salts lead to the highest accumulation of proline. Interestingly, chloride could be substituted to a large extent by glutamate salts. This unexpected finding was further analyzed on the transcriptional level. The cellular mRNA levels of all three pro genes were increased up to 90-fold in the presence of glutamate. A titration revealed that a minimal concentration of 0.2 M glutamate already stimulated pro gene expression. These data demonstrate that the solute glutamate is involved in the switch of osmolyte strategy from glutamate to proline as the dominant compatible solute during the transition from moderate to high salinity.","container-title":"Journal of Bacteriology","DOI":"10.1128/JB.00775-07","ISSN":"0021-9193","issue":"19","journalAbbreviation":"J Bacteriol","language":"eng","note":"PMID: 17660292\nPMCID: PMC2045198","page":"6968-6975","source":"PubMed","title":"Salinity-dependent switching of osmolyte strategies in a moderately halophilic bacterium: glutamate induces proline biosynthesis in Halobacillus halophilus","title-short":"Salinity-dependent switching of osmolyte strategies in a moderately halophilic bacterium","volume":"189","author":[{"family":"Saum","given":"Stephan H."},{"family":"Müller","given":"Volker"}],"issued":{"date-parts":[["2007",10]]}}}],"schema":"https://github.com/citation-style-language/schema/raw/master/csl-citation.json"} </w:instrText>
      </w:r>
      <w:r w:rsidR="004B36B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90</w:t>
      </w:r>
      <w:r w:rsidR="004B36BF">
        <w:rPr>
          <w:rFonts w:asciiTheme="majorHAnsi" w:hAnsiTheme="majorHAnsi" w:cstheme="majorHAnsi"/>
          <w:sz w:val="24"/>
          <w:szCs w:val="24"/>
        </w:rPr>
        <w:fldChar w:fldCharType="end"/>
      </w:r>
      <w:r w:rsidR="004B36BF">
        <w:rPr>
          <w:rFonts w:asciiTheme="majorHAnsi" w:hAnsiTheme="majorHAnsi" w:cstheme="majorHAnsi"/>
          <w:sz w:val="24"/>
          <w:szCs w:val="24"/>
        </w:rPr>
        <w:t xml:space="preserve"> </w:t>
      </w:r>
      <w:r w:rsidR="00CA2A91">
        <w:rPr>
          <w:rFonts w:asciiTheme="majorHAnsi" w:hAnsiTheme="majorHAnsi" w:cstheme="majorHAnsi"/>
          <w:sz w:val="24"/>
          <w:szCs w:val="24"/>
        </w:rPr>
        <w:t>These</w:t>
      </w:r>
      <w:r w:rsidR="001E2816">
        <w:rPr>
          <w:rFonts w:asciiTheme="majorHAnsi" w:hAnsiTheme="majorHAnsi" w:cstheme="majorHAnsi"/>
          <w:sz w:val="24"/>
          <w:szCs w:val="24"/>
        </w:rPr>
        <w:t xml:space="preserve"> small organic molecules help in balancing the intracellular osmotic pressure without interfering with normal cellular processes.</w:t>
      </w:r>
      <w:r w:rsidR="001E2816">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{"citationID":"a1mh77dn1an","properties":{"formattedCitation":"\\super 91\\nosupersub{}","plainCitation":"91","noteIndex":0},"citationItems":[{"id":1615,"uris":["http://zotero.org/users/1918630/items/PAT4VYCP"],"itemData":{"id":1615,"type":"article-journal","abstract":"Bacteria have evolved mechanisms that allow them to adapt to changes in osmolarity and some species have adapted to live optimally in high salinity environments such as in the marine ecosystem. Most bacteria that live in high salinity do so by the biosynthesis and/or uptake of compatible solutes, small organic molecules that maintain the turgor pressure of the cell. Osmotic stress response mechanisms and their regulation among marine heterotrophic bacteriaare poorly understood. In this review, we discuss what is known about compatible solute metabolism and transport and new insights gained from studying marine bacteria belonging to the family Vibrionaceae.","container-title":"Computational and Structural Biotechnology Journal","DOI":"10.1016/j.csbj.2021.01.030","ISSN":"2001-0370","journalAbbreviation":"Computational and Structural Biotechnology Journal","page":"1014-1027","source":"ScienceDirect","title":"Stressed out: Bacterial response to high salinity using compatible solute biosynthesis and uptake systems, lessons from Vibrionaceae","title-short":"Stressed out","volume":"19","author":[{"family":"Gregory","given":"Gwendolyn J."},{"family":"Boyd","given":"E. Fidelma"}],"issued":{"date-parts":[["2021",1,1]]}}}],"schema":"https://github.com/citation-style-language/schema/raw/master/csl-citation.json"} </w:instrText>
      </w:r>
      <w:r w:rsidR="001E2816">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91</w:t>
      </w:r>
      <w:r w:rsidR="001E2816">
        <w:rPr>
          <w:rFonts w:asciiTheme="majorHAnsi" w:hAnsiTheme="majorHAnsi" w:cstheme="majorHAnsi"/>
          <w:sz w:val="24"/>
          <w:szCs w:val="24"/>
        </w:rPr>
        <w:fldChar w:fldCharType="end"/>
      </w:r>
      <w:r w:rsidR="00CB557C">
        <w:rPr>
          <w:rFonts w:asciiTheme="majorHAnsi" w:hAnsiTheme="majorHAnsi" w:cstheme="majorHAnsi"/>
          <w:sz w:val="24"/>
          <w:szCs w:val="24"/>
        </w:rPr>
        <w:t xml:space="preserve"> </w:t>
      </w:r>
      <w:r w:rsidR="00771FFB">
        <w:rPr>
          <w:rFonts w:asciiTheme="majorHAnsi" w:hAnsiTheme="majorHAnsi" w:cstheme="majorHAnsi"/>
          <w:sz w:val="24"/>
          <w:szCs w:val="24"/>
        </w:rPr>
        <w:t>When t</w:t>
      </w:r>
      <w:r w:rsidR="004B36BF">
        <w:rPr>
          <w:rFonts w:asciiTheme="majorHAnsi" w:hAnsiTheme="majorHAnsi" w:cstheme="majorHAnsi"/>
          <w:sz w:val="24"/>
          <w:szCs w:val="24"/>
        </w:rPr>
        <w:t xml:space="preserve">hese low molecular weight compounds </w:t>
      </w:r>
      <w:r w:rsidR="00771FFB">
        <w:rPr>
          <w:rFonts w:asciiTheme="majorHAnsi" w:hAnsiTheme="majorHAnsi" w:cstheme="majorHAnsi"/>
          <w:sz w:val="24"/>
          <w:szCs w:val="24"/>
        </w:rPr>
        <w:t>accumulate within the cell it causes an increase in free water, which then alleviates the osmotic stress.</w:t>
      </w:r>
      <w:r w:rsidR="00771FFB">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{"citationID":"a2db03nfi4a","properties":{"formattedCitation":"\\super 91,92\\nosupersub{}","plainCitation":"91,92","noteIndex":0},"citationItems":[{"id":1615,"uris":["http://zotero.org/users/1918630/items/PAT4VYCP"],"itemData":{"id":1615,"type":"article-journal","abstract":"Bacteria have evolved mechanisms that allow them to adapt to changes in osmolarity and some species have adapted to live optimally in high salinity environments such as in the marine ecosystem. Most bacteria that live in high salinity do so by the biosynthesis and/or uptake of compatible solutes, small organic molecules that maintain the turgor pressure of the cell. Osmotic stress response mechanisms and their regulation among marine heterotrophic bacteriaare poorly understood. In this review, we discuss what is known about compatible solute metabolism and transport and new insights gained from studying marine bacteria belonging to the family Vibrionaceae.","container-title":"Computational and Structural Biotechnology Journal","DOI":"10.1016/j.csbj.2021.01.030","ISSN":"2001-0370","journalAbbreviation":"Computational and Structural Biotechnology Journal","page":"1014-1027","source":"ScienceDirect","title":"Stressed out: Bacterial response to high salinity using compatible solute biosynthesis and uptake systems, lessons from Vibrionaceae","title-short":"Stressed out","volume":"19","author":[{"family":"Gregory","given":"Gwendolyn J."},{"family":"Boyd","given":"E. Fidelma"}],"issued":{"date-parts":[["2021",1,1]]}}},{"id":2117,"uris":["http://zotero.org/users/1918630/items/IIGDHMBX"],"itemData":{"id":2117,"type":"article-journal","abstract":"To thrive, cells must control their own physical and chemical properties. This process is known as cellular homeostasis. The dilute solutions traditionally favored by experimenters do not simulate the cytoplasm, where macromolecular crowding and preferential interactions among constituents may dominate critical processes. Solutions that do simulate cytoplasmic conditions are now being characterized. Corresponding cytoplasmic properties can be varied systematically by imposing osmotic stress. This osmotic stress approach is revealing how cytoplasmic properties modulate protein folding and protein?nucleic acid interactions. Results suggest that cytoplasmic homeostasis may require adjustments to multiple, interwoven cytoplasmic properties. Osmosensory transporters with diverse structures and bioenergetic mechanisms activate in response to osmotic stress as other proteins inactivate. These transporters are serving as paradigms for the study of in vivo protein-solvent interactions. Experimenters have proposed three different osmosensory mechanisms. Distinct mechanisms may exist, or these proposals may reflect different perceptions of a single, unifying mechanism.","container-title":"Annual Review of Microbiology","DOI":"10.1146/annurev-micro-090110-102815","ISSN":"1545-3251","journalAbbreviation":"Annu Rev Microbiol","language":"eng","note":"PMID: 21663439","page":"215-238","source":"PubMed","title":"Bacterial osmoregulation: a paradigm for the study of cellular homeostasis","title-short":"Bacterial osmoregulation","volume":"65","author":[{"family":"Wood","given":"Janet M."}],"issued":{"date-parts":[["2011"]]}}}],"schema":"https://github.com/citation-style-language/schema/raw/master/csl-citation.json"} </w:instrText>
      </w:r>
      <w:r w:rsidR="00771FFB">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91,92</w:t>
      </w:r>
      <w:r w:rsidR="00771FFB">
        <w:rPr>
          <w:rFonts w:asciiTheme="majorHAnsi" w:hAnsiTheme="majorHAnsi" w:cstheme="majorHAnsi"/>
          <w:sz w:val="24"/>
          <w:szCs w:val="24"/>
        </w:rPr>
        <w:fldChar w:fldCharType="end"/>
      </w:r>
      <w:r w:rsidR="00771FFB">
        <w:rPr>
          <w:rFonts w:asciiTheme="majorHAnsi" w:hAnsiTheme="majorHAnsi" w:cstheme="majorHAnsi"/>
          <w:sz w:val="24"/>
          <w:szCs w:val="24"/>
        </w:rPr>
        <w:t xml:space="preserve"> </w:t>
      </w:r>
      <w:r w:rsidR="00832ABE">
        <w:rPr>
          <w:rFonts w:asciiTheme="majorHAnsi" w:hAnsiTheme="majorHAnsi" w:cstheme="majorHAnsi"/>
          <w:sz w:val="24"/>
          <w:szCs w:val="24"/>
        </w:rPr>
        <w:t xml:space="preserve">Bacteria can accumulate these osmolytes through biosynthesis or via uptake from the environment, with the latter being more energetically favorable. </w:t>
      </w:r>
      <w:r w:rsidR="001E2816">
        <w:rPr>
          <w:rFonts w:asciiTheme="majorHAnsi" w:hAnsiTheme="majorHAnsi" w:cstheme="majorHAnsi"/>
          <w:sz w:val="24"/>
          <w:szCs w:val="24"/>
        </w:rPr>
        <w:t xml:space="preserve">For example, marine bacteria belonging to the family </w:t>
      </w:r>
      <w:r w:rsidR="001E2816">
        <w:rPr>
          <w:rFonts w:asciiTheme="majorHAnsi" w:hAnsiTheme="majorHAnsi" w:cstheme="majorHAnsi"/>
          <w:i/>
          <w:iCs/>
          <w:sz w:val="24"/>
          <w:szCs w:val="24"/>
        </w:rPr>
        <w:t>Vibrionaceae</w:t>
      </w:r>
      <w:r w:rsidR="001E2816">
        <w:rPr>
          <w:rFonts w:asciiTheme="majorHAnsi" w:hAnsiTheme="majorHAnsi" w:cstheme="majorHAnsi"/>
          <w:sz w:val="24"/>
          <w:szCs w:val="24"/>
        </w:rPr>
        <w:t xml:space="preserve"> were found to use a variety of transporters to facilitate the uptake of osmolytes in response to high osmotic pressure. These transporters include</w:t>
      </w:r>
      <w:r w:rsidR="00832ABE">
        <w:rPr>
          <w:rFonts w:asciiTheme="majorHAnsi" w:hAnsiTheme="majorHAnsi" w:cstheme="majorHAnsi"/>
          <w:sz w:val="24"/>
          <w:szCs w:val="24"/>
        </w:rPr>
        <w:t xml:space="preserve"> members of the</w:t>
      </w:r>
      <w:r w:rsidR="001E2816">
        <w:rPr>
          <w:rFonts w:asciiTheme="majorHAnsi" w:hAnsiTheme="majorHAnsi" w:cstheme="majorHAnsi"/>
          <w:sz w:val="24"/>
          <w:szCs w:val="24"/>
        </w:rPr>
        <w:t xml:space="preserve"> </w:t>
      </w:r>
      <w:r w:rsidR="00832ABE">
        <w:rPr>
          <w:rFonts w:asciiTheme="majorHAnsi" w:hAnsiTheme="majorHAnsi" w:cstheme="majorHAnsi"/>
          <w:sz w:val="24"/>
          <w:szCs w:val="24"/>
        </w:rPr>
        <w:t xml:space="preserve">betaine-carnitine-choline transporter (BCCT) family and the ATP-binding cassette (ABC) family. Other bacteria have been known to utilize transporters from the MFS to facilitate osmolyte uptake as well. </w:t>
      </w:r>
      <w:r w:rsidR="006D2C87">
        <w:rPr>
          <w:rFonts w:asciiTheme="majorHAnsi" w:hAnsiTheme="majorHAnsi" w:cstheme="majorHAnsi"/>
          <w:sz w:val="24"/>
          <w:szCs w:val="24"/>
        </w:rPr>
        <w:t>Bacteria may also use transporters to uptake substrates for osmolyte metabolism.</w:t>
      </w:r>
      <w:r w:rsidR="000F572C">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{"citationID":"Ytkg5Bki","properties":{"formattedCitation":"\\super 91\\nosupersub{}","plainCitation":"91","noteIndex":0},"citationItems":[{"id":1615,"uris":["http://zotero.org/users/1918630/items/PAT4VYCP"],"itemData":{"id":1615,"type":"article-journal","abstract":"Bacteria have evolved mechanisms that allow them to adapt to changes in osmolarity and some species have adapted to live optimally in high salinity environments such as in the marine ecosystem. Most bacteria that live in high salinity do so by the biosynthesis and/or uptake of compatible solutes, small organic molecules that maintain the turgor pressure of the cell. Osmotic stress response mechanisms and their regulation among marine heterotrophic bacteriaare poorly understood. In this review, we discuss what is known about compatible solute metabolism and transport and new insights gained from studying marine bacteria belonging to the family Vibrionaceae.","container-title":"Computational and Structural Biotechnology Journal","DOI":"10.1016/j.csbj.2021.01.030","ISSN":"2001-0370","journalAbbreviation":"Computational and Structural Biotechnology Journal","page":"1014-1027","source":"ScienceDirect","title":"Stressed out: Bacterial response to high salinity using compatible solute biosynthesis and uptake systems, lessons from Vibrionaceae","title-short":"Stressed out","volume":"19","author":[{"family":"Gregory","given":"Gwendolyn J."},{"family":"Boyd","given":"E. Fidelma"}],"issued":{"date-parts":[["2021",1,1]]}}}],"schema":"https://github.com/citation-style-language/schema/raw/master/csl-citation.json"} </w:instrText>
      </w:r>
      <w:r w:rsidR="000F572C">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91</w:t>
      </w:r>
      <w:r w:rsidR="000F572C">
        <w:rPr>
          <w:rFonts w:asciiTheme="majorHAnsi" w:hAnsiTheme="majorHAnsi" w:cstheme="majorHAnsi"/>
          <w:sz w:val="24"/>
          <w:szCs w:val="24"/>
        </w:rPr>
        <w:fldChar w:fldCharType="end"/>
      </w:r>
      <w:r w:rsidR="006D2C87">
        <w:rPr>
          <w:rFonts w:asciiTheme="majorHAnsi" w:hAnsiTheme="majorHAnsi" w:cstheme="majorHAnsi"/>
          <w:sz w:val="24"/>
          <w:szCs w:val="24"/>
        </w:rPr>
        <w:t xml:space="preserve"> </w:t>
      </w:r>
      <w:r w:rsidR="00817A8A">
        <w:rPr>
          <w:rFonts w:asciiTheme="majorHAnsi" w:hAnsiTheme="majorHAnsi" w:cstheme="majorHAnsi"/>
          <w:sz w:val="24"/>
          <w:szCs w:val="24"/>
        </w:rPr>
        <w:tab/>
      </w:r>
    </w:p>
    <w:p w14:paraId="1F395B41" w14:textId="376EB099" w:rsidR="006D3E08" w:rsidRPr="006D3E08" w:rsidRDefault="006D3E08" w:rsidP="0021013E">
      <w:pPr>
        <w:spacing w:line="360" w:lineRule="auto"/>
        <w:rPr>
          <w:rFonts w:asciiTheme="majorHAnsi" w:hAnsiTheme="majorHAnsi" w:cstheme="majorHAnsi"/>
          <w:sz w:val="24"/>
          <w:szCs w:val="24"/>
        </w:rPr>
      </w:pPr>
      <w:r>
        <w:rPr>
          <w:rFonts w:asciiTheme="majorHAnsi" w:hAnsiTheme="majorHAnsi" w:cstheme="majorHAnsi"/>
          <w:sz w:val="24"/>
          <w:szCs w:val="24"/>
        </w:rPr>
        <w:tab/>
        <w:t>ABC type efflux pump MacAB-TolC has been found to be involved in osmotic protection and</w:t>
      </w:r>
      <w:r w:rsidR="00CF5139">
        <w:rPr>
          <w:rFonts w:asciiTheme="majorHAnsi" w:hAnsiTheme="majorHAnsi" w:cstheme="majorHAnsi"/>
          <w:sz w:val="24"/>
          <w:szCs w:val="24"/>
        </w:rPr>
        <w:t xml:space="preserve"> is</w:t>
      </w:r>
      <w:r>
        <w:rPr>
          <w:rFonts w:asciiTheme="majorHAnsi" w:hAnsiTheme="majorHAnsi" w:cstheme="majorHAnsi"/>
          <w:sz w:val="24"/>
          <w:szCs w:val="24"/>
        </w:rPr>
        <w:t xml:space="preserve"> likely to be involved in the maintenance of iron homeostasis in </w:t>
      </w:r>
      <w:r>
        <w:rPr>
          <w:rFonts w:asciiTheme="majorHAnsi" w:hAnsiTheme="majorHAnsi" w:cstheme="majorHAnsi"/>
          <w:i/>
          <w:iCs/>
          <w:sz w:val="24"/>
          <w:szCs w:val="24"/>
        </w:rPr>
        <w:t>A. baumannii</w:t>
      </w:r>
      <w:r>
        <w:rPr>
          <w:rFonts w:asciiTheme="majorHAnsi" w:hAnsiTheme="majorHAnsi" w:cstheme="majorHAnsi"/>
          <w:sz w:val="24"/>
          <w:szCs w:val="24"/>
        </w:rPr>
        <w:t>. This pump has also been found to play an essential role in biofilm formation and has been found to be involved in cell envelope stress responses that help maintain membrane rigidity.</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{"citationID":"CKmzWIW1","properties":{"formattedCitation":"\\super 93\\nosupersub{}","plainCitation":"93","noteIndex":0},"citationItems":[{"id":1752,"uris":["http://zotero.org/users/1918630/items/DUT6GUUG"],"itemData":{"id":1752,"type":"article-journal","abstract":"Acinetobacter baumannii has emerged as one of the most problematic bacterial pathogens responsible for hospital-acquired and community infections worldwide. Besides its high capacity to acquire antibiotic resistance mechanisms, it also presents high adhesion abilities on inert and living surfaces leading to biofilm development. This lifestyle confers additional protection against various treatments and allows it to persist for long periods in various hospital niches. Due to their remarkable antimicrobial tolerance, A. baumannii biofilms are difficult to control and ultimately eradicate. Further insights into the mechanism of biofilm development will help to overcome this challenge and to develop novel antibiofilm strategies. To unravel critical determinants of this sessile lifestyle, the proteomic profiles of two A. baumannii strains (ATTC17978 and SDF) grown in planktonic stationary phase or in mature solid–liquid (S-L) biofilm were compared using a semiquantitative proteomic study. Of interest, among the 69 common proteins determinants accumulated in the two strains at the S-L interface, we sorted out the MacAB-TolC system. This tripartite efflux pump played a role in A. baumannii biofilm formation as demonstrated by using ΔmacAB-tolC deletion mutant. Complementary approaches allowed us to get an overview of the impact of macAB-tolC deletion in A. baumannii physiology. Indeed, this efflux pump appeared to be involved in the envelope stress response occurring in mature biofilm. It contributes to maintain wild type (WT) membrane rigidity and provides tolerance to high osmolarity conditions. In addition, this system is probably involved in the maintenance of iron and sulfur homeostasis. MacAB-TolC might help this pathogen face and adapt to deleterious conditions occurring in mature biofilms. Increasing our knowledge of A. baumannii biofilm formation will undoubtedly help us develop new therapeutic strategies to tackle this emerging threat to human health.","container-title":"Frontiers in Microbiology","ISSN":"1664-302X","source":"Frontiers","title":"MacAB-TolC Contributes to the Development of Acinetobacter baumannii Biofilm at the Solid–Liquid Interface","URL":"https://www.frontiersin.org/articles/10.3389/fmicb.2021.785161","volume":"12","author":[{"family":"Robin","given":"Brandon"},{"family":"Nicol","given":"Marion"},{"family":"Le","given":"Hung"},{"family":"Tahrioui","given":"Ali"},{"family":"Schaumann","given":"Annick"},{"family":"Vuillemenot","given":"Jean-Baptiste"},{"family":"Vergoz","given":"Delphine"},{"family":"Lesouhaitier","given":"Olivier"},{"family":"Jouenne","given":"Thierry"},{"family":"Hardouin","given":"Julie"},{"family":"Potron","given":"Anaïs"},{"family":"Perrot","given":"Valérie"},{"family":"Dé","given":"Emmanuelle"}],"accessed":{"date-parts":[["2023",12,3]]},"issued":{"date-parts":[["2022"]]}}}],"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93</w:t>
      </w:r>
      <w:r>
        <w:rPr>
          <w:rFonts w:asciiTheme="majorHAnsi" w:hAnsiTheme="majorHAnsi" w:cstheme="majorHAnsi"/>
          <w:sz w:val="24"/>
          <w:szCs w:val="24"/>
        </w:rPr>
        <w:fldChar w:fldCharType="end"/>
      </w:r>
      <w:r>
        <w:rPr>
          <w:rFonts w:asciiTheme="majorHAnsi" w:hAnsiTheme="majorHAnsi" w:cstheme="majorHAnsi"/>
          <w:sz w:val="24"/>
          <w:szCs w:val="24"/>
        </w:rPr>
        <w:t xml:space="preserve"> </w:t>
      </w:r>
    </w:p>
    <w:p w14:paraId="05D9F73B" w14:textId="3B48C230" w:rsidR="0022637C" w:rsidRDefault="00817A8A" w:rsidP="0021013E">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Porins </w:t>
      </w:r>
      <w:r w:rsidR="000F572C">
        <w:rPr>
          <w:rFonts w:asciiTheme="majorHAnsi" w:hAnsiTheme="majorHAnsi" w:cstheme="majorHAnsi"/>
          <w:sz w:val="24"/>
          <w:szCs w:val="24"/>
        </w:rPr>
        <w:t xml:space="preserve">like </w:t>
      </w:r>
      <w:proofErr w:type="spellStart"/>
      <w:r w:rsidR="000F572C">
        <w:rPr>
          <w:rFonts w:asciiTheme="majorHAnsi" w:hAnsiTheme="majorHAnsi" w:cstheme="majorHAnsi"/>
          <w:sz w:val="24"/>
          <w:szCs w:val="24"/>
        </w:rPr>
        <w:t>OmpF</w:t>
      </w:r>
      <w:proofErr w:type="spellEnd"/>
      <w:r w:rsidR="000F572C">
        <w:rPr>
          <w:rFonts w:asciiTheme="majorHAnsi" w:hAnsiTheme="majorHAnsi" w:cstheme="majorHAnsi"/>
          <w:sz w:val="24"/>
          <w:szCs w:val="24"/>
        </w:rPr>
        <w:t xml:space="preserve"> and </w:t>
      </w:r>
      <w:proofErr w:type="spellStart"/>
      <w:r w:rsidR="000F572C">
        <w:rPr>
          <w:rFonts w:asciiTheme="majorHAnsi" w:hAnsiTheme="majorHAnsi" w:cstheme="majorHAnsi"/>
          <w:sz w:val="24"/>
          <w:szCs w:val="24"/>
        </w:rPr>
        <w:t>OmpC</w:t>
      </w:r>
      <w:proofErr w:type="spellEnd"/>
      <w:r w:rsidR="000F572C">
        <w:rPr>
          <w:rFonts w:asciiTheme="majorHAnsi" w:hAnsiTheme="majorHAnsi" w:cstheme="majorHAnsi"/>
          <w:sz w:val="24"/>
          <w:szCs w:val="24"/>
        </w:rPr>
        <w:t xml:space="preserve"> </w:t>
      </w:r>
      <w:r>
        <w:rPr>
          <w:rFonts w:asciiTheme="majorHAnsi" w:hAnsiTheme="majorHAnsi" w:cstheme="majorHAnsi"/>
          <w:sz w:val="24"/>
          <w:szCs w:val="24"/>
        </w:rPr>
        <w:t xml:space="preserve">play an important role in regulating cellular permeability as they allow the passive diffusion of small molecules, including osmolytes. Under osmotic stress, such as high salt concentrations, porins can alter their conformation or expression levels to regulate the influx and efflux of solutes, thereby helping the bacteria </w:t>
      </w:r>
      <w:r w:rsidR="00133322">
        <w:rPr>
          <w:rFonts w:asciiTheme="majorHAnsi" w:hAnsiTheme="majorHAnsi" w:cstheme="majorHAnsi"/>
          <w:sz w:val="24"/>
          <w:szCs w:val="24"/>
        </w:rPr>
        <w:t>maintain the balance of solutes and water across the bacterial membrane</w:t>
      </w:r>
      <w:r w:rsidR="003F7CF9">
        <w:rPr>
          <w:rFonts w:asciiTheme="majorHAnsi" w:hAnsiTheme="majorHAnsi" w:cstheme="majorHAnsi"/>
          <w:sz w:val="24"/>
          <w:szCs w:val="24"/>
        </w:rPr>
        <w:t>.</w:t>
      </w:r>
      <w:r w:rsidR="003F7CF9">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{"citationID":"wjOaaeII","properties":{"formattedCitation":"\\super 94\\nosupersub{}","plainCitation":"94","noteIndex":0},"citationItems":[{"id":1624,"uris":["http://zotero.org/users/1918630/items/5257ZVDB"],"itemData":{"id":1624,"type":"article-journal","abstract":"Porins form channels allowing the transport of molecules across lipid bilayer membranes. Their structure, location and large number on the bacterial surface lend them multiple functions. Porin loops are potential targets for adhesion to other cells and binding of bactericidal compounds to the surface of Gram-negative bacteria. Variation of the loop structure as a mechanism to escape immune pressure, or modulation of the porin expression in response to the presence of antibiotics, are survival strategies developed by some pathogenic bacteria. Porins may play a significant role as pathogenesis effectors.","container-title":"FEMS Microbiology Letters","DOI":"10.1111/j.1574-6968.2001.tb10642.x","ISSN":"0378-1097","issue":"1","journalAbbreviation":"FEMS Microbiology Letters","page":"1-7","source":"Silverchair","title":"Multiple facets of bacterial porins","volume":"199","author":[{"family":"Achouak","given":"Wafa"},{"family":"Heulin","given":"Thierry"},{"family":"Pagès","given":"Jean-Marie"}],"issued":{"date-parts":[["2001",5,1]]}}}],"schema":"https://github.com/citation-style-language/schema/raw/master/csl-citation.json"} </w:instrText>
      </w:r>
      <w:r w:rsidR="003F7CF9">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94</w:t>
      </w:r>
      <w:r w:rsidR="003F7CF9">
        <w:rPr>
          <w:rFonts w:asciiTheme="majorHAnsi" w:hAnsiTheme="majorHAnsi" w:cstheme="majorHAnsi"/>
          <w:sz w:val="24"/>
          <w:szCs w:val="24"/>
        </w:rPr>
        <w:fldChar w:fldCharType="end"/>
      </w:r>
      <w:r w:rsidR="00133322">
        <w:rPr>
          <w:rFonts w:asciiTheme="majorHAnsi" w:hAnsiTheme="majorHAnsi" w:cstheme="majorHAnsi"/>
          <w:sz w:val="24"/>
          <w:szCs w:val="24"/>
        </w:rPr>
        <w:t xml:space="preserve"> High osmotic pressure conditions in </w:t>
      </w:r>
      <w:r w:rsidR="00133322">
        <w:rPr>
          <w:rFonts w:asciiTheme="majorHAnsi" w:hAnsiTheme="majorHAnsi" w:cstheme="majorHAnsi"/>
          <w:i/>
          <w:iCs/>
          <w:sz w:val="24"/>
          <w:szCs w:val="24"/>
        </w:rPr>
        <w:t>Enterobacteriaceae</w:t>
      </w:r>
      <w:r w:rsidR="00133322">
        <w:rPr>
          <w:rFonts w:asciiTheme="majorHAnsi" w:hAnsiTheme="majorHAnsi" w:cstheme="majorHAnsi"/>
          <w:sz w:val="24"/>
          <w:szCs w:val="24"/>
        </w:rPr>
        <w:t xml:space="preserve">, the expression of </w:t>
      </w:r>
      <w:proofErr w:type="spellStart"/>
      <w:r w:rsidR="00133322">
        <w:rPr>
          <w:rFonts w:asciiTheme="majorHAnsi" w:hAnsiTheme="majorHAnsi" w:cstheme="majorHAnsi"/>
          <w:sz w:val="24"/>
          <w:szCs w:val="24"/>
        </w:rPr>
        <w:t>OmpC</w:t>
      </w:r>
      <w:proofErr w:type="spellEnd"/>
      <w:r w:rsidR="00133322">
        <w:rPr>
          <w:rFonts w:asciiTheme="majorHAnsi" w:hAnsiTheme="majorHAnsi" w:cstheme="majorHAnsi"/>
          <w:sz w:val="24"/>
          <w:szCs w:val="24"/>
        </w:rPr>
        <w:t xml:space="preserve"> is favored, whereas </w:t>
      </w:r>
      <w:proofErr w:type="spellStart"/>
      <w:r w:rsidR="00133322">
        <w:rPr>
          <w:rFonts w:asciiTheme="majorHAnsi" w:hAnsiTheme="majorHAnsi" w:cstheme="majorHAnsi"/>
          <w:sz w:val="24"/>
          <w:szCs w:val="24"/>
        </w:rPr>
        <w:t>OmpF</w:t>
      </w:r>
      <w:proofErr w:type="spellEnd"/>
      <w:r w:rsidR="00133322">
        <w:rPr>
          <w:rFonts w:asciiTheme="majorHAnsi" w:hAnsiTheme="majorHAnsi" w:cstheme="majorHAnsi"/>
          <w:sz w:val="24"/>
          <w:szCs w:val="24"/>
        </w:rPr>
        <w:t xml:space="preserve"> is more expressed under lower osmotic conditions. This differential expression helps the bacteria adapt to osmotic stress by altering the permeability of their outer membrane to different solutes.</w:t>
      </w:r>
      <w:r w:rsidR="00133322">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{"citationID":"FggzZi12","properties":{"formattedCitation":"\\super 95\\nosupersub{}","plainCitation":"95","noteIndex":0},"citationItems":[{"id":1746,"uris":["http://zotero.org/users/1918630/items/WDQ3HA89"],"itemData":{"id":1746,"type":"article-journal","abstract":"Antibiotic translocation across membranes of Gram-negative bacteria is a key step for the activity on their specific intracellular targets. Resistant bacteria control their membrane permeability as a first line of defense to protect themselves against external toxic compounds such as antibiotics and biocides. On one hand, resistance to small hydrophilic antibiotics such as ß-lactams and fluoroquinolones frequently results from the « closing » of their way in: the general outer membrane porins. On the other hand, an effective way out for a wide range of antibiotics is provided by TolC-like proteins, which are outer membrane components of multidrug efflux pumps. Accordingly, altered membrane permeability, including porin modifications and/or efflux pumps’ overexpression, is always associated to multidrug resistance (MDR) in a number of clinical isolates. , Several recent studies have highlighted our current understanding of porins/TolC structures and functions in Enterobacteriaceae. Here, we review the transport of antibiotics through the OmpF/C general porins and the TolC-like channels with regards to recent data on their structure, function, assembly, regulation and contribution to bacterial resistance. , Because MDR strains have evolved global strategies to identify and fight our antibiotic arsenal, it is important to constantly update our global knowledge on antibiotic transport.","container-title":"The Open Microbiology Journal","DOI":"10.2174/1874285801307010022","ISSN":"1874-2858","journalAbbreviation":"Open Microbiol J","note":"PMID: 23569467\nPMCID: PMC3617542","page":"22-33","source":"PubMed Central","title":"Structure, Function and Regulation of Outer Membrane Proteins Involved in Drug Transport in Enterobactericeae: the OmpF/C – TolC Case","title-short":"Structure, Function and Regulation of Outer Membrane Proteins Involved in Drug Transport in Enterobactericeae","volume":"7","author":[{"family":"Masi","given":"Muriel"},{"family":"Pagès","given":"Jean-Marie"}],"issued":{"date-parts":[["2013",3,22]]}}}],"schema":"https://github.com/citation-style-language/schema/raw/master/csl-citation.json"} </w:instrText>
      </w:r>
      <w:r w:rsidR="00133322">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95</w:t>
      </w:r>
      <w:r w:rsidR="00133322">
        <w:rPr>
          <w:rFonts w:asciiTheme="majorHAnsi" w:hAnsiTheme="majorHAnsi" w:cstheme="majorHAnsi"/>
          <w:sz w:val="24"/>
          <w:szCs w:val="24"/>
        </w:rPr>
        <w:fldChar w:fldCharType="end"/>
      </w:r>
    </w:p>
    <w:p w14:paraId="335EE201" w14:textId="35B367B0" w:rsidR="00251E74" w:rsidRPr="005A0406" w:rsidRDefault="00356D8C" w:rsidP="00C836F0">
      <w:pPr>
        <w:rPr>
          <w:rFonts w:asciiTheme="majorHAnsi" w:hAnsiTheme="majorHAnsi" w:cstheme="majorHAnsi"/>
          <w:sz w:val="24"/>
          <w:szCs w:val="24"/>
          <w:u w:val="single"/>
        </w:rPr>
      </w:pPr>
      <w:r>
        <w:rPr>
          <w:rFonts w:asciiTheme="majorHAnsi" w:hAnsiTheme="majorHAnsi" w:cstheme="majorHAnsi"/>
          <w:sz w:val="24"/>
          <w:szCs w:val="24"/>
          <w:u w:val="single"/>
        </w:rPr>
        <w:lastRenderedPageBreak/>
        <w:t>1.</w:t>
      </w:r>
      <w:r w:rsidR="007D3623">
        <w:rPr>
          <w:rFonts w:asciiTheme="majorHAnsi" w:hAnsiTheme="majorHAnsi" w:cstheme="majorHAnsi"/>
          <w:sz w:val="24"/>
          <w:szCs w:val="24"/>
          <w:u w:val="single"/>
        </w:rPr>
        <w:t>4</w:t>
      </w:r>
      <w:r>
        <w:rPr>
          <w:rFonts w:asciiTheme="majorHAnsi" w:hAnsiTheme="majorHAnsi" w:cstheme="majorHAnsi"/>
          <w:sz w:val="24"/>
          <w:szCs w:val="24"/>
          <w:u w:val="single"/>
        </w:rPr>
        <w:t xml:space="preserve">.5. </w:t>
      </w:r>
      <w:r w:rsidR="00251E74" w:rsidRPr="005A0406">
        <w:rPr>
          <w:rFonts w:asciiTheme="majorHAnsi" w:hAnsiTheme="majorHAnsi" w:cstheme="majorHAnsi"/>
          <w:sz w:val="24"/>
          <w:szCs w:val="24"/>
          <w:u w:val="single"/>
        </w:rPr>
        <w:t xml:space="preserve">Bile </w:t>
      </w:r>
      <w:r w:rsidR="007D3623">
        <w:rPr>
          <w:rFonts w:asciiTheme="majorHAnsi" w:hAnsiTheme="majorHAnsi" w:cstheme="majorHAnsi"/>
          <w:sz w:val="24"/>
          <w:szCs w:val="24"/>
          <w:u w:val="single"/>
        </w:rPr>
        <w:t>s</w:t>
      </w:r>
      <w:r w:rsidR="00251E74" w:rsidRPr="005A0406">
        <w:rPr>
          <w:rFonts w:asciiTheme="majorHAnsi" w:hAnsiTheme="majorHAnsi" w:cstheme="majorHAnsi"/>
          <w:sz w:val="24"/>
          <w:szCs w:val="24"/>
          <w:u w:val="single"/>
        </w:rPr>
        <w:t>alts</w:t>
      </w:r>
    </w:p>
    <w:p w14:paraId="4163ACAE" w14:textId="505192A0" w:rsidR="007F4346" w:rsidRDefault="007F4346" w:rsidP="0021013E">
      <w:pPr>
        <w:spacing w:line="360" w:lineRule="auto"/>
        <w:rPr>
          <w:rFonts w:asciiTheme="majorHAnsi" w:hAnsiTheme="majorHAnsi" w:cstheme="majorHAnsi"/>
          <w:sz w:val="24"/>
          <w:szCs w:val="24"/>
        </w:rPr>
      </w:pPr>
      <w:r>
        <w:rPr>
          <w:rFonts w:asciiTheme="majorHAnsi" w:hAnsiTheme="majorHAnsi" w:cstheme="majorHAnsi"/>
          <w:sz w:val="24"/>
          <w:szCs w:val="24"/>
        </w:rPr>
        <w:tab/>
        <w:t>Bacterial pathogens have evolved various strategies to survive under the harsh conditions caused by bile salts in the host gastrointestinal tract. Bile salts, primarily acting as detergents, are critical for the digestion and absorption of fats but can also impose oxidative stress on bacterial cells</w:t>
      </w:r>
      <w:r w:rsidR="00FE1E2E">
        <w:rPr>
          <w:rFonts w:asciiTheme="majorHAnsi" w:hAnsiTheme="majorHAnsi" w:cstheme="majorHAnsi"/>
          <w:sz w:val="24"/>
          <w:szCs w:val="24"/>
        </w:rPr>
        <w:t xml:space="preserve"> due to the production of reactive oxygen and nitrogen species</w:t>
      </w:r>
      <w:r>
        <w:rPr>
          <w:rFonts w:asciiTheme="majorHAnsi" w:hAnsiTheme="majorHAnsi" w:cstheme="majorHAnsi"/>
          <w:sz w:val="24"/>
          <w:szCs w:val="24"/>
        </w:rPr>
        <w:t>.</w:t>
      </w:r>
      <w:r w:rsidR="00FE1E2E">
        <w:rPr>
          <w:rFonts w:asciiTheme="majorHAnsi" w:hAnsiTheme="majorHAnsi" w:cstheme="majorHAnsi"/>
          <w:sz w:val="24"/>
          <w:szCs w:val="24"/>
        </w:rPr>
        <w:t xml:space="preserve"> </w:t>
      </w:r>
      <w:r w:rsidR="00BC7FB8">
        <w:rPr>
          <w:rFonts w:asciiTheme="majorHAnsi" w:hAnsiTheme="majorHAnsi" w:cstheme="majorHAnsi"/>
          <w:sz w:val="24"/>
          <w:szCs w:val="24"/>
        </w:rPr>
        <w:t>Bile’s main role in digestion is to emulsify and solubilize lipids, so it can disrupt cell membrane integrity by interacting with membrane phospholipids.</w:t>
      </w:r>
      <w:r w:rsidR="00035C54">
        <w:rPr>
          <w:rFonts w:asciiTheme="majorHAnsi" w:hAnsiTheme="majorHAnsi" w:cstheme="majorHAnsi"/>
          <w:sz w:val="24"/>
          <w:szCs w:val="24"/>
        </w:rPr>
        <w:t xml:space="preserve"> This disruption could alter important membrane characteristics like permeability, fluidity or charge.</w:t>
      </w:r>
      <w:r w:rsidR="00BC7FB8">
        <w:rPr>
          <w:rFonts w:asciiTheme="majorHAnsi" w:hAnsiTheme="majorHAnsi" w:cstheme="majorHAnsi"/>
          <w:sz w:val="24"/>
          <w:szCs w:val="24"/>
        </w:rPr>
        <w:t xml:space="preserve"> </w:t>
      </w:r>
      <w:r w:rsidR="00FE1E2E">
        <w:rPr>
          <w:rFonts w:asciiTheme="majorHAnsi" w:hAnsiTheme="majorHAnsi" w:cstheme="majorHAnsi"/>
          <w:sz w:val="24"/>
          <w:szCs w:val="24"/>
        </w:rPr>
        <w:t>An additional stressor comes from the deconjugation of bile salts that release protons</w:t>
      </w:r>
      <w:r w:rsidR="005A14A5">
        <w:rPr>
          <w:rFonts w:asciiTheme="majorHAnsi" w:hAnsiTheme="majorHAnsi" w:cstheme="majorHAnsi"/>
          <w:sz w:val="24"/>
          <w:szCs w:val="24"/>
        </w:rPr>
        <w:t>, which</w:t>
      </w:r>
      <w:r w:rsidR="00FE1E2E">
        <w:rPr>
          <w:rFonts w:asciiTheme="majorHAnsi" w:hAnsiTheme="majorHAnsi" w:cstheme="majorHAnsi"/>
          <w:sz w:val="24"/>
          <w:szCs w:val="24"/>
        </w:rPr>
        <w:t xml:space="preserve"> </w:t>
      </w:r>
      <w:r w:rsidR="005A14A5">
        <w:rPr>
          <w:rFonts w:asciiTheme="majorHAnsi" w:hAnsiTheme="majorHAnsi" w:cstheme="majorHAnsi"/>
          <w:sz w:val="24"/>
          <w:szCs w:val="24"/>
        </w:rPr>
        <w:t>results in intracellular acidification and exhibits toxicity similar to organic acids</w:t>
      </w:r>
      <w:r w:rsidR="00FE1E2E">
        <w:rPr>
          <w:rFonts w:asciiTheme="majorHAnsi" w:hAnsiTheme="majorHAnsi" w:cstheme="majorHAnsi"/>
          <w:sz w:val="24"/>
          <w:szCs w:val="24"/>
        </w:rPr>
        <w:t xml:space="preserve">. This causes bacteria to have to respond to both bile and acid stresses.  </w:t>
      </w:r>
    </w:p>
    <w:p w14:paraId="187746D1" w14:textId="1BC66424" w:rsidR="00356D8C" w:rsidRDefault="007F4346" w:rsidP="00356D8C">
      <w:pPr>
        <w:spacing w:line="360" w:lineRule="auto"/>
        <w:ind w:firstLine="720"/>
        <w:rPr>
          <w:sz w:val="24"/>
          <w:szCs w:val="24"/>
        </w:rPr>
      </w:pPr>
      <w:r>
        <w:rPr>
          <w:rFonts w:asciiTheme="majorHAnsi" w:hAnsiTheme="majorHAnsi" w:cstheme="majorHAnsi"/>
          <w:sz w:val="24"/>
          <w:szCs w:val="24"/>
        </w:rPr>
        <w:t>To counteract the</w:t>
      </w:r>
      <w:r w:rsidR="00072975">
        <w:rPr>
          <w:rFonts w:asciiTheme="majorHAnsi" w:hAnsiTheme="majorHAnsi" w:cstheme="majorHAnsi"/>
          <w:sz w:val="24"/>
          <w:szCs w:val="24"/>
        </w:rPr>
        <w:t xml:space="preserve"> complicated nature of</w:t>
      </w:r>
      <w:r>
        <w:rPr>
          <w:rFonts w:asciiTheme="majorHAnsi" w:hAnsiTheme="majorHAnsi" w:cstheme="majorHAnsi"/>
          <w:sz w:val="24"/>
          <w:szCs w:val="24"/>
        </w:rPr>
        <w:t xml:space="preserve"> </w:t>
      </w:r>
      <w:r w:rsidR="00FE1E2E">
        <w:rPr>
          <w:rFonts w:asciiTheme="majorHAnsi" w:hAnsiTheme="majorHAnsi" w:cstheme="majorHAnsi"/>
          <w:sz w:val="24"/>
          <w:szCs w:val="24"/>
        </w:rPr>
        <w:t>bile-based stresses</w:t>
      </w:r>
      <w:r>
        <w:rPr>
          <w:rFonts w:asciiTheme="majorHAnsi" w:hAnsiTheme="majorHAnsi" w:cstheme="majorHAnsi"/>
          <w:sz w:val="24"/>
          <w:szCs w:val="24"/>
        </w:rPr>
        <w:t xml:space="preserve">, bacteria have developed </w:t>
      </w:r>
      <w:r w:rsidR="00072975">
        <w:rPr>
          <w:rFonts w:asciiTheme="majorHAnsi" w:hAnsiTheme="majorHAnsi" w:cstheme="majorHAnsi"/>
          <w:sz w:val="24"/>
          <w:szCs w:val="24"/>
        </w:rPr>
        <w:t>a wide variety of</w:t>
      </w:r>
      <w:r>
        <w:rPr>
          <w:rFonts w:asciiTheme="majorHAnsi" w:hAnsiTheme="majorHAnsi" w:cstheme="majorHAnsi"/>
          <w:sz w:val="24"/>
          <w:szCs w:val="24"/>
        </w:rPr>
        <w:t xml:space="preserve"> resistance mechanisms. Bacteria like </w:t>
      </w:r>
      <w:r w:rsidRPr="007F4346">
        <w:rPr>
          <w:rStyle w:val="Emphasis"/>
          <w:sz w:val="24"/>
          <w:szCs w:val="24"/>
        </w:rPr>
        <w:t>Lactobacillus</w:t>
      </w:r>
      <w:r>
        <w:rPr>
          <w:rStyle w:val="Emphasis"/>
          <w:i w:val="0"/>
          <w:iCs w:val="0"/>
          <w:sz w:val="24"/>
          <w:szCs w:val="24"/>
        </w:rPr>
        <w:t xml:space="preserve"> activate specific genes in response to bile salts.</w:t>
      </w:r>
      <w:r w:rsidR="00771FFB">
        <w:rPr>
          <w:rStyle w:val="Emphasis"/>
          <w:i w:val="0"/>
          <w:iCs w:val="0"/>
          <w:sz w:val="24"/>
          <w:szCs w:val="24"/>
        </w:rPr>
        <w:fldChar w:fldCharType="begin"/>
      </w:r>
      <w:r w:rsidR="00864355">
        <w:rPr>
          <w:rStyle w:val="Emphasis"/>
          <w:i w:val="0"/>
          <w:iCs w:val="0"/>
          <w:sz w:val="24"/>
          <w:szCs w:val="24"/>
        </w:rPr>
        <w:instrText xml:space="preserve"> ADDIN ZOTERO_ITEM CSL_CITATION {"citationID":"a2eusunts9p","properties":{"formattedCitation":"\\super 96\\nosupersub{}","plainCitation":"96","noteIndex":0},"citationItems":[{"id":2122,"uris":["http://zotero.org/users/1918630/items/5GGE3894"],"itemData":{"id":2122,"type":"article-journal","abstract":"Under bile salt treatment, strains display significant differences in their tolerance ability, suggesting the existence of diverse resistance mechanisms in Lactobacillus; however, the genes involved in this protective process are not fully understood. In this study, novel target genes associated with bile salt tolerance in Lactobacillus were identified using comparative genomics for PCR detection and the rapid screening of tolerant strains. The bile salt tolerance of 107 lactobacilli isolated from different origins was assessed, and 26 strains with comparatively large differences were selected for further comparative genomic analysis. Tolerant strains had 112 specific genes that were enriched in the phosphotransferase system, the two-component system, carbohydrate metabolism, and the ATP-binding cassette transporter. Six genes from Lactobacillus were cloned into the inducible lactobacillal expression vector pSIP403. Overexpression in the host strain increased its tolerance ability by 11.86–18.08%. The novel genes identified here can be used as targets to design primers for the rapid screening of bile salt-tolerant lactobacilli. Altogether, these results deepen our understanding of bile salt tolerance mechanisms in Lactobacillus and provide a basis for further rapid assessments of tolerant strains.","container-title":"Microorganisms","DOI":"10.3390/microorganisms10122371","ISSN":"2076-2607","issue":"12","journalAbbreviation":"Microorganisms","note":"PMID: 36557624\nPMCID: PMC9786149","page":"2371","source":"PubMed Central","title":"Identification of Novel Bile Salt-Tolerant Genes in Lactobacillus Using Comparative Genomics and Its Application in the Rapid Screening of Tolerant Strains","volume":"10","author":[{"family":"Chen","given":"Chunfei"},{"family":"Yu","given":"Leilei"},{"family":"Tian","given":"Fengwei"},{"family":"Zhao","given":"Jianxin"},{"family":"Zhai","given":"Qixiao"}],"issued":{"date-parts":[["2022",11,30]]}}}],"schema":"https://github.com/citation-style-language/schema/raw/master/csl-citation.json"} </w:instrText>
      </w:r>
      <w:r w:rsidR="00771FFB">
        <w:rPr>
          <w:rStyle w:val="Emphasis"/>
          <w:i w:val="0"/>
          <w:iCs w:val="0"/>
          <w:sz w:val="24"/>
          <w:szCs w:val="24"/>
        </w:rPr>
        <w:fldChar w:fldCharType="separate"/>
      </w:r>
      <w:r w:rsidR="00864355" w:rsidRPr="00864355">
        <w:rPr>
          <w:rFonts w:ascii="Times New Roman" w:hAnsi="Times New Roman" w:cs="Times New Roman"/>
          <w:sz w:val="24"/>
          <w:szCs w:val="24"/>
          <w:vertAlign w:val="superscript"/>
        </w:rPr>
        <w:t>96</w:t>
      </w:r>
      <w:r w:rsidR="00771FFB">
        <w:rPr>
          <w:rStyle w:val="Emphasis"/>
          <w:i w:val="0"/>
          <w:iCs w:val="0"/>
          <w:sz w:val="24"/>
          <w:szCs w:val="24"/>
        </w:rPr>
        <w:fldChar w:fldCharType="end"/>
      </w:r>
      <w:r>
        <w:rPr>
          <w:rStyle w:val="Emphasis"/>
          <w:i w:val="0"/>
          <w:iCs w:val="0"/>
          <w:sz w:val="24"/>
          <w:szCs w:val="24"/>
        </w:rPr>
        <w:t xml:space="preserve"> These genes play a role in halting cell division </w:t>
      </w:r>
      <w:r w:rsidR="00356D8C">
        <w:rPr>
          <w:rStyle w:val="Emphasis"/>
          <w:i w:val="0"/>
          <w:iCs w:val="0"/>
          <w:sz w:val="24"/>
          <w:szCs w:val="24"/>
        </w:rPr>
        <w:t>and to</w:t>
      </w:r>
      <w:r>
        <w:rPr>
          <w:rStyle w:val="Emphasis"/>
          <w:i w:val="0"/>
          <w:iCs w:val="0"/>
          <w:sz w:val="24"/>
          <w:szCs w:val="24"/>
        </w:rPr>
        <w:t xml:space="preserve"> repair any damage to DNA caused by the bile salts.</w:t>
      </w:r>
      <w:r w:rsidR="00FE1E2E">
        <w:rPr>
          <w:rStyle w:val="Emphasis"/>
          <w:i w:val="0"/>
          <w:iCs w:val="0"/>
          <w:sz w:val="24"/>
          <w:szCs w:val="24"/>
        </w:rPr>
        <w:t xml:space="preserve"> Some bacterial species, like </w:t>
      </w:r>
      <w:r w:rsidR="00FE1E2E">
        <w:rPr>
          <w:rStyle w:val="Emphasis"/>
          <w:sz w:val="24"/>
          <w:szCs w:val="24"/>
        </w:rPr>
        <w:t>L. acidophilus</w:t>
      </w:r>
      <w:r w:rsidR="00FE1E2E">
        <w:rPr>
          <w:rStyle w:val="Emphasis"/>
          <w:i w:val="0"/>
          <w:iCs w:val="0"/>
          <w:sz w:val="24"/>
          <w:szCs w:val="24"/>
        </w:rPr>
        <w:t>, ha</w:t>
      </w:r>
      <w:r w:rsidR="00133322">
        <w:rPr>
          <w:rStyle w:val="Emphasis"/>
          <w:i w:val="0"/>
          <w:iCs w:val="0"/>
          <w:sz w:val="24"/>
          <w:szCs w:val="24"/>
        </w:rPr>
        <w:t>ve</w:t>
      </w:r>
      <w:r w:rsidR="00FE1E2E">
        <w:rPr>
          <w:rStyle w:val="Emphasis"/>
          <w:i w:val="0"/>
          <w:iCs w:val="0"/>
          <w:sz w:val="24"/>
          <w:szCs w:val="24"/>
        </w:rPr>
        <w:t xml:space="preserve"> been seen to decrease production of oxidant molecules</w:t>
      </w:r>
      <w:r w:rsidR="00BC7FB8">
        <w:rPr>
          <w:rStyle w:val="Emphasis"/>
          <w:i w:val="0"/>
          <w:iCs w:val="0"/>
          <w:sz w:val="24"/>
          <w:szCs w:val="24"/>
        </w:rPr>
        <w:t xml:space="preserve"> as a way to enhance bile tolerance.</w:t>
      </w:r>
      <w:r>
        <w:rPr>
          <w:rStyle w:val="Emphasis"/>
          <w:i w:val="0"/>
          <w:iCs w:val="0"/>
          <w:sz w:val="24"/>
          <w:szCs w:val="24"/>
        </w:rPr>
        <w:fldChar w:fldCharType="begin"/>
      </w:r>
      <w:r w:rsidR="00864355">
        <w:rPr>
          <w:rStyle w:val="Emphasis"/>
          <w:i w:val="0"/>
          <w:iCs w:val="0"/>
          <w:sz w:val="24"/>
          <w:szCs w:val="24"/>
        </w:rPr>
        <w:instrText xml:space="preserve"> ADDIN ZOTERO_ITEM CSL_CITATION {"citationID":"pDcf1NiD","properties":{"formattedCitation":"\\super 97\\nosupersub{}","plainCitation":"97","noteIndex":0},"citationItems":[{"id":1606,"uris":["http://zotero.org/users/1918630/items/99EMBANY"],"itemData":{"id":1606,"type":"article-journal","abstract":"Bacterial pathogens have coevolved with humans in order to efficiently infect, replicate within, and be transmitted to new hosts to ensure survival and a continual infection cycle. For enteric pathogens, the ability to adapt to numerous host factors under the harsh conditions of the gastrointestinal tract is critical for establishing infection. One such host factor readily encountered by enteric bacteria is bile, an innately antimicrobial detergent-like compound essential for digestion and nutrient absorption. Not only have enteric pathogens evolved to resist the bactericidal conditions of bile, but these bacteria also utilize bile as a signal to enhance virulence regulation for efficient infection. This review provides a comprehensive and up-to-date analysis of bile-related research with enteric pathogens. From common responses to the unique expression of specific virulence factors, each pathogen has overcome significant challenges to establish infection in the gastrointestinal tract. Utilization of bile as a signal to modulate virulence factor expression has led to important insights for our understanding of virulence mechanisms for many pathogens. Further research on enteric pathogens exposed to this in vivo signal will benefit therapeutic and vaccine development and ultimately enhance our success at combating such elite pathogens.","container-title":"Clinical Microbiology Reviews","DOI":"10.1128/CMR.00031-16","ISSN":"0893-8512","issue":"4","journalAbbreviation":"Clin Microbiol Rev","note":"PMID: 27464994\nPMCID: PMC5010752","page":"819-836","source":"PubMed Central","title":"Survival of the Fittest: How Bacterial Pathogens Utilize Bile To Enhance Infection","title-short":"Survival of the Fittest","volume":"29","author":[{"family":"Sistrunk","given":"Jeticia R."},{"family":"Nickerson","given":"Kourtney P."},{"family":"Chanin","given":"Rachael B."},{"family":"Rasko","given":"David A."},{"family":"Faherty","given":"Christina S."}],"issued":{"date-parts":[["2016",10]]}}}],"schema":"https://github.com/citation-style-language/schema/raw/master/csl-citation.json"} </w:instrText>
      </w:r>
      <w:r>
        <w:rPr>
          <w:rStyle w:val="Emphasis"/>
          <w:i w:val="0"/>
          <w:iCs w:val="0"/>
          <w:sz w:val="24"/>
          <w:szCs w:val="24"/>
        </w:rPr>
        <w:fldChar w:fldCharType="separate"/>
      </w:r>
      <w:r w:rsidR="00864355" w:rsidRPr="00864355">
        <w:rPr>
          <w:rFonts w:ascii="Times New Roman" w:hAnsi="Times New Roman" w:cs="Times New Roman"/>
          <w:sz w:val="24"/>
          <w:szCs w:val="24"/>
          <w:vertAlign w:val="superscript"/>
        </w:rPr>
        <w:t>97</w:t>
      </w:r>
      <w:r>
        <w:rPr>
          <w:rStyle w:val="Emphasis"/>
          <w:i w:val="0"/>
          <w:iCs w:val="0"/>
          <w:sz w:val="24"/>
          <w:szCs w:val="24"/>
        </w:rPr>
        <w:fldChar w:fldCharType="end"/>
      </w:r>
      <w:r>
        <w:rPr>
          <w:rStyle w:val="Emphasis"/>
          <w:i w:val="0"/>
          <w:iCs w:val="0"/>
          <w:sz w:val="24"/>
          <w:szCs w:val="24"/>
        </w:rPr>
        <w:t xml:space="preserve"> </w:t>
      </w:r>
      <w:r w:rsidR="00FE1E2E">
        <w:rPr>
          <w:rStyle w:val="Emphasis"/>
          <w:i w:val="0"/>
          <w:iCs w:val="0"/>
          <w:sz w:val="24"/>
          <w:szCs w:val="24"/>
        </w:rPr>
        <w:t>And similar to how bacteria respond to heat shock, cells responding to the negative effects of bile overexpress chaperones and proteases to recycle damaged proteins and facilitate proper folding of nascent proteins</w:t>
      </w:r>
      <w:r w:rsidR="00035C54">
        <w:rPr>
          <w:rStyle w:val="Emphasis"/>
          <w:i w:val="0"/>
          <w:iCs w:val="0"/>
          <w:sz w:val="24"/>
          <w:szCs w:val="24"/>
        </w:rPr>
        <w:t>.</w:t>
      </w:r>
      <w:r w:rsidR="00035C54">
        <w:rPr>
          <w:rStyle w:val="Emphasis"/>
          <w:i w:val="0"/>
          <w:iCs w:val="0"/>
          <w:sz w:val="24"/>
          <w:szCs w:val="24"/>
        </w:rPr>
        <w:fldChar w:fldCharType="begin"/>
      </w:r>
      <w:r w:rsidR="00864355">
        <w:rPr>
          <w:rStyle w:val="Emphasis"/>
          <w:i w:val="0"/>
          <w:iCs w:val="0"/>
          <w:sz w:val="24"/>
          <w:szCs w:val="24"/>
        </w:rPr>
        <w:instrText xml:space="preserve"> ADDIN ZOTERO_ITEM CSL_CITATION {"citationID":"Nxq3l226","properties":{"formattedCitation":"\\super 98\\nosupersub{}","plainCitation":"98","noteIndex":0},"citationItems":[{"id":1609,"uris":["http://zotero.org/users/1918630/items/R3W8N39H"],"itemData":{"id":1609,"type":"article-journal","abstract":"Commensal and pathogenic microorganisms must resist the deleterious actions of bile in order to survive in the human gastrointestinal tract. Herein we review the current knowledge on the mechanisms by which Gram-positive and Gram-negative bacteria contend with bile stress. We describe the antimicrobial actions of bile, assess the variations in bile tolerance between bacterial genera and examine the interplay between bile stress and other stresses. The molecular mechanisms underlying bile tolerance are investigated and the relationship between bile and virulence is examined. Finally, the potential benefits of bile research are briefly discussed.","container-title":"FEMS Microbiology Reviews","DOI":"10.1016/j.femsre.2004.09.003","ISSN":"0168-6445","issue":"4","journalAbbreviation":"FEMS Microbiology Reviews","page":"625-651","source":"Silverchair","title":"The interaction between bacteria and bile","volume":"29","author":[{"family":"Begley","given":"Máire"},{"family":"Gahan","given":"Cormac G.M."},{"family":"Hill","given":"Colin"}],"issued":{"date-parts":[["2005",9,1]]}}}],"schema":"https://github.com/citation-style-language/schema/raw/master/csl-citation.json"} </w:instrText>
      </w:r>
      <w:r w:rsidR="00035C54">
        <w:rPr>
          <w:rStyle w:val="Emphasis"/>
          <w:i w:val="0"/>
          <w:iCs w:val="0"/>
          <w:sz w:val="24"/>
          <w:szCs w:val="24"/>
        </w:rPr>
        <w:fldChar w:fldCharType="separate"/>
      </w:r>
      <w:r w:rsidR="00864355" w:rsidRPr="00864355">
        <w:rPr>
          <w:rFonts w:ascii="Times New Roman" w:hAnsi="Times New Roman" w:cs="Times New Roman"/>
          <w:sz w:val="24"/>
          <w:szCs w:val="24"/>
          <w:vertAlign w:val="superscript"/>
        </w:rPr>
        <w:t>98</w:t>
      </w:r>
      <w:r w:rsidR="00035C54">
        <w:rPr>
          <w:rStyle w:val="Emphasis"/>
          <w:i w:val="0"/>
          <w:iCs w:val="0"/>
          <w:sz w:val="24"/>
          <w:szCs w:val="24"/>
        </w:rPr>
        <w:fldChar w:fldCharType="end"/>
      </w:r>
      <w:r w:rsidR="00266496">
        <w:rPr>
          <w:rStyle w:val="Emphasis"/>
          <w:i w:val="0"/>
          <w:iCs w:val="0"/>
          <w:sz w:val="24"/>
          <w:szCs w:val="24"/>
        </w:rPr>
        <w:t xml:space="preserve"> </w:t>
      </w:r>
      <w:r w:rsidR="00266496">
        <w:rPr>
          <w:rStyle w:val="Emphasis"/>
          <w:sz w:val="24"/>
          <w:szCs w:val="24"/>
        </w:rPr>
        <w:t>E. coli</w:t>
      </w:r>
      <w:r w:rsidR="00266496">
        <w:rPr>
          <w:rStyle w:val="Emphasis"/>
          <w:i w:val="0"/>
          <w:iCs w:val="0"/>
          <w:sz w:val="24"/>
          <w:szCs w:val="24"/>
        </w:rPr>
        <w:t xml:space="preserve"> is known to use the RND efflux pump </w:t>
      </w:r>
      <w:proofErr w:type="spellStart"/>
      <w:r w:rsidR="00266496">
        <w:rPr>
          <w:rStyle w:val="Emphasis"/>
          <w:i w:val="0"/>
          <w:iCs w:val="0"/>
          <w:sz w:val="24"/>
          <w:szCs w:val="24"/>
        </w:rPr>
        <w:t>A</w:t>
      </w:r>
      <w:r w:rsidR="00266496" w:rsidRPr="00266496">
        <w:rPr>
          <w:rStyle w:val="Emphasis"/>
          <w:i w:val="0"/>
          <w:iCs w:val="0"/>
          <w:sz w:val="24"/>
          <w:szCs w:val="24"/>
        </w:rPr>
        <w:t>crAB</w:t>
      </w:r>
      <w:proofErr w:type="spellEnd"/>
      <w:r w:rsidR="00266496">
        <w:rPr>
          <w:rStyle w:val="Emphasis"/>
          <w:i w:val="0"/>
          <w:iCs w:val="0"/>
          <w:sz w:val="24"/>
          <w:szCs w:val="24"/>
        </w:rPr>
        <w:t xml:space="preserve"> and MFS pump </w:t>
      </w:r>
      <w:proofErr w:type="spellStart"/>
      <w:r w:rsidR="00266496">
        <w:rPr>
          <w:rStyle w:val="Emphasis"/>
          <w:i w:val="0"/>
          <w:iCs w:val="0"/>
          <w:sz w:val="24"/>
          <w:szCs w:val="24"/>
        </w:rPr>
        <w:t>EmrAB</w:t>
      </w:r>
      <w:proofErr w:type="spellEnd"/>
      <w:r w:rsidR="00266496">
        <w:rPr>
          <w:rStyle w:val="Emphasis"/>
          <w:i w:val="0"/>
          <w:iCs w:val="0"/>
          <w:sz w:val="24"/>
          <w:szCs w:val="24"/>
        </w:rPr>
        <w:t xml:space="preserve"> to extrude bile salts (chenodeoxycholic acid) out of the cell.</w:t>
      </w:r>
      <w:r w:rsidR="00771FFB">
        <w:rPr>
          <w:rStyle w:val="Emphasis"/>
          <w:i w:val="0"/>
          <w:iCs w:val="0"/>
          <w:sz w:val="24"/>
          <w:szCs w:val="24"/>
        </w:rPr>
        <w:fldChar w:fldCharType="begin"/>
      </w:r>
      <w:r w:rsidR="00864355">
        <w:rPr>
          <w:rStyle w:val="Emphasis"/>
          <w:i w:val="0"/>
          <w:iCs w:val="0"/>
          <w:sz w:val="24"/>
          <w:szCs w:val="24"/>
        </w:rPr>
        <w:instrText xml:space="preserve"> ADDIN ZOTERO_ITEM CSL_CITATION {"citationID":"aiaupl19mc","properties":{"formattedCitation":"\\super 99\\nosupersub{}","plainCitation":"99","noteIndex":0},"citationItems":[{"id":1659,"uris":["http://zotero.org/users/1918630/items/HXSYN6HV"],"itemData":{"id":1659,"type":"article-journal","abstract":"Enteric bacteria such as Escherichia coli must tolerate high levels of bile salts, powerful detergents that disrupt biological membranes. The outer membrane barrier of gram-negative bacteria plays an important role in this resistance, but ultimately it can only retard the influx of bile salts. We therefore examined whether E. coli possessed an energy-dependent efflux mechanism for these compounds. Intact cells of E. coli K-12 appeared to pump out chenodeoxycholate, since its intracellular accumulation increased more than twofold upon deenergization of the cytoplasmic membrane by a proton conductor. Growth inhibition by bile salts and accumulation levels of chenodeoxycholate increased when mutations inactivating the acrAB and emrAB gene clusters were introduced. The AcrAB system especially appeared to play a significant role in bile acid efflux. However, another efflux system(s) also plays an important role, since the accumulation level of chenodeoxycholate increased strongly upon deenergization of acrA emrB double mutant cells. Everted membrane vesicles accumulated taurocholate in an energy-dependent manner, apparently consuming delta pH without affecting delta psi. The efflux thus appears to be catalyzed by a proton antiporter. Accumulation by the everted membrane vesicles was not decreased by mutations in acr and emrB genes and presumably reflects activity of the unknown system seen in intact cells. It followed saturation kinetics with Vmax and Km values in the neighborhood of 0.3 nmol min(-1) mg of protein(-1) and 50 microM, respectively.","container-title":"Journal of Bacteriology","DOI":"10.1128/jb.179.8.2512-2518.1997","ISSN":"0021-9193","issue":"8","journalAbbreviation":"J Bacteriol","language":"eng","note":"PMID: 9098046\nPMCID: PMC178997","page":"2512-2518","source":"PubMed","title":"Active efflux of bile salts by Escherichia coli","volume":"179","author":[{"family":"Thanassi","given":"D. G."},{"family":"Cheng","given":"L. W."},{"family":"Nikaido","given":"H."}],"issued":{"date-parts":[["1997",4]]}}}],"schema":"https://github.com/citation-style-language/schema/raw/master/csl-citation.json"} </w:instrText>
      </w:r>
      <w:r w:rsidR="00771FFB">
        <w:rPr>
          <w:rStyle w:val="Emphasis"/>
          <w:i w:val="0"/>
          <w:iCs w:val="0"/>
          <w:sz w:val="24"/>
          <w:szCs w:val="24"/>
        </w:rPr>
        <w:fldChar w:fldCharType="separate"/>
      </w:r>
      <w:r w:rsidR="00864355" w:rsidRPr="00864355">
        <w:rPr>
          <w:rFonts w:ascii="Times New Roman" w:hAnsi="Times New Roman" w:cs="Times New Roman"/>
          <w:sz w:val="24"/>
          <w:szCs w:val="24"/>
          <w:vertAlign w:val="superscript"/>
        </w:rPr>
        <w:t>99</w:t>
      </w:r>
      <w:r w:rsidR="00771FFB">
        <w:rPr>
          <w:rStyle w:val="Emphasis"/>
          <w:i w:val="0"/>
          <w:iCs w:val="0"/>
          <w:sz w:val="24"/>
          <w:szCs w:val="24"/>
        </w:rPr>
        <w:fldChar w:fldCharType="end"/>
      </w:r>
      <w:r w:rsidR="005A14A5">
        <w:rPr>
          <w:rStyle w:val="Emphasis"/>
          <w:i w:val="0"/>
          <w:iCs w:val="0"/>
          <w:sz w:val="24"/>
          <w:szCs w:val="24"/>
        </w:rPr>
        <w:t xml:space="preserve"> The Gram-positive </w:t>
      </w:r>
      <w:r w:rsidR="005A14A5">
        <w:rPr>
          <w:rStyle w:val="Emphasis"/>
          <w:sz w:val="24"/>
          <w:szCs w:val="24"/>
        </w:rPr>
        <w:t>Listeria monocytogenes</w:t>
      </w:r>
      <w:r w:rsidR="005A14A5">
        <w:rPr>
          <w:rStyle w:val="Emphasis"/>
          <w:i w:val="0"/>
          <w:iCs w:val="0"/>
          <w:sz w:val="24"/>
          <w:szCs w:val="24"/>
        </w:rPr>
        <w:t xml:space="preserve"> uses a bile salt hydrolase (BSH) enzyme to degrade bile acids, potentially as a detoxification mechanism.</w:t>
      </w:r>
      <w:r w:rsidR="00771FFB">
        <w:rPr>
          <w:rStyle w:val="Emphasis"/>
          <w:i w:val="0"/>
          <w:iCs w:val="0"/>
          <w:sz w:val="24"/>
          <w:szCs w:val="24"/>
        </w:rPr>
        <w:fldChar w:fldCharType="begin"/>
      </w:r>
      <w:r w:rsidR="00864355">
        <w:rPr>
          <w:rStyle w:val="Emphasis"/>
          <w:i w:val="0"/>
          <w:iCs w:val="0"/>
          <w:sz w:val="24"/>
          <w:szCs w:val="24"/>
        </w:rPr>
        <w:instrText xml:space="preserve"> ADDIN ZOTERO_ITEM CSL_CITATION {"citationID":"a8sqf41nuq","properties":{"formattedCitation":"\\super 100\\nosupersub{}","plainCitation":"100","noteIndex":0},"citationItems":[{"id":2125,"uris":["http://zotero.org/users/1918630/items/K7LXX9JM"],"itemData":{"id":2125,"type":"article-journal","abstract":"Listeria monocytogenes is a bacterial pathogen causing severe food-borne infections in humans and animals. It can sense and adapt to a variety of harsh microenvironments outside as well as inside the host. Once ingested by a mammalian host, the bacterial pathogen reaches the intestinal lumen, where it encounters bile salts which, in addition to their role in digestion, have antimicrobial activity. Comparison of the L. monocytogenes and Listeria innocua genomes has revealed the presence of an L. monocytogenes-specific putative gene encoding a bile salt hydrolase (BSH). Here, we show that the bsh gene encodes a functional intracellular enzyme in all pathogenic Listeria species. The bsh gene is positively regulated by PrfA, the transcriptional activator of known L. monocytogenes virulence genes. Moreover, BSH activity increases at low oxygen concentration. Deletion of bsh results in decreased resistance to bile in vitro, reduced bacterial faecal carriage after oral infection of the guinea-pigs, reduced virulence and liver colonization after intravenous inoculation of mice. Taken together, these results demonstrate that BSH is a novel PrfA-regulated L. monocytogenes virulence factor involved in the intestinal and hepatic phases of listeriosis.","container-title":"Molecular Microbiology","DOI":"10.1046/j.1365-2958.2002.03080.x","ISSN":"0950-382X","issue":"4","journalAbbreviation":"Mol Microbiol","language":"eng","note":"PMID: 12180927","page":"1095-1106","source":"PubMed","title":"Listeria monocytogenes bile salt hydrolase is a PrfA-regulated virulence factor involved in the intestinal and hepatic phases of listeriosis","volume":"45","author":[{"family":"Dussurget","given":"Olivier"},{"family":"Cabanes","given":"Didier"},{"family":"Dehoux","given":"Pierre"},{"family":"Lecuit","given":"Marc"},{"family":"Buchrieser","given":"Carmen"},{"family":"Glaser","given":"Philippe"},{"family":"Cossart","given":"Pascale"},{"literal":"European Listeria Genome Consortium"}],"issued":{"date-parts":[["2002",8]]}}}],"schema":"https://github.com/citation-style-language/schema/raw/master/csl-citation.json"} </w:instrText>
      </w:r>
      <w:r w:rsidR="00771FFB">
        <w:rPr>
          <w:rStyle w:val="Emphasis"/>
          <w:i w:val="0"/>
          <w:iCs w:val="0"/>
          <w:sz w:val="24"/>
          <w:szCs w:val="24"/>
        </w:rPr>
        <w:fldChar w:fldCharType="separate"/>
      </w:r>
      <w:r w:rsidR="00864355" w:rsidRPr="00864355">
        <w:rPr>
          <w:rFonts w:ascii="Times New Roman" w:hAnsi="Times New Roman" w:cs="Times New Roman"/>
          <w:sz w:val="24"/>
          <w:szCs w:val="24"/>
          <w:vertAlign w:val="superscript"/>
        </w:rPr>
        <w:t>100</w:t>
      </w:r>
      <w:r w:rsidR="00771FFB">
        <w:rPr>
          <w:rStyle w:val="Emphasis"/>
          <w:i w:val="0"/>
          <w:iCs w:val="0"/>
          <w:sz w:val="24"/>
          <w:szCs w:val="24"/>
        </w:rPr>
        <w:fldChar w:fldCharType="end"/>
      </w:r>
    </w:p>
    <w:p w14:paraId="480614D3" w14:textId="3658AD42" w:rsidR="007F4346" w:rsidRDefault="00B6471E" w:rsidP="00356D8C">
      <w:pPr>
        <w:spacing w:line="360" w:lineRule="auto"/>
        <w:ind w:firstLine="720"/>
        <w:rPr>
          <w:rStyle w:val="Emphasis"/>
          <w:i w:val="0"/>
          <w:iCs w:val="0"/>
          <w:sz w:val="24"/>
          <w:szCs w:val="24"/>
        </w:rPr>
      </w:pPr>
      <w:r>
        <w:rPr>
          <w:rFonts w:asciiTheme="majorHAnsi" w:hAnsiTheme="majorHAnsi" w:cstheme="majorHAnsi"/>
          <w:sz w:val="24"/>
          <w:szCs w:val="24"/>
        </w:rPr>
        <w:t xml:space="preserve">Gram-negative bacteria like </w:t>
      </w:r>
      <w:r>
        <w:rPr>
          <w:rFonts w:asciiTheme="majorHAnsi" w:hAnsiTheme="majorHAnsi" w:cstheme="majorHAnsi"/>
          <w:i/>
          <w:iCs/>
          <w:sz w:val="24"/>
          <w:szCs w:val="24"/>
        </w:rPr>
        <w:t>Klebsiella pneumoniae</w:t>
      </w:r>
      <w:r>
        <w:rPr>
          <w:rFonts w:asciiTheme="majorHAnsi" w:hAnsiTheme="majorHAnsi" w:cstheme="majorHAnsi"/>
          <w:sz w:val="24"/>
          <w:szCs w:val="24"/>
        </w:rPr>
        <w:t xml:space="preserve"> remodel their outer membrane in response to bile stress.</w:t>
      </w:r>
      <w:r w:rsidR="000C6F2F">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{"citationID":"a1cpc53qquc","properties":{"formattedCitation":"\\super 101\\nosupersub{}","plainCitation":"101","noteIndex":0},"citationItems":[{"id":1627,"uris":["http://zotero.org/users/1918630/items/45KMBXTC"],"itemData":{"id":1627,"type":"article-journal","abstract":"Gram-negative pathogens, such as Klebsiella pneumoniae, remodel their outer membrane (OM) in response to stress to maintain its integrity as an effective barrier and thus to promote their survival in the host. The emergence of carbapenem-resistant K. pneumoniae (CR-Kp) strains that are resistant to virtually all antibiotics is an increasing clinical problem and OM impermeability has limited development of antimicrobial agents because higher molecular weight antibiotics cannot access sites of activity. Here, we demonstrate that TAM (translocation and assembly module) deletion increases CR-Kp OM permeability under stress conditions and enhances sensitivity to high-molecular weight antimicrobials. SILAC-based proteomic analyses revealed mis-localization of membrane proteins in the TAM deficient strain. Stress-induced sensitization enhances clearance of TAM-deficient CR-Kp from the gut lumen following fecal microbiota transplantation and from infection sites following pulmonary or systemic infection. Our study suggests that TAM, as a regulator of OM permeability, represents a potential target for development of agents that enhance the effectiveness of existing antibiotics.","container-title":"PLoS pathogens","DOI":"10.1371/journal.ppat.1009309","ISSN":"1553-7374","issue":"2","journalAbbreviation":"PLoS Pathog","language":"eng","note":"PMID: 33556154\nPMCID: PMC7895364","page":"e1009309","source":"PubMed","title":"TAM mediates adaptation of carbapenem-resistant Klebsiella pneumoniae to antimicrobial stress during host colonization and infection","volume":"17","author":[{"family":"Jung","given":"Hea-Jin"},{"family":"Sorbara","given":"Matthew T."},{"family":"Pamer","given":"Eric G."}],"issued":{"date-parts":[["2021",2]]}}}],"schema":"https://github.com/citation-style-language/schema/raw/master/csl-citation.json"} </w:instrText>
      </w:r>
      <w:r w:rsidR="000C6F2F">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101</w:t>
      </w:r>
      <w:r w:rsidR="000C6F2F">
        <w:rPr>
          <w:rFonts w:asciiTheme="majorHAnsi" w:hAnsiTheme="majorHAnsi" w:cstheme="majorHAnsi"/>
          <w:sz w:val="24"/>
          <w:szCs w:val="24"/>
        </w:rPr>
        <w:fldChar w:fldCharType="end"/>
      </w:r>
      <w:r>
        <w:rPr>
          <w:rFonts w:asciiTheme="majorHAnsi" w:hAnsiTheme="majorHAnsi" w:cstheme="majorHAnsi"/>
          <w:sz w:val="24"/>
          <w:szCs w:val="24"/>
        </w:rPr>
        <w:t xml:space="preserve"> The remodeling is essential to maintain the integrity of the cell envelope and it involves alterations in the lipid composition, porin expression, and surface structures of the outer membrane to reduce permeability and prevent bile salt uptake.</w:t>
      </w:r>
      <w:r w:rsidR="004158BE">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{"citationID":"hRA6pRph","properties":{"formattedCitation":"\\super 101\\nosupersub{}","plainCitation":"101","noteIndex":0},"citationItems":[{"id":1627,"uris":["http://zotero.org/users/1918630/items/45KMBXTC"],"itemData":{"id":1627,"type":"article-journal","abstract":"Gram-negative pathogens, such as Klebsiella pneumoniae, remodel their outer membrane (OM) in response to stress to maintain its integrity as an effective barrier and thus to promote their survival in the host. The emergence of carbapenem-resistant K. pneumoniae (CR-Kp) strains that are resistant to virtually all antibiotics is an increasing clinical problem and OM impermeability has limited development of antimicrobial agents because higher molecular weight antibiotics cannot access sites of activity. Here, we demonstrate that TAM (translocation and assembly module) deletion increases CR-Kp OM permeability under stress conditions and enhances sensitivity to high-molecular weight antimicrobials. SILAC-based proteomic analyses revealed mis-localization of membrane proteins in the TAM deficient strain. Stress-induced sensitization enhances clearance of TAM-deficient CR-Kp from the gut lumen following fecal microbiota transplantation and from infection sites following pulmonary or systemic infection. Our study suggests that TAM, as a regulator of OM permeability, represents a potential target for development of agents that enhance the effectiveness of existing antibiotics.","container-title":"PLoS pathogens","DOI":"10.1371/journal.ppat.1009309","ISSN":"1553-7374","issue":"2","journalAbbreviation":"PLoS Pathog","language":"eng","note":"PMID: 33556154\nPMCID: PMC7895364","page":"e1009309","source":"PubMed","title":"TAM mediates adaptation of carbapenem-resistant Klebsiella pneumoniae to antimicrobial stress during host colonization and infection","volume":"17","author":[{"family":"Jung","given":"Hea-Jin"},{"family":"Sorbara","given":"Matthew T."},{"family":"Pamer","given":"Eric G."}],"issued":{"date-parts":[["2021",2]]}}}],"schema":"https://github.com/citation-style-language/schema/raw/master/csl-citation.json"} </w:instrText>
      </w:r>
      <w:r w:rsidR="004158BE">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101</w:t>
      </w:r>
      <w:r w:rsidR="004158BE">
        <w:rPr>
          <w:rFonts w:asciiTheme="majorHAnsi" w:hAnsiTheme="majorHAnsi" w:cstheme="majorHAnsi"/>
          <w:sz w:val="24"/>
          <w:szCs w:val="24"/>
        </w:rPr>
        <w:fldChar w:fldCharType="end"/>
      </w:r>
      <w:r>
        <w:rPr>
          <w:rFonts w:asciiTheme="majorHAnsi" w:hAnsiTheme="majorHAnsi" w:cstheme="majorHAnsi"/>
          <w:sz w:val="24"/>
          <w:szCs w:val="24"/>
        </w:rPr>
        <w:t xml:space="preserve"> </w:t>
      </w:r>
      <w:r w:rsidR="000C7022">
        <w:rPr>
          <w:rStyle w:val="Emphasis"/>
          <w:i w:val="0"/>
          <w:iCs w:val="0"/>
          <w:sz w:val="24"/>
          <w:szCs w:val="24"/>
        </w:rPr>
        <w:t>It is also possible that low levels of bile molecules intercalate with membrane lipids, resulting in mixed membranes that are more resistant to further detergent effects.</w:t>
      </w:r>
      <w:r w:rsidR="000C7022">
        <w:rPr>
          <w:rStyle w:val="Emphasis"/>
          <w:i w:val="0"/>
          <w:iCs w:val="0"/>
          <w:sz w:val="24"/>
          <w:szCs w:val="24"/>
        </w:rPr>
        <w:fldChar w:fldCharType="begin"/>
      </w:r>
      <w:r w:rsidR="00864355">
        <w:rPr>
          <w:rStyle w:val="Emphasis"/>
          <w:i w:val="0"/>
          <w:iCs w:val="0"/>
          <w:sz w:val="24"/>
          <w:szCs w:val="24"/>
        </w:rPr>
        <w:instrText xml:space="preserve"> ADDIN ZOTERO_ITEM CSL_CITATION {"citationID":"HQW1Fokk","properties":{"formattedCitation":"\\super 98\\nosupersub{}","plainCitation":"98","noteIndex":0},"citationItems":[{"id":1609,"uris":["http://zotero.org/users/1918630/items/R3W8N39H"],"itemData":{"id":1609,"type":"article-journal","abstract":"Commensal and pathogenic microorganisms must resist the deleterious actions of bile in order to survive in the human gastrointestinal tract. Herein we review the current knowledge on the mechanisms by which Gram-positive and Gram-negative bacteria contend with bile stress. We describe the antimicrobial actions of bile, assess the variations in bile tolerance between bacterial genera and examine the interplay between bile stress and other stresses. The molecular mechanisms underlying bile tolerance are investigated and the relationship between bile and virulence is examined. Finally, the potential benefits of bile research are briefly discussed.","container-title":"FEMS Microbiology Reviews","DOI":"10.1016/j.femsre.2004.09.003","ISSN":"0168-6445","issue":"4","journalAbbreviation":"FEMS Microbiology Reviews","page":"625-651","source":"Silverchair","title":"The interaction between bacteria and bile","volume":"29","author":[{"family":"Begley","given":"Máire"},{"family":"Gahan","given":"Cormac G.M."},{"family":"Hill","given":"Colin"}],"issued":{"date-parts":[["2005",9,1]]}}}],"schema":"https://github.com/citation-style-language/schema/raw/master/csl-citation.json"} </w:instrText>
      </w:r>
      <w:r w:rsidR="000C7022">
        <w:rPr>
          <w:rStyle w:val="Emphasis"/>
          <w:i w:val="0"/>
          <w:iCs w:val="0"/>
          <w:sz w:val="24"/>
          <w:szCs w:val="24"/>
        </w:rPr>
        <w:fldChar w:fldCharType="separate"/>
      </w:r>
      <w:r w:rsidR="00864355" w:rsidRPr="00864355">
        <w:rPr>
          <w:rFonts w:ascii="Times New Roman" w:hAnsi="Times New Roman" w:cs="Times New Roman"/>
          <w:sz w:val="24"/>
          <w:szCs w:val="24"/>
          <w:vertAlign w:val="superscript"/>
        </w:rPr>
        <w:t>98</w:t>
      </w:r>
      <w:r w:rsidR="000C7022">
        <w:rPr>
          <w:rStyle w:val="Emphasis"/>
          <w:i w:val="0"/>
          <w:iCs w:val="0"/>
          <w:sz w:val="24"/>
          <w:szCs w:val="24"/>
        </w:rPr>
        <w:fldChar w:fldCharType="end"/>
      </w:r>
    </w:p>
    <w:p w14:paraId="4248DE26" w14:textId="77777777" w:rsidR="007C227D" w:rsidRDefault="007C227D" w:rsidP="00893376">
      <w:pPr>
        <w:rPr>
          <w:rFonts w:asciiTheme="majorHAnsi" w:hAnsiTheme="majorHAnsi" w:cstheme="majorHAnsi"/>
          <w:sz w:val="24"/>
          <w:szCs w:val="24"/>
          <w:u w:val="single"/>
        </w:rPr>
      </w:pPr>
    </w:p>
    <w:p w14:paraId="075BE12B" w14:textId="3465D92A" w:rsidR="00893376" w:rsidRPr="00992689" w:rsidRDefault="007D3623" w:rsidP="00893376">
      <w:pPr>
        <w:rPr>
          <w:rFonts w:asciiTheme="majorHAnsi" w:hAnsiTheme="majorHAnsi" w:cstheme="majorHAnsi"/>
          <w:sz w:val="24"/>
          <w:szCs w:val="24"/>
          <w:u w:val="single"/>
        </w:rPr>
      </w:pPr>
      <w:r>
        <w:rPr>
          <w:rFonts w:asciiTheme="majorHAnsi" w:hAnsiTheme="majorHAnsi" w:cstheme="majorHAnsi"/>
          <w:sz w:val="24"/>
          <w:szCs w:val="24"/>
          <w:u w:val="single"/>
        </w:rPr>
        <w:lastRenderedPageBreak/>
        <w:t xml:space="preserve">1.5. </w:t>
      </w:r>
      <w:r w:rsidR="00893376" w:rsidRPr="00992689">
        <w:rPr>
          <w:rFonts w:asciiTheme="majorHAnsi" w:hAnsiTheme="majorHAnsi" w:cstheme="majorHAnsi"/>
          <w:sz w:val="24"/>
          <w:szCs w:val="24"/>
          <w:u w:val="single"/>
        </w:rPr>
        <w:t xml:space="preserve">Efflux </w:t>
      </w:r>
      <w:r w:rsidRPr="00992689">
        <w:rPr>
          <w:rFonts w:asciiTheme="majorHAnsi" w:hAnsiTheme="majorHAnsi" w:cstheme="majorHAnsi"/>
          <w:sz w:val="24"/>
          <w:szCs w:val="24"/>
          <w:u w:val="single"/>
        </w:rPr>
        <w:t>p</w:t>
      </w:r>
      <w:r w:rsidR="00893376" w:rsidRPr="00992689">
        <w:rPr>
          <w:rFonts w:asciiTheme="majorHAnsi" w:hAnsiTheme="majorHAnsi" w:cstheme="majorHAnsi"/>
          <w:sz w:val="24"/>
          <w:szCs w:val="24"/>
          <w:u w:val="single"/>
        </w:rPr>
        <w:t xml:space="preserve">ump </w:t>
      </w:r>
      <w:r w:rsidRPr="00992689">
        <w:rPr>
          <w:rFonts w:asciiTheme="majorHAnsi" w:hAnsiTheme="majorHAnsi" w:cstheme="majorHAnsi"/>
          <w:sz w:val="24"/>
          <w:szCs w:val="24"/>
          <w:u w:val="single"/>
        </w:rPr>
        <w:t>i</w:t>
      </w:r>
      <w:r w:rsidR="00893376" w:rsidRPr="00992689">
        <w:rPr>
          <w:rFonts w:asciiTheme="majorHAnsi" w:hAnsiTheme="majorHAnsi" w:cstheme="majorHAnsi"/>
          <w:sz w:val="24"/>
          <w:szCs w:val="24"/>
          <w:u w:val="single"/>
        </w:rPr>
        <w:t>nhibitors (EPIs)</w:t>
      </w:r>
    </w:p>
    <w:p w14:paraId="6AD9F161" w14:textId="24F80E05" w:rsidR="00893376" w:rsidRDefault="00893376" w:rsidP="00893376">
      <w:pPr>
        <w:spacing w:line="360" w:lineRule="auto"/>
        <w:rPr>
          <w:rFonts w:asciiTheme="majorHAnsi" w:hAnsiTheme="majorHAnsi" w:cstheme="majorHAnsi"/>
          <w:sz w:val="24"/>
          <w:szCs w:val="24"/>
        </w:rPr>
      </w:pPr>
      <w:r w:rsidRPr="00992689">
        <w:rPr>
          <w:rFonts w:asciiTheme="majorHAnsi" w:hAnsiTheme="majorHAnsi" w:cstheme="majorHAnsi"/>
          <w:sz w:val="24"/>
          <w:szCs w:val="24"/>
        </w:rPr>
        <w:tab/>
        <w:t>Efflux pump inhibitors (EPIs) targeting</w:t>
      </w:r>
      <w:r>
        <w:rPr>
          <w:rFonts w:asciiTheme="majorHAnsi" w:hAnsiTheme="majorHAnsi" w:cstheme="majorHAnsi"/>
          <w:sz w:val="24"/>
          <w:szCs w:val="24"/>
        </w:rPr>
        <w:t xml:space="preserve"> RND pumps have the potential to become alternative treatment options when dealing with multidrug resistant bacterial infections. </w:t>
      </w:r>
      <w:r w:rsidR="00992689">
        <w:rPr>
          <w:rFonts w:asciiTheme="majorHAnsi" w:hAnsiTheme="majorHAnsi" w:cstheme="majorHAnsi"/>
          <w:sz w:val="24"/>
          <w:szCs w:val="24"/>
        </w:rPr>
        <w:t>By</w:t>
      </w:r>
      <w:r>
        <w:rPr>
          <w:rFonts w:asciiTheme="majorHAnsi" w:hAnsiTheme="majorHAnsi" w:cstheme="majorHAnsi"/>
          <w:sz w:val="24"/>
          <w:szCs w:val="24"/>
        </w:rPr>
        <w:t xml:space="preserve"> inhibiting RND efflux pumps</w:t>
      </w:r>
      <w:r w:rsidR="00992689">
        <w:rPr>
          <w:rFonts w:asciiTheme="majorHAnsi" w:hAnsiTheme="majorHAnsi" w:cstheme="majorHAnsi"/>
          <w:sz w:val="24"/>
          <w:szCs w:val="24"/>
        </w:rPr>
        <w:t>,</w:t>
      </w:r>
      <w:r>
        <w:rPr>
          <w:rFonts w:asciiTheme="majorHAnsi" w:hAnsiTheme="majorHAnsi" w:cstheme="majorHAnsi"/>
          <w:sz w:val="24"/>
          <w:szCs w:val="24"/>
        </w:rPr>
        <w:t xml:space="preserve"> EPIs can restore efficacy of antibiotics which are substrates of the inhibited pump. Reducing the export of antibiotics allows intracellular concentrations to accumulate to an effective level.</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{"citationID":"wbV7o9or","properties":{"formattedCitation":"\\super 102\\nosupersub{}","plainCitation":"102","noteIndex":0},"citationItems":[{"id":1728,"uris":["http://zotero.org/users/1918630/items/P56B9GCI"],"itemData":{"id":1728,"type":"article-journal","abstract":"Whole-cell assays were implemented to search for efflux pump inhibitors (EPIs) of the three multidrug resistance efflux pumps (MexAB-OprM, MexCD-OprJ, MexEF-OprN) that contribute to fluoroquinolone resistance in clinical isolates of Pseudomonas aeruginosa. Secondary assays were developed to identify lead compounds with exquisite activities as inhibitors. A broad-spectrum EPI which is active against all three known Mex efflux pumps from P. aeruginosa and their close Escherichia coli efflux pump homolog (AcrAB-TolC) was discovered. When this compound, MC-207,110, was used, the intrinsic resistance of P. aeruginosa to fluoroquinolones was decreased significantly (eightfold for levofloxacin). Acquired resistance due to the overexpression of efflux pumps was also decreased (32- to 64-fold reduction in the MIC of levofloxacin). Similarly, 32- to 64-fold reductions in MICs in the presence of MC-207,110 were observed for strains with overexpressed efflux pumps and various target mutations that confer resistance to levofloxacin (e.g., gyrA and parC). We also compared the frequencies of emergence of levofloxacin-resistant variants in the wild-type strain at four times the MIC of levofloxacin (1 microg/ml) when it was used either alone or in combination with EPI. In the case of levofloxacin alone, the frequency was approximately 10(-7) CFU/ml. In contrast, with an EPI, the frequency was below the level of detection (&lt;10(-11)). In summary, we have demonstrated that inhibition of efflux pumps (i) decreased the level of intrinsic resistance significantly, (ii) reversed acquired resistance, and (iii) resulted in a decreased frequency of emergence of P. aeruginosa strains that are highly resistant to fluoroquinolones.","container-title":"Antimicrobial Agents and Chemotherapy","DOI":"10.1128/AAC.45.1.105-116.2001","ISSN":"0066-4804","issue":"1","journalAbbreviation":"Antimicrob Agents Chemother","language":"eng","note":"PMID: 11120952\nPMCID: PMC90247","page":"105-116","source":"PubMed","title":"Identification and characterization of inhibitors of multidrug resistance efflux pumps in Pseudomonas aeruginosa: novel agents for combination therapy","title-short":"Identification and characterization of inhibitors of multidrug resistance efflux pumps in Pseudomonas aeruginosa","volume":"45","author":[{"family":"Lomovskaya","given":"O."},{"family":"Warren","given":"M. S."},{"family":"Lee","given":"A."},{"family":"Galazzo","given":"J."},{"family":"Fronko","given":"R."},{"family":"Lee","given":"M."},{"family":"Blais","given":"J."},{"family":"Cho","given":"D."},{"family":"Chamberland","given":"S."},{"family":"Renau","given":"T."},{"family":"Leger","given":"R."},{"family":"Hecker","given":"S."},{"family":"Watkins","given":"W."},{"family":"Hoshino","given":"K."},{"family":"Ishida","given":"H."},{"family":"Lee","given":"V. J."}],"issued":{"date-parts":[["2001",1]]}}}],"schema":"https://github.com/citation-style-language/schema/raw/master/csl-citation.json"}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102</w:t>
      </w:r>
      <w:r>
        <w:rPr>
          <w:rFonts w:asciiTheme="majorHAnsi" w:hAnsiTheme="majorHAnsi" w:cstheme="majorHAnsi"/>
          <w:sz w:val="24"/>
          <w:szCs w:val="24"/>
        </w:rPr>
        <w:fldChar w:fldCharType="end"/>
      </w:r>
      <w:r>
        <w:rPr>
          <w:rFonts w:asciiTheme="majorHAnsi" w:hAnsiTheme="majorHAnsi" w:cstheme="majorHAnsi"/>
          <w:sz w:val="24"/>
          <w:szCs w:val="24"/>
        </w:rPr>
        <w:t xml:space="preserve"> EPIs work by disrupting the normal function of these pumps and they can do so in various ways - preventing the energy supply from the PMF from reaching the efflux system, physically blocking substrates from binding to efflux pump active sites, as well as downregulation of efflux pump gene expression.</w:t>
      </w:r>
      <w:r>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{"citationID":"eouSMRhE","properties":{"formattedCitation":"\\super 103\\nosupersub{}","plainCitation":"103","noteIndex":0},"citationItems":[{"id":1731,"uris":["http://zotero.org/users/1918630/items/DFFW6F5W"],"itemData":{"id":1731,"type":"article-journal","abstract":"The excessive use of antibiotics has led to the emergence of multidrug-resistant (MDR) pathogens in clinical settings and food-producing animals, posing significant challenges to clinical management and food control. Over the past few decades, the discovery of antimicrobials has slowed down, leading to a lack of treatment options for clinical infectious diseases and foodborne illnesses. Given the increasing prevalence of antibiotic resistance and the limited availability of effective antibiotics, the discovery of novel antibiotic potentiators may prove useful for the treatment of bacterial infections. The application of antibiotics combined with antibiotic potentiators has demonstrated successful outcomes in bench-scale experiments and clinical settings. For instance, the use of efflux pump inhibitors (EPIs) in combination with antibiotics showed effective inhibition of MDR pathogens. Thus, this review aims to enable the possibility of using novel EPIs as potential adjuvants to effectively control MDR pathogens. Specifically, it provides a comprehensive summary of the advances in novel EPI discovery and the underlying mechanisms that restore antimicrobial activity. In addition, we also characterize plant-derived EPIs as novel potentiators. This review provides insights into current challenges and potential strategies for future advancements in fighting antibiotic resistance.","container-title":"Antibiotics","DOI":"10.3390/antibiotics12091417","ISSN":"2079-6382","issue":"9","language":"en","license":"http://creativecommons.org/licenses/by/3.0/","note":"number: 9\npublisher: Multidisciplinary Digital Publishing Institute","page":"1417","source":"www.mdpi.com","title":"Advances in the Discovery of Efflux Pump Inhibitors as Novel Potentiators to Control Antimicrobial-Resistant Pathogens","volume":"12","author":[{"family":"Zhang","given":"Song"},{"family":"Wang","given":"Jun"},{"family":"Ahn","given":"Juhee"}],"issued":{"date-parts":[["2023",9]]}}}],"schema":"https://github.com/citation-style-language/schema/raw/master/csl-citation.json"} </w:instrText>
      </w:r>
      <w:r>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103</w:t>
      </w:r>
      <w:r>
        <w:rPr>
          <w:rFonts w:asciiTheme="majorHAnsi" w:hAnsiTheme="majorHAnsi" w:cstheme="majorHAnsi"/>
          <w:sz w:val="24"/>
          <w:szCs w:val="24"/>
        </w:rPr>
        <w:fldChar w:fldCharType="end"/>
      </w:r>
      <w:r w:rsidR="00992689">
        <w:rPr>
          <w:rFonts w:asciiTheme="majorHAnsi" w:hAnsiTheme="majorHAnsi" w:cstheme="majorHAnsi"/>
          <w:sz w:val="24"/>
          <w:szCs w:val="24"/>
        </w:rPr>
        <w:t xml:space="preserve"> EPIs could also be anti-bacterial on their own because efflux pumps are required for survival in the host.</w:t>
      </w:r>
      <w:r w:rsidR="00992689">
        <w:rPr>
          <w:rFonts w:asciiTheme="majorHAnsi" w:hAnsiTheme="majorHAnsi" w:cstheme="majorHAnsi"/>
          <w:sz w:val="24"/>
          <w:szCs w:val="24"/>
        </w:rPr>
        <w:fldChar w:fldCharType="begin"/>
      </w:r>
      <w:r w:rsidR="00864355">
        <w:rPr>
          <w:rFonts w:asciiTheme="majorHAnsi" w:hAnsiTheme="majorHAnsi" w:cstheme="majorHAnsi"/>
          <w:sz w:val="24"/>
          <w:szCs w:val="24"/>
        </w:rPr>
        <w:instrText xml:space="preserve"> ADDIN ZOTERO_ITEM CSL_CITATION {"citationID":"as1flbbpgt","properties":{"formattedCitation":"\\super 104\\nosupersub{}","plainCitation":"104","noteIndex":0},"citationItems":[{"id":1799,"uris":["http://zotero.org/users/1918630/items/TFGTTLGG"],"itemData":{"id":1799,"type":"article-journal","abstract":"It is well established that multidrug-resistance efflux pumps encoded by bacteria can confer clinically relevant resistance to antibiotics. It is now understood that these efflux pumps also have a physiological role(s). They can confer resistance to natural substances produced by the host, including bile, hormones and host-defence molecules. In addition, some efflux pumps of the resistance nodulation division (RND) family have been shown to have a role in the colonization and the persistence of bacteria in the host. Here, I present the accumulating evidence that multidrug-resistance efflux pumps have roles in bacterial pathogenicity and propose that these pumps therefore have greater clinical relevance than is usually attributed to them.","container-title":"Nature Reviews. Microbiology","DOI":"10.1038/nrmicro1464","ISSN":"1740-1526","issue":"8","journalAbbreviation":"Nat Rev Microbiol","language":"eng","note":"PMID: 16845433","page":"629-636","source":"PubMed","title":"Multidrug-resistance efflux pumps - not just for resistance","volume":"4","author":[{"family":"Piddock","given":"Laura J. V."}],"issued":{"date-parts":[["2006",8]]}}}],"schema":"https://github.com/citation-style-language/schema/raw/master/csl-citation.json"} </w:instrText>
      </w:r>
      <w:r w:rsidR="00992689">
        <w:rPr>
          <w:rFonts w:asciiTheme="majorHAnsi" w:hAnsiTheme="majorHAnsi" w:cstheme="majorHAnsi"/>
          <w:sz w:val="24"/>
          <w:szCs w:val="24"/>
        </w:rPr>
        <w:fldChar w:fldCharType="separate"/>
      </w:r>
      <w:r w:rsidR="00864355" w:rsidRPr="00864355">
        <w:rPr>
          <w:rFonts w:ascii="Times New Roman" w:hAnsi="Times New Roman" w:cs="Times New Roman"/>
          <w:sz w:val="24"/>
          <w:szCs w:val="24"/>
          <w:vertAlign w:val="superscript"/>
        </w:rPr>
        <w:t>104</w:t>
      </w:r>
      <w:r w:rsidR="00992689">
        <w:rPr>
          <w:rFonts w:asciiTheme="majorHAnsi" w:hAnsiTheme="majorHAnsi" w:cstheme="majorHAnsi"/>
          <w:sz w:val="24"/>
          <w:szCs w:val="24"/>
        </w:rPr>
        <w:fldChar w:fldCharType="end"/>
      </w:r>
      <w:r w:rsidR="00992689">
        <w:rPr>
          <w:rFonts w:asciiTheme="majorHAnsi" w:hAnsiTheme="majorHAnsi" w:cstheme="majorHAnsi"/>
          <w:sz w:val="24"/>
          <w:szCs w:val="24"/>
        </w:rPr>
        <w:t xml:space="preserve"> Currently there have only been EPIs identified that act against RND pumps. No EPIs have been identified to act against MFS pumps.</w:t>
      </w:r>
    </w:p>
    <w:p w14:paraId="460E105F" w14:textId="2392ABAE" w:rsidR="00893376" w:rsidRDefault="00893376" w:rsidP="00893376">
      <w:pPr>
        <w:spacing w:line="360" w:lineRule="auto"/>
        <w:rPr>
          <w:rFonts w:asciiTheme="majorHAnsi" w:hAnsiTheme="majorHAnsi" w:cstheme="majorHAnsi"/>
          <w:sz w:val="24"/>
          <w:szCs w:val="24"/>
        </w:rPr>
      </w:pPr>
      <w:r>
        <w:rPr>
          <w:rFonts w:asciiTheme="majorHAnsi" w:hAnsiTheme="majorHAnsi" w:cstheme="majorHAnsi"/>
          <w:sz w:val="24"/>
          <w:szCs w:val="24"/>
        </w:rPr>
        <w:tab/>
        <w:t>The first EPI discovered was first known as MC-207,100, and now known as PA</w:t>
      </w:r>
      <w:r w:rsidRPr="00D95932">
        <w:rPr>
          <w:sz w:val="24"/>
          <w:szCs w:val="24"/>
        </w:rPr>
        <w:t>β</w:t>
      </w:r>
      <w:r>
        <w:rPr>
          <w:sz w:val="24"/>
          <w:szCs w:val="24"/>
        </w:rPr>
        <w:t>N (Phenylalanine-Arginine-</w:t>
      </w:r>
      <w:r w:rsidRPr="00D95932">
        <w:rPr>
          <w:sz w:val="24"/>
          <w:szCs w:val="24"/>
        </w:rPr>
        <w:t>β</w:t>
      </w:r>
      <w:r>
        <w:rPr>
          <w:sz w:val="24"/>
          <w:szCs w:val="24"/>
        </w:rPr>
        <w:t>-Naphthylamide).</w:t>
      </w:r>
      <w:r>
        <w:rPr>
          <w:sz w:val="24"/>
          <w:szCs w:val="24"/>
        </w:rPr>
        <w:fldChar w:fldCharType="begin"/>
      </w:r>
      <w:r w:rsidR="00864355">
        <w:rPr>
          <w:sz w:val="24"/>
          <w:szCs w:val="24"/>
        </w:rPr>
        <w:instrText xml:space="preserve"> ADDIN ZOTERO_ITEM CSL_CITATION {"citationID":"4alTXYnT","properties":{"formattedCitation":"\\super 105\\nosupersub{}","plainCitation":"105","noteIndex":0},"citationItems":[{"id":1927,"uris":["http://zotero.org/users/1918630/items/WBNX77CU"],"itemData":{"id":1927,"type":"article-journal","container-title":"Journal of Medicinal Chemistry","DOI":"10.1021/jm9904598","ISSN":"0022-2623","issue":"24","journalAbbreviation":"J Med Chem","language":"eng","note":"PMID: 10585202","page":"4928-4931","source":"PubMed","title":"Inhibitors of efflux pumps in Pseudomonas aeruginosa potentiate the activity of the fluoroquinolone antibacterial levofloxacin","volume":"42","author":[{"family":"Renau","given":"T. E."},{"family":"Léger","given":"R."},{"family":"Flamme","given":"E. M."},{"family":"Sangalang","given":"J."},{"family":"She","given":"M. W."},{"family":"Yen","given":"R."},{"family":"Gannon","given":"C. L."},{"family":"Griffith","given":"D."},{"family":"Chamberland","given":"S."},{"family":"Lomovskaya","given":"O."},{"family":"Hecker","given":"S. J."},{"family":"Lee","given":"V. J."},{"family":"Ohta","given":"T."},{"family":"Nakayama","given":"K."}],"issued":{"date-parts":[["1999",12,2]]}}}],"schema":"https://github.com/citation-style-language/schema/raw/master/csl-citation.json"} </w:instrText>
      </w:r>
      <w:r>
        <w:rPr>
          <w:sz w:val="24"/>
          <w:szCs w:val="24"/>
        </w:rPr>
        <w:fldChar w:fldCharType="separate"/>
      </w:r>
      <w:r w:rsidR="00864355" w:rsidRPr="00864355">
        <w:rPr>
          <w:rFonts w:ascii="Times New Roman" w:hAnsi="Times New Roman" w:cs="Times New Roman"/>
          <w:sz w:val="24"/>
          <w:szCs w:val="24"/>
          <w:vertAlign w:val="superscript"/>
        </w:rPr>
        <w:t>105</w:t>
      </w:r>
      <w:r>
        <w:rPr>
          <w:sz w:val="24"/>
          <w:szCs w:val="24"/>
        </w:rPr>
        <w:fldChar w:fldCharType="end"/>
      </w:r>
      <w:r>
        <w:rPr>
          <w:sz w:val="24"/>
          <w:szCs w:val="24"/>
        </w:rPr>
        <w:t xml:space="preserve"> </w:t>
      </w:r>
      <w:r>
        <w:rPr>
          <w:rFonts w:asciiTheme="majorHAnsi" w:hAnsiTheme="majorHAnsi" w:cstheme="majorHAnsi"/>
          <w:sz w:val="24"/>
          <w:szCs w:val="24"/>
        </w:rPr>
        <w:t>PA</w:t>
      </w:r>
      <w:r w:rsidRPr="00D95932">
        <w:rPr>
          <w:sz w:val="24"/>
          <w:szCs w:val="24"/>
        </w:rPr>
        <w:t>β</w:t>
      </w:r>
      <w:r>
        <w:rPr>
          <w:sz w:val="24"/>
          <w:szCs w:val="24"/>
        </w:rPr>
        <w:t xml:space="preserve">N is an inhibitor and substate of RND efflux pumps in Gram-negative bacteria, including the AdeFGH pump of </w:t>
      </w:r>
      <w:r>
        <w:rPr>
          <w:i/>
          <w:iCs/>
          <w:sz w:val="24"/>
          <w:szCs w:val="24"/>
        </w:rPr>
        <w:t>A</w:t>
      </w:r>
      <w:r w:rsidR="009A2AED">
        <w:rPr>
          <w:i/>
          <w:iCs/>
          <w:sz w:val="24"/>
          <w:szCs w:val="24"/>
        </w:rPr>
        <w:t>.</w:t>
      </w:r>
      <w:r>
        <w:rPr>
          <w:i/>
          <w:iCs/>
          <w:sz w:val="24"/>
          <w:szCs w:val="24"/>
        </w:rPr>
        <w:t xml:space="preserve"> baumannii</w:t>
      </w:r>
      <w:r>
        <w:rPr>
          <w:sz w:val="24"/>
          <w:szCs w:val="24"/>
        </w:rPr>
        <w:t>.</w:t>
      </w:r>
      <w:r w:rsidR="00625D97">
        <w:rPr>
          <w:sz w:val="24"/>
          <w:szCs w:val="24"/>
        </w:rPr>
        <w:fldChar w:fldCharType="begin"/>
      </w:r>
      <w:r w:rsidR="00625D97">
        <w:rPr>
          <w:sz w:val="24"/>
          <w:szCs w:val="24"/>
        </w:rPr>
        <w:instrText xml:space="preserve"> ADDIN ZOTERO_ITEM CSL_CITATION {"citationID":"a1nrjh84qr6","properties":{"formattedCitation":"\\super 106\\nosupersub{}","plainCitation":"106","noteIndex":0},"citationItems":[{"id":2260,"uris":["http://zotero.org/users/1918630/items/GUYZR5FL"],"itemData":{"id":2260,"type":"article-journal","abstract":"Multidrug and toxic compound extrusion (MATE) transporters underpin multidrug resistance by using the H+ or Na+ electrochemical gradient to extrude different drugs across cell membranes. MATE transporters can be further parsed into the DinF, NorM and eukaryotic subfamilies based on their amino-acid sequence similarity. Here we report the 3.0 Å resolution X-ray structures of a protonation-mimetic mutant of an H+-coupled DinF transporter, as well as of an H+-coupled DinF and a Na+-coupled NorM transporters in complexes with verapamil, a small-molecule pharmaceutical that inhibits MATE-mediated multidrug extrusion. Combining structure-inspired mutational and functional studies, we confirm the biological relevance of our crystal structures, reveal the mechanistic differences among MATE transporters, and suggest how verapamil inhibits MATE-mediated multidrug efflux. Our findings offer insights into how MATE transporters extrude chemically and structurally dissimilar drugs and could inform the design of new strategies for tackling multidrug resistance.","container-title":"Nature Communications","DOI":"10.1038/ncomms8995","ISSN":"2041-1723","issue":"1","journalAbbreviation":"Nat Commun","language":"en","license":"2015 The Author(s)","note":"publisher: Nature Publishing Group","page":"7995","source":"www.nature.com","title":"Structural basis for the blockade of MATE multidrug efflux pumps","volume":"6","author":[{"family":"Radchenko","given":"Martha"},{"family":"Symersky","given":"Jindrich"},{"family":"Nie","given":"Rongxin"},{"family":"Lu","given":"Min"}],"issued":{"date-parts":[["2015",8,6]]}}}],"schema":"https://github.com/citation-style-language/schema/raw/master/csl-citation.json"} </w:instrText>
      </w:r>
      <w:r w:rsidR="00625D97">
        <w:rPr>
          <w:sz w:val="24"/>
          <w:szCs w:val="24"/>
        </w:rPr>
        <w:fldChar w:fldCharType="separate"/>
      </w:r>
      <w:r w:rsidR="00625D97" w:rsidRPr="00625D97">
        <w:rPr>
          <w:rFonts w:ascii="Times New Roman" w:hAnsi="Times New Roman" w:cs="Times New Roman"/>
          <w:sz w:val="24"/>
          <w:vertAlign w:val="superscript"/>
        </w:rPr>
        <w:t>106</w:t>
      </w:r>
      <w:r w:rsidR="00625D97">
        <w:rPr>
          <w:sz w:val="24"/>
          <w:szCs w:val="24"/>
        </w:rPr>
        <w:fldChar w:fldCharType="end"/>
      </w:r>
      <w:r>
        <w:rPr>
          <w:sz w:val="24"/>
          <w:szCs w:val="24"/>
        </w:rPr>
        <w:t xml:space="preserve"> This inhibitor has been found to be a potentiator of antibiotics from various antibiotic classes, like fluoroquinolones, macrolides, oxazolidinones, chloramphenicol, and rifampin. When used alone, without an accompanying antibiotic, it did not demonstrate antibacterial activity. Researchers later found </w:t>
      </w:r>
      <w:r>
        <w:rPr>
          <w:rFonts w:asciiTheme="majorHAnsi" w:hAnsiTheme="majorHAnsi" w:cstheme="majorHAnsi"/>
          <w:sz w:val="24"/>
          <w:szCs w:val="24"/>
        </w:rPr>
        <w:t>PA</w:t>
      </w:r>
      <w:r w:rsidRPr="00D95932">
        <w:rPr>
          <w:sz w:val="24"/>
          <w:szCs w:val="24"/>
        </w:rPr>
        <w:t>β</w:t>
      </w:r>
      <w:r>
        <w:rPr>
          <w:sz w:val="24"/>
          <w:szCs w:val="24"/>
        </w:rPr>
        <w:t>N to be toxic in mice and found it to accumulate in several organs and resulted in nephrotoxicity due to accumulation in the kidneys.</w:t>
      </w:r>
      <w:r w:rsidR="009A2AED">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{"citationID":"MJkOVLMY","properties":{"formattedCitation":"\\super 107\\nosupersub{}","plainCitation":"107","noteIndex":0},"citationItems":[{"id":1924,"uris":["http://zotero.org/users/1918630/items/W5PMHH2L"],"itemData":{"id":1924,"type":"article-journal","abstract":"Antimicrobial resistance (AMR) has become a major problem in public health leading to an estimated 4.95 million deaths in 2019. The selective pressure caused by the massive and repeated use of antibiotics has led to bacterial strains that are partially or even entirely resistant to known antibiotics. AMR is caused by several mechanisms, among which the (over)expression of multidrug efflux pumps plays a central role. Multidrug efflux pumps are transmembrane transporters, naturally expressed by Gram-negative bacteria, able to extrude and confer resistance to several classes of antibiotics. Targeting them would be an effective way to revive various options for treatment. Many efflux pump inhibitors (EPIs) have been described in the literature; however, none of them have entered clinical trials to date. This review presents eight families of EPIs active against Escherichia coli or Pseudomonas aeruginosa. Structure–activity relationships, chemical synthesis, in vitro and in vivo activities, and pharmacological properties are reported. Their binding sites and their mechanisms of action are also analyzed comparatively.","container-title":"Antibiotics","DOI":"10.3390/antibiotics12010180","ISSN":"2079-6382","issue":"1","journalAbbreviation":"Antibiotics (Basel)","note":"PMID: 36671381\nPMCID: PMC9854755","page":"180","source":"PubMed Central","title":"Update on the Discovery of Efflux Pump Inhibitors against Critical Priority Gram-Negative Bacteria","volume":"12","author":[{"family":"Compagne","given":"Nina"},{"family":"Vieira Da Cruz","given":"Anais"},{"family":"Müller","given":"Reinke T."},{"family":"Hartkoorn","given":"Ruben C."},{"family":"Flipo","given":"Marion"},{"family":"Pos","given":"Klaas M."}],"issued":{"date-parts":[["2023",1,15]]}}}],"schema":"https://github.com/citation-style-language/schema/raw/master/csl-citation.json"} </w:instrText>
      </w:r>
      <w:r w:rsidR="009A2AED">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107</w:t>
      </w:r>
      <w:r w:rsidR="009A2AED">
        <w:rPr>
          <w:rFonts w:asciiTheme="majorHAnsi" w:hAnsiTheme="majorHAnsi" w:cstheme="majorHAnsi"/>
          <w:sz w:val="24"/>
          <w:szCs w:val="24"/>
        </w:rPr>
        <w:fldChar w:fldCharType="end"/>
      </w:r>
      <w:r>
        <w:rPr>
          <w:sz w:val="24"/>
          <w:szCs w:val="24"/>
        </w:rPr>
        <w:t xml:space="preserve"> </w:t>
      </w:r>
      <w:r>
        <w:rPr>
          <w:rFonts w:asciiTheme="majorHAnsi" w:hAnsiTheme="majorHAnsi" w:cstheme="majorHAnsi"/>
          <w:sz w:val="24"/>
          <w:szCs w:val="24"/>
        </w:rPr>
        <w:t>While there have been numerous EPIs, like PA</w:t>
      </w:r>
      <w:r w:rsidRPr="00D95932">
        <w:rPr>
          <w:sz w:val="24"/>
          <w:szCs w:val="24"/>
        </w:rPr>
        <w:t>β</w:t>
      </w:r>
      <w:r>
        <w:rPr>
          <w:sz w:val="24"/>
          <w:szCs w:val="24"/>
        </w:rPr>
        <w:t>N and its analogs,</w:t>
      </w:r>
      <w:r>
        <w:rPr>
          <w:rFonts w:asciiTheme="majorHAnsi" w:hAnsiTheme="majorHAnsi" w:cstheme="majorHAnsi"/>
          <w:sz w:val="24"/>
          <w:szCs w:val="24"/>
        </w:rPr>
        <w:t xml:space="preserve"> described in the literature, none have made it to clinical trials.</w:t>
      </w:r>
      <w:r w:rsidR="009A2AED">
        <w:rPr>
          <w:rFonts w:asciiTheme="majorHAnsi" w:hAnsiTheme="majorHAnsi" w:cstheme="majorHAnsi"/>
          <w:sz w:val="24"/>
          <w:szCs w:val="24"/>
        </w:rPr>
        <w:t xml:space="preserve"> </w:t>
      </w:r>
    </w:p>
    <w:p w14:paraId="18D01F44" w14:textId="19936CAA" w:rsidR="00AB2D84" w:rsidRDefault="00AB2D84" w:rsidP="00893376">
      <w:pPr>
        <w:spacing w:line="360" w:lineRule="auto"/>
        <w:rPr>
          <w:rFonts w:asciiTheme="majorHAnsi" w:hAnsiTheme="majorHAnsi" w:cstheme="majorHAnsi"/>
          <w:b/>
          <w:bCs/>
          <w:sz w:val="24"/>
          <w:szCs w:val="24"/>
          <w:highlight w:val="yellow"/>
        </w:rPr>
      </w:pPr>
      <w:r w:rsidRPr="00AB2D84">
        <w:rPr>
          <w:rFonts w:asciiTheme="majorHAnsi" w:hAnsiTheme="majorHAnsi" w:cstheme="majorHAnsi"/>
          <w:b/>
          <w:bCs/>
          <w:noProof/>
          <w:sz w:val="24"/>
          <w:szCs w:val="24"/>
        </w:rPr>
        <w:lastRenderedPageBreak/>
        <w:drawing>
          <wp:inline distT="0" distB="0" distL="0" distR="0" wp14:anchorId="47BC845C" wp14:editId="446DE842">
            <wp:extent cx="5486400" cy="4192270"/>
            <wp:effectExtent l="0" t="0" r="0" b="0"/>
            <wp:docPr id="1297415416" name="Picture 1" descr="A group of chemical formul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15416" name="Picture 1" descr="A group of chemical formulas&#10;&#10;Description automatically generated with medium confidence"/>
                    <pic:cNvPicPr/>
                  </pic:nvPicPr>
                  <pic:blipFill>
                    <a:blip r:embed="rId21"/>
                    <a:stretch>
                      <a:fillRect/>
                    </a:stretch>
                  </pic:blipFill>
                  <pic:spPr>
                    <a:xfrm>
                      <a:off x="0" y="0"/>
                      <a:ext cx="5486400" cy="4192270"/>
                    </a:xfrm>
                    <a:prstGeom prst="rect">
                      <a:avLst/>
                    </a:prstGeom>
                  </pic:spPr>
                </pic:pic>
              </a:graphicData>
            </a:graphic>
          </wp:inline>
        </w:drawing>
      </w:r>
    </w:p>
    <w:p w14:paraId="0843B73C" w14:textId="52E84377" w:rsidR="009C385D" w:rsidRPr="00AB2D84" w:rsidRDefault="009C385D" w:rsidP="00893376">
      <w:pPr>
        <w:spacing w:line="360" w:lineRule="auto"/>
        <w:rPr>
          <w:rFonts w:asciiTheme="majorHAnsi" w:hAnsiTheme="majorHAnsi" w:cstheme="majorHAnsi"/>
          <w:b/>
          <w:bCs/>
          <w:sz w:val="24"/>
          <w:szCs w:val="24"/>
        </w:rPr>
      </w:pPr>
      <w:r w:rsidRPr="00AB2D84">
        <w:rPr>
          <w:rFonts w:asciiTheme="majorHAnsi" w:hAnsiTheme="majorHAnsi" w:cstheme="majorHAnsi"/>
          <w:b/>
          <w:bCs/>
          <w:sz w:val="24"/>
          <w:szCs w:val="24"/>
        </w:rPr>
        <w:t xml:space="preserve">Figure </w:t>
      </w:r>
      <w:r w:rsidR="00AB2D84" w:rsidRPr="00AB2D84">
        <w:rPr>
          <w:rFonts w:asciiTheme="majorHAnsi" w:hAnsiTheme="majorHAnsi" w:cstheme="majorHAnsi"/>
          <w:b/>
          <w:bCs/>
          <w:sz w:val="24"/>
          <w:szCs w:val="24"/>
        </w:rPr>
        <w:t>1</w:t>
      </w:r>
      <w:r w:rsidRPr="00AB2D84">
        <w:rPr>
          <w:rFonts w:asciiTheme="majorHAnsi" w:hAnsiTheme="majorHAnsi" w:cstheme="majorHAnsi"/>
          <w:b/>
          <w:bCs/>
          <w:sz w:val="24"/>
          <w:szCs w:val="24"/>
        </w:rPr>
        <w:t>.</w:t>
      </w:r>
      <w:r w:rsidR="00AB2D84" w:rsidRPr="00AB2D84">
        <w:rPr>
          <w:rFonts w:asciiTheme="majorHAnsi" w:hAnsiTheme="majorHAnsi" w:cstheme="majorHAnsi"/>
          <w:b/>
          <w:bCs/>
          <w:sz w:val="24"/>
          <w:szCs w:val="24"/>
        </w:rPr>
        <w:t>11</w:t>
      </w:r>
      <w:r w:rsidRPr="00AB2D84">
        <w:rPr>
          <w:rFonts w:asciiTheme="majorHAnsi" w:hAnsiTheme="majorHAnsi" w:cstheme="majorHAnsi"/>
          <w:b/>
          <w:bCs/>
          <w:sz w:val="24"/>
          <w:szCs w:val="24"/>
        </w:rPr>
        <w:t xml:space="preserve"> </w:t>
      </w:r>
      <w:r w:rsidR="00AB2D84" w:rsidRPr="00AB2D84">
        <w:rPr>
          <w:rFonts w:asciiTheme="majorHAnsi" w:hAnsiTheme="majorHAnsi" w:cstheme="majorHAnsi"/>
          <w:b/>
          <w:bCs/>
          <w:sz w:val="24"/>
          <w:szCs w:val="24"/>
        </w:rPr>
        <w:t>S</w:t>
      </w:r>
      <w:r w:rsidRPr="00AB2D84">
        <w:rPr>
          <w:rFonts w:asciiTheme="majorHAnsi" w:hAnsiTheme="majorHAnsi" w:cstheme="majorHAnsi"/>
          <w:b/>
          <w:bCs/>
          <w:sz w:val="24"/>
          <w:szCs w:val="24"/>
        </w:rPr>
        <w:t>tructures</w:t>
      </w:r>
      <w:r w:rsidR="00AB2D84" w:rsidRPr="00AB2D84">
        <w:rPr>
          <w:rFonts w:asciiTheme="majorHAnsi" w:hAnsiTheme="majorHAnsi" w:cstheme="majorHAnsi"/>
          <w:b/>
          <w:bCs/>
          <w:sz w:val="24"/>
          <w:szCs w:val="24"/>
        </w:rPr>
        <w:t xml:space="preserve"> of</w:t>
      </w:r>
      <w:r w:rsidRPr="00AB2D84">
        <w:rPr>
          <w:rFonts w:asciiTheme="majorHAnsi" w:hAnsiTheme="majorHAnsi" w:cstheme="majorHAnsi"/>
          <w:b/>
          <w:bCs/>
          <w:sz w:val="24"/>
          <w:szCs w:val="24"/>
        </w:rPr>
        <w:t xml:space="preserve"> </w:t>
      </w:r>
      <w:r w:rsidR="00AB2D84" w:rsidRPr="00AB2D84">
        <w:rPr>
          <w:rFonts w:asciiTheme="majorHAnsi" w:hAnsiTheme="majorHAnsi" w:cstheme="majorHAnsi"/>
          <w:b/>
          <w:bCs/>
          <w:sz w:val="24"/>
          <w:szCs w:val="24"/>
        </w:rPr>
        <w:t xml:space="preserve">six </w:t>
      </w:r>
      <w:proofErr w:type="spellStart"/>
      <w:r w:rsidR="00AB2D84" w:rsidRPr="00AB2D84">
        <w:rPr>
          <w:rFonts w:asciiTheme="majorHAnsi" w:hAnsiTheme="majorHAnsi" w:cstheme="majorHAnsi"/>
          <w:b/>
          <w:bCs/>
          <w:sz w:val="24"/>
          <w:szCs w:val="24"/>
        </w:rPr>
        <w:t>Chembridge</w:t>
      </w:r>
      <w:proofErr w:type="spellEnd"/>
      <w:r w:rsidR="00AB2D84" w:rsidRPr="00AB2D84">
        <w:rPr>
          <w:rFonts w:asciiTheme="majorHAnsi" w:hAnsiTheme="majorHAnsi" w:cstheme="majorHAnsi"/>
          <w:b/>
          <w:bCs/>
          <w:sz w:val="24"/>
          <w:szCs w:val="24"/>
        </w:rPr>
        <w:t xml:space="preserve"> efflux pump inhibitors</w:t>
      </w:r>
    </w:p>
    <w:p w14:paraId="21505364" w14:textId="61D2D941" w:rsidR="009C385D" w:rsidRPr="009C385D" w:rsidRDefault="009C385D" w:rsidP="00893376">
      <w:pPr>
        <w:spacing w:line="360" w:lineRule="auto"/>
        <w:rPr>
          <w:rFonts w:asciiTheme="majorHAnsi" w:hAnsiTheme="majorHAnsi" w:cstheme="majorHAnsi"/>
          <w:sz w:val="24"/>
          <w:szCs w:val="24"/>
        </w:rPr>
      </w:pPr>
      <w:proofErr w:type="spellStart"/>
      <w:r>
        <w:rPr>
          <w:rFonts w:asciiTheme="majorHAnsi" w:hAnsiTheme="majorHAnsi" w:cstheme="majorHAnsi"/>
          <w:sz w:val="24"/>
          <w:szCs w:val="24"/>
        </w:rPr>
        <w:t>Chembridge</w:t>
      </w:r>
      <w:proofErr w:type="spellEnd"/>
      <w:r>
        <w:rPr>
          <w:rFonts w:asciiTheme="majorHAnsi" w:hAnsiTheme="majorHAnsi" w:cstheme="majorHAnsi"/>
          <w:sz w:val="24"/>
          <w:szCs w:val="24"/>
        </w:rPr>
        <w:t xml:space="preserve"> ID numbers listed under each structure.</w:t>
      </w:r>
      <w:r>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{"citationID":"a1pstvvvo38","properties":{"formattedCitation":"\\super 108\\nosupersub{}","plainCitation":"108","noteIndex":0},"citationItems":[{"id":1000,"uris":["http://zotero.org/users/1918630/items/ILFNP78J"],"itemData":{"id":1000,"type":"article-journal","abstract":"Multidrug efflux is a major contributor to antibiotic resistance in Gram-negative bacterial pathogens. Inhibition of multidrug efflux pumps is a promising approach for reviving the efficacy of existing antibiotics. Previously, inhibitors targeting both the efflux transporter AcrB and the membrane fusion protein AcrA in the Escherichia coli AcrAB-TolC efflux pump were identified. Here we use existing physicochemical property guidelines to generate a filtered library of compounds for computational docking. We then experimentally test the top candidate coumpounds using in vitro binding assays and in vivo potentiation assays in bacterial strains with controllable permeability barriers. We thus identify a new class of inhibitors of E. coli AcrAB-TolC. Six molecules with a shared scaffold were found to potentiate the antimicrobial activity of erythromycin and novobiocin in hyperporinated E. coli cells. Importantly, these six molecules were also active in wild-type strains of both Acinetobacter baumannii and Klebsiella pneumoniae, potentiating the activity of erythromycin and novobiocin up to 8-fold.","container-title":"Biochimica Et Biophysica Acta. General Subjects","DOI":"10.1016/j.bbagen.2020.129546","ISSN":"1872-8006","issue":"6","journalAbbreviation":"Biochim Biophys Acta Gen Subj","language":"eng","note":"PMID: 32032658","page":"129546","source":"PubMed","title":"Discovery of multidrug efflux pump inhibitors with a novel chemical scaffold","volume":"1864","author":[{"family":"Green","given":"Adam T."},{"family":"Moniruzzaman","given":"Mohammad"},{"family":"Cooper","given":"Connor J."},{"family":"Walker","given":"John K."},{"family":"Smith","given":"Jeremy C."},{"family":"Parks","given":"Jerry M."},{"family":"Zgurskaya","given":"Helen I."}],"issued":{"date-parts":[["2020",6]]}}}],"schema":"https://github.com/citation-style-language/schema/raw/master/csl-citation.json"} </w:instrText>
      </w:r>
      <w:r>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108</w:t>
      </w:r>
      <w:r>
        <w:rPr>
          <w:rFonts w:asciiTheme="majorHAnsi" w:hAnsiTheme="majorHAnsi" w:cstheme="majorHAnsi"/>
          <w:sz w:val="24"/>
          <w:szCs w:val="24"/>
        </w:rPr>
        <w:fldChar w:fldCharType="end"/>
      </w:r>
    </w:p>
    <w:p w14:paraId="7BBE823F" w14:textId="02BB2EA8" w:rsidR="00B66558" w:rsidRPr="009C385D" w:rsidRDefault="009C385D" w:rsidP="00B66558">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There have been several EPIs discovered in the Zgurskaya lab. They have a broad spectrum of activity and act against both </w:t>
      </w:r>
      <w:r>
        <w:rPr>
          <w:rFonts w:asciiTheme="majorHAnsi" w:hAnsiTheme="majorHAnsi" w:cstheme="majorHAnsi"/>
          <w:i/>
          <w:iCs/>
          <w:sz w:val="24"/>
          <w:szCs w:val="24"/>
        </w:rPr>
        <w:t>E. coli</w:t>
      </w:r>
      <w:r>
        <w:rPr>
          <w:rFonts w:asciiTheme="majorHAnsi" w:hAnsiTheme="majorHAnsi" w:cstheme="majorHAnsi"/>
          <w:sz w:val="24"/>
          <w:szCs w:val="24"/>
        </w:rPr>
        <w:t xml:space="preserve"> and </w:t>
      </w:r>
      <w:r>
        <w:rPr>
          <w:rFonts w:asciiTheme="majorHAnsi" w:hAnsiTheme="majorHAnsi" w:cstheme="majorHAnsi"/>
          <w:i/>
          <w:iCs/>
          <w:sz w:val="24"/>
          <w:szCs w:val="24"/>
        </w:rPr>
        <w:t xml:space="preserve">A. baumannii. </w:t>
      </w:r>
      <w:r>
        <w:rPr>
          <w:rFonts w:asciiTheme="majorHAnsi" w:hAnsiTheme="majorHAnsi" w:cstheme="majorHAnsi"/>
          <w:sz w:val="24"/>
          <w:szCs w:val="24"/>
        </w:rPr>
        <w:t xml:space="preserve">These EPIs include six molecules with a shared scaffold that </w:t>
      </w:r>
      <w:r w:rsidR="006B57C5">
        <w:rPr>
          <w:rFonts w:asciiTheme="majorHAnsi" w:hAnsiTheme="majorHAnsi" w:cstheme="majorHAnsi"/>
          <w:sz w:val="24"/>
          <w:szCs w:val="24"/>
        </w:rPr>
        <w:t>potentiate</w:t>
      </w:r>
      <w:r>
        <w:rPr>
          <w:rFonts w:asciiTheme="majorHAnsi" w:hAnsiTheme="majorHAnsi" w:cstheme="majorHAnsi"/>
          <w:sz w:val="24"/>
          <w:szCs w:val="24"/>
        </w:rPr>
        <w:t xml:space="preserve"> the activity of erythromycin and novobiocin in </w:t>
      </w:r>
      <w:proofErr w:type="spellStart"/>
      <w:r>
        <w:rPr>
          <w:rFonts w:asciiTheme="majorHAnsi" w:hAnsiTheme="majorHAnsi" w:cstheme="majorHAnsi"/>
          <w:sz w:val="24"/>
          <w:szCs w:val="24"/>
        </w:rPr>
        <w:t>hyperporinated</w:t>
      </w:r>
      <w:proofErr w:type="spellEnd"/>
      <w:r>
        <w:rPr>
          <w:rFonts w:asciiTheme="majorHAnsi" w:hAnsiTheme="majorHAnsi" w:cstheme="majorHAnsi"/>
          <w:sz w:val="24"/>
          <w:szCs w:val="24"/>
        </w:rPr>
        <w:t xml:space="preserve"> </w:t>
      </w:r>
      <w:r>
        <w:rPr>
          <w:rFonts w:asciiTheme="majorHAnsi" w:hAnsiTheme="majorHAnsi" w:cstheme="majorHAnsi"/>
          <w:i/>
          <w:iCs/>
          <w:sz w:val="24"/>
          <w:szCs w:val="24"/>
        </w:rPr>
        <w:t>E. coli</w:t>
      </w:r>
      <w:r>
        <w:rPr>
          <w:rFonts w:asciiTheme="majorHAnsi" w:hAnsiTheme="majorHAnsi" w:cstheme="majorHAnsi"/>
          <w:sz w:val="24"/>
          <w:szCs w:val="24"/>
        </w:rPr>
        <w:t xml:space="preserve"> cells (</w:t>
      </w:r>
      <w:r>
        <w:rPr>
          <w:rFonts w:asciiTheme="majorHAnsi" w:hAnsiTheme="majorHAnsi" w:cstheme="majorHAnsi"/>
          <w:b/>
          <w:bCs/>
          <w:sz w:val="24"/>
          <w:szCs w:val="24"/>
        </w:rPr>
        <w:t xml:space="preserve">Figure </w:t>
      </w:r>
      <w:r w:rsidR="00AB2D84">
        <w:rPr>
          <w:rFonts w:asciiTheme="majorHAnsi" w:hAnsiTheme="majorHAnsi" w:cstheme="majorHAnsi"/>
          <w:b/>
          <w:bCs/>
          <w:sz w:val="24"/>
          <w:szCs w:val="24"/>
        </w:rPr>
        <w:t>1</w:t>
      </w:r>
      <w:r>
        <w:rPr>
          <w:rFonts w:asciiTheme="majorHAnsi" w:hAnsiTheme="majorHAnsi" w:cstheme="majorHAnsi"/>
          <w:b/>
          <w:bCs/>
          <w:sz w:val="24"/>
          <w:szCs w:val="24"/>
        </w:rPr>
        <w:t>.</w:t>
      </w:r>
      <w:r w:rsidR="00AB2D84">
        <w:rPr>
          <w:rFonts w:asciiTheme="majorHAnsi" w:hAnsiTheme="majorHAnsi" w:cstheme="majorHAnsi"/>
          <w:b/>
          <w:bCs/>
          <w:sz w:val="24"/>
          <w:szCs w:val="24"/>
        </w:rPr>
        <w:t>11</w:t>
      </w:r>
      <w:r>
        <w:rPr>
          <w:rFonts w:asciiTheme="majorHAnsi" w:hAnsiTheme="majorHAnsi" w:cstheme="majorHAnsi"/>
          <w:sz w:val="24"/>
          <w:szCs w:val="24"/>
        </w:rPr>
        <w:t xml:space="preserve">), and they also potentiate erythromycin and novobiocin up to 8-fold in WT </w:t>
      </w:r>
      <w:r>
        <w:rPr>
          <w:rFonts w:asciiTheme="majorHAnsi" w:hAnsiTheme="majorHAnsi" w:cstheme="majorHAnsi"/>
          <w:i/>
          <w:iCs/>
          <w:sz w:val="24"/>
          <w:szCs w:val="24"/>
        </w:rPr>
        <w:t>A. baumannii</w:t>
      </w:r>
      <w:r>
        <w:rPr>
          <w:rFonts w:asciiTheme="majorHAnsi" w:hAnsiTheme="majorHAnsi" w:cstheme="majorHAnsi"/>
          <w:sz w:val="24"/>
          <w:szCs w:val="24"/>
        </w:rPr>
        <w:t>.</w:t>
      </w:r>
      <w:r>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{"citationID":"a2bgppg5cnt","properties":{"formattedCitation":"\\super 108\\nosupersub{}","plainCitation":"108","noteIndex":0},"citationItems":[{"id":1000,"uris":["http://zotero.org/users/1918630/items/ILFNP78J"],"itemData":{"id":1000,"type":"article-journal","abstract":"Multidrug efflux is a major contributor to antibiotic resistance in Gram-negative bacterial pathogens. Inhibition of multidrug efflux pumps is a promising approach for reviving the efficacy of existing antibiotics. Previously, inhibitors targeting both the efflux transporter AcrB and the membrane fusion protein AcrA in the Escherichia coli AcrAB-TolC efflux pump were identified. Here we use existing physicochemical property guidelines to generate a filtered library of compounds for computational docking. We then experimentally test the top candidate coumpounds using in vitro binding assays and in vivo potentiation assays in bacterial strains with controllable permeability barriers. We thus identify a new class of inhibitors of E. coli AcrAB-TolC. Six molecules with a shared scaffold were found to potentiate the antimicrobial activity of erythromycin and novobiocin in hyperporinated E. coli cells. Importantly, these six molecules were also active in wild-type strains of both Acinetobacter baumannii and Klebsiella pneumoniae, potentiating the activity of erythromycin and novobiocin up to 8-fold.","container-title":"Biochimica Et Biophysica Acta. General Subjects","DOI":"10.1016/j.bbagen.2020.129546","ISSN":"1872-8006","issue":"6","journalAbbreviation":"Biochim Biophys Acta Gen Subj","language":"eng","note":"PMID: 32032658","page":"129546","source":"PubMed","title":"Discovery of multidrug efflux pump inhibitors with a novel chemical scaffold","volume":"1864","author":[{"family":"Green","given":"Adam T."},{"family":"Moniruzzaman","given":"Mohammad"},{"family":"Cooper","given":"Connor J."},{"family":"Walker","given":"John K."},{"family":"Smith","given":"Jeremy C."},{"family":"Parks","given":"Jerry M."},{"family":"Zgurskaya","given":"Helen I."}],"issued":{"date-parts":[["2020",6]]}}}],"schema":"https://github.com/citation-style-language/schema/raw/master/csl-citation.json"} </w:instrText>
      </w:r>
      <w:r>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108</w:t>
      </w:r>
      <w:r>
        <w:rPr>
          <w:rFonts w:asciiTheme="majorHAnsi" w:hAnsiTheme="majorHAnsi" w:cstheme="majorHAnsi"/>
          <w:sz w:val="24"/>
          <w:szCs w:val="24"/>
        </w:rPr>
        <w:fldChar w:fldCharType="end"/>
      </w:r>
      <w:r>
        <w:rPr>
          <w:rFonts w:asciiTheme="majorHAnsi" w:hAnsiTheme="majorHAnsi" w:cstheme="majorHAnsi"/>
          <w:sz w:val="24"/>
          <w:szCs w:val="24"/>
        </w:rPr>
        <w:t xml:space="preserve"> There are also four small molecules that were found to inhibit </w:t>
      </w:r>
      <w:proofErr w:type="spellStart"/>
      <w:r>
        <w:rPr>
          <w:rFonts w:asciiTheme="majorHAnsi" w:hAnsiTheme="majorHAnsi" w:cstheme="majorHAnsi"/>
          <w:sz w:val="24"/>
          <w:szCs w:val="24"/>
        </w:rPr>
        <w:t>AcrA</w:t>
      </w:r>
      <w:proofErr w:type="spellEnd"/>
      <w:r>
        <w:rPr>
          <w:rFonts w:asciiTheme="majorHAnsi" w:hAnsiTheme="majorHAnsi" w:cstheme="majorHAnsi"/>
          <w:sz w:val="24"/>
          <w:szCs w:val="24"/>
        </w:rPr>
        <w:t xml:space="preserve"> of </w:t>
      </w:r>
      <w:r>
        <w:rPr>
          <w:rFonts w:asciiTheme="majorHAnsi" w:hAnsiTheme="majorHAnsi" w:cstheme="majorHAnsi"/>
          <w:i/>
          <w:iCs/>
          <w:sz w:val="24"/>
          <w:szCs w:val="24"/>
        </w:rPr>
        <w:t>E. coli</w:t>
      </w:r>
      <w:r>
        <w:rPr>
          <w:rFonts w:asciiTheme="majorHAnsi" w:hAnsiTheme="majorHAnsi" w:cstheme="majorHAnsi"/>
          <w:sz w:val="24"/>
          <w:szCs w:val="24"/>
        </w:rPr>
        <w:t xml:space="preserve">’s </w:t>
      </w:r>
      <w:proofErr w:type="spellStart"/>
      <w:r>
        <w:rPr>
          <w:rFonts w:asciiTheme="majorHAnsi" w:hAnsiTheme="majorHAnsi" w:cstheme="majorHAnsi"/>
          <w:sz w:val="24"/>
          <w:szCs w:val="24"/>
        </w:rPr>
        <w:t>AcrAB-TolC</w:t>
      </w:r>
      <w:proofErr w:type="spellEnd"/>
      <w:r w:rsidR="007C1A9B">
        <w:rPr>
          <w:rFonts w:asciiTheme="majorHAnsi" w:hAnsiTheme="majorHAnsi" w:cstheme="majorHAnsi"/>
          <w:sz w:val="24"/>
          <w:szCs w:val="24"/>
        </w:rPr>
        <w:t xml:space="preserve"> and potentiate the activity of novobiocin</w:t>
      </w:r>
      <w:r>
        <w:rPr>
          <w:rFonts w:asciiTheme="majorHAnsi" w:hAnsiTheme="majorHAnsi" w:cstheme="majorHAnsi"/>
          <w:sz w:val="24"/>
          <w:szCs w:val="24"/>
        </w:rPr>
        <w:t>:</w:t>
      </w:r>
      <w:r w:rsidR="00F1534D">
        <w:rPr>
          <w:rFonts w:asciiTheme="majorHAnsi" w:hAnsiTheme="majorHAnsi" w:cstheme="majorHAnsi"/>
          <w:sz w:val="24"/>
          <w:szCs w:val="24"/>
        </w:rPr>
        <w:t xml:space="preserve"> </w:t>
      </w:r>
      <w:r w:rsidR="00F1534D" w:rsidRPr="00F1534D">
        <w:rPr>
          <w:rFonts w:asciiTheme="majorHAnsi" w:hAnsiTheme="majorHAnsi" w:cstheme="majorHAnsi"/>
          <w:sz w:val="24"/>
          <w:szCs w:val="24"/>
        </w:rPr>
        <w:t>NSC227186, NSC60339, NSC33353, and NSC305798</w:t>
      </w:r>
      <w:r w:rsidR="006B57C5">
        <w:rPr>
          <w:rFonts w:asciiTheme="majorHAnsi" w:hAnsiTheme="majorHAnsi" w:cstheme="majorHAnsi"/>
          <w:sz w:val="24"/>
          <w:szCs w:val="24"/>
        </w:rPr>
        <w:t xml:space="preserve"> (</w:t>
      </w:r>
      <w:r w:rsidR="006B57C5">
        <w:rPr>
          <w:rFonts w:asciiTheme="majorHAnsi" w:hAnsiTheme="majorHAnsi" w:cstheme="majorHAnsi"/>
          <w:b/>
          <w:bCs/>
          <w:sz w:val="24"/>
          <w:szCs w:val="24"/>
        </w:rPr>
        <w:t xml:space="preserve">Figure </w:t>
      </w:r>
      <w:r w:rsidR="007C1A9B">
        <w:rPr>
          <w:rFonts w:asciiTheme="majorHAnsi" w:hAnsiTheme="majorHAnsi" w:cstheme="majorHAnsi"/>
          <w:b/>
          <w:bCs/>
          <w:sz w:val="24"/>
          <w:szCs w:val="24"/>
        </w:rPr>
        <w:t>1</w:t>
      </w:r>
      <w:r w:rsidR="006B57C5">
        <w:rPr>
          <w:rFonts w:asciiTheme="majorHAnsi" w:hAnsiTheme="majorHAnsi" w:cstheme="majorHAnsi"/>
          <w:b/>
          <w:bCs/>
          <w:sz w:val="24"/>
          <w:szCs w:val="24"/>
        </w:rPr>
        <w:t>.</w:t>
      </w:r>
      <w:r w:rsidR="007C1A9B">
        <w:rPr>
          <w:rFonts w:asciiTheme="majorHAnsi" w:hAnsiTheme="majorHAnsi" w:cstheme="majorHAnsi"/>
          <w:b/>
          <w:bCs/>
          <w:sz w:val="24"/>
          <w:szCs w:val="24"/>
        </w:rPr>
        <w:t>12</w:t>
      </w:r>
      <w:r w:rsidR="006B57C5">
        <w:rPr>
          <w:rFonts w:asciiTheme="majorHAnsi" w:hAnsiTheme="majorHAnsi" w:cstheme="majorHAnsi"/>
          <w:sz w:val="24"/>
          <w:szCs w:val="24"/>
        </w:rPr>
        <w:t>)</w:t>
      </w:r>
      <w:r w:rsidR="00F1534D">
        <w:rPr>
          <w:rFonts w:asciiTheme="majorHAnsi" w:hAnsiTheme="majorHAnsi" w:cstheme="majorHAnsi"/>
          <w:sz w:val="24"/>
          <w:szCs w:val="24"/>
        </w:rPr>
        <w:t>.</w:t>
      </w:r>
      <w:r w:rsidR="00F1534D">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{"citationID":"abea04el9h","properties":{"formattedCitation":"\\super 109\\nosupersub{}","plainCitation":"109","noteIndex":0},"citationItems":[{"id":968,"uris":["http://zotero.org/users/1918630/items/7K7ABTJU"],"itemData":{"id":968,"type":"article-journal","abstract":"Antibiotic resistance is a major threat to human welfare. Inhibitors of multidrug efflux pumps (EPIs) are promising alternative therapeutics that could revive activities of antibiotics and reduce bacterial virulence. Identification of new druggable sites for inhibition is critical for the development of effective EPIs, especially in light of constantly emerging resistance. Here, we describe EPIs that interact with periplasmic membrane fusion proteins, critical components of efflux pumps that are responsible for the activation of the transporter and the recruitment of the outer-membrane channel. The discovered EPIs bind to AcrA, a component of the prototypical AcrAB-TolC pump, change its structure in vivo, inhibit efflux of fluorescent probes, and potentiate the activities of antibiotics in Escherichia coli and other Gram-negative bacteria. Our findings expand the chemical and mechanistic diversity of EPIs, suggest the mechanism for regulation of the efflux pump assembly and activity, and provide a promising path for reviving the activities of antibiotics in resistant bacteria.","container-title":"ACS Infectious Diseases","DOI":"10.1021/acsinfecdis.6b00167","issue":"1","journalAbbreviation":"ACS Infect. Dis.","note":"publisher: American Chemical Society","page":"89-98","source":"ACS Publications","title":"Reviving Antibiotics: Efflux Pump Inhibitors That Interact with AcrA, a Membrane Fusion Protein of the AcrAB-TolC Multidrug Efflux Pump","title-short":"Reviving Antibiotics","volume":"3","author":[{"family":"Abdali","given":"Narges"},{"family":"Parks","given":"Jerry M."},{"family":"Haynes","given":"Keith M."},{"family":"Chaney","given":"Julie L."},{"family":"Green","given":"Adam T."},{"family":"Wolloscheck","given":"David"},{"family":"Walker","given":"John K."},{"family":"Rybenkov","given":"Valentin V."},{"family":"Baudry","given":"Jerome"},{"family":"Smith","given":"Jeremy C."},{"family":"Zgurskaya","given":"Helen I."}],"issued":{"date-parts":[["2017",1,13]]}}}],"schema":"https://github.com/citation-style-language/schema/raw/master/csl-citation.json"} </w:instrText>
      </w:r>
      <w:r w:rsidR="00F1534D">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109</w:t>
      </w:r>
      <w:r w:rsidR="00F1534D">
        <w:rPr>
          <w:rFonts w:asciiTheme="majorHAnsi" w:hAnsiTheme="majorHAnsi" w:cstheme="majorHAnsi"/>
          <w:sz w:val="24"/>
          <w:szCs w:val="24"/>
        </w:rPr>
        <w:fldChar w:fldCharType="end"/>
      </w:r>
      <w:r w:rsidR="00B66558" w:rsidRPr="00B66558">
        <w:rPr>
          <w:rFonts w:asciiTheme="majorHAnsi" w:hAnsiTheme="majorHAnsi" w:cstheme="majorHAnsi"/>
          <w:sz w:val="24"/>
          <w:szCs w:val="24"/>
        </w:rPr>
        <w:t xml:space="preserve"> </w:t>
      </w:r>
      <w:r w:rsidR="00B66558">
        <w:rPr>
          <w:rFonts w:asciiTheme="majorHAnsi" w:hAnsiTheme="majorHAnsi" w:cstheme="majorHAnsi"/>
          <w:sz w:val="24"/>
          <w:szCs w:val="24"/>
        </w:rPr>
        <w:t xml:space="preserve">Our lab has been able to determine the mechanism of action for some of these </w:t>
      </w:r>
      <w:proofErr w:type="spellStart"/>
      <w:r w:rsidR="00B66558">
        <w:rPr>
          <w:rFonts w:asciiTheme="majorHAnsi" w:hAnsiTheme="majorHAnsi" w:cstheme="majorHAnsi"/>
          <w:sz w:val="24"/>
          <w:szCs w:val="24"/>
        </w:rPr>
        <w:t>EPIs.</w:t>
      </w:r>
      <w:proofErr w:type="spellEnd"/>
      <w:r w:rsidR="00B66558">
        <w:rPr>
          <w:rFonts w:asciiTheme="majorHAnsi" w:hAnsiTheme="majorHAnsi" w:cstheme="majorHAnsi"/>
          <w:sz w:val="24"/>
          <w:szCs w:val="24"/>
        </w:rPr>
        <w:t xml:space="preserve"> For example, the </w:t>
      </w:r>
      <w:proofErr w:type="spellStart"/>
      <w:r w:rsidR="00B66558">
        <w:rPr>
          <w:rFonts w:asciiTheme="majorHAnsi" w:hAnsiTheme="majorHAnsi" w:cstheme="majorHAnsi"/>
          <w:sz w:val="24"/>
          <w:szCs w:val="24"/>
        </w:rPr>
        <w:t>AcrA</w:t>
      </w:r>
      <w:proofErr w:type="spellEnd"/>
      <w:r w:rsidR="00B66558">
        <w:rPr>
          <w:rFonts w:asciiTheme="majorHAnsi" w:hAnsiTheme="majorHAnsi" w:cstheme="majorHAnsi"/>
          <w:sz w:val="24"/>
          <w:szCs w:val="24"/>
        </w:rPr>
        <w:t xml:space="preserve"> inhibitor NSC 60339 was found to wedge itself into the cleft between the </w:t>
      </w:r>
      <w:proofErr w:type="spellStart"/>
      <w:r w:rsidR="00B66558">
        <w:rPr>
          <w:rFonts w:asciiTheme="majorHAnsi" w:hAnsiTheme="majorHAnsi" w:cstheme="majorHAnsi"/>
          <w:sz w:val="24"/>
          <w:szCs w:val="24"/>
        </w:rPr>
        <w:t>lipoyl</w:t>
      </w:r>
      <w:proofErr w:type="spellEnd"/>
      <w:r w:rsidR="00B66558">
        <w:rPr>
          <w:rFonts w:asciiTheme="majorHAnsi" w:hAnsiTheme="majorHAnsi" w:cstheme="majorHAnsi"/>
          <w:sz w:val="24"/>
          <w:szCs w:val="24"/>
        </w:rPr>
        <w:t xml:space="preserve"> and </w:t>
      </w:r>
      <w:r w:rsidR="00B66558" w:rsidRPr="00DB28E3">
        <w:rPr>
          <w:rFonts w:cstheme="minorHAnsi"/>
          <w:sz w:val="24"/>
          <w:szCs w:val="24"/>
        </w:rPr>
        <w:t>β-barrel</w:t>
      </w:r>
      <w:r w:rsidR="00B66558">
        <w:rPr>
          <w:rFonts w:cstheme="minorHAnsi"/>
          <w:sz w:val="24"/>
          <w:szCs w:val="24"/>
        </w:rPr>
        <w:t xml:space="preserve"> domains of AcrA</w:t>
      </w:r>
      <w:r w:rsidR="00B66558">
        <w:rPr>
          <w:rFonts w:asciiTheme="majorHAnsi" w:hAnsiTheme="majorHAnsi" w:cstheme="majorHAnsi"/>
          <w:sz w:val="24"/>
          <w:szCs w:val="24"/>
        </w:rPr>
        <w:t>.</w:t>
      </w:r>
      <w:r w:rsidR="00B66558">
        <w:rPr>
          <w:rFonts w:asciiTheme="majorHAnsi" w:hAnsiTheme="majorHAnsi" w:cstheme="majorHAnsi"/>
          <w:sz w:val="24"/>
          <w:szCs w:val="24"/>
        </w:rPr>
        <w:fldChar w:fldCharType="begin"/>
      </w:r>
      <w:r w:rsidR="00B66558">
        <w:rPr>
          <w:rFonts w:asciiTheme="majorHAnsi" w:hAnsiTheme="majorHAnsi" w:cstheme="majorHAnsi"/>
          <w:sz w:val="24"/>
          <w:szCs w:val="24"/>
        </w:rPr>
        <w:instrText xml:space="preserve"> ADDIN ZOTERO_ITEM CSL_CITATION {"citationID":"af7ou8bvh3","properties":{"formattedCitation":"\\super 30\\nosupersub{}","plainCitation":"30","noteIndex":0},"citationItems":[{"id":1969,"uris":["http://zotero.org/users/1918630/items/QELBS8YM"],"itemData":{"id":1969,"type":"article-journal","abstract":"Membrane efflux pumps play a major role in bacterial multidrug resistance. The tripartite multidrug efflux pump system from Escherichia coli, AcrAB-TolC, is a target for inhibition to lessen resistance development and restore antibiotic efficacy, with homologs in other ESKAPE pathogens. Here, we rationalize a mechanism of inhibition against the periplasmic adaptor protein, AcrA, using a combination of hydrogen/deuterium exchange mass spectrometry, cellular efflux assays, and molecular dynamics simulations. We define the structural dynamics of AcrA and find that an inhibitor can inflict long-range stabilisation across all four of its domains, whereas an interacting efflux substrate has minimal effect. Our results support a model where an inhibitor forms a molecular wedge within a cleft between the lipoyl and αβ barrel domains of AcrA, diminishing its conformational transmission of drug-evoked signals from AcrB to TolC. This work provides molecular insights into multidrug adaptor protein function which could be valuable for developing antimicrobial therapeutics.","container-title":"Nature Communications","DOI":"10.1038/s41467-023-39615-x","ISSN":"2041-1723","issue":"1","journalAbbreviation":"Nat Commun","language":"en","license":"2023 The Author(s)","note":"number: 1\npublisher: Nature Publishing Group","page":"3900","source":"www.nature.com","title":"Conformational restriction shapes the inhibition of a multidrug efflux adaptor protein","volume":"14","author":[{"family":"Russell Lewis","given":"Benjamin"},{"family":"Uddin","given":"Muhammad R."},{"family":"Moniruzzaman","given":"Mohammad"},{"family":"Kuo","given":"Katie M."},{"family":"Higgins","given":"Anna J."},{"family":"Shah","given":"Laila M. N."},{"family":"Sobott","given":"Frank"},{"family":"Parks","given":"Jerry M."},{"family":"Hammerschmid","given":"Dietmar"},{"family":"Gumbart","given":"James C."},{"family":"Zgurskaya","given":"Helen I."},{"family":"Reading","given":"Eamonn"}],"issued":{"date-parts":[["2023",7,18]]}}}],"schema":"https://github.com/citation-style-language/schema/raw/master/csl-citation.json"} </w:instrText>
      </w:r>
      <w:r w:rsidR="00B66558">
        <w:rPr>
          <w:rFonts w:asciiTheme="majorHAnsi" w:hAnsiTheme="majorHAnsi" w:cstheme="majorHAnsi"/>
          <w:sz w:val="24"/>
          <w:szCs w:val="24"/>
        </w:rPr>
        <w:fldChar w:fldCharType="separate"/>
      </w:r>
      <w:r w:rsidR="00B66558" w:rsidRPr="00F1534D">
        <w:rPr>
          <w:rFonts w:ascii="Times New Roman" w:hAnsi="Times New Roman" w:cs="Times New Roman"/>
          <w:sz w:val="24"/>
          <w:szCs w:val="24"/>
          <w:vertAlign w:val="superscript"/>
        </w:rPr>
        <w:t>30</w:t>
      </w:r>
      <w:r w:rsidR="00B66558">
        <w:rPr>
          <w:rFonts w:asciiTheme="majorHAnsi" w:hAnsiTheme="majorHAnsi" w:cstheme="majorHAnsi"/>
          <w:sz w:val="24"/>
          <w:szCs w:val="24"/>
        </w:rPr>
        <w:fldChar w:fldCharType="end"/>
      </w:r>
      <w:r w:rsidR="00B66558">
        <w:rPr>
          <w:rFonts w:asciiTheme="majorHAnsi" w:hAnsiTheme="majorHAnsi" w:cstheme="majorHAnsi"/>
          <w:sz w:val="24"/>
          <w:szCs w:val="24"/>
        </w:rPr>
        <w:t xml:space="preserve"> </w:t>
      </w:r>
    </w:p>
    <w:p w14:paraId="2675EC86" w14:textId="569798BB" w:rsidR="009C385D" w:rsidRDefault="009C385D" w:rsidP="009C385D">
      <w:pPr>
        <w:spacing w:line="360" w:lineRule="auto"/>
        <w:ind w:firstLine="720"/>
        <w:rPr>
          <w:rFonts w:asciiTheme="majorHAnsi" w:hAnsiTheme="majorHAnsi" w:cstheme="majorHAnsi"/>
          <w:sz w:val="24"/>
          <w:szCs w:val="24"/>
        </w:rPr>
      </w:pPr>
    </w:p>
    <w:p w14:paraId="377F6AC5" w14:textId="65D97345" w:rsidR="007C1A9B" w:rsidRDefault="00954157" w:rsidP="00F1534D">
      <w:pPr>
        <w:spacing w:line="360" w:lineRule="auto"/>
        <w:rPr>
          <w:rFonts w:asciiTheme="majorHAnsi" w:hAnsiTheme="majorHAnsi" w:cstheme="majorHAnsi"/>
          <w:b/>
          <w:bCs/>
          <w:sz w:val="24"/>
          <w:szCs w:val="24"/>
        </w:rPr>
      </w:pPr>
      <w:r w:rsidRPr="00954157">
        <w:rPr>
          <w:rFonts w:asciiTheme="majorHAnsi" w:hAnsiTheme="majorHAnsi" w:cstheme="majorHAnsi"/>
          <w:b/>
          <w:bCs/>
          <w:noProof/>
          <w:sz w:val="24"/>
          <w:szCs w:val="24"/>
        </w:rPr>
        <w:lastRenderedPageBreak/>
        <w:drawing>
          <wp:inline distT="0" distB="0" distL="0" distR="0" wp14:anchorId="6227FD4C" wp14:editId="2D45141B">
            <wp:extent cx="5067300" cy="3272632"/>
            <wp:effectExtent l="0" t="0" r="0" b="4445"/>
            <wp:docPr id="215131350" name="Picture 1" descr="Several chemical formul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31350" name="Picture 1" descr="Several chemical formulas&#10;&#10;Description automatically generated with medium confidence"/>
                    <pic:cNvPicPr/>
                  </pic:nvPicPr>
                  <pic:blipFill>
                    <a:blip r:embed="rId22"/>
                    <a:stretch>
                      <a:fillRect/>
                    </a:stretch>
                  </pic:blipFill>
                  <pic:spPr>
                    <a:xfrm>
                      <a:off x="0" y="0"/>
                      <a:ext cx="5068959" cy="3273703"/>
                    </a:xfrm>
                    <a:prstGeom prst="rect">
                      <a:avLst/>
                    </a:prstGeom>
                  </pic:spPr>
                </pic:pic>
              </a:graphicData>
            </a:graphic>
          </wp:inline>
        </w:drawing>
      </w:r>
    </w:p>
    <w:p w14:paraId="7AA007D7" w14:textId="2A4F1904" w:rsidR="00F1534D" w:rsidRPr="007C1A9B" w:rsidRDefault="00F1534D" w:rsidP="00F1534D">
      <w:pPr>
        <w:spacing w:line="360" w:lineRule="auto"/>
        <w:rPr>
          <w:rFonts w:asciiTheme="majorHAnsi" w:hAnsiTheme="majorHAnsi" w:cstheme="majorHAnsi"/>
          <w:b/>
          <w:bCs/>
          <w:sz w:val="24"/>
          <w:szCs w:val="24"/>
        </w:rPr>
      </w:pPr>
      <w:r w:rsidRPr="007C1A9B">
        <w:rPr>
          <w:rFonts w:asciiTheme="majorHAnsi" w:hAnsiTheme="majorHAnsi" w:cstheme="majorHAnsi"/>
          <w:b/>
          <w:bCs/>
          <w:sz w:val="24"/>
          <w:szCs w:val="24"/>
        </w:rPr>
        <w:t xml:space="preserve">Figure </w:t>
      </w:r>
      <w:r w:rsidR="007C1A9B" w:rsidRPr="007C1A9B">
        <w:rPr>
          <w:rFonts w:asciiTheme="majorHAnsi" w:hAnsiTheme="majorHAnsi" w:cstheme="majorHAnsi"/>
          <w:b/>
          <w:bCs/>
          <w:sz w:val="24"/>
          <w:szCs w:val="24"/>
        </w:rPr>
        <w:t>1</w:t>
      </w:r>
      <w:r w:rsidRPr="007C1A9B">
        <w:rPr>
          <w:rFonts w:asciiTheme="majorHAnsi" w:hAnsiTheme="majorHAnsi" w:cstheme="majorHAnsi"/>
          <w:b/>
          <w:bCs/>
          <w:sz w:val="24"/>
          <w:szCs w:val="24"/>
        </w:rPr>
        <w:t>.</w:t>
      </w:r>
      <w:r w:rsidR="007C1A9B" w:rsidRPr="007C1A9B">
        <w:rPr>
          <w:rFonts w:asciiTheme="majorHAnsi" w:hAnsiTheme="majorHAnsi" w:cstheme="majorHAnsi"/>
          <w:b/>
          <w:bCs/>
          <w:sz w:val="24"/>
          <w:szCs w:val="24"/>
        </w:rPr>
        <w:t>12</w:t>
      </w:r>
      <w:r w:rsidRPr="007C1A9B">
        <w:rPr>
          <w:rFonts w:asciiTheme="majorHAnsi" w:hAnsiTheme="majorHAnsi" w:cstheme="majorHAnsi"/>
          <w:b/>
          <w:bCs/>
          <w:sz w:val="24"/>
          <w:szCs w:val="24"/>
        </w:rPr>
        <w:t xml:space="preserve"> </w:t>
      </w:r>
      <w:r w:rsidR="007C1A9B" w:rsidRPr="007C1A9B">
        <w:rPr>
          <w:rFonts w:asciiTheme="majorHAnsi" w:hAnsiTheme="majorHAnsi" w:cstheme="majorHAnsi"/>
          <w:b/>
          <w:bCs/>
          <w:sz w:val="24"/>
          <w:szCs w:val="24"/>
        </w:rPr>
        <w:t>S</w:t>
      </w:r>
      <w:r w:rsidRPr="007C1A9B">
        <w:rPr>
          <w:rFonts w:asciiTheme="majorHAnsi" w:hAnsiTheme="majorHAnsi" w:cstheme="majorHAnsi"/>
          <w:b/>
          <w:bCs/>
          <w:sz w:val="24"/>
          <w:szCs w:val="24"/>
        </w:rPr>
        <w:t>tructures</w:t>
      </w:r>
      <w:r w:rsidR="007C1A9B" w:rsidRPr="007C1A9B">
        <w:rPr>
          <w:rFonts w:asciiTheme="majorHAnsi" w:hAnsiTheme="majorHAnsi" w:cstheme="majorHAnsi"/>
          <w:b/>
          <w:bCs/>
          <w:sz w:val="24"/>
          <w:szCs w:val="24"/>
        </w:rPr>
        <w:t xml:space="preserve"> of four NSC efflux pump inhibitors</w:t>
      </w:r>
      <w:r w:rsidRPr="007C1A9B">
        <w:rPr>
          <w:rFonts w:asciiTheme="majorHAnsi" w:hAnsiTheme="majorHAnsi" w:cstheme="majorHAnsi"/>
          <w:b/>
          <w:bCs/>
          <w:sz w:val="24"/>
          <w:szCs w:val="24"/>
        </w:rPr>
        <w:t xml:space="preserve"> </w:t>
      </w:r>
    </w:p>
    <w:p w14:paraId="37223060" w14:textId="0954366F" w:rsidR="00F1534D" w:rsidRDefault="007C1A9B" w:rsidP="00F1534D">
      <w:pPr>
        <w:spacing w:line="360" w:lineRule="auto"/>
        <w:rPr>
          <w:rFonts w:asciiTheme="majorHAnsi" w:hAnsiTheme="majorHAnsi" w:cstheme="majorHAnsi"/>
          <w:sz w:val="24"/>
          <w:szCs w:val="24"/>
        </w:rPr>
      </w:pPr>
      <w:r>
        <w:rPr>
          <w:rFonts w:asciiTheme="majorHAnsi" w:hAnsiTheme="majorHAnsi" w:cstheme="majorHAnsi"/>
          <w:sz w:val="24"/>
          <w:szCs w:val="24"/>
        </w:rPr>
        <w:t xml:space="preserve">NSC ID number listed below each structure. </w:t>
      </w:r>
      <w:r>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{"citationID":"a2dbmllks1f","properties":{"formattedCitation":"\\super 109\\nosupersub{}","plainCitation":"109","noteIndex":0},"citationItems":[{"id":968,"uris":["http://zotero.org/users/1918630/items/7K7ABTJU"],"itemData":{"id":968,"type":"article-journal","abstract":"Antibiotic resistance is a major threat to human welfare. Inhibitors of multidrug efflux pumps (EPIs) are promising alternative therapeutics that could revive activities of antibiotics and reduce bacterial virulence. Identification of new druggable sites for inhibition is critical for the development of effective EPIs, especially in light of constantly emerging resistance. Here, we describe EPIs that interact with periplasmic membrane fusion proteins, critical components of efflux pumps that are responsible for the activation of the transporter and the recruitment of the outer-membrane channel. The discovered EPIs bind to AcrA, a component of the prototypical AcrAB-TolC pump, change its structure in vivo, inhibit efflux of fluorescent probes, and potentiate the activities of antibiotics in Escherichia coli and other Gram-negative bacteria. Our findings expand the chemical and mechanistic diversity of EPIs, suggest the mechanism for regulation of the efflux pump assembly and activity, and provide a promising path for reviving the activities of antibiotics in resistant bacteria.","container-title":"ACS Infectious Diseases","DOI":"10.1021/acsinfecdis.6b00167","issue":"1","journalAbbreviation":"ACS Infect. Dis.","note":"publisher: American Chemical Society","page":"89-98","source":"ACS Publications","title":"Reviving Antibiotics: Efflux Pump Inhibitors That Interact with AcrA, a Membrane Fusion Protein of the AcrAB-TolC Multidrug Efflux Pump","title-short":"Reviving Antibiotics","volume":"3","author":[{"family":"Abdali","given":"Narges"},{"family":"Parks","given":"Jerry M."},{"family":"Haynes","given":"Keith M."},{"family":"Chaney","given":"Julie L."},{"family":"Green","given":"Adam T."},{"family":"Wolloscheck","given":"David"},{"family":"Walker","given":"John K."},{"family":"Rybenkov","given":"Valentin V."},{"family":"Baudry","given":"Jerome"},{"family":"Smith","given":"Jeremy C."},{"family":"Zgurskaya","given":"Helen I."}],"issued":{"date-parts":[["2017",1,13]]}}}],"schema":"https://github.com/citation-style-language/schema/raw/master/csl-citation.json"} </w:instrText>
      </w:r>
      <w:r>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109</w:t>
      </w:r>
      <w:r>
        <w:rPr>
          <w:rFonts w:asciiTheme="majorHAnsi" w:hAnsiTheme="majorHAnsi" w:cstheme="majorHAnsi"/>
          <w:sz w:val="24"/>
          <w:szCs w:val="24"/>
        </w:rPr>
        <w:fldChar w:fldCharType="end"/>
      </w:r>
    </w:p>
    <w:bookmarkEnd w:id="2"/>
    <w:p w14:paraId="50A0DA31" w14:textId="01574767" w:rsidR="00251E74" w:rsidRDefault="007D3623"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1.6. </w:t>
      </w:r>
      <w:r w:rsidR="00251E74" w:rsidRPr="00734E96">
        <w:rPr>
          <w:rFonts w:asciiTheme="majorHAnsi" w:hAnsiTheme="majorHAnsi" w:cstheme="majorHAnsi"/>
          <w:sz w:val="24"/>
          <w:szCs w:val="24"/>
          <w:u w:val="single"/>
        </w:rPr>
        <w:t xml:space="preserve">Critical </w:t>
      </w:r>
      <w:r>
        <w:rPr>
          <w:rFonts w:asciiTheme="majorHAnsi" w:hAnsiTheme="majorHAnsi" w:cstheme="majorHAnsi"/>
          <w:sz w:val="24"/>
          <w:szCs w:val="24"/>
          <w:u w:val="single"/>
        </w:rPr>
        <w:t>a</w:t>
      </w:r>
      <w:r w:rsidR="00251E74" w:rsidRPr="00734E96">
        <w:rPr>
          <w:rFonts w:asciiTheme="majorHAnsi" w:hAnsiTheme="majorHAnsi" w:cstheme="majorHAnsi"/>
          <w:sz w:val="24"/>
          <w:szCs w:val="24"/>
          <w:u w:val="single"/>
        </w:rPr>
        <w:t>ssessment of the</w:t>
      </w:r>
      <w:r w:rsidR="00916F1D">
        <w:rPr>
          <w:rFonts w:asciiTheme="majorHAnsi" w:hAnsiTheme="majorHAnsi" w:cstheme="majorHAnsi"/>
          <w:sz w:val="24"/>
          <w:szCs w:val="24"/>
          <w:u w:val="single"/>
        </w:rPr>
        <w:t xml:space="preserve"> </w:t>
      </w:r>
      <w:r>
        <w:rPr>
          <w:rFonts w:asciiTheme="majorHAnsi" w:hAnsiTheme="majorHAnsi" w:cstheme="majorHAnsi"/>
          <w:sz w:val="24"/>
          <w:szCs w:val="24"/>
          <w:u w:val="single"/>
        </w:rPr>
        <w:t>l</w:t>
      </w:r>
      <w:r w:rsidR="00251E74" w:rsidRPr="00734E96">
        <w:rPr>
          <w:rFonts w:asciiTheme="majorHAnsi" w:hAnsiTheme="majorHAnsi" w:cstheme="majorHAnsi"/>
          <w:sz w:val="24"/>
          <w:szCs w:val="24"/>
          <w:u w:val="single"/>
        </w:rPr>
        <w:t>iterature</w:t>
      </w:r>
    </w:p>
    <w:p w14:paraId="5760FCC7" w14:textId="713FFD3E" w:rsidR="000A1FBA" w:rsidRDefault="000A1FBA" w:rsidP="000A1FBA">
      <w:pPr>
        <w:spacing w:line="360" w:lineRule="auto"/>
        <w:rPr>
          <w:rFonts w:asciiTheme="majorHAnsi" w:hAnsiTheme="majorHAnsi" w:cstheme="majorHAnsi"/>
          <w:sz w:val="24"/>
          <w:szCs w:val="24"/>
        </w:rPr>
      </w:pPr>
      <w:r>
        <w:rPr>
          <w:rFonts w:asciiTheme="majorHAnsi" w:hAnsiTheme="majorHAnsi" w:cstheme="majorHAnsi"/>
          <w:sz w:val="24"/>
          <w:szCs w:val="24"/>
        </w:rPr>
        <w:tab/>
      </w:r>
      <w:bookmarkEnd w:id="3"/>
      <w:r w:rsidR="00904DF4" w:rsidRPr="000A1FBA">
        <w:rPr>
          <w:rFonts w:asciiTheme="majorHAnsi" w:hAnsiTheme="majorHAnsi" w:cstheme="majorHAnsi"/>
          <w:sz w:val="24"/>
          <w:szCs w:val="24"/>
        </w:rPr>
        <w:t xml:space="preserve">While </w:t>
      </w:r>
      <w:r w:rsidR="001C3E63" w:rsidRPr="000A1FBA">
        <w:rPr>
          <w:rFonts w:asciiTheme="majorHAnsi" w:hAnsiTheme="majorHAnsi" w:cstheme="majorHAnsi"/>
          <w:sz w:val="24"/>
          <w:szCs w:val="24"/>
        </w:rPr>
        <w:t>there are many</w:t>
      </w:r>
      <w:r w:rsidR="00904DF4" w:rsidRPr="000A1FBA">
        <w:rPr>
          <w:rFonts w:asciiTheme="majorHAnsi" w:hAnsiTheme="majorHAnsi" w:cstheme="majorHAnsi"/>
          <w:sz w:val="24"/>
          <w:szCs w:val="24"/>
        </w:rPr>
        <w:t xml:space="preserve"> published</w:t>
      </w:r>
      <w:r w:rsidR="00904DF4">
        <w:rPr>
          <w:rFonts w:asciiTheme="majorHAnsi" w:hAnsiTheme="majorHAnsi" w:cstheme="majorHAnsi"/>
          <w:sz w:val="24"/>
          <w:szCs w:val="24"/>
        </w:rPr>
        <w:t xml:space="preserve"> studies </w:t>
      </w:r>
      <w:r w:rsidR="001C3E63">
        <w:rPr>
          <w:rFonts w:asciiTheme="majorHAnsi" w:hAnsiTheme="majorHAnsi" w:cstheme="majorHAnsi"/>
          <w:sz w:val="24"/>
          <w:szCs w:val="24"/>
        </w:rPr>
        <w:t>on</w:t>
      </w:r>
      <w:r w:rsidR="00904DF4">
        <w:rPr>
          <w:rFonts w:asciiTheme="majorHAnsi" w:hAnsiTheme="majorHAnsi" w:cstheme="majorHAnsi"/>
          <w:sz w:val="24"/>
          <w:szCs w:val="24"/>
        </w:rPr>
        <w:t xml:space="preserve"> </w:t>
      </w:r>
      <w:r w:rsidR="00904DF4">
        <w:rPr>
          <w:rFonts w:asciiTheme="majorHAnsi" w:hAnsiTheme="majorHAnsi" w:cstheme="majorHAnsi"/>
          <w:i/>
          <w:iCs/>
          <w:sz w:val="24"/>
          <w:szCs w:val="24"/>
        </w:rPr>
        <w:t>E. coli</w:t>
      </w:r>
      <w:r w:rsidR="00904DF4">
        <w:rPr>
          <w:rFonts w:asciiTheme="majorHAnsi" w:hAnsiTheme="majorHAnsi" w:cstheme="majorHAnsi"/>
          <w:sz w:val="24"/>
          <w:szCs w:val="24"/>
        </w:rPr>
        <w:t xml:space="preserve">, as it is the model Gram-negative organism, </w:t>
      </w:r>
      <w:r w:rsidR="001C3E63">
        <w:rPr>
          <w:rFonts w:asciiTheme="majorHAnsi" w:hAnsiTheme="majorHAnsi" w:cstheme="majorHAnsi"/>
          <w:sz w:val="24"/>
          <w:szCs w:val="24"/>
        </w:rPr>
        <w:t xml:space="preserve">there is still much to uncover about the specifics of how </w:t>
      </w:r>
      <w:r w:rsidR="001C3E63">
        <w:rPr>
          <w:rFonts w:asciiTheme="majorHAnsi" w:hAnsiTheme="majorHAnsi" w:cstheme="majorHAnsi"/>
          <w:i/>
          <w:iCs/>
          <w:sz w:val="24"/>
          <w:szCs w:val="24"/>
        </w:rPr>
        <w:t>A. baumannii</w:t>
      </w:r>
      <w:r w:rsidR="001C3E63">
        <w:rPr>
          <w:rFonts w:asciiTheme="majorHAnsi" w:hAnsiTheme="majorHAnsi" w:cstheme="majorHAnsi"/>
          <w:sz w:val="24"/>
          <w:szCs w:val="24"/>
        </w:rPr>
        <w:t xml:space="preserve"> responds to host-associated stress conditions.</w:t>
      </w:r>
      <w:r w:rsidR="006771DF">
        <w:rPr>
          <w:rFonts w:asciiTheme="majorHAnsi" w:hAnsiTheme="majorHAnsi" w:cstheme="majorHAnsi"/>
          <w:sz w:val="24"/>
          <w:szCs w:val="24"/>
        </w:rPr>
        <w:t xml:space="preserve"> The research chapters of this dissertation aim to identify some of the missing pieces in these adaptive processes</w:t>
      </w:r>
      <w:r>
        <w:rPr>
          <w:rFonts w:asciiTheme="majorHAnsi" w:hAnsiTheme="majorHAnsi" w:cstheme="majorHAnsi"/>
          <w:sz w:val="24"/>
          <w:szCs w:val="24"/>
        </w:rPr>
        <w:t>.</w:t>
      </w:r>
      <w:r w:rsidR="00E07550">
        <w:rPr>
          <w:rFonts w:asciiTheme="majorHAnsi" w:hAnsiTheme="majorHAnsi" w:cstheme="majorHAnsi"/>
          <w:sz w:val="24"/>
          <w:szCs w:val="24"/>
        </w:rPr>
        <w:t xml:space="preserve"> </w:t>
      </w:r>
      <w:r w:rsidR="000A7697">
        <w:rPr>
          <w:rFonts w:asciiTheme="majorHAnsi" w:hAnsiTheme="majorHAnsi" w:cstheme="majorHAnsi"/>
          <w:sz w:val="24"/>
          <w:szCs w:val="24"/>
        </w:rPr>
        <w:t xml:space="preserve">For instance, how </w:t>
      </w:r>
      <w:r w:rsidR="009B6B76">
        <w:rPr>
          <w:rFonts w:asciiTheme="majorHAnsi" w:hAnsiTheme="majorHAnsi" w:cstheme="majorHAnsi"/>
          <w:sz w:val="24"/>
          <w:szCs w:val="24"/>
        </w:rPr>
        <w:t xml:space="preserve">do </w:t>
      </w:r>
      <w:r w:rsidR="000A7697">
        <w:rPr>
          <w:rFonts w:asciiTheme="majorHAnsi" w:hAnsiTheme="majorHAnsi" w:cstheme="majorHAnsi"/>
          <w:sz w:val="24"/>
          <w:szCs w:val="24"/>
        </w:rPr>
        <w:t xml:space="preserve">multidrug efflux pumps work with the outer membrane to keep </w:t>
      </w:r>
      <w:r>
        <w:rPr>
          <w:rFonts w:asciiTheme="majorHAnsi" w:hAnsiTheme="majorHAnsi" w:cstheme="majorHAnsi"/>
          <w:sz w:val="24"/>
          <w:szCs w:val="24"/>
        </w:rPr>
        <w:t>stressors out while maintaining normal cellular functions</w:t>
      </w:r>
      <w:r w:rsidR="000A7697">
        <w:rPr>
          <w:rFonts w:asciiTheme="majorHAnsi" w:hAnsiTheme="majorHAnsi" w:cstheme="majorHAnsi"/>
          <w:sz w:val="24"/>
          <w:szCs w:val="24"/>
        </w:rPr>
        <w:t xml:space="preserve">? The literature presents the hypothesis that MFS pumps likely facilitate osmolyte uptake and are involved in </w:t>
      </w:r>
      <w:r w:rsidR="00CF5B3C">
        <w:rPr>
          <w:rFonts w:asciiTheme="majorHAnsi" w:hAnsiTheme="majorHAnsi" w:cstheme="majorHAnsi"/>
          <w:sz w:val="24"/>
          <w:szCs w:val="24"/>
        </w:rPr>
        <w:t>cell envelope stress responses that help maintain  membrane integrity</w:t>
      </w:r>
      <w:r w:rsidR="0040211D">
        <w:rPr>
          <w:rFonts w:asciiTheme="majorHAnsi" w:hAnsiTheme="majorHAnsi" w:cstheme="majorHAnsi"/>
          <w:sz w:val="24"/>
          <w:szCs w:val="24"/>
        </w:rPr>
        <w:t xml:space="preserve">, but it is still unclear what specific cellular processes are dependent on these pumps. </w:t>
      </w:r>
      <w:r w:rsidR="00CF5B3C">
        <w:rPr>
          <w:rFonts w:asciiTheme="majorHAnsi" w:hAnsiTheme="majorHAnsi" w:cstheme="majorHAnsi"/>
          <w:sz w:val="24"/>
          <w:szCs w:val="24"/>
        </w:rPr>
        <w:t xml:space="preserve">And while no additive or synergistic effects were seen in antibiotic susceptibility </w:t>
      </w:r>
      <w:r w:rsidR="0040211D">
        <w:rPr>
          <w:rFonts w:asciiTheme="majorHAnsi" w:hAnsiTheme="majorHAnsi" w:cstheme="majorHAnsi"/>
          <w:sz w:val="24"/>
          <w:szCs w:val="24"/>
        </w:rPr>
        <w:t>re</w:t>
      </w:r>
      <w:r w:rsidR="00CF5B3C">
        <w:rPr>
          <w:rFonts w:asciiTheme="majorHAnsi" w:hAnsiTheme="majorHAnsi" w:cstheme="majorHAnsi"/>
          <w:sz w:val="24"/>
          <w:szCs w:val="24"/>
        </w:rPr>
        <w:t xml:space="preserve">sulting from multiple deletions of MFS transporters, perhaps MFS pumps do work additively or synergistically with other multidrug transporters under different stress conditions besides antibiotic pressure. Secondary transporters like MFS and RND pumps provide the cell with energy efficient </w:t>
      </w:r>
      <w:r w:rsidR="00CF5B3C">
        <w:rPr>
          <w:rFonts w:asciiTheme="majorHAnsi" w:hAnsiTheme="majorHAnsi" w:cstheme="majorHAnsi"/>
          <w:sz w:val="24"/>
          <w:szCs w:val="24"/>
        </w:rPr>
        <w:lastRenderedPageBreak/>
        <w:t>substrate transport, compared to active transporters, so they are likely to be relied on by the cell when under stress from limited nutrients</w:t>
      </w:r>
      <w:r w:rsidR="0040211D">
        <w:rPr>
          <w:rFonts w:asciiTheme="majorHAnsi" w:hAnsiTheme="majorHAnsi" w:cstheme="majorHAnsi"/>
          <w:sz w:val="24"/>
          <w:szCs w:val="24"/>
        </w:rPr>
        <w:t xml:space="preserve"> and/or exogenous stressors.</w:t>
      </w:r>
      <w:r w:rsidR="00CF5B3C">
        <w:rPr>
          <w:rFonts w:asciiTheme="majorHAnsi" w:hAnsiTheme="majorHAnsi" w:cstheme="majorHAnsi"/>
          <w:sz w:val="24"/>
          <w:szCs w:val="24"/>
        </w:rPr>
        <w:t xml:space="preserve">   </w:t>
      </w:r>
    </w:p>
    <w:p w14:paraId="490A3268" w14:textId="5E2DAC5D" w:rsidR="0040211D" w:rsidRDefault="0040211D" w:rsidP="000A1FBA">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More research into </w:t>
      </w:r>
      <w:r>
        <w:rPr>
          <w:rFonts w:asciiTheme="majorHAnsi" w:hAnsiTheme="majorHAnsi" w:cstheme="majorHAnsi"/>
          <w:i/>
          <w:iCs/>
          <w:sz w:val="24"/>
          <w:szCs w:val="24"/>
        </w:rPr>
        <w:t>A. baumannii</w:t>
      </w:r>
      <w:r>
        <w:rPr>
          <w:rFonts w:asciiTheme="majorHAnsi" w:hAnsiTheme="majorHAnsi" w:cstheme="majorHAnsi"/>
          <w:sz w:val="24"/>
          <w:szCs w:val="24"/>
        </w:rPr>
        <w:t xml:space="preserve"> active EPIs is also needed. Previous studies have </w:t>
      </w:r>
      <w:r w:rsidR="008D3174">
        <w:rPr>
          <w:rFonts w:asciiTheme="majorHAnsi" w:hAnsiTheme="majorHAnsi" w:cstheme="majorHAnsi"/>
          <w:sz w:val="24"/>
          <w:szCs w:val="24"/>
        </w:rPr>
        <w:t xml:space="preserve">mainly focused on EPIs targeting RND pumps in </w:t>
      </w:r>
      <w:r w:rsidR="008D3174">
        <w:rPr>
          <w:rFonts w:asciiTheme="majorHAnsi" w:hAnsiTheme="majorHAnsi" w:cstheme="majorHAnsi"/>
          <w:i/>
          <w:iCs/>
          <w:sz w:val="24"/>
          <w:szCs w:val="24"/>
        </w:rPr>
        <w:t xml:space="preserve">E. coli </w:t>
      </w:r>
      <w:r w:rsidR="008D3174">
        <w:rPr>
          <w:rFonts w:asciiTheme="majorHAnsi" w:hAnsiTheme="majorHAnsi" w:cstheme="majorHAnsi"/>
          <w:sz w:val="24"/>
          <w:szCs w:val="24"/>
        </w:rPr>
        <w:t xml:space="preserve">and </w:t>
      </w:r>
      <w:r w:rsidR="008D3174">
        <w:rPr>
          <w:rFonts w:asciiTheme="majorHAnsi" w:hAnsiTheme="majorHAnsi" w:cstheme="majorHAnsi"/>
          <w:i/>
          <w:iCs/>
          <w:sz w:val="24"/>
          <w:szCs w:val="24"/>
        </w:rPr>
        <w:t>P. aeruginosa</w:t>
      </w:r>
      <w:r w:rsidR="008D3174">
        <w:rPr>
          <w:rFonts w:asciiTheme="majorHAnsi" w:hAnsiTheme="majorHAnsi" w:cstheme="majorHAnsi"/>
          <w:sz w:val="24"/>
          <w:szCs w:val="24"/>
        </w:rPr>
        <w:t xml:space="preserve">, but none so far have focused on targeting </w:t>
      </w:r>
      <w:r w:rsidR="008D3174">
        <w:rPr>
          <w:rFonts w:asciiTheme="majorHAnsi" w:hAnsiTheme="majorHAnsi" w:cstheme="majorHAnsi"/>
          <w:i/>
          <w:iCs/>
          <w:sz w:val="24"/>
          <w:szCs w:val="24"/>
        </w:rPr>
        <w:t xml:space="preserve">A. baumannii </w:t>
      </w:r>
      <w:r w:rsidR="008D3174">
        <w:rPr>
          <w:rFonts w:asciiTheme="majorHAnsi" w:hAnsiTheme="majorHAnsi" w:cstheme="majorHAnsi"/>
          <w:sz w:val="24"/>
          <w:szCs w:val="24"/>
        </w:rPr>
        <w:t xml:space="preserve">RND transporters like AdeG. </w:t>
      </w:r>
      <w:r>
        <w:rPr>
          <w:rFonts w:asciiTheme="majorHAnsi" w:hAnsiTheme="majorHAnsi" w:cstheme="majorHAnsi"/>
          <w:sz w:val="24"/>
          <w:szCs w:val="24"/>
        </w:rPr>
        <w:tab/>
      </w:r>
      <w:r w:rsidR="008D3174">
        <w:rPr>
          <w:rFonts w:asciiTheme="majorHAnsi" w:hAnsiTheme="majorHAnsi" w:cstheme="majorHAnsi"/>
          <w:sz w:val="24"/>
          <w:szCs w:val="24"/>
        </w:rPr>
        <w:t>This work aims to provide insight into where substrates and EPIs bind in the AdeG transporter. It would also be beneficial to better understand what amino acid residues are important for substrate recognition and selectivity and how a single amino acid mutation may impact substrate specificity and EPI activity.</w:t>
      </w:r>
    </w:p>
    <w:bookmarkEnd w:id="4"/>
    <w:p w14:paraId="16FC0EED" w14:textId="77777777" w:rsidR="00904DF4" w:rsidRPr="000E57B2" w:rsidRDefault="00904DF4" w:rsidP="00C836F0">
      <w:pPr>
        <w:rPr>
          <w:rFonts w:asciiTheme="majorHAnsi" w:hAnsiTheme="majorHAnsi" w:cstheme="majorHAnsi"/>
          <w:i/>
          <w:iCs/>
          <w:sz w:val="24"/>
          <w:szCs w:val="24"/>
        </w:rPr>
      </w:pPr>
    </w:p>
    <w:bookmarkEnd w:id="5"/>
    <w:p w14:paraId="369F6A4E" w14:textId="36E85960" w:rsidR="00156CBA" w:rsidRPr="00734E96" w:rsidRDefault="00EE6B93" w:rsidP="00C836F0">
      <w:pPr>
        <w:rPr>
          <w:rFonts w:asciiTheme="majorHAnsi" w:hAnsiTheme="majorHAnsi" w:cstheme="majorHAnsi"/>
          <w:b/>
          <w:bCs/>
          <w:sz w:val="24"/>
          <w:szCs w:val="24"/>
        </w:rPr>
      </w:pPr>
      <w:r>
        <w:rPr>
          <w:rFonts w:asciiTheme="majorHAnsi" w:hAnsiTheme="majorHAnsi" w:cstheme="majorHAnsi"/>
          <w:b/>
          <w:bCs/>
          <w:sz w:val="24"/>
          <w:szCs w:val="24"/>
        </w:rPr>
        <w:t xml:space="preserve">Chapter 2: </w:t>
      </w:r>
      <w:r w:rsidR="00156CBA" w:rsidRPr="00734E96">
        <w:rPr>
          <w:rFonts w:asciiTheme="majorHAnsi" w:hAnsiTheme="majorHAnsi" w:cstheme="majorHAnsi"/>
          <w:b/>
          <w:bCs/>
          <w:sz w:val="24"/>
          <w:szCs w:val="24"/>
        </w:rPr>
        <w:t>Methods</w:t>
      </w:r>
    </w:p>
    <w:p w14:paraId="0F877527" w14:textId="6C92ECAF" w:rsidR="00156CBA" w:rsidRPr="00734E96" w:rsidRDefault="007D3623" w:rsidP="00C836F0">
      <w:pPr>
        <w:rPr>
          <w:rFonts w:asciiTheme="majorHAnsi" w:hAnsiTheme="majorHAnsi" w:cstheme="majorHAnsi"/>
          <w:sz w:val="24"/>
          <w:szCs w:val="24"/>
          <w:u w:val="single"/>
        </w:rPr>
      </w:pPr>
      <w:r>
        <w:rPr>
          <w:rFonts w:asciiTheme="majorHAnsi" w:hAnsiTheme="majorHAnsi" w:cstheme="majorHAnsi"/>
          <w:sz w:val="24"/>
          <w:szCs w:val="24"/>
          <w:u w:val="single"/>
        </w:rPr>
        <w:t>2.1</w:t>
      </w:r>
      <w:r w:rsidR="00D11D23">
        <w:rPr>
          <w:rFonts w:asciiTheme="majorHAnsi" w:hAnsiTheme="majorHAnsi" w:cstheme="majorHAnsi"/>
          <w:sz w:val="24"/>
          <w:szCs w:val="24"/>
          <w:u w:val="single"/>
        </w:rPr>
        <w:t>.</w:t>
      </w:r>
      <w:r>
        <w:rPr>
          <w:rFonts w:asciiTheme="majorHAnsi" w:hAnsiTheme="majorHAnsi" w:cstheme="majorHAnsi"/>
          <w:sz w:val="24"/>
          <w:szCs w:val="24"/>
          <w:u w:val="single"/>
        </w:rPr>
        <w:t xml:space="preserve"> </w:t>
      </w:r>
      <w:r w:rsidR="00156CBA" w:rsidRPr="00734E96">
        <w:rPr>
          <w:rFonts w:asciiTheme="majorHAnsi" w:hAnsiTheme="majorHAnsi" w:cstheme="majorHAnsi"/>
          <w:sz w:val="24"/>
          <w:szCs w:val="24"/>
          <w:u w:val="single"/>
        </w:rPr>
        <w:t>Tables</w:t>
      </w:r>
    </w:p>
    <w:p w14:paraId="18FF6198" w14:textId="1BAE8AA9" w:rsidR="00156CBA" w:rsidRDefault="003A1040" w:rsidP="00C836F0">
      <w:pPr>
        <w:rPr>
          <w:rFonts w:asciiTheme="majorHAnsi" w:hAnsiTheme="majorHAnsi" w:cstheme="majorHAnsi"/>
          <w:b/>
          <w:bCs/>
          <w:sz w:val="24"/>
          <w:szCs w:val="24"/>
        </w:rPr>
      </w:pPr>
      <w:r>
        <w:rPr>
          <w:rFonts w:asciiTheme="majorHAnsi" w:hAnsiTheme="majorHAnsi" w:cstheme="majorHAnsi"/>
          <w:b/>
          <w:bCs/>
          <w:sz w:val="24"/>
          <w:szCs w:val="24"/>
        </w:rPr>
        <w:t xml:space="preserve">Table </w:t>
      </w:r>
      <w:r w:rsidR="00265E3A">
        <w:rPr>
          <w:rFonts w:asciiTheme="majorHAnsi" w:hAnsiTheme="majorHAnsi" w:cstheme="majorHAnsi"/>
          <w:b/>
          <w:bCs/>
          <w:sz w:val="24"/>
          <w:szCs w:val="24"/>
        </w:rPr>
        <w:t>2</w:t>
      </w:r>
      <w:r>
        <w:rPr>
          <w:rFonts w:asciiTheme="majorHAnsi" w:hAnsiTheme="majorHAnsi" w:cstheme="majorHAnsi"/>
          <w:b/>
          <w:bCs/>
          <w:sz w:val="24"/>
          <w:szCs w:val="24"/>
        </w:rPr>
        <w:t>.</w:t>
      </w:r>
      <w:r w:rsidR="00265E3A">
        <w:rPr>
          <w:rFonts w:asciiTheme="majorHAnsi" w:hAnsiTheme="majorHAnsi" w:cstheme="majorHAnsi"/>
          <w:b/>
          <w:bCs/>
          <w:sz w:val="24"/>
          <w:szCs w:val="24"/>
        </w:rPr>
        <w:t>1</w:t>
      </w:r>
      <w:r>
        <w:rPr>
          <w:rFonts w:asciiTheme="majorHAnsi" w:hAnsiTheme="majorHAnsi" w:cstheme="majorHAnsi"/>
          <w:b/>
          <w:bCs/>
          <w:sz w:val="24"/>
          <w:szCs w:val="24"/>
        </w:rPr>
        <w:t xml:space="preserve"> - List of </w:t>
      </w:r>
      <w:r w:rsidR="007D3623">
        <w:rPr>
          <w:rFonts w:asciiTheme="majorHAnsi" w:hAnsiTheme="majorHAnsi" w:cstheme="majorHAnsi"/>
          <w:b/>
          <w:bCs/>
          <w:sz w:val="24"/>
          <w:szCs w:val="24"/>
        </w:rPr>
        <w:t>b</w:t>
      </w:r>
      <w:r>
        <w:rPr>
          <w:rFonts w:asciiTheme="majorHAnsi" w:hAnsiTheme="majorHAnsi" w:cstheme="majorHAnsi"/>
          <w:b/>
          <w:bCs/>
          <w:sz w:val="24"/>
          <w:szCs w:val="24"/>
        </w:rPr>
        <w:t xml:space="preserve">acterial </w:t>
      </w:r>
      <w:r w:rsidR="007D3623">
        <w:rPr>
          <w:rFonts w:asciiTheme="majorHAnsi" w:hAnsiTheme="majorHAnsi" w:cstheme="majorHAnsi"/>
          <w:b/>
          <w:bCs/>
          <w:sz w:val="24"/>
          <w:szCs w:val="24"/>
        </w:rPr>
        <w:t>s</w:t>
      </w:r>
      <w:r>
        <w:rPr>
          <w:rFonts w:asciiTheme="majorHAnsi" w:hAnsiTheme="majorHAnsi" w:cstheme="majorHAnsi"/>
          <w:b/>
          <w:bCs/>
          <w:sz w:val="24"/>
          <w:szCs w:val="24"/>
        </w:rPr>
        <w:t xml:space="preserve">trains </w:t>
      </w:r>
      <w:r w:rsidR="00ED0ACA">
        <w:rPr>
          <w:rFonts w:asciiTheme="majorHAnsi" w:hAnsiTheme="majorHAnsi" w:cstheme="majorHAnsi"/>
          <w:b/>
          <w:bCs/>
          <w:sz w:val="24"/>
          <w:szCs w:val="24"/>
        </w:rPr>
        <w:t>u</w:t>
      </w:r>
      <w:r>
        <w:rPr>
          <w:rFonts w:asciiTheme="majorHAnsi" w:hAnsiTheme="majorHAnsi" w:cstheme="majorHAnsi"/>
          <w:b/>
          <w:bCs/>
          <w:sz w:val="24"/>
          <w:szCs w:val="24"/>
        </w:rPr>
        <w:t xml:space="preserve">sed in these </w:t>
      </w:r>
      <w:proofErr w:type="gramStart"/>
      <w:r w:rsidR="007D3623">
        <w:rPr>
          <w:rFonts w:asciiTheme="majorHAnsi" w:hAnsiTheme="majorHAnsi" w:cstheme="majorHAnsi"/>
          <w:b/>
          <w:bCs/>
          <w:sz w:val="24"/>
          <w:szCs w:val="24"/>
        </w:rPr>
        <w:t>s</w:t>
      </w:r>
      <w:r>
        <w:rPr>
          <w:rFonts w:asciiTheme="majorHAnsi" w:hAnsiTheme="majorHAnsi" w:cstheme="majorHAnsi"/>
          <w:b/>
          <w:bCs/>
          <w:sz w:val="24"/>
          <w:szCs w:val="24"/>
        </w:rPr>
        <w:t>tudies</w:t>
      </w:r>
      <w:proofErr w:type="gramEnd"/>
    </w:p>
    <w:tbl>
      <w:tblPr>
        <w:tblStyle w:val="TableGrid"/>
        <w:tblW w:w="0" w:type="auto"/>
        <w:tblLook w:val="04A0" w:firstRow="1" w:lastRow="0" w:firstColumn="1" w:lastColumn="0" w:noHBand="0" w:noVBand="1"/>
      </w:tblPr>
      <w:tblGrid>
        <w:gridCol w:w="1975"/>
        <w:gridCol w:w="1170"/>
        <w:gridCol w:w="4140"/>
        <w:gridCol w:w="1345"/>
      </w:tblGrid>
      <w:tr w:rsidR="003A1040" w14:paraId="13A95850" w14:textId="77777777" w:rsidTr="00AA2D0F">
        <w:tc>
          <w:tcPr>
            <w:tcW w:w="1975" w:type="dxa"/>
            <w:tcBorders>
              <w:right w:val="nil"/>
            </w:tcBorders>
          </w:tcPr>
          <w:p w14:paraId="3A9FEE81" w14:textId="77777777" w:rsidR="003A1040" w:rsidRPr="008373B2"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i/>
                <w:iCs/>
                <w:sz w:val="24"/>
                <w:szCs w:val="24"/>
              </w:rPr>
              <w:t>Escherichia coli</w:t>
            </w:r>
          </w:p>
        </w:tc>
        <w:tc>
          <w:tcPr>
            <w:tcW w:w="5310" w:type="dxa"/>
            <w:gridSpan w:val="2"/>
            <w:tcBorders>
              <w:left w:val="nil"/>
              <w:right w:val="nil"/>
            </w:tcBorders>
          </w:tcPr>
          <w:p w14:paraId="248DA4A1" w14:textId="77777777" w:rsidR="003A1040" w:rsidRDefault="003A1040" w:rsidP="00AA2D0F">
            <w:pPr>
              <w:spacing w:line="360" w:lineRule="auto"/>
              <w:rPr>
                <w:rFonts w:ascii="Times New Roman" w:hAnsi="Times New Roman" w:cs="Times New Roman"/>
                <w:b/>
                <w:bCs/>
                <w:sz w:val="24"/>
                <w:szCs w:val="24"/>
              </w:rPr>
            </w:pPr>
          </w:p>
        </w:tc>
        <w:tc>
          <w:tcPr>
            <w:tcW w:w="1345" w:type="dxa"/>
            <w:tcBorders>
              <w:left w:val="nil"/>
            </w:tcBorders>
          </w:tcPr>
          <w:p w14:paraId="68F17F31" w14:textId="77777777" w:rsidR="003A1040" w:rsidRDefault="003A1040" w:rsidP="00AA2D0F">
            <w:pPr>
              <w:spacing w:line="360" w:lineRule="auto"/>
              <w:rPr>
                <w:rFonts w:ascii="Times New Roman" w:hAnsi="Times New Roman" w:cs="Times New Roman"/>
                <w:b/>
                <w:bCs/>
                <w:sz w:val="24"/>
                <w:szCs w:val="24"/>
              </w:rPr>
            </w:pPr>
          </w:p>
        </w:tc>
      </w:tr>
      <w:tr w:rsidR="003A1040" w14:paraId="59E99DAB" w14:textId="77777777" w:rsidTr="00AA2D0F">
        <w:tc>
          <w:tcPr>
            <w:tcW w:w="1975" w:type="dxa"/>
          </w:tcPr>
          <w:p w14:paraId="62ADC2E9" w14:textId="77777777" w:rsidR="003A1040" w:rsidRPr="008373B2"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Strains</w:t>
            </w:r>
          </w:p>
        </w:tc>
        <w:tc>
          <w:tcPr>
            <w:tcW w:w="5310" w:type="dxa"/>
            <w:gridSpan w:val="2"/>
          </w:tcPr>
          <w:p w14:paraId="3F1B5A48" w14:textId="77777777" w:rsidR="003A1040"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Relevant Genotype</w:t>
            </w:r>
          </w:p>
        </w:tc>
        <w:tc>
          <w:tcPr>
            <w:tcW w:w="1345" w:type="dxa"/>
          </w:tcPr>
          <w:p w14:paraId="17635CBE" w14:textId="77777777" w:rsidR="003A1040"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Source</w:t>
            </w:r>
          </w:p>
        </w:tc>
      </w:tr>
      <w:tr w:rsidR="003A1040" w14:paraId="1DC51B67" w14:textId="77777777" w:rsidTr="00EF30E4">
        <w:tc>
          <w:tcPr>
            <w:tcW w:w="1975" w:type="dxa"/>
          </w:tcPr>
          <w:p w14:paraId="72528F3F" w14:textId="77777777" w:rsidR="003A1040" w:rsidRPr="001E0A29" w:rsidRDefault="003A1040" w:rsidP="00AA2D0F">
            <w:pPr>
              <w:spacing w:line="360" w:lineRule="auto"/>
              <w:rPr>
                <w:rFonts w:ascii="Times New Roman" w:hAnsi="Times New Roman" w:cs="Times New Roman"/>
                <w:sz w:val="24"/>
                <w:szCs w:val="24"/>
              </w:rPr>
            </w:pPr>
            <w:r w:rsidRPr="001E0A29">
              <w:rPr>
                <w:rFonts w:ascii="Times New Roman" w:hAnsi="Times New Roman" w:cs="Times New Roman"/>
                <w:sz w:val="24"/>
                <w:szCs w:val="24"/>
              </w:rPr>
              <w:t>BW 25113</w:t>
            </w:r>
          </w:p>
        </w:tc>
        <w:tc>
          <w:tcPr>
            <w:tcW w:w="5310" w:type="dxa"/>
            <w:gridSpan w:val="2"/>
          </w:tcPr>
          <w:p w14:paraId="644E53D4" w14:textId="77777777" w:rsidR="003A1040" w:rsidRPr="001E0A29" w:rsidRDefault="003A1040" w:rsidP="00AA2D0F">
            <w:pPr>
              <w:spacing w:line="360" w:lineRule="auto"/>
              <w:rPr>
                <w:rFonts w:ascii="Times New Roman" w:hAnsi="Times New Roman" w:cs="Times New Roman"/>
                <w:sz w:val="24"/>
                <w:szCs w:val="24"/>
              </w:rPr>
            </w:pPr>
            <w:r>
              <w:rPr>
                <w:rFonts w:ascii="Times New Roman" w:hAnsi="Times New Roman" w:cs="Times New Roman"/>
                <w:sz w:val="24"/>
                <w:szCs w:val="24"/>
              </w:rPr>
              <w:t>Wild-type strain Δ(</w:t>
            </w:r>
            <w:proofErr w:type="spellStart"/>
            <w:r w:rsidRPr="00DC1A98">
              <w:rPr>
                <w:rFonts w:ascii="Times New Roman" w:hAnsi="Times New Roman" w:cs="Times New Roman"/>
                <w:i/>
                <w:iCs/>
                <w:sz w:val="24"/>
                <w:szCs w:val="24"/>
              </w:rPr>
              <w:t>araD-araB</w:t>
            </w:r>
            <w:proofErr w:type="spellEnd"/>
            <w:r>
              <w:rPr>
                <w:rFonts w:ascii="Times New Roman" w:hAnsi="Times New Roman" w:cs="Times New Roman"/>
                <w:sz w:val="24"/>
                <w:szCs w:val="24"/>
              </w:rPr>
              <w:t>)567 Δ(</w:t>
            </w:r>
            <w:proofErr w:type="spellStart"/>
            <w:r w:rsidRPr="00DC1A98">
              <w:rPr>
                <w:rFonts w:ascii="Times New Roman" w:hAnsi="Times New Roman" w:cs="Times New Roman"/>
                <w:i/>
                <w:iCs/>
                <w:sz w:val="24"/>
                <w:szCs w:val="24"/>
              </w:rPr>
              <w:t>rhaD-rhaB</w:t>
            </w:r>
            <w:proofErr w:type="spellEnd"/>
            <w:r>
              <w:rPr>
                <w:rFonts w:ascii="Times New Roman" w:hAnsi="Times New Roman" w:cs="Times New Roman"/>
                <w:sz w:val="24"/>
                <w:szCs w:val="24"/>
              </w:rPr>
              <w:t>)568 Δ</w:t>
            </w:r>
            <w:r w:rsidRPr="00DC1A98">
              <w:rPr>
                <w:rFonts w:ascii="Times New Roman" w:hAnsi="Times New Roman" w:cs="Times New Roman"/>
                <w:i/>
                <w:iCs/>
                <w:sz w:val="24"/>
                <w:szCs w:val="24"/>
              </w:rPr>
              <w:t>lacZ</w:t>
            </w:r>
            <w:r>
              <w:rPr>
                <w:rFonts w:ascii="Times New Roman" w:hAnsi="Times New Roman" w:cs="Times New Roman"/>
                <w:sz w:val="24"/>
                <w:szCs w:val="24"/>
              </w:rPr>
              <w:t>4787 (::rrnB-3) hsdR514 rph-1</w:t>
            </w:r>
          </w:p>
        </w:tc>
        <w:tc>
          <w:tcPr>
            <w:tcW w:w="1345" w:type="dxa"/>
            <w:vAlign w:val="center"/>
          </w:tcPr>
          <w:p w14:paraId="2BF2D43E" w14:textId="5F1DBB00" w:rsidR="003A1040"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{"citationID":"Y6khSybD","properties":{"formattedCitation":"\\super 110\\nosupersub{}","plainCitation":"110","noteIndex":0},"citationItems":[{"id":2005,"uris":["http://zotero.org/users/1918630/items/4KSIAE8U"],"itemData":{"id":2005,"type":"article-journal","abstract":"Escherichia coli BW25113 is the parent strain of the Keio collection comprising nearly 4,000 single-gene deletion mutants. We report the complete 4,631,469-bp genome sequence of this strain and the key variations from the type strain E. coli MG1655.","container-title":"Genome Announcements","DOI":"10.1128/genomea.01038-14","issue":"5","note":"publisher: American Society for Microbiology","page":"10.1128/genomea.01038-14","source":"journals.asm.org (Atypon)","title":"Complete Genome Sequence of Escherichia coli BW25113","volume":"2","author":[{"family":"Grenier","given":"Frédéric"},{"family":"Matteau","given":"Dominick"},{"family":"Baby","given":"Vincent"},{"family":"Rodrigue","given":"Sébastien"}],"issued":{"date-parts":[["2014",10,16]]}}}],"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110</w:t>
            </w:r>
            <w:r>
              <w:rPr>
                <w:rFonts w:ascii="Times New Roman" w:hAnsi="Times New Roman" w:cs="Times New Roman"/>
                <w:sz w:val="24"/>
                <w:szCs w:val="24"/>
              </w:rPr>
              <w:fldChar w:fldCharType="end"/>
            </w:r>
          </w:p>
        </w:tc>
      </w:tr>
      <w:tr w:rsidR="003A1040" w14:paraId="38F622CA" w14:textId="77777777" w:rsidTr="00EF30E4">
        <w:tc>
          <w:tcPr>
            <w:tcW w:w="1975" w:type="dxa"/>
          </w:tcPr>
          <w:p w14:paraId="2DB8FFD5" w14:textId="77777777" w:rsidR="003A1040" w:rsidRPr="001E0A29" w:rsidRDefault="003A1040" w:rsidP="00AA2D0F">
            <w:pPr>
              <w:spacing w:line="360" w:lineRule="auto"/>
              <w:rPr>
                <w:rFonts w:ascii="Times New Roman" w:hAnsi="Times New Roman" w:cs="Times New Roman"/>
                <w:sz w:val="24"/>
                <w:szCs w:val="24"/>
              </w:rPr>
            </w:pPr>
            <w:r>
              <w:rPr>
                <w:rFonts w:ascii="Times New Roman" w:hAnsi="Times New Roman" w:cs="Times New Roman"/>
                <w:sz w:val="24"/>
                <w:szCs w:val="24"/>
              </w:rPr>
              <w:t>DH5a</w:t>
            </w:r>
          </w:p>
        </w:tc>
        <w:tc>
          <w:tcPr>
            <w:tcW w:w="5310" w:type="dxa"/>
            <w:gridSpan w:val="2"/>
          </w:tcPr>
          <w:p w14:paraId="2D3B57CF" w14:textId="18559665" w:rsidR="003A1040" w:rsidRPr="00042322" w:rsidRDefault="00A44DF5" w:rsidP="00AA2D0F">
            <w:pPr>
              <w:spacing w:line="360" w:lineRule="auto"/>
              <w:rPr>
                <w:rFonts w:ascii="Times New Roman" w:hAnsi="Times New Roman" w:cs="Times New Roman"/>
                <w:sz w:val="24"/>
                <w:szCs w:val="24"/>
                <w:lang w:val="es-ES"/>
              </w:rPr>
            </w:pPr>
            <w:r w:rsidRPr="00042322">
              <w:rPr>
                <w:i/>
                <w:iCs/>
                <w:sz w:val="24"/>
                <w:szCs w:val="24"/>
                <w:lang w:val="es-ES"/>
              </w:rPr>
              <w:t xml:space="preserve">fhuA2 </w:t>
            </w:r>
            <w:proofErr w:type="spellStart"/>
            <w:r w:rsidRPr="00042322">
              <w:rPr>
                <w:i/>
                <w:iCs/>
                <w:sz w:val="24"/>
                <w:szCs w:val="24"/>
                <w:lang w:val="es-ES"/>
              </w:rPr>
              <w:t>lac</w:t>
            </w:r>
            <w:proofErr w:type="spellEnd"/>
            <w:r w:rsidRPr="00042322">
              <w:rPr>
                <w:i/>
                <w:iCs/>
                <w:sz w:val="24"/>
                <w:szCs w:val="24"/>
                <w:lang w:val="es-ES"/>
              </w:rPr>
              <w:t xml:space="preserve">(del)U169 </w:t>
            </w:r>
            <w:proofErr w:type="spellStart"/>
            <w:r w:rsidRPr="00042322">
              <w:rPr>
                <w:i/>
                <w:iCs/>
                <w:sz w:val="24"/>
                <w:szCs w:val="24"/>
                <w:lang w:val="es-ES"/>
              </w:rPr>
              <w:t>phoA</w:t>
            </w:r>
            <w:proofErr w:type="spellEnd"/>
            <w:r w:rsidRPr="00042322">
              <w:rPr>
                <w:i/>
                <w:iCs/>
                <w:sz w:val="24"/>
                <w:szCs w:val="24"/>
                <w:lang w:val="es-ES"/>
              </w:rPr>
              <w:t xml:space="preserve"> glnV44 </w:t>
            </w:r>
            <w:r w:rsidRPr="00A44DF5">
              <w:rPr>
                <w:i/>
                <w:iCs/>
                <w:sz w:val="24"/>
                <w:szCs w:val="24"/>
              </w:rPr>
              <w:t>Φ</w:t>
            </w:r>
            <w:r w:rsidRPr="00042322">
              <w:rPr>
                <w:i/>
                <w:iCs/>
                <w:sz w:val="24"/>
                <w:szCs w:val="24"/>
                <w:lang w:val="es-ES"/>
              </w:rPr>
              <w:t xml:space="preserve">80' </w:t>
            </w:r>
            <w:proofErr w:type="spellStart"/>
            <w:r w:rsidRPr="00042322">
              <w:rPr>
                <w:i/>
                <w:iCs/>
                <w:sz w:val="24"/>
                <w:szCs w:val="24"/>
                <w:lang w:val="es-ES"/>
              </w:rPr>
              <w:t>lacZ</w:t>
            </w:r>
            <w:proofErr w:type="spellEnd"/>
            <w:r w:rsidRPr="00042322">
              <w:rPr>
                <w:i/>
                <w:iCs/>
                <w:sz w:val="24"/>
                <w:szCs w:val="24"/>
                <w:lang w:val="es-ES"/>
              </w:rPr>
              <w:t>(del)M15 gyrA96 recA1 relA1 endA1 thi-1 hsdR17</w:t>
            </w:r>
          </w:p>
        </w:tc>
        <w:tc>
          <w:tcPr>
            <w:tcW w:w="1345" w:type="dxa"/>
            <w:vAlign w:val="center"/>
          </w:tcPr>
          <w:p w14:paraId="58A47A56" w14:textId="5D561A3D" w:rsidR="003A1040" w:rsidRPr="001E0A29" w:rsidRDefault="00A44DF5"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{"citationID":"csdFEKV7","properties":{"formattedCitation":"\\super 111\\nosupersub{}","plainCitation":"111","noteIndex":0},"citationItems":[{"id":1817,"uris":["http://zotero.org/users/1918630/items/XJN8T3IR"],"itemData":{"id":1817,"type":"article-journal","container-title":"Nucleic Acids Research","DOI":"10.1093/nar/21.7.1677","ISSN":"0305-1048","issue":"7","journalAbbreviation":"Nucleic Acids Res","language":"eng","note":"PMID: 8479929\nPMCID: PMC309390","page":"1677-1678","source":"PubMed","title":"E. coli host strains significantly affect the quality of small scale plasmid DNA preparations used for sequencing","volume":"21","author":[{"family":"Taylor","given":"R. G."},{"family":"Walker","given":"D. C."},{"family":"McInnes","given":"R. R."}],"issued":{"date-parts":[["1993",4,11]]}}}],"schema":"https://github.com/citation-style-language/schema/raw/master/csl-citation.json"}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111</w:t>
            </w:r>
            <w:r>
              <w:rPr>
                <w:rFonts w:ascii="Times New Roman" w:hAnsi="Times New Roman" w:cs="Times New Roman"/>
                <w:sz w:val="24"/>
                <w:szCs w:val="24"/>
              </w:rPr>
              <w:fldChar w:fldCharType="end"/>
            </w:r>
          </w:p>
        </w:tc>
      </w:tr>
      <w:tr w:rsidR="003A1040" w14:paraId="55A553E3" w14:textId="77777777" w:rsidTr="00EF30E4">
        <w:tc>
          <w:tcPr>
            <w:tcW w:w="1975" w:type="dxa"/>
            <w:tcBorders>
              <w:bottom w:val="single" w:sz="4" w:space="0" w:color="auto"/>
            </w:tcBorders>
          </w:tcPr>
          <w:p w14:paraId="55A16849" w14:textId="6758B9C4" w:rsidR="003A1040" w:rsidRPr="00A44DF5" w:rsidRDefault="003A1040" w:rsidP="00A44DF5">
            <w:pPr>
              <w:pStyle w:val="Heading1"/>
              <w:rPr>
                <w:b w:val="0"/>
                <w:bCs w:val="0"/>
                <w:lang w:val="en"/>
              </w:rPr>
            </w:pPr>
            <w:r w:rsidRPr="00A44DF5">
              <w:rPr>
                <w:b w:val="0"/>
                <w:bCs w:val="0"/>
                <w:sz w:val="24"/>
                <w:szCs w:val="24"/>
              </w:rPr>
              <w:t>Sm10</w:t>
            </w:r>
            <w:r w:rsidR="00A44DF5" w:rsidRPr="00A44DF5">
              <w:rPr>
                <w:b w:val="0"/>
                <w:bCs w:val="0"/>
                <w:sz w:val="24"/>
                <w:szCs w:val="24"/>
              </w:rPr>
              <w:t>(</w:t>
            </w:r>
            <w:proofErr w:type="spellStart"/>
            <w:r w:rsidR="00A44DF5" w:rsidRPr="00A44DF5">
              <w:rPr>
                <w:b w:val="0"/>
                <w:bCs w:val="0"/>
                <w:sz w:val="24"/>
                <w:szCs w:val="24"/>
                <w:lang w:val="en"/>
              </w:rPr>
              <w:t>λpir</w:t>
            </w:r>
            <w:proofErr w:type="spellEnd"/>
            <w:r w:rsidR="00A44DF5">
              <w:rPr>
                <w:b w:val="0"/>
                <w:bCs w:val="0"/>
                <w:sz w:val="24"/>
                <w:szCs w:val="24"/>
                <w:lang w:val="en"/>
              </w:rPr>
              <w:t>)</w:t>
            </w:r>
          </w:p>
        </w:tc>
        <w:tc>
          <w:tcPr>
            <w:tcW w:w="5310" w:type="dxa"/>
            <w:gridSpan w:val="2"/>
          </w:tcPr>
          <w:p w14:paraId="2C2AAE9C" w14:textId="483E4990" w:rsidR="003A1040" w:rsidRPr="001E0A29" w:rsidRDefault="00A44DF5" w:rsidP="00AA2D0F">
            <w:pPr>
              <w:spacing w:line="360" w:lineRule="auto"/>
              <w:rPr>
                <w:rFonts w:ascii="Times New Roman" w:hAnsi="Times New Roman" w:cs="Times New Roman"/>
                <w:sz w:val="24"/>
                <w:szCs w:val="24"/>
              </w:rPr>
            </w:pPr>
            <w:proofErr w:type="spellStart"/>
            <w:r w:rsidRPr="00DC1A98">
              <w:rPr>
                <w:i/>
                <w:iCs/>
                <w:sz w:val="24"/>
                <w:szCs w:val="24"/>
              </w:rPr>
              <w:t>thi</w:t>
            </w:r>
            <w:proofErr w:type="spellEnd"/>
            <w:r w:rsidRPr="00DC1A98">
              <w:rPr>
                <w:i/>
                <w:iCs/>
                <w:sz w:val="24"/>
                <w:szCs w:val="24"/>
              </w:rPr>
              <w:t xml:space="preserve"> </w:t>
            </w:r>
            <w:proofErr w:type="spellStart"/>
            <w:r w:rsidRPr="00DC1A98">
              <w:rPr>
                <w:i/>
                <w:iCs/>
                <w:sz w:val="24"/>
                <w:szCs w:val="24"/>
              </w:rPr>
              <w:t>thr</w:t>
            </w:r>
            <w:proofErr w:type="spellEnd"/>
            <w:r w:rsidRPr="00DC1A98">
              <w:rPr>
                <w:i/>
                <w:iCs/>
                <w:sz w:val="24"/>
                <w:szCs w:val="24"/>
              </w:rPr>
              <w:t xml:space="preserve"> leu </w:t>
            </w:r>
            <w:proofErr w:type="spellStart"/>
            <w:r w:rsidRPr="00DC1A98">
              <w:rPr>
                <w:i/>
                <w:iCs/>
                <w:sz w:val="24"/>
                <w:szCs w:val="24"/>
              </w:rPr>
              <w:t>tonA</w:t>
            </w:r>
            <w:proofErr w:type="spellEnd"/>
            <w:r w:rsidRPr="00DC1A98">
              <w:rPr>
                <w:i/>
                <w:iCs/>
                <w:sz w:val="24"/>
                <w:szCs w:val="24"/>
              </w:rPr>
              <w:t xml:space="preserve"> </w:t>
            </w:r>
            <w:proofErr w:type="spellStart"/>
            <w:r w:rsidRPr="00DC1A98">
              <w:rPr>
                <w:i/>
                <w:iCs/>
                <w:sz w:val="24"/>
                <w:szCs w:val="24"/>
              </w:rPr>
              <w:t>lacY</w:t>
            </w:r>
            <w:proofErr w:type="spellEnd"/>
            <w:r w:rsidRPr="00DC1A98">
              <w:rPr>
                <w:i/>
                <w:iCs/>
                <w:sz w:val="24"/>
                <w:szCs w:val="24"/>
              </w:rPr>
              <w:t xml:space="preserve"> </w:t>
            </w:r>
            <w:proofErr w:type="spellStart"/>
            <w:r w:rsidRPr="00DC1A98">
              <w:rPr>
                <w:i/>
                <w:iCs/>
                <w:sz w:val="24"/>
                <w:szCs w:val="24"/>
              </w:rPr>
              <w:t>supE</w:t>
            </w:r>
            <w:proofErr w:type="spellEnd"/>
            <w:r w:rsidRPr="00DC1A98">
              <w:rPr>
                <w:i/>
                <w:iCs/>
                <w:sz w:val="24"/>
                <w:szCs w:val="24"/>
              </w:rPr>
              <w:t xml:space="preserve"> </w:t>
            </w:r>
            <w:proofErr w:type="spellStart"/>
            <w:r w:rsidRPr="00DC1A98">
              <w:rPr>
                <w:i/>
                <w:iCs/>
                <w:sz w:val="24"/>
                <w:szCs w:val="24"/>
              </w:rPr>
              <w:t>recA</w:t>
            </w:r>
            <w:proofErr w:type="spellEnd"/>
            <w:r w:rsidRPr="00A44DF5">
              <w:rPr>
                <w:sz w:val="24"/>
                <w:szCs w:val="24"/>
              </w:rPr>
              <w:t xml:space="preserve">::RP4-2-TcR::Mu </w:t>
            </w:r>
            <w:proofErr w:type="spellStart"/>
            <w:r w:rsidRPr="00A44DF5">
              <w:rPr>
                <w:sz w:val="24"/>
                <w:szCs w:val="24"/>
              </w:rPr>
              <w:t>KmR</w:t>
            </w:r>
            <w:proofErr w:type="spellEnd"/>
            <w:r w:rsidRPr="00A44DF5">
              <w:rPr>
                <w:sz w:val="24"/>
                <w:szCs w:val="24"/>
              </w:rPr>
              <w:t xml:space="preserve"> </w:t>
            </w:r>
            <w:proofErr w:type="spellStart"/>
            <w:r w:rsidRPr="00A44DF5">
              <w:rPr>
                <w:sz w:val="24"/>
                <w:szCs w:val="24"/>
              </w:rPr>
              <w:t>λpir</w:t>
            </w:r>
            <w:proofErr w:type="spellEnd"/>
          </w:p>
        </w:tc>
        <w:tc>
          <w:tcPr>
            <w:tcW w:w="1345" w:type="dxa"/>
            <w:tcBorders>
              <w:bottom w:val="single" w:sz="4" w:space="0" w:color="auto"/>
            </w:tcBorders>
            <w:vAlign w:val="center"/>
          </w:tcPr>
          <w:p w14:paraId="7C795456" w14:textId="3C322E1D" w:rsidR="003A1040" w:rsidRPr="001E0A29" w:rsidRDefault="00A44DF5"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{"citationID":"lZhdeNvD","properties":{"formattedCitation":"\\super 112\\nosupersub{}","plainCitation":"112","noteIndex":0},"citationItems":[{"id":1815,"uris":["http://zotero.org/users/1918630/items/SZNS8PSM"],"itemData":{"id":1815,"type":"article-journal","abstract":"We have developed a new vector strategy for the insertion of foreign genes into the genomes of gram negative bacteria not closely related to Escherichia coli. The system consists of two components: special E. coli donor strains and derivatives of E. coli vector plasmids. The donor strains (called mobilizing strains) carry the transfer genes of the broad host range IncP–type plasmid RP4 integrated in their chromosomes. They can utilize any gram negative bacterium as a recipient for conjugative DNA transfer. The vector plasmids contain the P–type specific recognition site for mobilization (Mob site) and can be mobilized with high frequency from the donor strains. The mobilizable vectors are derived from the commonly used E. coli vectors pACYC184, pACYC177, and pBR325, and are unable to replicate in strains outside the enteric bacterial group. Therefore, they are widely applicable as transposon carrier replicons for random transposon insertion mutagenesis in any strain into which they can be mobilized but not stably maintained. The vectors are especially useful for site–directed transposon mutagenesis and for site–specific gene transfer in a wide variety of gram negative organisms.","container-title":"Bio/Technology","DOI":"10.1038/nbt1183-784","ISSN":"1546-1696","issue":"9","journalAbbreviation":"Nat Biotechnol","language":"en","license":"1983 Nature Publishing Company","note":"number: 9\npublisher: Nature Publishing Group","page":"784-791","source":"www.nature.com","title":"A Broad Host Range Mobilization System for In Vivo Genetic Engineering: Transposon Mutagenesis in Gram Negative Bacteria","title-short":"A Broad Host Range Mobilization System for In Vivo Genetic Engineering","volume":"1","author":[{"family":"Simon","given":"R."},{"family":"Priefer","given":"U."},{"family":"Pühler","given":"A."}],"issued":{"date-parts":[["1983",11]]}}}],"schema":"https://github.com/citation-style-language/schema/raw/master/csl-citation.json"}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112</w:t>
            </w:r>
            <w:r>
              <w:rPr>
                <w:rFonts w:ascii="Times New Roman" w:hAnsi="Times New Roman" w:cs="Times New Roman"/>
                <w:sz w:val="24"/>
                <w:szCs w:val="24"/>
              </w:rPr>
              <w:fldChar w:fldCharType="end"/>
            </w:r>
          </w:p>
        </w:tc>
      </w:tr>
      <w:tr w:rsidR="003A1040" w14:paraId="34D9ADDE" w14:textId="77777777" w:rsidTr="00AA2D0F">
        <w:tc>
          <w:tcPr>
            <w:tcW w:w="3145" w:type="dxa"/>
            <w:gridSpan w:val="2"/>
            <w:tcBorders>
              <w:right w:val="nil"/>
            </w:tcBorders>
          </w:tcPr>
          <w:p w14:paraId="429013FD" w14:textId="77777777" w:rsidR="003A1040" w:rsidRPr="001E0A29" w:rsidRDefault="003A1040" w:rsidP="00AA2D0F">
            <w:pPr>
              <w:spacing w:line="360" w:lineRule="auto"/>
              <w:rPr>
                <w:rFonts w:ascii="Times New Roman" w:hAnsi="Times New Roman" w:cs="Times New Roman"/>
                <w:b/>
                <w:bCs/>
                <w:i/>
                <w:iCs/>
                <w:sz w:val="24"/>
                <w:szCs w:val="24"/>
              </w:rPr>
            </w:pPr>
            <w:r>
              <w:rPr>
                <w:rFonts w:ascii="Times New Roman" w:hAnsi="Times New Roman" w:cs="Times New Roman"/>
                <w:b/>
                <w:bCs/>
                <w:i/>
                <w:iCs/>
                <w:sz w:val="24"/>
                <w:szCs w:val="24"/>
              </w:rPr>
              <w:t>Acinetobacter baumannii</w:t>
            </w:r>
          </w:p>
        </w:tc>
        <w:tc>
          <w:tcPr>
            <w:tcW w:w="4140" w:type="dxa"/>
            <w:tcBorders>
              <w:left w:val="nil"/>
              <w:right w:val="nil"/>
            </w:tcBorders>
          </w:tcPr>
          <w:p w14:paraId="2C5BB9A9" w14:textId="77777777" w:rsidR="003A1040" w:rsidRPr="001E0A29" w:rsidRDefault="003A1040" w:rsidP="00AA2D0F">
            <w:pPr>
              <w:spacing w:line="360" w:lineRule="auto"/>
              <w:rPr>
                <w:rFonts w:ascii="Times New Roman" w:hAnsi="Times New Roman" w:cs="Times New Roman"/>
                <w:sz w:val="24"/>
                <w:szCs w:val="24"/>
              </w:rPr>
            </w:pPr>
          </w:p>
        </w:tc>
        <w:tc>
          <w:tcPr>
            <w:tcW w:w="1345" w:type="dxa"/>
            <w:tcBorders>
              <w:left w:val="nil"/>
            </w:tcBorders>
          </w:tcPr>
          <w:p w14:paraId="55EE5FAF" w14:textId="77777777" w:rsidR="003A1040" w:rsidRPr="001E0A29" w:rsidRDefault="003A1040" w:rsidP="00AA2D0F">
            <w:pPr>
              <w:spacing w:line="360" w:lineRule="auto"/>
              <w:jc w:val="center"/>
              <w:rPr>
                <w:rFonts w:ascii="Times New Roman" w:hAnsi="Times New Roman" w:cs="Times New Roman"/>
                <w:sz w:val="24"/>
                <w:szCs w:val="24"/>
              </w:rPr>
            </w:pPr>
          </w:p>
        </w:tc>
      </w:tr>
      <w:tr w:rsidR="003A1040" w14:paraId="5E6413BB" w14:textId="77777777" w:rsidTr="00AA2D0F">
        <w:tc>
          <w:tcPr>
            <w:tcW w:w="1975" w:type="dxa"/>
          </w:tcPr>
          <w:p w14:paraId="1DEFE9B4" w14:textId="77777777" w:rsidR="003A1040" w:rsidRPr="001E0A29"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Strains</w:t>
            </w:r>
          </w:p>
        </w:tc>
        <w:tc>
          <w:tcPr>
            <w:tcW w:w="5310" w:type="dxa"/>
            <w:gridSpan w:val="2"/>
          </w:tcPr>
          <w:p w14:paraId="17E55FE1" w14:textId="77777777" w:rsidR="003A1040" w:rsidRPr="007854C6"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Relevant Genotype</w:t>
            </w:r>
          </w:p>
        </w:tc>
        <w:tc>
          <w:tcPr>
            <w:tcW w:w="1345" w:type="dxa"/>
          </w:tcPr>
          <w:p w14:paraId="559C0B23" w14:textId="77777777" w:rsidR="003A1040" w:rsidRPr="007854C6"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Source</w:t>
            </w:r>
          </w:p>
        </w:tc>
      </w:tr>
      <w:tr w:rsidR="003A1040" w14:paraId="2C3AC3CF" w14:textId="77777777" w:rsidTr="00EF30E4">
        <w:tc>
          <w:tcPr>
            <w:tcW w:w="1975" w:type="dxa"/>
          </w:tcPr>
          <w:p w14:paraId="4055DADB" w14:textId="7586D369" w:rsidR="003A1040" w:rsidRPr="001E0A29" w:rsidRDefault="003A1040" w:rsidP="00AA2D0F">
            <w:pPr>
              <w:spacing w:line="360" w:lineRule="auto"/>
              <w:rPr>
                <w:rFonts w:ascii="Times New Roman" w:hAnsi="Times New Roman" w:cs="Times New Roman"/>
                <w:sz w:val="24"/>
                <w:szCs w:val="24"/>
              </w:rPr>
            </w:pPr>
            <w:r>
              <w:rPr>
                <w:rFonts w:ascii="Times New Roman" w:hAnsi="Times New Roman" w:cs="Times New Roman"/>
                <w:sz w:val="24"/>
                <w:szCs w:val="24"/>
              </w:rPr>
              <w:t>ATCC17978</w:t>
            </w:r>
          </w:p>
        </w:tc>
        <w:tc>
          <w:tcPr>
            <w:tcW w:w="5310" w:type="dxa"/>
            <w:gridSpan w:val="2"/>
          </w:tcPr>
          <w:p w14:paraId="38B9C8F1" w14:textId="01739EC5" w:rsidR="003A1040" w:rsidRPr="001E0A29" w:rsidRDefault="002A6822" w:rsidP="00AA2D0F">
            <w:pPr>
              <w:spacing w:line="360" w:lineRule="auto"/>
              <w:rPr>
                <w:rFonts w:ascii="Times New Roman" w:hAnsi="Times New Roman" w:cs="Times New Roman"/>
                <w:sz w:val="24"/>
                <w:szCs w:val="24"/>
              </w:rPr>
            </w:pPr>
            <w:r>
              <w:rPr>
                <w:rFonts w:ascii="Times New Roman" w:hAnsi="Times New Roman" w:cs="Times New Roman"/>
                <w:sz w:val="24"/>
                <w:szCs w:val="24"/>
              </w:rPr>
              <w:t>Drug-susceptible wild type</w:t>
            </w:r>
          </w:p>
        </w:tc>
        <w:tc>
          <w:tcPr>
            <w:tcW w:w="1345" w:type="dxa"/>
            <w:vAlign w:val="center"/>
          </w:tcPr>
          <w:p w14:paraId="4A5EA708" w14:textId="21716563" w:rsidR="003A1040" w:rsidRPr="001E0A29" w:rsidRDefault="00577DEB"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t>ATCC</w:t>
            </w:r>
          </w:p>
        </w:tc>
      </w:tr>
      <w:tr w:rsidR="003A1040" w14:paraId="46B99D0A" w14:textId="77777777" w:rsidTr="00EF30E4">
        <w:tc>
          <w:tcPr>
            <w:tcW w:w="1975" w:type="dxa"/>
          </w:tcPr>
          <w:p w14:paraId="6576B73C" w14:textId="19B36ACA" w:rsidR="003A1040" w:rsidRPr="001E0A29" w:rsidRDefault="002A6822" w:rsidP="00AA2D0F">
            <w:pPr>
              <w:spacing w:line="360" w:lineRule="auto"/>
              <w:rPr>
                <w:rFonts w:ascii="Times New Roman" w:hAnsi="Times New Roman" w:cs="Times New Roman"/>
                <w:sz w:val="24"/>
                <w:szCs w:val="24"/>
              </w:rPr>
            </w:pPr>
            <w:r>
              <w:rPr>
                <w:rFonts w:ascii="Times New Roman" w:hAnsi="Times New Roman" w:cs="Times New Roman"/>
                <w:sz w:val="24"/>
                <w:szCs w:val="24"/>
              </w:rPr>
              <w:t>JWW30 (</w:t>
            </w:r>
            <w:r w:rsidR="003A1040">
              <w:rPr>
                <w:rFonts w:ascii="Times New Roman" w:hAnsi="Times New Roman" w:cs="Times New Roman"/>
                <w:sz w:val="24"/>
                <w:szCs w:val="24"/>
              </w:rPr>
              <w:t>17978</w:t>
            </w:r>
            <w:r>
              <w:rPr>
                <w:rFonts w:ascii="Times New Roman" w:hAnsi="Times New Roman" w:cs="Times New Roman"/>
                <w:sz w:val="24"/>
                <w:szCs w:val="24"/>
              </w:rPr>
              <w:t xml:space="preserve"> WT)</w:t>
            </w:r>
          </w:p>
        </w:tc>
        <w:tc>
          <w:tcPr>
            <w:tcW w:w="5310" w:type="dxa"/>
            <w:gridSpan w:val="2"/>
          </w:tcPr>
          <w:p w14:paraId="16606D3D" w14:textId="63B85AA5" w:rsidR="003A1040" w:rsidRPr="002A6822" w:rsidRDefault="002A6822" w:rsidP="002A6822">
            <w:pPr>
              <w:spacing w:line="360" w:lineRule="auto"/>
              <w:rPr>
                <w:rFonts w:ascii="Times New Roman" w:hAnsi="Times New Roman" w:cs="Times New Roman"/>
                <w:i/>
                <w:iCs/>
                <w:sz w:val="24"/>
                <w:szCs w:val="24"/>
              </w:rPr>
            </w:pPr>
            <w:r w:rsidRPr="002A6822">
              <w:rPr>
                <w:rFonts w:ascii="Times New Roman" w:hAnsi="Times New Roman" w:cs="Times New Roman"/>
                <w:i/>
                <w:iCs/>
                <w:sz w:val="24"/>
                <w:szCs w:val="24"/>
              </w:rPr>
              <w:t>A.</w:t>
            </w:r>
            <w:r>
              <w:rPr>
                <w:rFonts w:ascii="Times New Roman" w:hAnsi="Times New Roman" w:cs="Times New Roman"/>
                <w:i/>
                <w:iCs/>
                <w:sz w:val="24"/>
                <w:szCs w:val="24"/>
              </w:rPr>
              <w:t xml:space="preserve"> </w:t>
            </w:r>
            <w:r w:rsidRPr="002A6822">
              <w:rPr>
                <w:rFonts w:ascii="Times New Roman" w:hAnsi="Times New Roman" w:cs="Times New Roman"/>
                <w:i/>
                <w:iCs/>
                <w:sz w:val="24"/>
                <w:szCs w:val="24"/>
              </w:rPr>
              <w:t>Baumannii</w:t>
            </w:r>
            <w:r w:rsidRPr="002A6822">
              <w:rPr>
                <w:rFonts w:ascii="Times New Roman" w:hAnsi="Times New Roman" w:cs="Times New Roman"/>
                <w:sz w:val="24"/>
                <w:szCs w:val="24"/>
              </w:rPr>
              <w:t xml:space="preserve"> ATCC17978 resistant to streptomycin</w:t>
            </w:r>
          </w:p>
        </w:tc>
        <w:tc>
          <w:tcPr>
            <w:tcW w:w="1345" w:type="dxa"/>
            <w:vAlign w:val="center"/>
          </w:tcPr>
          <w:p w14:paraId="0C4B7AFB" w14:textId="1F0F7253" w:rsidR="003A1040" w:rsidRPr="001E0A29" w:rsidRDefault="00951892"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{"citationID":"a2dlgppkpl1","properties":{"formattedCitation":"\\super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Pr>
                <w:rFonts w:ascii="Times New Roman" w:hAnsi="Times New Roman" w:cs="Times New Roman"/>
                <w:sz w:val="24"/>
                <w:szCs w:val="24"/>
              </w:rPr>
              <w:fldChar w:fldCharType="separate"/>
            </w:r>
            <w:r w:rsidRPr="00951892">
              <w:rPr>
                <w:rFonts w:ascii="Times New Roman" w:hAnsi="Times New Roman" w:cs="Times New Roman"/>
                <w:sz w:val="24"/>
                <w:szCs w:val="24"/>
                <w:vertAlign w:val="superscript"/>
              </w:rPr>
              <w:t>20</w:t>
            </w:r>
            <w:r>
              <w:rPr>
                <w:rFonts w:ascii="Times New Roman" w:hAnsi="Times New Roman" w:cs="Times New Roman"/>
                <w:sz w:val="24"/>
                <w:szCs w:val="24"/>
              </w:rPr>
              <w:fldChar w:fldCharType="end"/>
            </w:r>
          </w:p>
        </w:tc>
      </w:tr>
      <w:tr w:rsidR="002A6822" w14:paraId="40DD4422" w14:textId="77777777" w:rsidTr="00EF30E4">
        <w:tc>
          <w:tcPr>
            <w:tcW w:w="1975" w:type="dxa"/>
          </w:tcPr>
          <w:p w14:paraId="6028CB3F" w14:textId="1F42C1A2" w:rsidR="002A6822" w:rsidRDefault="002A6822" w:rsidP="002A6822">
            <w:pPr>
              <w:spacing w:line="360" w:lineRule="auto"/>
              <w:rPr>
                <w:rFonts w:ascii="Times New Roman" w:hAnsi="Times New Roman" w:cs="Times New Roman"/>
                <w:sz w:val="24"/>
                <w:szCs w:val="24"/>
              </w:rPr>
            </w:pPr>
            <w:r>
              <w:rPr>
                <w:rFonts w:ascii="Times New Roman" w:hAnsi="Times New Roman" w:cs="Times New Roman"/>
                <w:sz w:val="24"/>
                <w:szCs w:val="24"/>
              </w:rPr>
              <w:t>IL188 (</w:t>
            </w:r>
            <w:proofErr w:type="spellStart"/>
            <w:r>
              <w:rPr>
                <w:rFonts w:ascii="Times New Roman" w:hAnsi="Times New Roman" w:cs="Times New Roman"/>
                <w:sz w:val="24"/>
                <w:szCs w:val="24"/>
              </w:rPr>
              <w:t>WT</w:t>
            </w:r>
            <w:r>
              <w:rPr>
                <w:rFonts w:ascii="Calibri" w:hAnsi="Calibri" w:cs="Calibri"/>
                <w:sz w:val="24"/>
                <w:szCs w:val="24"/>
              </w:rPr>
              <w:t>∆</w:t>
            </w:r>
            <w:r>
              <w:rPr>
                <w:rFonts w:ascii="Times New Roman" w:hAnsi="Times New Roman" w:cs="Times New Roman"/>
                <w:sz w:val="24"/>
                <w:szCs w:val="24"/>
              </w:rPr>
              <w:t>AmfAB</w:t>
            </w:r>
            <w:proofErr w:type="spellEnd"/>
            <w:r>
              <w:rPr>
                <w:rFonts w:ascii="Times New Roman" w:hAnsi="Times New Roman" w:cs="Times New Roman"/>
                <w:sz w:val="24"/>
                <w:szCs w:val="24"/>
              </w:rPr>
              <w:t>)</w:t>
            </w:r>
          </w:p>
        </w:tc>
        <w:tc>
          <w:tcPr>
            <w:tcW w:w="5310" w:type="dxa"/>
            <w:gridSpan w:val="2"/>
          </w:tcPr>
          <w:p w14:paraId="180A2A79" w14:textId="3D1CC9B8" w:rsidR="002A6822" w:rsidRPr="002A6822" w:rsidRDefault="002A6822" w:rsidP="002A6822">
            <w:pPr>
              <w:spacing w:line="360" w:lineRule="auto"/>
              <w:rPr>
                <w:rFonts w:ascii="Times New Roman" w:hAnsi="Times New Roman" w:cs="Times New Roman"/>
                <w:i/>
                <w:iCs/>
                <w:sz w:val="24"/>
                <w:szCs w:val="24"/>
              </w:rPr>
            </w:pPr>
            <w:r w:rsidRPr="00B963C7">
              <w:rPr>
                <w:rFonts w:ascii="Times New Roman" w:hAnsi="Times New Roman" w:cs="Times New Roman"/>
                <w:color w:val="000000"/>
                <w:sz w:val="24"/>
                <w:szCs w:val="24"/>
              </w:rPr>
              <w:t>JWW30</w:t>
            </w:r>
            <w:r>
              <w:rPr>
                <w:rFonts w:ascii="Times New Roman" w:hAnsi="Times New Roman" w:cs="Times New Roman"/>
                <w:color w:val="000000"/>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A1S_1772-73</w:t>
            </w:r>
          </w:p>
        </w:tc>
        <w:tc>
          <w:tcPr>
            <w:tcW w:w="1345" w:type="dxa"/>
            <w:vAlign w:val="center"/>
          </w:tcPr>
          <w:p w14:paraId="590C1DBA" w14:textId="67BFAE40" w:rsidR="002A6822"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{"citationID":"bl4P3hN0","properties":{"formattedCitation":"\\super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2A6822" w14:paraId="140A6409" w14:textId="77777777" w:rsidTr="00EF30E4">
        <w:tc>
          <w:tcPr>
            <w:tcW w:w="1975" w:type="dxa"/>
          </w:tcPr>
          <w:p w14:paraId="0CC31EE9" w14:textId="08F565B3" w:rsidR="002A6822" w:rsidRDefault="002A6822" w:rsidP="002A6822">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IL189 (</w:t>
            </w:r>
            <w:proofErr w:type="spellStart"/>
            <w:r>
              <w:rPr>
                <w:rFonts w:ascii="Times New Roman" w:hAnsi="Times New Roman" w:cs="Times New Roman"/>
                <w:sz w:val="24"/>
                <w:szCs w:val="24"/>
              </w:rPr>
              <w:t>WT</w:t>
            </w:r>
            <w:r>
              <w:rPr>
                <w:rFonts w:ascii="Calibri" w:hAnsi="Calibri" w:cs="Calibri"/>
                <w:sz w:val="24"/>
                <w:szCs w:val="24"/>
              </w:rPr>
              <w:t>∆</w:t>
            </w:r>
            <w:r>
              <w:rPr>
                <w:rFonts w:ascii="Times New Roman" w:hAnsi="Times New Roman" w:cs="Times New Roman"/>
                <w:sz w:val="24"/>
                <w:szCs w:val="24"/>
              </w:rPr>
              <w:t>AmfCD</w:t>
            </w:r>
            <w:proofErr w:type="spellEnd"/>
            <w:r>
              <w:rPr>
                <w:rFonts w:ascii="Times New Roman" w:hAnsi="Times New Roman" w:cs="Times New Roman"/>
                <w:sz w:val="24"/>
                <w:szCs w:val="24"/>
              </w:rPr>
              <w:t>)</w:t>
            </w:r>
          </w:p>
        </w:tc>
        <w:tc>
          <w:tcPr>
            <w:tcW w:w="5310" w:type="dxa"/>
            <w:gridSpan w:val="2"/>
          </w:tcPr>
          <w:p w14:paraId="34858F36" w14:textId="451E1FE7" w:rsidR="002A6822" w:rsidRPr="002A6822" w:rsidRDefault="002A6822" w:rsidP="002A6822">
            <w:pPr>
              <w:spacing w:line="360" w:lineRule="auto"/>
              <w:rPr>
                <w:rFonts w:ascii="Times New Roman" w:hAnsi="Times New Roman" w:cs="Times New Roman"/>
                <w:i/>
                <w:iCs/>
                <w:sz w:val="24"/>
                <w:szCs w:val="24"/>
              </w:rPr>
            </w:pPr>
            <w:r w:rsidRPr="00B963C7">
              <w:rPr>
                <w:rFonts w:ascii="Times New Roman" w:hAnsi="Times New Roman" w:cs="Times New Roman"/>
                <w:color w:val="000000"/>
                <w:sz w:val="24"/>
                <w:szCs w:val="24"/>
              </w:rPr>
              <w:t>JWW30</w:t>
            </w:r>
            <w:r>
              <w:rPr>
                <w:rFonts w:ascii="Times New Roman" w:hAnsi="Times New Roman" w:cs="Times New Roman"/>
                <w:color w:val="000000"/>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A1S_1799-1800</w:t>
            </w:r>
          </w:p>
        </w:tc>
        <w:tc>
          <w:tcPr>
            <w:tcW w:w="1345" w:type="dxa"/>
            <w:vAlign w:val="center"/>
          </w:tcPr>
          <w:p w14:paraId="02D3D7CC" w14:textId="2BEB6327" w:rsidR="002A6822"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{"citationID":"a2b4a23agqs","properties":{"formattedCitation":"\\super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2A6822" w14:paraId="604D6130" w14:textId="77777777" w:rsidTr="00EF30E4">
        <w:tc>
          <w:tcPr>
            <w:tcW w:w="1975" w:type="dxa"/>
          </w:tcPr>
          <w:p w14:paraId="06C6F250" w14:textId="288BD4F3" w:rsidR="002A6822" w:rsidRDefault="002A6822" w:rsidP="002A6822">
            <w:pPr>
              <w:spacing w:line="360" w:lineRule="auto"/>
              <w:rPr>
                <w:rFonts w:ascii="Times New Roman" w:hAnsi="Times New Roman" w:cs="Times New Roman"/>
                <w:sz w:val="24"/>
                <w:szCs w:val="24"/>
              </w:rPr>
            </w:pPr>
            <w:r>
              <w:rPr>
                <w:rFonts w:ascii="Times New Roman" w:hAnsi="Times New Roman" w:cs="Times New Roman"/>
                <w:color w:val="000000"/>
                <w:sz w:val="24"/>
                <w:szCs w:val="24"/>
              </w:rPr>
              <w:t>IL190 (</w:t>
            </w:r>
            <w:r w:rsidRPr="002F373D">
              <w:rPr>
                <w:rFonts w:ascii="Times New Roman" w:hAnsi="Times New Roman" w:cs="Times New Roman"/>
                <w:color w:val="000000"/>
                <w:sz w:val="24"/>
                <w:szCs w:val="24"/>
              </w:rPr>
              <w:t>WT</w:t>
            </w:r>
            <w:r w:rsidRPr="002F373D">
              <w:rPr>
                <w:rFonts w:ascii="Times New Roman" w:hAnsi="Times New Roman" w:cs="Times New Roman"/>
                <w:sz w:val="24"/>
                <w:szCs w:val="24"/>
              </w:rPr>
              <w:t>∆2)</w:t>
            </w:r>
          </w:p>
        </w:tc>
        <w:tc>
          <w:tcPr>
            <w:tcW w:w="5310" w:type="dxa"/>
            <w:gridSpan w:val="2"/>
          </w:tcPr>
          <w:p w14:paraId="194A8F9A" w14:textId="602A4F32" w:rsidR="002A6822" w:rsidRPr="002A6822" w:rsidRDefault="002A6822" w:rsidP="002A6822">
            <w:pPr>
              <w:spacing w:line="360" w:lineRule="auto"/>
              <w:rPr>
                <w:rFonts w:ascii="Times New Roman" w:hAnsi="Times New Roman" w:cs="Times New Roman"/>
                <w:i/>
                <w:iCs/>
                <w:sz w:val="24"/>
                <w:szCs w:val="24"/>
              </w:rPr>
            </w:pPr>
            <w:r>
              <w:rPr>
                <w:rFonts w:ascii="Times New Roman" w:hAnsi="Times New Roman" w:cs="Times New Roman"/>
                <w:color w:val="000000"/>
                <w:sz w:val="24"/>
                <w:szCs w:val="24"/>
              </w:rPr>
              <w:t>IL189</w:t>
            </w:r>
            <w:r>
              <w:rPr>
                <w:rFonts w:ascii="Times New Roman" w:hAnsi="Times New Roman" w:cs="Times New Roman"/>
                <w:i/>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A1S_1772-73::</w:t>
            </w:r>
            <w:proofErr w:type="spellStart"/>
            <w:r>
              <w:rPr>
                <w:rFonts w:ascii="Times New Roman" w:hAnsi="Times New Roman" w:cs="Times New Roman"/>
                <w:i/>
                <w:sz w:val="24"/>
                <w:szCs w:val="24"/>
              </w:rPr>
              <w:t>Gm</w:t>
            </w:r>
            <w:r>
              <w:rPr>
                <w:rFonts w:ascii="Times New Roman" w:hAnsi="Times New Roman" w:cs="Times New Roman"/>
                <w:i/>
                <w:sz w:val="24"/>
                <w:szCs w:val="24"/>
                <w:vertAlign w:val="superscript"/>
              </w:rPr>
              <w:t>r</w:t>
            </w:r>
            <w:proofErr w:type="spellEnd"/>
          </w:p>
        </w:tc>
        <w:tc>
          <w:tcPr>
            <w:tcW w:w="1345" w:type="dxa"/>
            <w:vAlign w:val="center"/>
          </w:tcPr>
          <w:p w14:paraId="5C73C4AF" w14:textId="313E223E" w:rsidR="002A6822"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{"citationID":"Evm2Bq76","properties":{"formattedCitation":"\\super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2A6822" w14:paraId="25611CA7" w14:textId="77777777" w:rsidTr="00EF30E4">
        <w:tc>
          <w:tcPr>
            <w:tcW w:w="1975" w:type="dxa"/>
          </w:tcPr>
          <w:p w14:paraId="5188A92C" w14:textId="2CAC37C8" w:rsidR="002A6822" w:rsidRDefault="002A6822" w:rsidP="002A6822">
            <w:pPr>
              <w:spacing w:line="360" w:lineRule="auto"/>
              <w:rPr>
                <w:rFonts w:ascii="Times New Roman" w:hAnsi="Times New Roman" w:cs="Times New Roman"/>
                <w:sz w:val="24"/>
                <w:szCs w:val="24"/>
              </w:rPr>
            </w:pPr>
            <w:r w:rsidRPr="0024623B">
              <w:rPr>
                <w:rFonts w:ascii="Times New Roman" w:hAnsi="Times New Roman" w:cs="Times New Roman"/>
                <w:sz w:val="24"/>
                <w:szCs w:val="24"/>
              </w:rPr>
              <w:t>IL119 (Ab</w:t>
            </w:r>
            <w:r w:rsidRPr="0024623B">
              <w:rPr>
                <w:rFonts w:ascii="Symbol" w:hAnsi="Symbol" w:cs="Times New Roman"/>
                <w:sz w:val="24"/>
                <w:szCs w:val="24"/>
              </w:rPr>
              <w:t></w:t>
            </w:r>
            <w:r w:rsidRPr="0024623B">
              <w:rPr>
                <w:rFonts w:ascii="Times New Roman" w:hAnsi="Times New Roman" w:cs="Times New Roman"/>
                <w:sz w:val="24"/>
                <w:szCs w:val="24"/>
              </w:rPr>
              <w:t>3)</w:t>
            </w:r>
          </w:p>
        </w:tc>
        <w:tc>
          <w:tcPr>
            <w:tcW w:w="5310" w:type="dxa"/>
            <w:gridSpan w:val="2"/>
          </w:tcPr>
          <w:p w14:paraId="02CED1F5" w14:textId="1AC1D29B" w:rsidR="002A6822" w:rsidRPr="002A6822" w:rsidRDefault="002A6822" w:rsidP="002A6822">
            <w:pPr>
              <w:spacing w:line="360" w:lineRule="auto"/>
              <w:rPr>
                <w:rFonts w:ascii="Times New Roman" w:hAnsi="Times New Roman" w:cs="Times New Roman"/>
                <w:i/>
                <w:iCs/>
                <w:sz w:val="24"/>
                <w:szCs w:val="24"/>
              </w:rPr>
            </w:pPr>
            <w:r w:rsidRPr="00B963C7">
              <w:rPr>
                <w:rFonts w:ascii="Times New Roman" w:hAnsi="Times New Roman" w:cs="Times New Roman"/>
                <w:color w:val="000000"/>
                <w:sz w:val="24"/>
                <w:szCs w:val="24"/>
              </w:rPr>
              <w:t>JWW30</w:t>
            </w:r>
            <w:r>
              <w:rPr>
                <w:rFonts w:ascii="Times New Roman" w:hAnsi="Times New Roman" w:cs="Times New Roman"/>
                <w:color w:val="000000"/>
                <w:sz w:val="24"/>
                <w:szCs w:val="24"/>
              </w:rPr>
              <w:t xml:space="preserve"> </w:t>
            </w:r>
            <w:proofErr w:type="spellStart"/>
            <w:r w:rsidRPr="0024623B">
              <w:rPr>
                <w:rFonts w:ascii="Times New Roman" w:hAnsi="Times New Roman" w:cs="Times New Roman"/>
                <w:color w:val="000000"/>
              </w:rPr>
              <w:t>Δ</w:t>
            </w:r>
            <w:r w:rsidRPr="0024623B">
              <w:rPr>
                <w:rFonts w:ascii="Times New Roman" w:hAnsi="Times New Roman" w:cs="Times New Roman"/>
                <w:i/>
                <w:iCs/>
                <w:color w:val="000000"/>
              </w:rPr>
              <w:t>adeIJK</w:t>
            </w:r>
            <w:proofErr w:type="spellEnd"/>
            <w:r w:rsidRPr="0024623B">
              <w:rPr>
                <w:rFonts w:ascii="Times New Roman" w:hAnsi="Times New Roman" w:cs="Times New Roman"/>
                <w:color w:val="000000"/>
              </w:rPr>
              <w:t xml:space="preserve"> </w:t>
            </w:r>
            <w:proofErr w:type="spellStart"/>
            <w:r w:rsidRPr="0024623B">
              <w:rPr>
                <w:rFonts w:ascii="Times New Roman" w:hAnsi="Times New Roman" w:cs="Times New Roman"/>
                <w:color w:val="000000"/>
              </w:rPr>
              <w:t>Δ</w:t>
            </w:r>
            <w:r w:rsidRPr="0024623B">
              <w:rPr>
                <w:rFonts w:ascii="Times New Roman" w:hAnsi="Times New Roman" w:cs="Times New Roman"/>
                <w:i/>
                <w:iCs/>
                <w:color w:val="000000"/>
              </w:rPr>
              <w:t>adeAB</w:t>
            </w:r>
            <w:proofErr w:type="spellEnd"/>
            <w:r w:rsidRPr="0024623B">
              <w:rPr>
                <w:rFonts w:ascii="Times New Roman" w:hAnsi="Times New Roman" w:cs="Times New Roman"/>
                <w:color w:val="000000"/>
              </w:rPr>
              <w:t xml:space="preserve"> </w:t>
            </w:r>
            <w:proofErr w:type="spellStart"/>
            <w:r w:rsidRPr="0024623B">
              <w:rPr>
                <w:rFonts w:ascii="Times New Roman" w:hAnsi="Times New Roman" w:cs="Times New Roman"/>
                <w:color w:val="000000"/>
              </w:rPr>
              <w:t>Δ</w:t>
            </w:r>
            <w:r w:rsidRPr="0024623B">
              <w:rPr>
                <w:rFonts w:ascii="Times New Roman" w:hAnsi="Times New Roman" w:cs="Times New Roman"/>
                <w:i/>
                <w:iCs/>
                <w:color w:val="000000"/>
              </w:rPr>
              <w:t>adeFGH</w:t>
            </w:r>
            <w:proofErr w:type="spellEnd"/>
          </w:p>
        </w:tc>
        <w:tc>
          <w:tcPr>
            <w:tcW w:w="1345" w:type="dxa"/>
            <w:vAlign w:val="center"/>
          </w:tcPr>
          <w:p w14:paraId="535956BB" w14:textId="0EDC7CEB" w:rsidR="002A6822" w:rsidRDefault="00951892"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{"citationID":"a1kncud8no8","properties":{"formattedCitation":"\\super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Pr>
                <w:rFonts w:ascii="Times New Roman" w:hAnsi="Times New Roman" w:cs="Times New Roman"/>
                <w:sz w:val="24"/>
                <w:szCs w:val="24"/>
              </w:rPr>
              <w:fldChar w:fldCharType="separate"/>
            </w:r>
            <w:r w:rsidRPr="00951892">
              <w:rPr>
                <w:rFonts w:ascii="Times New Roman" w:hAnsi="Times New Roman" w:cs="Times New Roman"/>
                <w:sz w:val="24"/>
                <w:szCs w:val="24"/>
                <w:vertAlign w:val="superscript"/>
              </w:rPr>
              <w:t>20</w:t>
            </w:r>
            <w:r>
              <w:rPr>
                <w:rFonts w:ascii="Times New Roman" w:hAnsi="Times New Roman" w:cs="Times New Roman"/>
                <w:sz w:val="24"/>
                <w:szCs w:val="24"/>
              </w:rPr>
              <w:fldChar w:fldCharType="end"/>
            </w:r>
          </w:p>
        </w:tc>
      </w:tr>
      <w:tr w:rsidR="00DC1A98" w14:paraId="1FDA2479" w14:textId="77777777" w:rsidTr="00EF30E4">
        <w:tc>
          <w:tcPr>
            <w:tcW w:w="1975" w:type="dxa"/>
          </w:tcPr>
          <w:p w14:paraId="466864D0" w14:textId="19B58484" w:rsidR="00DC1A98" w:rsidRPr="0024623B" w:rsidRDefault="00DC1A98" w:rsidP="002A6822">
            <w:pPr>
              <w:spacing w:line="360" w:lineRule="auto"/>
              <w:rPr>
                <w:rFonts w:ascii="Times New Roman" w:hAnsi="Times New Roman" w:cs="Times New Roman"/>
                <w:sz w:val="24"/>
                <w:szCs w:val="24"/>
              </w:rPr>
            </w:pPr>
            <w:r>
              <w:rPr>
                <w:rFonts w:ascii="Times New Roman" w:hAnsi="Times New Roman" w:cs="Times New Roman"/>
                <w:sz w:val="24"/>
                <w:szCs w:val="24"/>
              </w:rPr>
              <w:t>IL139 (AbΔ3-Pore)</w:t>
            </w:r>
          </w:p>
        </w:tc>
        <w:tc>
          <w:tcPr>
            <w:tcW w:w="5310" w:type="dxa"/>
            <w:gridSpan w:val="2"/>
          </w:tcPr>
          <w:p w14:paraId="25F3E902" w14:textId="59699E99" w:rsidR="00DC1A98" w:rsidRPr="00DC1A98" w:rsidRDefault="00DC1A98" w:rsidP="00DC1A98">
            <w:pPr>
              <w:spacing w:line="360" w:lineRule="auto"/>
              <w:rPr>
                <w:rFonts w:ascii="Times New Roman" w:hAnsi="Times New Roman" w:cs="Times New Roman"/>
                <w:color w:val="000000"/>
                <w:sz w:val="24"/>
                <w:szCs w:val="24"/>
              </w:rPr>
            </w:pPr>
            <w:r w:rsidRPr="00DC1A98">
              <w:rPr>
                <w:rFonts w:ascii="Times New Roman" w:hAnsi="Times New Roman" w:cs="Times New Roman"/>
                <w:color w:val="000000"/>
                <w:sz w:val="24"/>
                <w:szCs w:val="24"/>
              </w:rPr>
              <w:t>JWW30 ∆</w:t>
            </w:r>
            <w:proofErr w:type="spellStart"/>
            <w:r w:rsidRPr="00DC1A98">
              <w:rPr>
                <w:rFonts w:ascii="Times New Roman" w:hAnsi="Times New Roman" w:cs="Times New Roman"/>
                <w:i/>
                <w:iCs/>
                <w:color w:val="000000"/>
                <w:sz w:val="24"/>
                <w:szCs w:val="24"/>
              </w:rPr>
              <w:t>adeAB</w:t>
            </w:r>
            <w:r w:rsidRPr="00DC1A98">
              <w:rPr>
                <w:rFonts w:ascii="Times New Roman" w:hAnsi="Times New Roman" w:cs="Times New Roman"/>
                <w:color w:val="000000"/>
                <w:sz w:val="24"/>
                <w:szCs w:val="24"/>
              </w:rPr>
              <w:t>∆</w:t>
            </w:r>
            <w:r w:rsidRPr="00DC1A98">
              <w:rPr>
                <w:rFonts w:ascii="Times New Roman" w:hAnsi="Times New Roman" w:cs="Times New Roman"/>
                <w:i/>
                <w:iCs/>
                <w:color w:val="000000"/>
                <w:sz w:val="24"/>
                <w:szCs w:val="24"/>
              </w:rPr>
              <w:t>adeFGH</w:t>
            </w:r>
            <w:r w:rsidRPr="00DC1A98">
              <w:rPr>
                <w:rFonts w:ascii="Times New Roman" w:hAnsi="Times New Roman" w:cs="Times New Roman"/>
                <w:color w:val="000000"/>
                <w:sz w:val="24"/>
                <w:szCs w:val="24"/>
              </w:rPr>
              <w:t>∆</w:t>
            </w:r>
            <w:r w:rsidRPr="00DC1A98">
              <w:rPr>
                <w:rFonts w:ascii="Times New Roman" w:hAnsi="Times New Roman" w:cs="Times New Roman"/>
                <w:i/>
                <w:iCs/>
                <w:color w:val="000000"/>
                <w:sz w:val="24"/>
                <w:szCs w:val="24"/>
              </w:rPr>
              <w:t>adeIJK</w:t>
            </w:r>
            <w:proofErr w:type="spellEnd"/>
            <w:r w:rsidRPr="00DC1A98">
              <w:rPr>
                <w:rFonts w:ascii="Times New Roman" w:hAnsi="Times New Roman" w:cs="Times New Roman"/>
                <w:i/>
                <w:iCs/>
                <w:color w:val="000000"/>
                <w:sz w:val="24"/>
                <w:szCs w:val="24"/>
              </w:rPr>
              <w:t xml:space="preserve"> att</w:t>
            </w:r>
            <w:r w:rsidRPr="00DC1A98">
              <w:rPr>
                <w:rFonts w:ascii="Times New Roman" w:hAnsi="Times New Roman" w:cs="Times New Roman"/>
                <w:color w:val="000000"/>
                <w:sz w:val="24"/>
                <w:szCs w:val="24"/>
              </w:rPr>
              <w:t>Tn</w:t>
            </w:r>
            <w:r w:rsidRPr="00DC1A98">
              <w:rPr>
                <w:rFonts w:ascii="Times New Roman" w:hAnsi="Times New Roman" w:cs="Times New Roman"/>
                <w:i/>
                <w:iCs/>
                <w:color w:val="000000"/>
                <w:sz w:val="24"/>
                <w:szCs w:val="24"/>
              </w:rPr>
              <w:t>7</w:t>
            </w:r>
            <w:r w:rsidRPr="00DC1A98">
              <w:rPr>
                <w:rFonts w:ascii="Times New Roman" w:hAnsi="Times New Roman" w:cs="Times New Roman"/>
                <w:color w:val="000000"/>
                <w:sz w:val="24"/>
                <w:szCs w:val="24"/>
              </w:rPr>
              <w:t>::mini-</w:t>
            </w:r>
          </w:p>
          <w:p w14:paraId="2DF0653E" w14:textId="5827C3A9" w:rsidR="00DC1A98" w:rsidRPr="00B963C7" w:rsidRDefault="00DC1A98" w:rsidP="00DC1A98">
            <w:pPr>
              <w:spacing w:line="360" w:lineRule="auto"/>
              <w:rPr>
                <w:rFonts w:ascii="Times New Roman" w:hAnsi="Times New Roman" w:cs="Times New Roman"/>
                <w:color w:val="000000"/>
                <w:sz w:val="24"/>
                <w:szCs w:val="24"/>
              </w:rPr>
            </w:pPr>
            <w:r w:rsidRPr="00DC1A98">
              <w:rPr>
                <w:rFonts w:ascii="Times New Roman" w:hAnsi="Times New Roman" w:cs="Times New Roman"/>
                <w:color w:val="000000"/>
                <w:sz w:val="24"/>
                <w:szCs w:val="24"/>
              </w:rPr>
              <w:t>Tn</w:t>
            </w:r>
            <w:r w:rsidRPr="00DC1A98">
              <w:rPr>
                <w:rFonts w:ascii="Times New Roman" w:hAnsi="Times New Roman" w:cs="Times New Roman"/>
                <w:i/>
                <w:iCs/>
                <w:color w:val="000000"/>
                <w:sz w:val="24"/>
                <w:szCs w:val="24"/>
              </w:rPr>
              <w:t>7</w:t>
            </w:r>
            <w:r w:rsidRPr="00DC1A98">
              <w:rPr>
                <w:rFonts w:ascii="Times New Roman" w:hAnsi="Times New Roman" w:cs="Times New Roman"/>
                <w:color w:val="000000"/>
                <w:sz w:val="24"/>
                <w:szCs w:val="24"/>
              </w:rPr>
              <w:t>T-Km</w:t>
            </w:r>
            <w:r>
              <w:rPr>
                <w:rFonts w:ascii="Times New Roman" w:hAnsi="Times New Roman" w:cs="Times New Roman"/>
                <w:color w:val="000000"/>
                <w:sz w:val="24"/>
                <w:szCs w:val="24"/>
                <w:vertAlign w:val="superscript"/>
              </w:rPr>
              <w:t>r</w:t>
            </w:r>
            <w:r w:rsidRPr="00DC1A98">
              <w:rPr>
                <w:rFonts w:ascii="Times New Roman" w:hAnsi="Times New Roman" w:cs="Times New Roman"/>
                <w:color w:val="000000"/>
                <w:sz w:val="24"/>
                <w:szCs w:val="24"/>
              </w:rPr>
              <w:t xml:space="preserve"> -</w:t>
            </w:r>
            <w:proofErr w:type="spellStart"/>
            <w:r w:rsidRPr="00DC1A98">
              <w:rPr>
                <w:rFonts w:ascii="Times New Roman" w:hAnsi="Times New Roman" w:cs="Times New Roman"/>
                <w:i/>
                <w:iCs/>
                <w:color w:val="000000"/>
                <w:sz w:val="24"/>
                <w:szCs w:val="24"/>
              </w:rPr>
              <w:t>araC</w:t>
            </w:r>
            <w:proofErr w:type="spellEnd"/>
            <w:r w:rsidRPr="00DC1A98">
              <w:rPr>
                <w:rFonts w:ascii="Times New Roman" w:hAnsi="Times New Roman" w:cs="Times New Roman"/>
                <w:color w:val="000000"/>
                <w:sz w:val="24"/>
                <w:szCs w:val="24"/>
              </w:rPr>
              <w:t>-P</w:t>
            </w:r>
            <w:r w:rsidRPr="00DC1A98">
              <w:rPr>
                <w:rFonts w:ascii="Times New Roman" w:hAnsi="Times New Roman" w:cs="Times New Roman"/>
                <w:i/>
                <w:iCs/>
                <w:color w:val="000000"/>
                <w:sz w:val="24"/>
                <w:szCs w:val="24"/>
                <w:vertAlign w:val="subscript"/>
              </w:rPr>
              <w:t>BAD</w:t>
            </w:r>
            <w:r w:rsidRPr="00DC1A98">
              <w:rPr>
                <w:rFonts w:ascii="Times New Roman" w:hAnsi="Times New Roman" w:cs="Times New Roman"/>
                <w:color w:val="000000"/>
                <w:sz w:val="24"/>
                <w:szCs w:val="24"/>
              </w:rPr>
              <w:t>-</w:t>
            </w:r>
            <w:proofErr w:type="spellStart"/>
            <w:r w:rsidRPr="00DC1A98">
              <w:rPr>
                <w:rFonts w:ascii="Times New Roman" w:hAnsi="Times New Roman" w:cs="Times New Roman"/>
                <w:color w:val="000000"/>
                <w:sz w:val="24"/>
                <w:szCs w:val="24"/>
              </w:rPr>
              <w:t>FhuA</w:t>
            </w:r>
            <w:proofErr w:type="spellEnd"/>
          </w:p>
        </w:tc>
        <w:tc>
          <w:tcPr>
            <w:tcW w:w="1345" w:type="dxa"/>
            <w:vAlign w:val="center"/>
          </w:tcPr>
          <w:p w14:paraId="7A68C1A7" w14:textId="699F86F5" w:rsidR="00DC1A98" w:rsidRDefault="00DC1A98"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{"citationID":"EoIJddT8","properties":{"formattedCitation":"\\super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p>
        </w:tc>
      </w:tr>
      <w:tr w:rsidR="00DC1A98" w14:paraId="388F5348" w14:textId="77777777" w:rsidTr="00EF30E4">
        <w:tc>
          <w:tcPr>
            <w:tcW w:w="1975" w:type="dxa"/>
          </w:tcPr>
          <w:p w14:paraId="0706ACE5" w14:textId="0060F21B" w:rsidR="00DC1A98" w:rsidRDefault="00DC6568" w:rsidP="002A6822">
            <w:pPr>
              <w:spacing w:line="360" w:lineRule="auto"/>
              <w:rPr>
                <w:rFonts w:ascii="Times New Roman" w:hAnsi="Times New Roman" w:cs="Times New Roman"/>
                <w:sz w:val="24"/>
                <w:szCs w:val="24"/>
              </w:rPr>
            </w:pPr>
            <w:r>
              <w:rPr>
                <w:rFonts w:ascii="Times New Roman" w:hAnsi="Times New Roman" w:cs="Times New Roman"/>
                <w:sz w:val="24"/>
                <w:szCs w:val="24"/>
              </w:rPr>
              <w:t xml:space="preserve">IL141 </w:t>
            </w:r>
            <w:r w:rsidR="00DC1A98">
              <w:rPr>
                <w:rFonts w:ascii="Times New Roman" w:hAnsi="Times New Roman" w:cs="Times New Roman"/>
                <w:sz w:val="24"/>
                <w:szCs w:val="24"/>
              </w:rPr>
              <w:t>(</w:t>
            </w:r>
            <w:r w:rsidR="00DC1A98" w:rsidRPr="0024623B">
              <w:rPr>
                <w:rFonts w:ascii="Times New Roman" w:hAnsi="Times New Roman" w:cs="Times New Roman"/>
                <w:sz w:val="24"/>
                <w:szCs w:val="24"/>
              </w:rPr>
              <w:t>Ab</w:t>
            </w:r>
            <w:r w:rsidR="00DC1A98" w:rsidRPr="0024623B">
              <w:rPr>
                <w:rFonts w:ascii="Symbol" w:hAnsi="Symbol" w:cs="Times New Roman"/>
                <w:sz w:val="24"/>
                <w:szCs w:val="24"/>
              </w:rPr>
              <w:t></w:t>
            </w:r>
            <w:r w:rsidR="00DC1A98" w:rsidRPr="0024623B">
              <w:rPr>
                <w:rFonts w:ascii="Times New Roman" w:hAnsi="Times New Roman" w:cs="Times New Roman"/>
                <w:sz w:val="24"/>
                <w:szCs w:val="24"/>
              </w:rPr>
              <w:t>3</w:t>
            </w:r>
            <w:r w:rsidR="00DC1A98">
              <w:rPr>
                <w:rFonts w:ascii="Times New Roman" w:hAnsi="Times New Roman" w:cs="Times New Roman"/>
                <w:sz w:val="24"/>
                <w:szCs w:val="24"/>
              </w:rPr>
              <w:t xml:space="preserve"> p</w:t>
            </w:r>
            <w:r>
              <w:rPr>
                <w:rFonts w:ascii="Times New Roman" w:hAnsi="Times New Roman" w:cs="Times New Roman"/>
                <w:sz w:val="24"/>
                <w:szCs w:val="24"/>
              </w:rPr>
              <w:t>AdeFGH)</w:t>
            </w:r>
          </w:p>
        </w:tc>
        <w:tc>
          <w:tcPr>
            <w:tcW w:w="5310" w:type="dxa"/>
            <w:gridSpan w:val="2"/>
          </w:tcPr>
          <w:p w14:paraId="2B460A36" w14:textId="7A59623E" w:rsidR="00DC6568" w:rsidRPr="00DC6568" w:rsidRDefault="00DC6568" w:rsidP="00DC6568">
            <w:pPr>
              <w:spacing w:line="360" w:lineRule="auto"/>
              <w:rPr>
                <w:rFonts w:ascii="Times New Roman" w:hAnsi="Times New Roman" w:cs="Times New Roman"/>
                <w:color w:val="000000"/>
                <w:sz w:val="24"/>
                <w:szCs w:val="24"/>
              </w:rPr>
            </w:pPr>
            <w:r w:rsidRPr="00DC6568">
              <w:rPr>
                <w:rFonts w:ascii="Times New Roman" w:hAnsi="Times New Roman" w:cs="Times New Roman"/>
                <w:color w:val="000000"/>
                <w:sz w:val="24"/>
                <w:szCs w:val="24"/>
              </w:rPr>
              <w:t>JWW30 ∆</w:t>
            </w:r>
            <w:proofErr w:type="spellStart"/>
            <w:r w:rsidRPr="00DC6568">
              <w:rPr>
                <w:rFonts w:ascii="Times New Roman" w:hAnsi="Times New Roman" w:cs="Times New Roman"/>
                <w:i/>
                <w:iCs/>
                <w:color w:val="000000"/>
                <w:sz w:val="24"/>
                <w:szCs w:val="24"/>
              </w:rPr>
              <w:t>adeAB</w:t>
            </w:r>
            <w:r w:rsidRPr="00DC6568">
              <w:rPr>
                <w:rFonts w:ascii="Times New Roman" w:hAnsi="Times New Roman" w:cs="Times New Roman"/>
                <w:color w:val="000000"/>
                <w:sz w:val="24"/>
                <w:szCs w:val="24"/>
              </w:rPr>
              <w:t>∆</w:t>
            </w:r>
            <w:r w:rsidRPr="00DC6568">
              <w:rPr>
                <w:rFonts w:ascii="Times New Roman" w:hAnsi="Times New Roman" w:cs="Times New Roman"/>
                <w:i/>
                <w:iCs/>
                <w:color w:val="000000"/>
                <w:sz w:val="24"/>
                <w:szCs w:val="24"/>
              </w:rPr>
              <w:t>adeFGH</w:t>
            </w:r>
            <w:r w:rsidRPr="00DC6568">
              <w:rPr>
                <w:rFonts w:ascii="Times New Roman" w:hAnsi="Times New Roman" w:cs="Times New Roman"/>
                <w:color w:val="000000"/>
                <w:sz w:val="24"/>
                <w:szCs w:val="24"/>
              </w:rPr>
              <w:t>∆</w:t>
            </w:r>
            <w:r w:rsidRPr="00DC6568">
              <w:rPr>
                <w:rFonts w:ascii="Times New Roman" w:hAnsi="Times New Roman" w:cs="Times New Roman"/>
                <w:i/>
                <w:iCs/>
                <w:color w:val="000000"/>
                <w:sz w:val="24"/>
                <w:szCs w:val="24"/>
              </w:rPr>
              <w:t>adeIJK</w:t>
            </w:r>
            <w:proofErr w:type="spellEnd"/>
            <w:r w:rsidRPr="00DC6568">
              <w:rPr>
                <w:rFonts w:ascii="Times New Roman" w:hAnsi="Times New Roman" w:cs="Times New Roman"/>
                <w:color w:val="000000"/>
                <w:sz w:val="24"/>
                <w:szCs w:val="24"/>
              </w:rPr>
              <w:t xml:space="preserve"> </w:t>
            </w:r>
            <w:r w:rsidRPr="00DC6568">
              <w:rPr>
                <w:rFonts w:ascii="Times New Roman" w:hAnsi="Times New Roman" w:cs="Times New Roman"/>
                <w:i/>
                <w:iCs/>
                <w:color w:val="000000"/>
                <w:sz w:val="24"/>
                <w:szCs w:val="24"/>
              </w:rPr>
              <w:t>att</w:t>
            </w:r>
            <w:r w:rsidRPr="00DC6568">
              <w:rPr>
                <w:rFonts w:ascii="Times New Roman" w:hAnsi="Times New Roman" w:cs="Times New Roman"/>
                <w:color w:val="000000"/>
                <w:sz w:val="24"/>
                <w:szCs w:val="24"/>
              </w:rPr>
              <w:t>Tn</w:t>
            </w:r>
            <w:r w:rsidRPr="00DC6568">
              <w:rPr>
                <w:rFonts w:ascii="Times New Roman" w:hAnsi="Times New Roman" w:cs="Times New Roman"/>
                <w:i/>
                <w:iCs/>
                <w:color w:val="000000"/>
                <w:sz w:val="24"/>
                <w:szCs w:val="24"/>
              </w:rPr>
              <w:t>7</w:t>
            </w:r>
            <w:r w:rsidRPr="00DC6568">
              <w:rPr>
                <w:rFonts w:ascii="Times New Roman" w:hAnsi="Times New Roman" w:cs="Times New Roman"/>
                <w:color w:val="000000"/>
                <w:sz w:val="24"/>
                <w:szCs w:val="24"/>
              </w:rPr>
              <w:t>::mini-</w:t>
            </w:r>
          </w:p>
          <w:p w14:paraId="262386BD" w14:textId="6673D51C" w:rsidR="00DC1A98" w:rsidRPr="00DC1A98" w:rsidRDefault="00DC6568" w:rsidP="00DC6568">
            <w:pPr>
              <w:spacing w:line="360" w:lineRule="auto"/>
              <w:rPr>
                <w:rFonts w:ascii="Times New Roman" w:hAnsi="Times New Roman" w:cs="Times New Roman"/>
                <w:color w:val="000000"/>
                <w:sz w:val="24"/>
                <w:szCs w:val="24"/>
              </w:rPr>
            </w:pPr>
            <w:r w:rsidRPr="00DC6568">
              <w:rPr>
                <w:rFonts w:ascii="Times New Roman" w:hAnsi="Times New Roman" w:cs="Times New Roman"/>
                <w:color w:val="000000"/>
                <w:sz w:val="24"/>
                <w:szCs w:val="24"/>
              </w:rPr>
              <w:t>Tn</w:t>
            </w:r>
            <w:r w:rsidRPr="00DC6568">
              <w:rPr>
                <w:rFonts w:ascii="Times New Roman" w:hAnsi="Times New Roman" w:cs="Times New Roman"/>
                <w:i/>
                <w:iCs/>
                <w:color w:val="000000"/>
                <w:sz w:val="24"/>
                <w:szCs w:val="24"/>
              </w:rPr>
              <w:t>7</w:t>
            </w:r>
            <w:r w:rsidRPr="00DC6568">
              <w:rPr>
                <w:rFonts w:ascii="Times New Roman" w:hAnsi="Times New Roman" w:cs="Times New Roman"/>
                <w:color w:val="000000"/>
                <w:sz w:val="24"/>
                <w:szCs w:val="24"/>
              </w:rPr>
              <w:t>T-Tp</w:t>
            </w:r>
            <w:r>
              <w:rPr>
                <w:rFonts w:ascii="Times New Roman" w:hAnsi="Times New Roman" w:cs="Times New Roman"/>
                <w:color w:val="000000"/>
                <w:sz w:val="24"/>
                <w:szCs w:val="24"/>
                <w:vertAlign w:val="superscript"/>
              </w:rPr>
              <w:t>r</w:t>
            </w:r>
            <w:r w:rsidRPr="00DC6568">
              <w:rPr>
                <w:rFonts w:ascii="Times New Roman" w:hAnsi="Times New Roman" w:cs="Times New Roman"/>
                <w:color w:val="000000"/>
                <w:sz w:val="24"/>
                <w:szCs w:val="24"/>
              </w:rPr>
              <w:t xml:space="preserve"> -</w:t>
            </w:r>
            <w:proofErr w:type="spellStart"/>
            <w:r w:rsidRPr="00DC6568">
              <w:rPr>
                <w:rFonts w:ascii="Times New Roman" w:hAnsi="Times New Roman" w:cs="Times New Roman"/>
                <w:i/>
                <w:iCs/>
                <w:color w:val="000000"/>
                <w:sz w:val="24"/>
                <w:szCs w:val="24"/>
              </w:rPr>
              <w:t>araC</w:t>
            </w:r>
            <w:proofErr w:type="spellEnd"/>
            <w:r w:rsidRPr="00DC6568">
              <w:rPr>
                <w:rFonts w:ascii="Times New Roman" w:hAnsi="Times New Roman" w:cs="Times New Roman"/>
                <w:color w:val="000000"/>
                <w:sz w:val="24"/>
                <w:szCs w:val="24"/>
              </w:rPr>
              <w:t>-</w:t>
            </w:r>
            <w:r w:rsidRPr="00DC1A98">
              <w:rPr>
                <w:rFonts w:ascii="Times New Roman" w:hAnsi="Times New Roman" w:cs="Times New Roman"/>
                <w:color w:val="000000"/>
                <w:sz w:val="24"/>
                <w:szCs w:val="24"/>
              </w:rPr>
              <w:t>P</w:t>
            </w:r>
            <w:r w:rsidRPr="00DC1A98">
              <w:rPr>
                <w:rFonts w:ascii="Times New Roman" w:hAnsi="Times New Roman" w:cs="Times New Roman"/>
                <w:i/>
                <w:iCs/>
                <w:color w:val="000000"/>
                <w:sz w:val="24"/>
                <w:szCs w:val="24"/>
                <w:vertAlign w:val="subscript"/>
              </w:rPr>
              <w:t>BAD</w:t>
            </w:r>
            <w:r w:rsidRPr="00DC6568">
              <w:rPr>
                <w:rFonts w:ascii="Times New Roman" w:hAnsi="Times New Roman" w:cs="Times New Roman"/>
                <w:color w:val="000000"/>
                <w:sz w:val="24"/>
                <w:szCs w:val="24"/>
              </w:rPr>
              <w:t>-</w:t>
            </w:r>
            <w:proofErr w:type="spellStart"/>
            <w:r w:rsidRPr="00DC6568">
              <w:rPr>
                <w:rFonts w:ascii="Times New Roman" w:hAnsi="Times New Roman" w:cs="Times New Roman"/>
                <w:i/>
                <w:iCs/>
                <w:color w:val="000000"/>
                <w:sz w:val="24"/>
                <w:szCs w:val="24"/>
              </w:rPr>
              <w:t>adeFGH</w:t>
            </w:r>
            <w:proofErr w:type="spellEnd"/>
            <w:r w:rsidRPr="00DC6568">
              <w:rPr>
                <w:rFonts w:ascii="Times New Roman" w:hAnsi="Times New Roman" w:cs="Times New Roman"/>
                <w:color w:val="000000"/>
                <w:sz w:val="24"/>
                <w:szCs w:val="24"/>
              </w:rPr>
              <w:t xml:space="preserve"> carrying pTJ1-</w:t>
            </w:r>
            <w:r w:rsidRPr="00DC6568">
              <w:rPr>
                <w:rFonts w:ascii="Times New Roman" w:hAnsi="Times New Roman" w:cs="Times New Roman"/>
                <w:i/>
                <w:iCs/>
                <w:color w:val="000000"/>
                <w:sz w:val="24"/>
                <w:szCs w:val="24"/>
              </w:rPr>
              <w:t>adeFGH</w:t>
            </w:r>
          </w:p>
        </w:tc>
        <w:tc>
          <w:tcPr>
            <w:tcW w:w="1345" w:type="dxa"/>
            <w:vAlign w:val="center"/>
          </w:tcPr>
          <w:p w14:paraId="3BF4C751" w14:textId="625FA5F4" w:rsidR="00DC1A98" w:rsidRDefault="00DC6568"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{"citationID":"0U1RoWcN","properties":{"formattedCitation":"\\super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p>
        </w:tc>
      </w:tr>
      <w:tr w:rsidR="00DC6568" w14:paraId="2DB4C207" w14:textId="77777777" w:rsidTr="00EF30E4">
        <w:tc>
          <w:tcPr>
            <w:tcW w:w="1975" w:type="dxa"/>
          </w:tcPr>
          <w:p w14:paraId="7E65A1CD" w14:textId="188209A1" w:rsidR="00DC6568" w:rsidRDefault="00DC6568" w:rsidP="002A6822">
            <w:pPr>
              <w:spacing w:line="360" w:lineRule="auto"/>
              <w:rPr>
                <w:rFonts w:ascii="Times New Roman" w:hAnsi="Times New Roman" w:cs="Times New Roman"/>
                <w:sz w:val="24"/>
                <w:szCs w:val="24"/>
              </w:rPr>
            </w:pPr>
            <w:r>
              <w:rPr>
                <w:rFonts w:ascii="Times New Roman" w:hAnsi="Times New Roman" w:cs="Times New Roman"/>
                <w:sz w:val="24"/>
                <w:szCs w:val="24"/>
              </w:rPr>
              <w:t>IL 142 (</w:t>
            </w:r>
            <w:r w:rsidRPr="0024623B">
              <w:rPr>
                <w:rFonts w:ascii="Times New Roman" w:hAnsi="Times New Roman" w:cs="Times New Roman"/>
                <w:sz w:val="24"/>
                <w:szCs w:val="24"/>
              </w:rPr>
              <w:t>Ab</w:t>
            </w:r>
            <w:r w:rsidRPr="0024623B">
              <w:rPr>
                <w:rFonts w:ascii="Symbol" w:hAnsi="Symbol" w:cs="Times New Roman"/>
                <w:sz w:val="24"/>
                <w:szCs w:val="24"/>
              </w:rPr>
              <w:t></w:t>
            </w:r>
            <w:r w:rsidRPr="0024623B">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pAdeIJK</w:t>
            </w:r>
            <w:proofErr w:type="spellEnd"/>
            <w:r>
              <w:rPr>
                <w:rFonts w:ascii="Times New Roman" w:hAnsi="Times New Roman" w:cs="Times New Roman"/>
                <w:sz w:val="24"/>
                <w:szCs w:val="24"/>
              </w:rPr>
              <w:t>)</w:t>
            </w:r>
          </w:p>
        </w:tc>
        <w:tc>
          <w:tcPr>
            <w:tcW w:w="5310" w:type="dxa"/>
            <w:gridSpan w:val="2"/>
          </w:tcPr>
          <w:p w14:paraId="5BC3EFA6" w14:textId="77777777" w:rsidR="00DC6568" w:rsidRPr="00DC6568" w:rsidRDefault="00DC6568" w:rsidP="00DC6568">
            <w:pPr>
              <w:spacing w:line="360" w:lineRule="auto"/>
              <w:rPr>
                <w:rFonts w:ascii="Times New Roman" w:hAnsi="Times New Roman" w:cs="Times New Roman"/>
                <w:color w:val="000000"/>
                <w:sz w:val="24"/>
                <w:szCs w:val="24"/>
              </w:rPr>
            </w:pPr>
            <w:r w:rsidRPr="00DC6568">
              <w:rPr>
                <w:rFonts w:ascii="Times New Roman" w:hAnsi="Times New Roman" w:cs="Times New Roman"/>
                <w:color w:val="000000"/>
                <w:sz w:val="24"/>
                <w:szCs w:val="24"/>
              </w:rPr>
              <w:t>JWW30 ∆</w:t>
            </w:r>
            <w:proofErr w:type="spellStart"/>
            <w:r w:rsidRPr="00DC6568">
              <w:rPr>
                <w:rFonts w:ascii="Times New Roman" w:hAnsi="Times New Roman" w:cs="Times New Roman"/>
                <w:i/>
                <w:iCs/>
                <w:color w:val="000000"/>
                <w:sz w:val="24"/>
                <w:szCs w:val="24"/>
              </w:rPr>
              <w:t>adeAB</w:t>
            </w:r>
            <w:r w:rsidRPr="00DC6568">
              <w:rPr>
                <w:rFonts w:ascii="Times New Roman" w:hAnsi="Times New Roman" w:cs="Times New Roman"/>
                <w:color w:val="000000"/>
                <w:sz w:val="24"/>
                <w:szCs w:val="24"/>
              </w:rPr>
              <w:t>∆</w:t>
            </w:r>
            <w:r w:rsidRPr="00DC6568">
              <w:rPr>
                <w:rFonts w:ascii="Times New Roman" w:hAnsi="Times New Roman" w:cs="Times New Roman"/>
                <w:i/>
                <w:iCs/>
                <w:color w:val="000000"/>
                <w:sz w:val="24"/>
                <w:szCs w:val="24"/>
              </w:rPr>
              <w:t>adeFGH</w:t>
            </w:r>
            <w:r w:rsidRPr="00DC6568">
              <w:rPr>
                <w:rFonts w:ascii="Times New Roman" w:hAnsi="Times New Roman" w:cs="Times New Roman"/>
                <w:color w:val="000000"/>
                <w:sz w:val="24"/>
                <w:szCs w:val="24"/>
              </w:rPr>
              <w:t>∆</w:t>
            </w:r>
            <w:r w:rsidRPr="00DC6568">
              <w:rPr>
                <w:rFonts w:ascii="Times New Roman" w:hAnsi="Times New Roman" w:cs="Times New Roman"/>
                <w:i/>
                <w:iCs/>
                <w:color w:val="000000"/>
                <w:sz w:val="24"/>
                <w:szCs w:val="24"/>
              </w:rPr>
              <w:t>adeIJK</w:t>
            </w:r>
            <w:proofErr w:type="spellEnd"/>
            <w:r w:rsidRPr="00DC6568">
              <w:rPr>
                <w:rFonts w:ascii="Times New Roman" w:hAnsi="Times New Roman" w:cs="Times New Roman"/>
                <w:color w:val="000000"/>
                <w:sz w:val="24"/>
                <w:szCs w:val="24"/>
              </w:rPr>
              <w:t xml:space="preserve"> </w:t>
            </w:r>
            <w:r w:rsidRPr="00DC6568">
              <w:rPr>
                <w:rFonts w:ascii="Times New Roman" w:hAnsi="Times New Roman" w:cs="Times New Roman"/>
                <w:i/>
                <w:iCs/>
                <w:color w:val="000000"/>
                <w:sz w:val="24"/>
                <w:szCs w:val="24"/>
              </w:rPr>
              <w:t>att</w:t>
            </w:r>
            <w:r w:rsidRPr="00DC6568">
              <w:rPr>
                <w:rFonts w:ascii="Times New Roman" w:hAnsi="Times New Roman" w:cs="Times New Roman"/>
                <w:color w:val="000000"/>
                <w:sz w:val="24"/>
                <w:szCs w:val="24"/>
              </w:rPr>
              <w:t>Tn</w:t>
            </w:r>
            <w:r w:rsidRPr="00DC6568">
              <w:rPr>
                <w:rFonts w:ascii="Times New Roman" w:hAnsi="Times New Roman" w:cs="Times New Roman"/>
                <w:i/>
                <w:iCs/>
                <w:color w:val="000000"/>
                <w:sz w:val="24"/>
                <w:szCs w:val="24"/>
              </w:rPr>
              <w:t>7</w:t>
            </w:r>
            <w:r w:rsidRPr="00DC6568">
              <w:rPr>
                <w:rFonts w:ascii="Times New Roman" w:hAnsi="Times New Roman" w:cs="Times New Roman"/>
                <w:color w:val="000000"/>
                <w:sz w:val="24"/>
                <w:szCs w:val="24"/>
              </w:rPr>
              <w:t>::mini-</w:t>
            </w:r>
          </w:p>
          <w:p w14:paraId="1BFD2711" w14:textId="215BA111" w:rsidR="00DC6568" w:rsidRPr="00DC6568" w:rsidRDefault="00DC6568" w:rsidP="00DC6568">
            <w:pPr>
              <w:spacing w:line="360" w:lineRule="auto"/>
              <w:rPr>
                <w:rFonts w:ascii="Times New Roman" w:hAnsi="Times New Roman" w:cs="Times New Roman"/>
                <w:color w:val="000000"/>
                <w:sz w:val="24"/>
                <w:szCs w:val="24"/>
              </w:rPr>
            </w:pPr>
            <w:r w:rsidRPr="00DC6568">
              <w:rPr>
                <w:rFonts w:ascii="Times New Roman" w:hAnsi="Times New Roman" w:cs="Times New Roman"/>
                <w:color w:val="000000"/>
                <w:sz w:val="24"/>
                <w:szCs w:val="24"/>
              </w:rPr>
              <w:t>Tn</w:t>
            </w:r>
            <w:r w:rsidRPr="00DC6568">
              <w:rPr>
                <w:rFonts w:ascii="Times New Roman" w:hAnsi="Times New Roman" w:cs="Times New Roman"/>
                <w:i/>
                <w:iCs/>
                <w:color w:val="000000"/>
                <w:sz w:val="24"/>
                <w:szCs w:val="24"/>
              </w:rPr>
              <w:t>7</w:t>
            </w:r>
            <w:r w:rsidRPr="00DC6568">
              <w:rPr>
                <w:rFonts w:ascii="Times New Roman" w:hAnsi="Times New Roman" w:cs="Times New Roman"/>
                <w:color w:val="000000"/>
                <w:sz w:val="24"/>
                <w:szCs w:val="24"/>
              </w:rPr>
              <w:t>T-Tp</w:t>
            </w:r>
            <w:r>
              <w:rPr>
                <w:rFonts w:ascii="Times New Roman" w:hAnsi="Times New Roman" w:cs="Times New Roman"/>
                <w:color w:val="000000"/>
                <w:sz w:val="24"/>
                <w:szCs w:val="24"/>
                <w:vertAlign w:val="superscript"/>
              </w:rPr>
              <w:t>r</w:t>
            </w:r>
            <w:r w:rsidRPr="00DC6568">
              <w:rPr>
                <w:rFonts w:ascii="Times New Roman" w:hAnsi="Times New Roman" w:cs="Times New Roman"/>
                <w:color w:val="000000"/>
                <w:sz w:val="24"/>
                <w:szCs w:val="24"/>
              </w:rPr>
              <w:t xml:space="preserve"> -</w:t>
            </w:r>
            <w:proofErr w:type="spellStart"/>
            <w:r w:rsidRPr="00DC6568">
              <w:rPr>
                <w:rFonts w:ascii="Times New Roman" w:hAnsi="Times New Roman" w:cs="Times New Roman"/>
                <w:i/>
                <w:iCs/>
                <w:color w:val="000000"/>
                <w:sz w:val="24"/>
                <w:szCs w:val="24"/>
              </w:rPr>
              <w:t>araC</w:t>
            </w:r>
            <w:proofErr w:type="spellEnd"/>
            <w:r w:rsidRPr="00DC6568">
              <w:rPr>
                <w:rFonts w:ascii="Times New Roman" w:hAnsi="Times New Roman" w:cs="Times New Roman"/>
                <w:color w:val="000000"/>
                <w:sz w:val="24"/>
                <w:szCs w:val="24"/>
              </w:rPr>
              <w:t>-</w:t>
            </w:r>
            <w:r w:rsidRPr="00DC1A98">
              <w:rPr>
                <w:rFonts w:ascii="Times New Roman" w:hAnsi="Times New Roman" w:cs="Times New Roman"/>
                <w:color w:val="000000"/>
                <w:sz w:val="24"/>
                <w:szCs w:val="24"/>
              </w:rPr>
              <w:t>P</w:t>
            </w:r>
            <w:r w:rsidRPr="00DC1A98">
              <w:rPr>
                <w:rFonts w:ascii="Times New Roman" w:hAnsi="Times New Roman" w:cs="Times New Roman"/>
                <w:i/>
                <w:iCs/>
                <w:color w:val="000000"/>
                <w:sz w:val="24"/>
                <w:szCs w:val="24"/>
                <w:vertAlign w:val="subscript"/>
              </w:rPr>
              <w:t>BAD</w:t>
            </w:r>
            <w:r w:rsidRPr="00DC6568">
              <w:rPr>
                <w:rFonts w:ascii="Times New Roman" w:hAnsi="Times New Roman" w:cs="Times New Roman"/>
                <w:color w:val="000000"/>
                <w:sz w:val="24"/>
                <w:szCs w:val="24"/>
              </w:rPr>
              <w:t>-</w:t>
            </w:r>
            <w:proofErr w:type="spellStart"/>
            <w:r w:rsidRPr="00DC6568">
              <w:rPr>
                <w:rFonts w:ascii="Times New Roman" w:hAnsi="Times New Roman" w:cs="Times New Roman"/>
                <w:i/>
                <w:iCs/>
                <w:color w:val="000000"/>
                <w:sz w:val="24"/>
                <w:szCs w:val="24"/>
              </w:rPr>
              <w:t>adeFGH</w:t>
            </w:r>
            <w:proofErr w:type="spellEnd"/>
            <w:r w:rsidRPr="00DC6568">
              <w:rPr>
                <w:rFonts w:ascii="Times New Roman" w:hAnsi="Times New Roman" w:cs="Times New Roman"/>
                <w:color w:val="000000"/>
                <w:sz w:val="24"/>
                <w:szCs w:val="24"/>
              </w:rPr>
              <w:t xml:space="preserve"> carrying pTJ1-</w:t>
            </w:r>
            <w:r w:rsidRPr="00DC6568">
              <w:rPr>
                <w:rFonts w:ascii="Times New Roman" w:hAnsi="Times New Roman" w:cs="Times New Roman"/>
                <w:i/>
                <w:iCs/>
                <w:color w:val="000000"/>
                <w:sz w:val="24"/>
                <w:szCs w:val="24"/>
              </w:rPr>
              <w:t>ade</w:t>
            </w:r>
            <w:r>
              <w:rPr>
                <w:rFonts w:ascii="Times New Roman" w:hAnsi="Times New Roman" w:cs="Times New Roman"/>
                <w:i/>
                <w:iCs/>
                <w:color w:val="000000"/>
                <w:sz w:val="24"/>
                <w:szCs w:val="24"/>
              </w:rPr>
              <w:t>IJK</w:t>
            </w:r>
          </w:p>
        </w:tc>
        <w:tc>
          <w:tcPr>
            <w:tcW w:w="1345" w:type="dxa"/>
            <w:vAlign w:val="center"/>
          </w:tcPr>
          <w:p w14:paraId="59D078BD" w14:textId="1A3E8A07" w:rsidR="00DC6568" w:rsidRDefault="00DC6568"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{"citationID":"MkE4dX39","properties":{"formattedCitation":"\\super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p>
        </w:tc>
      </w:tr>
      <w:tr w:rsidR="00DC6568" w14:paraId="214C7254" w14:textId="77777777" w:rsidTr="00EF30E4">
        <w:tc>
          <w:tcPr>
            <w:tcW w:w="1975" w:type="dxa"/>
          </w:tcPr>
          <w:p w14:paraId="299397D3" w14:textId="0C9E8034" w:rsidR="00DC6568" w:rsidRDefault="00DC6568" w:rsidP="002A6822">
            <w:pPr>
              <w:spacing w:line="360" w:lineRule="auto"/>
              <w:rPr>
                <w:rFonts w:ascii="Times New Roman" w:hAnsi="Times New Roman" w:cs="Times New Roman"/>
                <w:sz w:val="24"/>
                <w:szCs w:val="24"/>
              </w:rPr>
            </w:pPr>
            <w:r>
              <w:rPr>
                <w:rFonts w:ascii="Times New Roman" w:hAnsi="Times New Roman" w:cs="Times New Roman"/>
                <w:sz w:val="24"/>
                <w:szCs w:val="24"/>
              </w:rPr>
              <w:t>IL 147 (</w:t>
            </w:r>
            <w:r w:rsidRPr="0024623B">
              <w:rPr>
                <w:rFonts w:ascii="Times New Roman" w:hAnsi="Times New Roman" w:cs="Times New Roman"/>
                <w:sz w:val="24"/>
                <w:szCs w:val="24"/>
              </w:rPr>
              <w:t>Ab</w:t>
            </w:r>
            <w:r w:rsidRPr="0024623B">
              <w:rPr>
                <w:rFonts w:ascii="Symbol" w:hAnsi="Symbol" w:cs="Times New Roman"/>
                <w:sz w:val="24"/>
                <w:szCs w:val="24"/>
              </w:rPr>
              <w:t></w:t>
            </w:r>
            <w:r w:rsidRPr="0024623B">
              <w:rPr>
                <w:rFonts w:ascii="Times New Roman" w:hAnsi="Times New Roman" w:cs="Times New Roman"/>
                <w:sz w:val="24"/>
                <w:szCs w:val="24"/>
              </w:rPr>
              <w:t>3</w:t>
            </w:r>
            <w:r>
              <w:rPr>
                <w:rFonts w:ascii="Times New Roman" w:hAnsi="Times New Roman" w:cs="Times New Roman"/>
                <w:sz w:val="24"/>
                <w:szCs w:val="24"/>
              </w:rPr>
              <w:t>-Pore pAdeFGH)</w:t>
            </w:r>
          </w:p>
        </w:tc>
        <w:tc>
          <w:tcPr>
            <w:tcW w:w="5310" w:type="dxa"/>
            <w:gridSpan w:val="2"/>
          </w:tcPr>
          <w:p w14:paraId="335AE5FB" w14:textId="77777777" w:rsidR="00DC6568" w:rsidRPr="00DC6568" w:rsidRDefault="00DC6568" w:rsidP="00DC6568">
            <w:pPr>
              <w:spacing w:line="360" w:lineRule="auto"/>
              <w:rPr>
                <w:rFonts w:ascii="Times New Roman" w:hAnsi="Times New Roman" w:cs="Times New Roman"/>
                <w:color w:val="000000"/>
                <w:sz w:val="24"/>
                <w:szCs w:val="24"/>
              </w:rPr>
            </w:pPr>
            <w:r w:rsidRPr="00DC6568">
              <w:rPr>
                <w:rFonts w:ascii="Times New Roman" w:hAnsi="Times New Roman" w:cs="Times New Roman"/>
                <w:color w:val="000000"/>
                <w:sz w:val="24"/>
                <w:szCs w:val="24"/>
              </w:rPr>
              <w:t>JWW30 ∆</w:t>
            </w:r>
            <w:proofErr w:type="spellStart"/>
            <w:r w:rsidRPr="00DC6568">
              <w:rPr>
                <w:rFonts w:ascii="Times New Roman" w:hAnsi="Times New Roman" w:cs="Times New Roman"/>
                <w:i/>
                <w:iCs/>
                <w:color w:val="000000"/>
                <w:sz w:val="24"/>
                <w:szCs w:val="24"/>
              </w:rPr>
              <w:t>adeAB</w:t>
            </w:r>
            <w:r w:rsidRPr="00DC6568">
              <w:rPr>
                <w:rFonts w:ascii="Times New Roman" w:hAnsi="Times New Roman" w:cs="Times New Roman"/>
                <w:color w:val="000000"/>
                <w:sz w:val="24"/>
                <w:szCs w:val="24"/>
              </w:rPr>
              <w:t>∆</w:t>
            </w:r>
            <w:r w:rsidRPr="00DC6568">
              <w:rPr>
                <w:rFonts w:ascii="Times New Roman" w:hAnsi="Times New Roman" w:cs="Times New Roman"/>
                <w:i/>
                <w:iCs/>
                <w:color w:val="000000"/>
                <w:sz w:val="24"/>
                <w:szCs w:val="24"/>
              </w:rPr>
              <w:t>adeFGH</w:t>
            </w:r>
            <w:r w:rsidRPr="00DC6568">
              <w:rPr>
                <w:rFonts w:ascii="Times New Roman" w:hAnsi="Times New Roman" w:cs="Times New Roman"/>
                <w:color w:val="000000"/>
                <w:sz w:val="24"/>
                <w:szCs w:val="24"/>
              </w:rPr>
              <w:t>∆a</w:t>
            </w:r>
            <w:r w:rsidRPr="00DC6568">
              <w:rPr>
                <w:rFonts w:ascii="Times New Roman" w:hAnsi="Times New Roman" w:cs="Times New Roman"/>
                <w:i/>
                <w:iCs/>
                <w:color w:val="000000"/>
                <w:sz w:val="24"/>
                <w:szCs w:val="24"/>
              </w:rPr>
              <w:t>deIJK</w:t>
            </w:r>
            <w:proofErr w:type="spellEnd"/>
            <w:r w:rsidRPr="00DC6568">
              <w:rPr>
                <w:rFonts w:ascii="Times New Roman" w:hAnsi="Times New Roman" w:cs="Times New Roman"/>
                <w:color w:val="000000"/>
                <w:sz w:val="24"/>
                <w:szCs w:val="24"/>
              </w:rPr>
              <w:t xml:space="preserve"> </w:t>
            </w:r>
            <w:r w:rsidRPr="00DC6568">
              <w:rPr>
                <w:rFonts w:ascii="Times New Roman" w:hAnsi="Times New Roman" w:cs="Times New Roman"/>
                <w:i/>
                <w:iCs/>
                <w:color w:val="000000"/>
                <w:sz w:val="24"/>
                <w:szCs w:val="24"/>
              </w:rPr>
              <w:t>att</w:t>
            </w:r>
            <w:r w:rsidRPr="00DC6568">
              <w:rPr>
                <w:rFonts w:ascii="Times New Roman" w:hAnsi="Times New Roman" w:cs="Times New Roman"/>
                <w:color w:val="000000"/>
                <w:sz w:val="24"/>
                <w:szCs w:val="24"/>
              </w:rPr>
              <w:t>Tn</w:t>
            </w:r>
            <w:r w:rsidRPr="00DC6568">
              <w:rPr>
                <w:rFonts w:ascii="Times New Roman" w:hAnsi="Times New Roman" w:cs="Times New Roman"/>
                <w:i/>
                <w:iCs/>
                <w:color w:val="000000"/>
                <w:sz w:val="24"/>
                <w:szCs w:val="24"/>
              </w:rPr>
              <w:t>7</w:t>
            </w:r>
            <w:r w:rsidRPr="00DC6568">
              <w:rPr>
                <w:rFonts w:ascii="Times New Roman" w:hAnsi="Times New Roman" w:cs="Times New Roman"/>
                <w:color w:val="000000"/>
                <w:sz w:val="24"/>
                <w:szCs w:val="24"/>
              </w:rPr>
              <w:t>::mini-</w:t>
            </w:r>
          </w:p>
          <w:p w14:paraId="1E343F43" w14:textId="4CC2CC2C" w:rsidR="00DC6568" w:rsidRPr="00DC6568" w:rsidRDefault="00DC6568" w:rsidP="00DC6568">
            <w:pPr>
              <w:spacing w:line="360" w:lineRule="auto"/>
              <w:rPr>
                <w:rFonts w:ascii="Times New Roman" w:hAnsi="Times New Roman" w:cs="Times New Roman"/>
                <w:color w:val="000000"/>
                <w:sz w:val="24"/>
                <w:szCs w:val="24"/>
              </w:rPr>
            </w:pPr>
            <w:r w:rsidRPr="00DC6568">
              <w:rPr>
                <w:rFonts w:ascii="Times New Roman" w:hAnsi="Times New Roman" w:cs="Times New Roman"/>
                <w:color w:val="000000"/>
                <w:sz w:val="24"/>
                <w:szCs w:val="24"/>
              </w:rPr>
              <w:t>Tn</w:t>
            </w:r>
            <w:r w:rsidRPr="00DC6568">
              <w:rPr>
                <w:rFonts w:ascii="Times New Roman" w:hAnsi="Times New Roman" w:cs="Times New Roman"/>
                <w:i/>
                <w:iCs/>
                <w:color w:val="000000"/>
                <w:sz w:val="24"/>
                <w:szCs w:val="24"/>
              </w:rPr>
              <w:t>7</w:t>
            </w:r>
            <w:r w:rsidRPr="00DC6568">
              <w:rPr>
                <w:rFonts w:ascii="Times New Roman" w:hAnsi="Times New Roman" w:cs="Times New Roman"/>
                <w:color w:val="000000"/>
                <w:sz w:val="24"/>
                <w:szCs w:val="24"/>
              </w:rPr>
              <w:t>T-</w:t>
            </w:r>
            <w:r w:rsidRPr="00DC1A98">
              <w:rPr>
                <w:rFonts w:ascii="Times New Roman" w:hAnsi="Times New Roman" w:cs="Times New Roman"/>
                <w:color w:val="000000"/>
                <w:sz w:val="24"/>
                <w:szCs w:val="24"/>
              </w:rPr>
              <w:t>Km</w:t>
            </w:r>
            <w:r>
              <w:rPr>
                <w:rFonts w:ascii="Times New Roman" w:hAnsi="Times New Roman" w:cs="Times New Roman"/>
                <w:color w:val="000000"/>
                <w:sz w:val="24"/>
                <w:szCs w:val="24"/>
                <w:vertAlign w:val="superscript"/>
              </w:rPr>
              <w:t>r</w:t>
            </w:r>
            <w:r w:rsidRPr="00DC6568">
              <w:rPr>
                <w:rFonts w:ascii="Times New Roman" w:hAnsi="Times New Roman" w:cs="Times New Roman"/>
                <w:color w:val="000000"/>
                <w:sz w:val="24"/>
                <w:szCs w:val="24"/>
              </w:rPr>
              <w:t>-</w:t>
            </w:r>
            <w:r w:rsidRPr="00DC6568">
              <w:rPr>
                <w:rFonts w:ascii="Times New Roman" w:hAnsi="Times New Roman" w:cs="Times New Roman"/>
                <w:i/>
                <w:iCs/>
                <w:color w:val="000000"/>
                <w:sz w:val="24"/>
                <w:szCs w:val="24"/>
              </w:rPr>
              <w:t>araC</w:t>
            </w:r>
            <w:r w:rsidRPr="00DC6568">
              <w:rPr>
                <w:rFonts w:ascii="Times New Roman" w:hAnsi="Times New Roman" w:cs="Times New Roman"/>
                <w:color w:val="000000"/>
                <w:sz w:val="24"/>
                <w:szCs w:val="24"/>
              </w:rPr>
              <w:t>-</w:t>
            </w:r>
            <w:r w:rsidRPr="00DC1A98">
              <w:rPr>
                <w:rFonts w:ascii="Times New Roman" w:hAnsi="Times New Roman" w:cs="Times New Roman"/>
                <w:color w:val="000000"/>
                <w:sz w:val="24"/>
                <w:szCs w:val="24"/>
              </w:rPr>
              <w:t>P</w:t>
            </w:r>
            <w:r w:rsidRPr="00DC1A98">
              <w:rPr>
                <w:rFonts w:ascii="Times New Roman" w:hAnsi="Times New Roman" w:cs="Times New Roman"/>
                <w:i/>
                <w:iCs/>
                <w:color w:val="000000"/>
                <w:sz w:val="24"/>
                <w:szCs w:val="24"/>
                <w:vertAlign w:val="subscript"/>
              </w:rPr>
              <w:t>BAD</w:t>
            </w:r>
            <w:r w:rsidRPr="00DC6568">
              <w:rPr>
                <w:rFonts w:ascii="Times New Roman" w:hAnsi="Times New Roman" w:cs="Times New Roman"/>
                <w:color w:val="000000"/>
                <w:sz w:val="24"/>
                <w:szCs w:val="24"/>
              </w:rPr>
              <w:t>-FhuA carrying pTJ1-</w:t>
            </w:r>
            <w:r w:rsidRPr="00DC6568">
              <w:rPr>
                <w:rFonts w:ascii="Times New Roman" w:hAnsi="Times New Roman" w:cs="Times New Roman"/>
                <w:i/>
                <w:iCs/>
                <w:color w:val="000000"/>
                <w:sz w:val="24"/>
                <w:szCs w:val="24"/>
              </w:rPr>
              <w:t>adeFGH</w:t>
            </w:r>
          </w:p>
        </w:tc>
        <w:tc>
          <w:tcPr>
            <w:tcW w:w="1345" w:type="dxa"/>
            <w:vAlign w:val="center"/>
          </w:tcPr>
          <w:p w14:paraId="556BBD5D" w14:textId="35BAAD16" w:rsidR="00DC6568" w:rsidRDefault="00DC6568"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{"citationID":"Jd3hDBq5","properties":{"formattedCitation":"\\super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p>
        </w:tc>
      </w:tr>
      <w:tr w:rsidR="002A6822" w14:paraId="3014C5F7" w14:textId="77777777" w:rsidTr="00EF30E4">
        <w:tc>
          <w:tcPr>
            <w:tcW w:w="1975" w:type="dxa"/>
          </w:tcPr>
          <w:p w14:paraId="746FD70F" w14:textId="4709D583" w:rsidR="002A6822" w:rsidRDefault="002A6822" w:rsidP="002A6822">
            <w:pPr>
              <w:spacing w:line="360" w:lineRule="auto"/>
              <w:rPr>
                <w:rFonts w:ascii="Times New Roman" w:hAnsi="Times New Roman" w:cs="Times New Roman"/>
                <w:sz w:val="24"/>
                <w:szCs w:val="24"/>
              </w:rPr>
            </w:pPr>
            <w:r w:rsidRPr="000D106E">
              <w:rPr>
                <w:rFonts w:ascii="Times New Roman" w:hAnsi="Times New Roman" w:cs="Times New Roman"/>
                <w:sz w:val="24"/>
                <w:szCs w:val="24"/>
              </w:rPr>
              <w:t>IL198 (</w:t>
            </w:r>
            <w:r w:rsidRPr="00AE59D3">
              <w:rPr>
                <w:rFonts w:ascii="Symbol" w:eastAsia="Times New Roman" w:hAnsi="Symbol" w:cs="Times New Roman"/>
                <w:color w:val="000000"/>
                <w:sz w:val="24"/>
                <w:szCs w:val="24"/>
              </w:rPr>
              <w:t></w:t>
            </w:r>
            <w:r w:rsidRPr="00AE59D3">
              <w:rPr>
                <w:rFonts w:ascii="Symbol" w:eastAsia="Times New Roman" w:hAnsi="Symbol" w:cs="Times New Roman"/>
                <w:color w:val="000000"/>
                <w:sz w:val="24"/>
                <w:szCs w:val="24"/>
              </w:rPr>
              <w:t xml:space="preserve"> </w:t>
            </w:r>
            <w:r w:rsidRPr="000D106E">
              <w:rPr>
                <w:rFonts w:ascii="Calibri" w:hAnsi="Calibri" w:cs="Calibri"/>
                <w:sz w:val="24"/>
                <w:szCs w:val="24"/>
              </w:rPr>
              <w:t>∆</w:t>
            </w:r>
            <w:proofErr w:type="spellStart"/>
            <w:r w:rsidRPr="000D106E">
              <w:rPr>
                <w:rFonts w:ascii="Times New Roman" w:hAnsi="Times New Roman" w:cs="Times New Roman"/>
                <w:sz w:val="24"/>
                <w:szCs w:val="24"/>
              </w:rPr>
              <w:t>AmfAB</w:t>
            </w:r>
            <w:proofErr w:type="spellEnd"/>
            <w:r w:rsidRPr="000D106E">
              <w:rPr>
                <w:rFonts w:ascii="Times New Roman" w:hAnsi="Times New Roman" w:cs="Times New Roman"/>
                <w:sz w:val="24"/>
                <w:szCs w:val="24"/>
              </w:rPr>
              <w:t>)</w:t>
            </w:r>
          </w:p>
        </w:tc>
        <w:tc>
          <w:tcPr>
            <w:tcW w:w="5310" w:type="dxa"/>
            <w:gridSpan w:val="2"/>
          </w:tcPr>
          <w:p w14:paraId="019A4800" w14:textId="506BFC19" w:rsidR="002A6822" w:rsidRPr="002A6822" w:rsidRDefault="002A6822" w:rsidP="002A6822">
            <w:pPr>
              <w:spacing w:line="360" w:lineRule="auto"/>
              <w:rPr>
                <w:rFonts w:ascii="Times New Roman" w:hAnsi="Times New Roman" w:cs="Times New Roman"/>
                <w:i/>
                <w:iCs/>
                <w:sz w:val="24"/>
                <w:szCs w:val="24"/>
              </w:rPr>
            </w:pPr>
            <w:r w:rsidRPr="008E5AB3">
              <w:rPr>
                <w:rFonts w:ascii="Times New Roman" w:hAnsi="Times New Roman" w:cs="Times New Roman"/>
                <w:sz w:val="24"/>
                <w:szCs w:val="24"/>
              </w:rPr>
              <w:t>IL119</w:t>
            </w:r>
            <w:r w:rsidRPr="001B2885">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A1S_1772-73</w:t>
            </w:r>
          </w:p>
        </w:tc>
        <w:tc>
          <w:tcPr>
            <w:tcW w:w="1345" w:type="dxa"/>
            <w:vAlign w:val="center"/>
          </w:tcPr>
          <w:p w14:paraId="16C8CAB2" w14:textId="0418CD1F" w:rsidR="002A6822"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{"citationID":"x4jclc3w","properties":{"formattedCitation":"\\super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2A6822" w14:paraId="7DD9A335" w14:textId="77777777" w:rsidTr="00EF30E4">
        <w:tc>
          <w:tcPr>
            <w:tcW w:w="1975" w:type="dxa"/>
          </w:tcPr>
          <w:p w14:paraId="7E304924" w14:textId="079A0D84" w:rsidR="002A6822" w:rsidRDefault="002A6822" w:rsidP="002A6822">
            <w:pPr>
              <w:spacing w:line="360" w:lineRule="auto"/>
              <w:rPr>
                <w:rFonts w:ascii="Times New Roman" w:hAnsi="Times New Roman" w:cs="Times New Roman"/>
                <w:sz w:val="24"/>
                <w:szCs w:val="24"/>
              </w:rPr>
            </w:pPr>
            <w:r w:rsidRPr="000D106E">
              <w:rPr>
                <w:rFonts w:ascii="Times New Roman" w:hAnsi="Times New Roman" w:cs="Times New Roman"/>
                <w:sz w:val="24"/>
                <w:szCs w:val="24"/>
              </w:rPr>
              <w:t>IL199 (</w:t>
            </w:r>
            <w:r w:rsidRPr="00AE59D3">
              <w:rPr>
                <w:rFonts w:ascii="Symbol" w:eastAsia="Times New Roman" w:hAnsi="Symbol" w:cs="Times New Roman"/>
                <w:color w:val="000000"/>
                <w:sz w:val="24"/>
                <w:szCs w:val="24"/>
              </w:rPr>
              <w:t></w:t>
            </w:r>
            <w:r w:rsidRPr="00AE59D3">
              <w:rPr>
                <w:rFonts w:ascii="Symbol" w:eastAsia="Times New Roman" w:hAnsi="Symbol" w:cs="Times New Roman"/>
                <w:color w:val="000000"/>
                <w:sz w:val="24"/>
                <w:szCs w:val="24"/>
              </w:rPr>
              <w:t xml:space="preserve"> </w:t>
            </w:r>
            <w:r w:rsidRPr="000D106E">
              <w:rPr>
                <w:rFonts w:ascii="Calibri" w:hAnsi="Calibri" w:cs="Calibri"/>
                <w:sz w:val="24"/>
                <w:szCs w:val="24"/>
              </w:rPr>
              <w:t>∆</w:t>
            </w:r>
            <w:proofErr w:type="spellStart"/>
            <w:r w:rsidRPr="000D106E">
              <w:rPr>
                <w:rFonts w:ascii="Times New Roman" w:hAnsi="Times New Roman" w:cs="Times New Roman"/>
                <w:sz w:val="24"/>
                <w:szCs w:val="24"/>
              </w:rPr>
              <w:t>AmfCD</w:t>
            </w:r>
            <w:proofErr w:type="spellEnd"/>
            <w:r w:rsidRPr="000D106E">
              <w:rPr>
                <w:rFonts w:ascii="Times New Roman" w:hAnsi="Times New Roman" w:cs="Times New Roman"/>
                <w:sz w:val="24"/>
                <w:szCs w:val="24"/>
              </w:rPr>
              <w:t>)</w:t>
            </w:r>
          </w:p>
        </w:tc>
        <w:tc>
          <w:tcPr>
            <w:tcW w:w="5310" w:type="dxa"/>
            <w:gridSpan w:val="2"/>
          </w:tcPr>
          <w:p w14:paraId="1D72E796" w14:textId="10B39243" w:rsidR="002A6822" w:rsidRPr="002A6822" w:rsidRDefault="002A6822" w:rsidP="002A6822">
            <w:pPr>
              <w:spacing w:line="360" w:lineRule="auto"/>
              <w:rPr>
                <w:rFonts w:ascii="Times New Roman" w:hAnsi="Times New Roman" w:cs="Times New Roman"/>
                <w:i/>
                <w:iCs/>
                <w:sz w:val="24"/>
                <w:szCs w:val="24"/>
              </w:rPr>
            </w:pPr>
            <w:r w:rsidRPr="008E5AB3">
              <w:rPr>
                <w:rFonts w:ascii="Times New Roman" w:hAnsi="Times New Roman" w:cs="Times New Roman"/>
                <w:sz w:val="24"/>
                <w:szCs w:val="24"/>
              </w:rPr>
              <w:t>IL119</w:t>
            </w:r>
            <w:r w:rsidRPr="001B2885">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A1S_1799-1800</w:t>
            </w:r>
          </w:p>
        </w:tc>
        <w:tc>
          <w:tcPr>
            <w:tcW w:w="1345" w:type="dxa"/>
            <w:vAlign w:val="center"/>
          </w:tcPr>
          <w:p w14:paraId="5C2B228F" w14:textId="56737460" w:rsidR="002A6822"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{"citationID":"GBEdMhLL","properties":{"formattedCitation":"\\super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2A6822" w14:paraId="6F47E16B" w14:textId="77777777" w:rsidTr="00EF30E4">
        <w:tc>
          <w:tcPr>
            <w:tcW w:w="1975" w:type="dxa"/>
          </w:tcPr>
          <w:p w14:paraId="69901083" w14:textId="4B2E8CB8" w:rsidR="002A6822" w:rsidRDefault="002A6822" w:rsidP="002A6822">
            <w:pPr>
              <w:spacing w:line="360" w:lineRule="auto"/>
              <w:rPr>
                <w:rFonts w:ascii="Times New Roman" w:hAnsi="Times New Roman" w:cs="Times New Roman"/>
                <w:sz w:val="24"/>
                <w:szCs w:val="24"/>
              </w:rPr>
            </w:pPr>
            <w:r w:rsidRPr="000D106E">
              <w:rPr>
                <w:rFonts w:ascii="Times New Roman" w:hAnsi="Times New Roman" w:cs="Times New Roman"/>
                <w:color w:val="000000"/>
                <w:sz w:val="24"/>
                <w:szCs w:val="24"/>
              </w:rPr>
              <w:t>IL200 (</w:t>
            </w:r>
            <w:r w:rsidRPr="000D106E">
              <w:rPr>
                <w:rFonts w:ascii="Times New Roman" w:hAnsi="Times New Roman" w:cs="Times New Roman"/>
                <w:sz w:val="24"/>
                <w:szCs w:val="24"/>
              </w:rPr>
              <w:t>∆5)</w:t>
            </w:r>
          </w:p>
        </w:tc>
        <w:tc>
          <w:tcPr>
            <w:tcW w:w="5310" w:type="dxa"/>
            <w:gridSpan w:val="2"/>
          </w:tcPr>
          <w:p w14:paraId="56D65C70" w14:textId="375DEFCE" w:rsidR="002A6822" w:rsidRPr="002A6822" w:rsidRDefault="002A6822" w:rsidP="002A6822">
            <w:pPr>
              <w:spacing w:line="360" w:lineRule="auto"/>
              <w:rPr>
                <w:rFonts w:ascii="Times New Roman" w:hAnsi="Times New Roman" w:cs="Times New Roman"/>
                <w:i/>
                <w:iCs/>
                <w:sz w:val="24"/>
                <w:szCs w:val="24"/>
              </w:rPr>
            </w:pPr>
            <w:r w:rsidRPr="008E5AB3">
              <w:rPr>
                <w:rFonts w:ascii="Times New Roman" w:hAnsi="Times New Roman" w:cs="Times New Roman"/>
                <w:sz w:val="24"/>
                <w:szCs w:val="24"/>
              </w:rPr>
              <w:t>IL19</w:t>
            </w:r>
            <w:r>
              <w:rPr>
                <w:rFonts w:ascii="Times New Roman" w:hAnsi="Times New Roman" w:cs="Times New Roman"/>
                <w:sz w:val="24"/>
                <w:szCs w:val="24"/>
              </w:rPr>
              <w:t>9 ∆</w:t>
            </w:r>
            <w:r>
              <w:rPr>
                <w:rFonts w:ascii="Times New Roman" w:hAnsi="Times New Roman" w:cs="Times New Roman"/>
                <w:i/>
                <w:sz w:val="24"/>
                <w:szCs w:val="24"/>
              </w:rPr>
              <w:t>A1S_1772-73::</w:t>
            </w:r>
            <w:proofErr w:type="spellStart"/>
            <w:r>
              <w:rPr>
                <w:rFonts w:ascii="Times New Roman" w:hAnsi="Times New Roman" w:cs="Times New Roman"/>
                <w:i/>
                <w:sz w:val="24"/>
                <w:szCs w:val="24"/>
              </w:rPr>
              <w:t>Gm</w:t>
            </w:r>
            <w:r>
              <w:rPr>
                <w:rFonts w:ascii="Times New Roman" w:hAnsi="Times New Roman" w:cs="Times New Roman"/>
                <w:i/>
                <w:sz w:val="24"/>
                <w:szCs w:val="24"/>
                <w:vertAlign w:val="superscript"/>
              </w:rPr>
              <w:t>r</w:t>
            </w:r>
            <w:proofErr w:type="spellEnd"/>
          </w:p>
        </w:tc>
        <w:tc>
          <w:tcPr>
            <w:tcW w:w="1345" w:type="dxa"/>
            <w:vAlign w:val="center"/>
          </w:tcPr>
          <w:p w14:paraId="78A50F46" w14:textId="59CD6769" w:rsidR="002A6822"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{"citationID":"NIeZnpqc","properties":{"formattedCitation":"\\super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34110C37" w14:textId="77777777" w:rsidTr="00EF30E4">
        <w:tc>
          <w:tcPr>
            <w:tcW w:w="1975" w:type="dxa"/>
          </w:tcPr>
          <w:p w14:paraId="2DDC92F1" w14:textId="1AAF8AB9" w:rsidR="0056009F" w:rsidRDefault="0056009F" w:rsidP="0056009F">
            <w:pPr>
              <w:spacing w:line="360" w:lineRule="auto"/>
              <w:rPr>
                <w:rFonts w:ascii="Times New Roman" w:hAnsi="Times New Roman" w:cs="Times New Roman"/>
                <w:sz w:val="24"/>
                <w:szCs w:val="24"/>
              </w:rPr>
            </w:pPr>
            <w:r w:rsidRPr="000D106E">
              <w:rPr>
                <w:rFonts w:ascii="Times New Roman" w:hAnsi="Times New Roman" w:cs="Times New Roman"/>
                <w:sz w:val="24"/>
                <w:szCs w:val="24"/>
              </w:rPr>
              <w:t>IL186 (</w:t>
            </w:r>
            <w:proofErr w:type="spellStart"/>
            <w:r w:rsidRPr="000D106E">
              <w:rPr>
                <w:rFonts w:ascii="Times New Roman" w:hAnsi="Times New Roman" w:cs="Times New Roman"/>
                <w:sz w:val="24"/>
                <w:szCs w:val="24"/>
              </w:rPr>
              <w:t>WT</w:t>
            </w:r>
            <w:r w:rsidRPr="00AE59D3">
              <w:rPr>
                <w:rFonts w:ascii="Symbol" w:eastAsia="Times New Roman" w:hAnsi="Symbol" w:cs="Times New Roman"/>
                <w:color w:val="000000"/>
                <w:sz w:val="24"/>
                <w:szCs w:val="24"/>
              </w:rPr>
              <w:t xml:space="preserve"> </w:t>
            </w:r>
            <w:r>
              <w:rPr>
                <w:rFonts w:ascii="Times New Roman" w:hAnsi="Times New Roman" w:cs="Times New Roman"/>
                <w:sz w:val="24"/>
                <w:szCs w:val="24"/>
              </w:rPr>
              <w:t>p</w:t>
            </w:r>
            <w:r w:rsidRPr="00AE59D3">
              <w:rPr>
                <w:rFonts w:ascii="Times New Roman" w:eastAsia="Times New Roman" w:hAnsi="Times New Roman" w:cs="Times New Roman"/>
                <w:color w:val="000000"/>
                <w:sz w:val="24"/>
                <w:szCs w:val="24"/>
              </w:rPr>
              <w:t>AmfAB</w:t>
            </w:r>
            <w:proofErr w:type="spellEnd"/>
            <w:r w:rsidRPr="00AE59D3">
              <w:rPr>
                <w:rFonts w:ascii="Times New Roman" w:eastAsia="Times New Roman" w:hAnsi="Times New Roman" w:cs="Times New Roman"/>
                <w:color w:val="000000"/>
                <w:sz w:val="24"/>
                <w:szCs w:val="24"/>
              </w:rPr>
              <w:t>)</w:t>
            </w:r>
          </w:p>
        </w:tc>
        <w:tc>
          <w:tcPr>
            <w:tcW w:w="5310" w:type="dxa"/>
            <w:gridSpan w:val="2"/>
          </w:tcPr>
          <w:p w14:paraId="01FDF52E" w14:textId="373A6A6A" w:rsidR="0056009F" w:rsidRPr="002A6822" w:rsidRDefault="0056009F" w:rsidP="0056009F">
            <w:pPr>
              <w:spacing w:line="360" w:lineRule="auto"/>
              <w:rPr>
                <w:rFonts w:ascii="Times New Roman" w:hAnsi="Times New Roman" w:cs="Times New Roman"/>
                <w:i/>
                <w:iCs/>
                <w:sz w:val="24"/>
                <w:szCs w:val="24"/>
              </w:rPr>
            </w:pPr>
            <w:r w:rsidRPr="003A6537">
              <w:rPr>
                <w:rFonts w:ascii="Times New Roman" w:hAnsi="Times New Roman" w:cs="Times New Roman"/>
                <w:color w:val="000000"/>
                <w:sz w:val="24"/>
                <w:szCs w:val="24"/>
              </w:rPr>
              <w:t xml:space="preserve">JWW30 </w:t>
            </w:r>
            <w:r w:rsidRPr="003A6537">
              <w:rPr>
                <w:rFonts w:ascii="Times New Roman" w:hAnsi="Times New Roman" w:cs="Times New Roman"/>
                <w:i/>
                <w:iCs/>
                <w:sz w:val="24"/>
                <w:szCs w:val="24"/>
              </w:rPr>
              <w:t>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ABUW_1949-50</w:t>
            </w:r>
            <w:r w:rsidRPr="003A6537">
              <w:rPr>
                <w:rFonts w:ascii="Times New Roman" w:hAnsi="Times New Roman" w:cs="Times New Roman"/>
                <w:sz w:val="24"/>
                <w:szCs w:val="24"/>
              </w:rPr>
              <w:t xml:space="preserve"> carrying pMOM101</w:t>
            </w:r>
          </w:p>
        </w:tc>
        <w:tc>
          <w:tcPr>
            <w:tcW w:w="1345" w:type="dxa"/>
            <w:vAlign w:val="center"/>
          </w:tcPr>
          <w:p w14:paraId="06B3A015" w14:textId="621CAABD" w:rsidR="0056009F"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{"citationID":"aScr6ogW","properties":{"formattedCitation":"\\super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1ED50100" w14:textId="77777777" w:rsidTr="00EF30E4">
        <w:tc>
          <w:tcPr>
            <w:tcW w:w="1975" w:type="dxa"/>
          </w:tcPr>
          <w:p w14:paraId="59CA68C4" w14:textId="1BA2A22E" w:rsidR="0056009F" w:rsidRDefault="0056009F" w:rsidP="0056009F">
            <w:pPr>
              <w:spacing w:line="360" w:lineRule="auto"/>
              <w:rPr>
                <w:rFonts w:ascii="Times New Roman" w:hAnsi="Times New Roman" w:cs="Times New Roman"/>
                <w:sz w:val="24"/>
                <w:szCs w:val="24"/>
              </w:rPr>
            </w:pPr>
            <w:r w:rsidRPr="0044416B">
              <w:rPr>
                <w:rFonts w:ascii="Times New Roman" w:hAnsi="Times New Roman" w:cs="Times New Roman"/>
                <w:sz w:val="24"/>
                <w:szCs w:val="24"/>
              </w:rPr>
              <w:t>IL1</w:t>
            </w:r>
            <w:r>
              <w:rPr>
                <w:rFonts w:ascii="Times New Roman" w:hAnsi="Times New Roman" w:cs="Times New Roman"/>
                <w:sz w:val="24"/>
                <w:szCs w:val="24"/>
              </w:rPr>
              <w:t>87</w:t>
            </w:r>
            <w:r w:rsidRPr="0044416B">
              <w:rPr>
                <w:rFonts w:ascii="Times New Roman" w:hAnsi="Times New Roman" w:cs="Times New Roman"/>
                <w:sz w:val="24"/>
                <w:szCs w:val="24"/>
              </w:rPr>
              <w:t xml:space="preserve"> (</w:t>
            </w:r>
            <w:r>
              <w:rPr>
                <w:rFonts w:ascii="Times New Roman" w:hAnsi="Times New Roman" w:cs="Times New Roman"/>
                <w:sz w:val="24"/>
                <w:szCs w:val="24"/>
              </w:rPr>
              <w:t xml:space="preserve">WT </w:t>
            </w:r>
            <w:proofErr w:type="spellStart"/>
            <w:r>
              <w:rPr>
                <w:rFonts w:ascii="Times New Roman" w:hAnsi="Times New Roman" w:cs="Times New Roman"/>
                <w:sz w:val="24"/>
                <w:szCs w:val="24"/>
              </w:rPr>
              <w:t>p</w:t>
            </w:r>
            <w:r>
              <w:rPr>
                <w:rFonts w:ascii="Times New Roman" w:eastAsia="Times New Roman" w:hAnsi="Times New Roman" w:cs="Times New Roman"/>
                <w:color w:val="000000"/>
              </w:rPr>
              <w:t>AmfCD</w:t>
            </w:r>
            <w:proofErr w:type="spellEnd"/>
            <w:r w:rsidRPr="0044416B">
              <w:rPr>
                <w:rFonts w:ascii="Times New Roman" w:eastAsia="Times New Roman" w:hAnsi="Times New Roman" w:cs="Times New Roman"/>
                <w:color w:val="000000"/>
              </w:rPr>
              <w:t>)</w:t>
            </w:r>
          </w:p>
        </w:tc>
        <w:tc>
          <w:tcPr>
            <w:tcW w:w="5310" w:type="dxa"/>
            <w:gridSpan w:val="2"/>
          </w:tcPr>
          <w:p w14:paraId="452202C4" w14:textId="49348571" w:rsidR="0056009F"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color w:val="000000"/>
                <w:sz w:val="24"/>
                <w:szCs w:val="24"/>
              </w:rPr>
              <w:t xml:space="preserve">JWW30 </w:t>
            </w:r>
            <w:r w:rsidRPr="003A6537">
              <w:rPr>
                <w:rFonts w:ascii="Times New Roman" w:hAnsi="Times New Roman" w:cs="Times New Roman"/>
                <w:i/>
                <w:iCs/>
                <w:sz w:val="24"/>
                <w:szCs w:val="24"/>
              </w:rPr>
              <w:t>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 xml:space="preserve"> ABUW_1930-31</w:t>
            </w:r>
            <w:r w:rsidRPr="003A6537">
              <w:rPr>
                <w:rFonts w:ascii="Times New Roman" w:hAnsi="Times New Roman" w:cs="Times New Roman"/>
                <w:sz w:val="24"/>
                <w:szCs w:val="24"/>
              </w:rPr>
              <w:t xml:space="preserve">  carrying pMOM102</w:t>
            </w:r>
          </w:p>
        </w:tc>
        <w:tc>
          <w:tcPr>
            <w:tcW w:w="1345" w:type="dxa"/>
            <w:vAlign w:val="center"/>
          </w:tcPr>
          <w:p w14:paraId="44D0F1B2" w14:textId="491B44FE"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{"citationID":"Ky2clFEC","properties":{"formattedCitation":"\\super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6A98159D" w14:textId="77777777" w:rsidTr="00EF30E4">
        <w:tc>
          <w:tcPr>
            <w:tcW w:w="1975" w:type="dxa"/>
          </w:tcPr>
          <w:p w14:paraId="6C940D7A" w14:textId="7EF02BDE" w:rsidR="0056009F" w:rsidRPr="001E0A29" w:rsidRDefault="0056009F" w:rsidP="0056009F">
            <w:pPr>
              <w:spacing w:line="360" w:lineRule="auto"/>
              <w:rPr>
                <w:rFonts w:ascii="Times New Roman" w:hAnsi="Times New Roman" w:cs="Times New Roman"/>
                <w:sz w:val="24"/>
                <w:szCs w:val="24"/>
              </w:rPr>
            </w:pPr>
            <w:r>
              <w:rPr>
                <w:rFonts w:ascii="Times New Roman" w:hAnsi="Times New Roman" w:cs="Times New Roman"/>
                <w:sz w:val="24"/>
                <w:szCs w:val="24"/>
              </w:rPr>
              <w:t>MOM101 (</w:t>
            </w:r>
            <w:r w:rsidRPr="002F373D">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w:t>
            </w:r>
          </w:p>
        </w:tc>
        <w:tc>
          <w:tcPr>
            <w:tcW w:w="5310" w:type="dxa"/>
            <w:gridSpan w:val="2"/>
          </w:tcPr>
          <w:p w14:paraId="06D5EF2B" w14:textId="5ECFF276" w:rsidR="0056009F" w:rsidRPr="001E0A29"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sz w:val="24"/>
                <w:szCs w:val="24"/>
              </w:rPr>
              <w:t xml:space="preserve">IL190 </w:t>
            </w:r>
            <w:r w:rsidRPr="003A6537">
              <w:rPr>
                <w:rFonts w:ascii="Times New Roman" w:hAnsi="Times New Roman" w:cs="Times New Roman"/>
                <w:i/>
                <w:iCs/>
                <w:sz w:val="24"/>
                <w:szCs w:val="24"/>
              </w:rPr>
              <w:t>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ABUW_1949-50</w:t>
            </w:r>
            <w:r w:rsidRPr="003A6537">
              <w:rPr>
                <w:rFonts w:ascii="Times New Roman" w:hAnsi="Times New Roman" w:cs="Times New Roman"/>
                <w:sz w:val="24"/>
                <w:szCs w:val="24"/>
              </w:rPr>
              <w:t xml:space="preserve"> carrying pMOM101</w:t>
            </w:r>
          </w:p>
        </w:tc>
        <w:tc>
          <w:tcPr>
            <w:tcW w:w="1345" w:type="dxa"/>
            <w:vAlign w:val="center"/>
          </w:tcPr>
          <w:p w14:paraId="5845032F" w14:textId="5A11C101"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{"citationID":"0BuRbLFP","properties":{"formattedCitation":"\\super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1084AE4F" w14:textId="77777777" w:rsidTr="00EF30E4">
        <w:tc>
          <w:tcPr>
            <w:tcW w:w="1975" w:type="dxa"/>
          </w:tcPr>
          <w:p w14:paraId="67820552" w14:textId="6A957ACC" w:rsidR="0056009F" w:rsidRDefault="0056009F" w:rsidP="0056009F">
            <w:pPr>
              <w:spacing w:line="360" w:lineRule="auto"/>
              <w:rPr>
                <w:rFonts w:ascii="Times New Roman" w:hAnsi="Times New Roman" w:cs="Times New Roman"/>
                <w:sz w:val="24"/>
                <w:szCs w:val="24"/>
              </w:rPr>
            </w:pPr>
            <w:r w:rsidRPr="005B1DCA">
              <w:rPr>
                <w:rFonts w:ascii="Times New Roman" w:hAnsi="Times New Roman" w:cs="Times New Roman"/>
                <w:sz w:val="24"/>
                <w:szCs w:val="24"/>
              </w:rPr>
              <w:t xml:space="preserve">MOM102 (∆2 </w:t>
            </w:r>
            <w:proofErr w:type="spellStart"/>
            <w:r w:rsidRPr="005B1DCA">
              <w:rPr>
                <w:rFonts w:ascii="Times New Roman" w:hAnsi="Times New Roman" w:cs="Times New Roman"/>
                <w:sz w:val="24"/>
                <w:szCs w:val="24"/>
              </w:rPr>
              <w:t>pAmfCD</w:t>
            </w:r>
            <w:proofErr w:type="spellEnd"/>
            <w:r w:rsidRPr="005B1DCA">
              <w:rPr>
                <w:rFonts w:ascii="Times New Roman" w:hAnsi="Times New Roman" w:cs="Times New Roman"/>
                <w:sz w:val="24"/>
                <w:szCs w:val="24"/>
              </w:rPr>
              <w:t>)</w:t>
            </w:r>
          </w:p>
        </w:tc>
        <w:tc>
          <w:tcPr>
            <w:tcW w:w="5310" w:type="dxa"/>
            <w:gridSpan w:val="2"/>
          </w:tcPr>
          <w:p w14:paraId="0212FA1A" w14:textId="0394CD76" w:rsidR="0056009F"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color w:val="000000"/>
                <w:sz w:val="24"/>
                <w:szCs w:val="24"/>
              </w:rPr>
              <w:t xml:space="preserve">IL190 </w:t>
            </w:r>
            <w:r w:rsidRPr="003A6537">
              <w:rPr>
                <w:rFonts w:ascii="Times New Roman" w:hAnsi="Times New Roman" w:cs="Times New Roman"/>
                <w:i/>
                <w:iCs/>
                <w:sz w:val="24"/>
                <w:szCs w:val="24"/>
              </w:rPr>
              <w:t>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 xml:space="preserve"> ABUW_1930-31</w:t>
            </w:r>
            <w:r w:rsidRPr="003A6537">
              <w:rPr>
                <w:rFonts w:ascii="Times New Roman" w:hAnsi="Times New Roman" w:cs="Times New Roman"/>
                <w:sz w:val="24"/>
                <w:szCs w:val="24"/>
              </w:rPr>
              <w:t xml:space="preserve">  carrying pMOM102</w:t>
            </w:r>
          </w:p>
        </w:tc>
        <w:tc>
          <w:tcPr>
            <w:tcW w:w="1345" w:type="dxa"/>
            <w:vAlign w:val="center"/>
          </w:tcPr>
          <w:p w14:paraId="2D116CB9" w14:textId="2B9BF511"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{"citationID":"Z4ZDTKXU","properties":{"formattedCitation":"\\super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3783B57E" w14:textId="77777777" w:rsidTr="00EF30E4">
        <w:tc>
          <w:tcPr>
            <w:tcW w:w="1975" w:type="dxa"/>
          </w:tcPr>
          <w:p w14:paraId="4D1FC08D" w14:textId="7E9AEA2D" w:rsidR="0056009F" w:rsidRPr="001E0A29" w:rsidRDefault="0056009F" w:rsidP="0056009F">
            <w:pPr>
              <w:spacing w:line="360" w:lineRule="auto"/>
              <w:rPr>
                <w:rFonts w:ascii="Times New Roman" w:hAnsi="Times New Roman" w:cs="Times New Roman"/>
                <w:sz w:val="24"/>
                <w:szCs w:val="24"/>
              </w:rPr>
            </w:pPr>
            <w:r w:rsidRPr="005B1DCA">
              <w:rPr>
                <w:rFonts w:ascii="Times New Roman" w:hAnsi="Times New Roman" w:cs="Times New Roman"/>
                <w:sz w:val="24"/>
                <w:szCs w:val="24"/>
              </w:rPr>
              <w:t>IL194 (</w:t>
            </w:r>
            <w:r w:rsidRPr="00AE59D3">
              <w:rPr>
                <w:rFonts w:ascii="Symbol" w:eastAsia="Times New Roman" w:hAnsi="Symbol" w:cs="Times New Roman"/>
                <w:color w:val="000000"/>
                <w:sz w:val="24"/>
                <w:szCs w:val="24"/>
              </w:rPr>
              <w:t></w:t>
            </w:r>
            <w:r w:rsidRPr="00AE59D3">
              <w:rPr>
                <w:rFonts w:ascii="Symbol" w:eastAsia="Times New Roman" w:hAnsi="Symbol" w:cs="Times New Roman"/>
                <w:color w:val="000000"/>
                <w:sz w:val="24"/>
                <w:szCs w:val="24"/>
              </w:rPr>
              <w:t xml:space="preserve"> </w:t>
            </w:r>
            <w:proofErr w:type="spellStart"/>
            <w:r w:rsidRPr="00AE59D3">
              <w:rPr>
                <w:rFonts w:ascii="Times New Roman" w:eastAsia="Times New Roman" w:hAnsi="Times New Roman" w:cs="Times New Roman"/>
                <w:color w:val="000000"/>
                <w:sz w:val="24"/>
                <w:szCs w:val="24"/>
              </w:rPr>
              <w:t>pAmfAB</w:t>
            </w:r>
            <w:proofErr w:type="spellEnd"/>
            <w:r w:rsidRPr="00AE59D3">
              <w:rPr>
                <w:rFonts w:ascii="Times New Roman" w:eastAsia="Times New Roman" w:hAnsi="Times New Roman" w:cs="Times New Roman"/>
                <w:color w:val="000000"/>
                <w:sz w:val="24"/>
                <w:szCs w:val="24"/>
              </w:rPr>
              <w:t>)</w:t>
            </w:r>
          </w:p>
        </w:tc>
        <w:tc>
          <w:tcPr>
            <w:tcW w:w="5310" w:type="dxa"/>
            <w:gridSpan w:val="2"/>
          </w:tcPr>
          <w:p w14:paraId="562AAF5F" w14:textId="1816B709" w:rsidR="0056009F" w:rsidRPr="001E0A29"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sz w:val="24"/>
                <w:szCs w:val="24"/>
              </w:rPr>
              <w:t>IL119</w:t>
            </w:r>
            <w:r w:rsidRPr="003A6537">
              <w:rPr>
                <w:rFonts w:ascii="Times New Roman" w:hAnsi="Times New Roman" w:cs="Times New Roman"/>
                <w:i/>
                <w:iCs/>
                <w:sz w:val="24"/>
                <w:szCs w:val="24"/>
              </w:rPr>
              <w:t xml:space="preserve"> 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ABUW_1949-50</w:t>
            </w:r>
            <w:r w:rsidRPr="003A6537">
              <w:rPr>
                <w:rFonts w:ascii="Times New Roman" w:hAnsi="Times New Roman" w:cs="Times New Roman"/>
                <w:sz w:val="24"/>
                <w:szCs w:val="24"/>
              </w:rPr>
              <w:t xml:space="preserve"> carrying pMOM101</w:t>
            </w:r>
          </w:p>
        </w:tc>
        <w:tc>
          <w:tcPr>
            <w:tcW w:w="1345" w:type="dxa"/>
            <w:vAlign w:val="center"/>
          </w:tcPr>
          <w:p w14:paraId="3E96BAA9" w14:textId="6D5435C9"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{"citationID":"nddbwmjn","properties":{"formattedCitation":"\\super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3CA734B7" w14:textId="77777777" w:rsidTr="00EF30E4">
        <w:tc>
          <w:tcPr>
            <w:tcW w:w="1975" w:type="dxa"/>
          </w:tcPr>
          <w:p w14:paraId="52D68348" w14:textId="3A78A352" w:rsidR="0056009F" w:rsidRPr="001E0A29" w:rsidRDefault="0056009F" w:rsidP="0056009F">
            <w:pPr>
              <w:spacing w:line="360" w:lineRule="auto"/>
              <w:rPr>
                <w:rFonts w:ascii="Times New Roman" w:hAnsi="Times New Roman" w:cs="Times New Roman"/>
                <w:sz w:val="24"/>
                <w:szCs w:val="24"/>
              </w:rPr>
            </w:pPr>
            <w:r w:rsidRPr="005B1DCA">
              <w:rPr>
                <w:rFonts w:ascii="Times New Roman" w:hAnsi="Times New Roman" w:cs="Times New Roman"/>
                <w:sz w:val="24"/>
                <w:szCs w:val="24"/>
              </w:rPr>
              <w:lastRenderedPageBreak/>
              <w:t>IL195 (</w:t>
            </w:r>
            <w:r w:rsidRPr="00AE59D3">
              <w:rPr>
                <w:rFonts w:ascii="Symbol" w:eastAsia="Times New Roman" w:hAnsi="Symbol" w:cs="Times New Roman"/>
                <w:color w:val="000000"/>
                <w:sz w:val="24"/>
                <w:szCs w:val="24"/>
              </w:rPr>
              <w:t></w:t>
            </w:r>
            <w:r w:rsidRPr="00AE59D3">
              <w:rPr>
                <w:rFonts w:ascii="Symbol" w:eastAsia="Times New Roman" w:hAnsi="Symbol" w:cs="Times New Roman"/>
                <w:color w:val="000000"/>
                <w:sz w:val="24"/>
                <w:szCs w:val="24"/>
              </w:rPr>
              <w:t xml:space="preserve"> </w:t>
            </w:r>
            <w:proofErr w:type="spellStart"/>
            <w:r w:rsidRPr="00AE59D3">
              <w:rPr>
                <w:rFonts w:ascii="Times New Roman" w:eastAsia="Times New Roman" w:hAnsi="Times New Roman" w:cs="Times New Roman"/>
                <w:color w:val="000000"/>
                <w:sz w:val="24"/>
                <w:szCs w:val="24"/>
              </w:rPr>
              <w:t>pAmfCD</w:t>
            </w:r>
            <w:proofErr w:type="spellEnd"/>
            <w:r w:rsidRPr="00AE59D3">
              <w:rPr>
                <w:rFonts w:ascii="Times New Roman" w:eastAsia="Times New Roman" w:hAnsi="Times New Roman" w:cs="Times New Roman"/>
                <w:color w:val="000000"/>
                <w:sz w:val="24"/>
                <w:szCs w:val="24"/>
              </w:rPr>
              <w:t>)</w:t>
            </w:r>
          </w:p>
        </w:tc>
        <w:tc>
          <w:tcPr>
            <w:tcW w:w="5310" w:type="dxa"/>
            <w:gridSpan w:val="2"/>
          </w:tcPr>
          <w:p w14:paraId="0A773933" w14:textId="411E4C78" w:rsidR="0056009F" w:rsidRPr="001E0A29"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sz w:val="24"/>
                <w:szCs w:val="24"/>
              </w:rPr>
              <w:t>IL119</w:t>
            </w:r>
            <w:r w:rsidRPr="003A6537">
              <w:rPr>
                <w:rFonts w:ascii="Times New Roman" w:hAnsi="Times New Roman" w:cs="Times New Roman"/>
                <w:i/>
                <w:iCs/>
                <w:sz w:val="24"/>
                <w:szCs w:val="24"/>
              </w:rPr>
              <w:t xml:space="preserve"> 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 xml:space="preserve"> ABUW_1930-31</w:t>
            </w:r>
            <w:r w:rsidRPr="003A6537">
              <w:rPr>
                <w:rFonts w:ascii="Times New Roman" w:hAnsi="Times New Roman" w:cs="Times New Roman"/>
                <w:sz w:val="24"/>
                <w:szCs w:val="24"/>
              </w:rPr>
              <w:t xml:space="preserve">  carrying pMOM102</w:t>
            </w:r>
          </w:p>
        </w:tc>
        <w:tc>
          <w:tcPr>
            <w:tcW w:w="1345" w:type="dxa"/>
            <w:vAlign w:val="center"/>
          </w:tcPr>
          <w:p w14:paraId="1ADA1D6A" w14:textId="561FD925"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{"citationID":"97i700QQ","properties":{"formattedCitation":"\\super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61F2D74F" w14:textId="77777777" w:rsidTr="00EF30E4">
        <w:tc>
          <w:tcPr>
            <w:tcW w:w="1975" w:type="dxa"/>
          </w:tcPr>
          <w:p w14:paraId="759E15B6" w14:textId="42685C9A" w:rsidR="0056009F" w:rsidRPr="001E0A29" w:rsidRDefault="0056009F" w:rsidP="0056009F">
            <w:pPr>
              <w:spacing w:line="360" w:lineRule="auto"/>
              <w:rPr>
                <w:rFonts w:ascii="Times New Roman" w:hAnsi="Times New Roman" w:cs="Times New Roman"/>
                <w:sz w:val="24"/>
                <w:szCs w:val="24"/>
              </w:rPr>
            </w:pPr>
            <w:r>
              <w:rPr>
                <w:rFonts w:ascii="Times New Roman" w:hAnsi="Times New Roman" w:cs="Times New Roman"/>
                <w:sz w:val="24"/>
                <w:szCs w:val="24"/>
              </w:rPr>
              <w:t>MOM103 (</w:t>
            </w:r>
            <w:r w:rsidRPr="002F373D">
              <w:rPr>
                <w:rFonts w:ascii="Times New Roman" w:hAnsi="Times New Roman" w:cs="Times New Roman"/>
                <w:sz w:val="24"/>
                <w:szCs w:val="24"/>
              </w:rPr>
              <w:t>∆</w:t>
            </w:r>
            <w:r>
              <w:rPr>
                <w:rFonts w:ascii="Times New Roman" w:hAnsi="Times New Roman" w:cs="Times New Roman"/>
                <w:sz w:val="24"/>
                <w:szCs w:val="24"/>
              </w:rPr>
              <w:t xml:space="preserve">5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w:t>
            </w:r>
          </w:p>
        </w:tc>
        <w:tc>
          <w:tcPr>
            <w:tcW w:w="5310" w:type="dxa"/>
            <w:gridSpan w:val="2"/>
          </w:tcPr>
          <w:p w14:paraId="4CB3E106" w14:textId="38B564F3" w:rsidR="0056009F" w:rsidRPr="001E0A29"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sz w:val="24"/>
                <w:szCs w:val="24"/>
              </w:rPr>
              <w:t xml:space="preserve">IL200 </w:t>
            </w:r>
            <w:r w:rsidRPr="003A6537">
              <w:rPr>
                <w:rFonts w:ascii="Times New Roman" w:hAnsi="Times New Roman" w:cs="Times New Roman"/>
                <w:i/>
                <w:iCs/>
                <w:sz w:val="24"/>
                <w:szCs w:val="24"/>
              </w:rPr>
              <w:t>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ABUW_1949-50</w:t>
            </w:r>
            <w:r w:rsidRPr="003A6537">
              <w:rPr>
                <w:rFonts w:ascii="Times New Roman" w:hAnsi="Times New Roman" w:cs="Times New Roman"/>
                <w:sz w:val="24"/>
                <w:szCs w:val="24"/>
              </w:rPr>
              <w:t xml:space="preserve"> carrying pMOM101</w:t>
            </w:r>
          </w:p>
        </w:tc>
        <w:tc>
          <w:tcPr>
            <w:tcW w:w="1345" w:type="dxa"/>
            <w:vAlign w:val="center"/>
          </w:tcPr>
          <w:p w14:paraId="2BCC9167" w14:textId="560A19FC"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{"citationID":"MM27PshQ","properties":{"formattedCitation":"\\super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40887530" w14:textId="77777777" w:rsidTr="00EF30E4">
        <w:tc>
          <w:tcPr>
            <w:tcW w:w="1975" w:type="dxa"/>
          </w:tcPr>
          <w:p w14:paraId="3C3AE90F" w14:textId="21EE926D" w:rsidR="0056009F" w:rsidRPr="001E0A29" w:rsidRDefault="0056009F" w:rsidP="0056009F">
            <w:pPr>
              <w:spacing w:line="360" w:lineRule="auto"/>
              <w:rPr>
                <w:rFonts w:ascii="Times New Roman" w:hAnsi="Times New Roman" w:cs="Times New Roman"/>
                <w:sz w:val="24"/>
                <w:szCs w:val="24"/>
              </w:rPr>
            </w:pPr>
            <w:r>
              <w:rPr>
                <w:rFonts w:ascii="Times New Roman" w:hAnsi="Times New Roman" w:cs="Times New Roman"/>
                <w:sz w:val="24"/>
                <w:szCs w:val="24"/>
              </w:rPr>
              <w:t>MOM104 (</w:t>
            </w:r>
            <w:r w:rsidRPr="002F373D">
              <w:rPr>
                <w:rFonts w:ascii="Times New Roman" w:hAnsi="Times New Roman" w:cs="Times New Roman"/>
                <w:sz w:val="24"/>
                <w:szCs w:val="24"/>
              </w:rPr>
              <w:t>∆</w:t>
            </w:r>
            <w:r>
              <w:rPr>
                <w:rFonts w:ascii="Times New Roman" w:hAnsi="Times New Roman" w:cs="Times New Roman"/>
                <w:sz w:val="24"/>
                <w:szCs w:val="24"/>
              </w:rPr>
              <w:t xml:space="preserve">5 </w:t>
            </w:r>
            <w:proofErr w:type="spellStart"/>
            <w:r>
              <w:rPr>
                <w:rFonts w:ascii="Times New Roman" w:hAnsi="Times New Roman" w:cs="Times New Roman"/>
                <w:sz w:val="24"/>
                <w:szCs w:val="24"/>
              </w:rPr>
              <w:t>pAmfCD</w:t>
            </w:r>
            <w:proofErr w:type="spellEnd"/>
            <w:r>
              <w:rPr>
                <w:rFonts w:ascii="Times New Roman" w:hAnsi="Times New Roman" w:cs="Times New Roman"/>
                <w:sz w:val="24"/>
                <w:szCs w:val="24"/>
              </w:rPr>
              <w:t>)</w:t>
            </w:r>
          </w:p>
        </w:tc>
        <w:tc>
          <w:tcPr>
            <w:tcW w:w="5310" w:type="dxa"/>
            <w:gridSpan w:val="2"/>
          </w:tcPr>
          <w:p w14:paraId="3B0BCBDA" w14:textId="58741266" w:rsidR="0056009F" w:rsidRPr="001E0A29" w:rsidRDefault="0056009F" w:rsidP="0056009F">
            <w:pPr>
              <w:spacing w:line="360" w:lineRule="auto"/>
              <w:rPr>
                <w:rFonts w:ascii="Times New Roman" w:hAnsi="Times New Roman" w:cs="Times New Roman"/>
                <w:sz w:val="24"/>
                <w:szCs w:val="24"/>
              </w:rPr>
            </w:pPr>
            <w:r w:rsidRPr="003A6537">
              <w:rPr>
                <w:rFonts w:ascii="Times New Roman" w:hAnsi="Times New Roman" w:cs="Times New Roman"/>
                <w:color w:val="000000"/>
                <w:sz w:val="24"/>
                <w:szCs w:val="24"/>
              </w:rPr>
              <w:t xml:space="preserve">IL200 </w:t>
            </w:r>
            <w:r w:rsidRPr="003A6537">
              <w:rPr>
                <w:rFonts w:ascii="Times New Roman" w:hAnsi="Times New Roman" w:cs="Times New Roman"/>
                <w:i/>
                <w:iCs/>
                <w:sz w:val="24"/>
                <w:szCs w:val="24"/>
              </w:rPr>
              <w:t>att</w:t>
            </w:r>
            <w:r w:rsidRPr="003A6537">
              <w:rPr>
                <w:rFonts w:ascii="Times New Roman" w:hAnsi="Times New Roman" w:cs="Times New Roman"/>
                <w:sz w:val="24"/>
                <w:szCs w:val="24"/>
              </w:rPr>
              <w:t>Tn</w:t>
            </w:r>
            <w:r w:rsidRPr="003A6537">
              <w:rPr>
                <w:rFonts w:ascii="Times New Roman" w:hAnsi="Times New Roman" w:cs="Times New Roman"/>
                <w:i/>
                <w:iCs/>
                <w:sz w:val="24"/>
                <w:szCs w:val="24"/>
              </w:rPr>
              <w:t>7</w:t>
            </w:r>
            <w:r w:rsidRPr="003A6537">
              <w:rPr>
                <w:rFonts w:ascii="Times New Roman" w:hAnsi="Times New Roman" w:cs="Times New Roman"/>
                <w:sz w:val="24"/>
                <w:szCs w:val="24"/>
              </w:rPr>
              <w:t>::mini-Tn</w:t>
            </w:r>
            <w:r w:rsidRPr="003A6537">
              <w:rPr>
                <w:rFonts w:ascii="Times New Roman" w:hAnsi="Times New Roman" w:cs="Times New Roman"/>
                <w:i/>
                <w:iCs/>
                <w:sz w:val="24"/>
                <w:szCs w:val="24"/>
              </w:rPr>
              <w:t>7</w:t>
            </w:r>
            <w:r w:rsidRPr="003A6537">
              <w:rPr>
                <w:rFonts w:ascii="Times New Roman" w:hAnsi="Times New Roman" w:cs="Times New Roman"/>
                <w:sz w:val="24"/>
                <w:szCs w:val="24"/>
              </w:rPr>
              <w:t>T-Tp</w:t>
            </w:r>
            <w:r w:rsidRPr="003A6537">
              <w:rPr>
                <w:rFonts w:ascii="Times New Roman" w:hAnsi="Times New Roman" w:cs="Times New Roman"/>
                <w:sz w:val="24"/>
                <w:szCs w:val="24"/>
                <w:vertAlign w:val="superscript"/>
              </w:rPr>
              <w:t>r</w:t>
            </w:r>
            <w:r w:rsidRPr="003A6537">
              <w:rPr>
                <w:rFonts w:ascii="Times New Roman" w:hAnsi="Times New Roman" w:cs="Times New Roman"/>
                <w:sz w:val="24"/>
                <w:szCs w:val="24"/>
              </w:rPr>
              <w:t>-</w:t>
            </w:r>
            <w:r w:rsidRPr="003A6537">
              <w:rPr>
                <w:rFonts w:ascii="Times New Roman" w:hAnsi="Times New Roman" w:cs="Times New Roman"/>
                <w:i/>
                <w:iCs/>
                <w:sz w:val="24"/>
                <w:szCs w:val="24"/>
              </w:rPr>
              <w:t>araC</w:t>
            </w:r>
            <w:r w:rsidRPr="003A6537">
              <w:rPr>
                <w:rFonts w:ascii="Times New Roman" w:hAnsi="Times New Roman" w:cs="Times New Roman"/>
                <w:sz w:val="24"/>
                <w:szCs w:val="24"/>
              </w:rPr>
              <w:t>-P</w:t>
            </w:r>
            <w:r w:rsidRPr="003A6537">
              <w:rPr>
                <w:rFonts w:ascii="Times New Roman" w:hAnsi="Times New Roman" w:cs="Times New Roman"/>
                <w:i/>
                <w:iCs/>
                <w:sz w:val="24"/>
                <w:szCs w:val="24"/>
                <w:vertAlign w:val="subscript"/>
              </w:rPr>
              <w:t>BAD</w:t>
            </w:r>
            <w:r w:rsidRPr="003A6537">
              <w:rPr>
                <w:rFonts w:ascii="Times New Roman" w:hAnsi="Times New Roman" w:cs="Times New Roman"/>
                <w:sz w:val="24"/>
                <w:szCs w:val="24"/>
              </w:rPr>
              <w:t>-</w:t>
            </w:r>
            <w:r w:rsidRPr="003A6537">
              <w:rPr>
                <w:rFonts w:ascii="Times New Roman" w:hAnsi="Times New Roman" w:cs="Times New Roman"/>
                <w:i/>
                <w:sz w:val="24"/>
                <w:szCs w:val="24"/>
              </w:rPr>
              <w:t xml:space="preserve"> ABUW_1930-31</w:t>
            </w:r>
            <w:r w:rsidRPr="003A6537">
              <w:rPr>
                <w:rFonts w:ascii="Times New Roman" w:hAnsi="Times New Roman" w:cs="Times New Roman"/>
                <w:sz w:val="24"/>
                <w:szCs w:val="24"/>
              </w:rPr>
              <w:t xml:space="preserve">  carrying pMOM102</w:t>
            </w:r>
          </w:p>
        </w:tc>
        <w:tc>
          <w:tcPr>
            <w:tcW w:w="1345" w:type="dxa"/>
            <w:vAlign w:val="center"/>
          </w:tcPr>
          <w:p w14:paraId="4E983725" w14:textId="2B68BC28" w:rsidR="0056009F" w:rsidRPr="001E0A29"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{"citationID":"teOLjW2Q","properties":{"formattedCitation":"\\super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bl>
    <w:p w14:paraId="4DB52D84" w14:textId="77777777" w:rsidR="003A1040" w:rsidRPr="003A1040" w:rsidRDefault="003A1040" w:rsidP="00C836F0">
      <w:pPr>
        <w:rPr>
          <w:rFonts w:asciiTheme="majorHAnsi" w:hAnsiTheme="majorHAnsi" w:cstheme="majorHAnsi"/>
          <w:b/>
          <w:bCs/>
          <w:sz w:val="24"/>
          <w:szCs w:val="24"/>
        </w:rPr>
      </w:pPr>
    </w:p>
    <w:p w14:paraId="06436FDC" w14:textId="6CC9F52B" w:rsidR="00156CBA" w:rsidRDefault="003A1040" w:rsidP="00C836F0">
      <w:pPr>
        <w:rPr>
          <w:rFonts w:asciiTheme="majorHAnsi" w:hAnsiTheme="majorHAnsi" w:cstheme="majorHAnsi"/>
          <w:b/>
          <w:bCs/>
          <w:sz w:val="24"/>
          <w:szCs w:val="24"/>
        </w:rPr>
      </w:pPr>
      <w:r>
        <w:rPr>
          <w:rFonts w:asciiTheme="majorHAnsi" w:hAnsiTheme="majorHAnsi" w:cstheme="majorHAnsi"/>
          <w:b/>
          <w:bCs/>
          <w:sz w:val="24"/>
          <w:szCs w:val="24"/>
        </w:rPr>
        <w:t xml:space="preserve">Table </w:t>
      </w:r>
      <w:r w:rsidR="00265E3A">
        <w:rPr>
          <w:rFonts w:asciiTheme="majorHAnsi" w:hAnsiTheme="majorHAnsi" w:cstheme="majorHAnsi"/>
          <w:b/>
          <w:bCs/>
          <w:sz w:val="24"/>
          <w:szCs w:val="24"/>
        </w:rPr>
        <w:t>2</w:t>
      </w:r>
      <w:r>
        <w:rPr>
          <w:rFonts w:asciiTheme="majorHAnsi" w:hAnsiTheme="majorHAnsi" w:cstheme="majorHAnsi"/>
          <w:b/>
          <w:bCs/>
          <w:sz w:val="24"/>
          <w:szCs w:val="24"/>
        </w:rPr>
        <w:t>.</w:t>
      </w:r>
      <w:r w:rsidR="00265E3A">
        <w:rPr>
          <w:rFonts w:asciiTheme="majorHAnsi" w:hAnsiTheme="majorHAnsi" w:cstheme="majorHAnsi"/>
          <w:b/>
          <w:bCs/>
          <w:sz w:val="24"/>
          <w:szCs w:val="24"/>
        </w:rPr>
        <w:t>2</w:t>
      </w:r>
      <w:r>
        <w:rPr>
          <w:rFonts w:asciiTheme="majorHAnsi" w:hAnsiTheme="majorHAnsi" w:cstheme="majorHAnsi"/>
          <w:b/>
          <w:bCs/>
          <w:sz w:val="24"/>
          <w:szCs w:val="24"/>
        </w:rPr>
        <w:t xml:space="preserve"> - List of </w:t>
      </w:r>
      <w:r w:rsidR="007D3623">
        <w:rPr>
          <w:rFonts w:asciiTheme="majorHAnsi" w:hAnsiTheme="majorHAnsi" w:cstheme="majorHAnsi"/>
          <w:b/>
          <w:bCs/>
          <w:sz w:val="24"/>
          <w:szCs w:val="24"/>
        </w:rPr>
        <w:t>p</w:t>
      </w:r>
      <w:r>
        <w:rPr>
          <w:rFonts w:asciiTheme="majorHAnsi" w:hAnsiTheme="majorHAnsi" w:cstheme="majorHAnsi"/>
          <w:b/>
          <w:bCs/>
          <w:sz w:val="24"/>
          <w:szCs w:val="24"/>
        </w:rPr>
        <w:t xml:space="preserve">lasmids used in these </w:t>
      </w:r>
      <w:proofErr w:type="gramStart"/>
      <w:r w:rsidR="007D3623">
        <w:rPr>
          <w:rFonts w:asciiTheme="majorHAnsi" w:hAnsiTheme="majorHAnsi" w:cstheme="majorHAnsi"/>
          <w:b/>
          <w:bCs/>
          <w:sz w:val="24"/>
          <w:szCs w:val="24"/>
        </w:rPr>
        <w:t>s</w:t>
      </w:r>
      <w:r>
        <w:rPr>
          <w:rFonts w:asciiTheme="majorHAnsi" w:hAnsiTheme="majorHAnsi" w:cstheme="majorHAnsi"/>
          <w:b/>
          <w:bCs/>
          <w:sz w:val="24"/>
          <w:szCs w:val="24"/>
        </w:rPr>
        <w:t>tudies</w:t>
      </w:r>
      <w:proofErr w:type="gramEnd"/>
    </w:p>
    <w:tbl>
      <w:tblPr>
        <w:tblStyle w:val="TableGrid"/>
        <w:tblW w:w="0" w:type="auto"/>
        <w:tblLook w:val="04A0" w:firstRow="1" w:lastRow="0" w:firstColumn="1" w:lastColumn="0" w:noHBand="0" w:noVBand="1"/>
      </w:tblPr>
      <w:tblGrid>
        <w:gridCol w:w="2155"/>
        <w:gridCol w:w="5130"/>
        <w:gridCol w:w="1345"/>
      </w:tblGrid>
      <w:tr w:rsidR="003A1040" w14:paraId="43C4EA70" w14:textId="77777777" w:rsidTr="00AA2D0F">
        <w:tc>
          <w:tcPr>
            <w:tcW w:w="2155" w:type="dxa"/>
          </w:tcPr>
          <w:p w14:paraId="29231759" w14:textId="77777777" w:rsidR="003A1040" w:rsidRPr="00F46837" w:rsidRDefault="003A1040" w:rsidP="00AA2D0F">
            <w:pPr>
              <w:spacing w:line="360" w:lineRule="auto"/>
              <w:rPr>
                <w:rFonts w:ascii="Times New Roman" w:hAnsi="Times New Roman" w:cs="Times New Roman"/>
                <w:b/>
                <w:bCs/>
                <w:sz w:val="24"/>
                <w:szCs w:val="24"/>
              </w:rPr>
            </w:pPr>
            <w:r w:rsidRPr="00F46837">
              <w:rPr>
                <w:rFonts w:ascii="Times New Roman" w:hAnsi="Times New Roman" w:cs="Times New Roman"/>
                <w:b/>
                <w:bCs/>
                <w:sz w:val="24"/>
                <w:szCs w:val="24"/>
              </w:rPr>
              <w:t>Plasmid</w:t>
            </w:r>
          </w:p>
        </w:tc>
        <w:tc>
          <w:tcPr>
            <w:tcW w:w="5130" w:type="dxa"/>
          </w:tcPr>
          <w:p w14:paraId="42436FBF" w14:textId="77777777" w:rsidR="003A1040" w:rsidRPr="00F46837"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Relevant Genotype</w:t>
            </w:r>
          </w:p>
        </w:tc>
        <w:tc>
          <w:tcPr>
            <w:tcW w:w="1345" w:type="dxa"/>
          </w:tcPr>
          <w:p w14:paraId="3022D7FE" w14:textId="77777777" w:rsidR="003A1040" w:rsidRPr="00F46837" w:rsidRDefault="003A1040" w:rsidP="00AA2D0F">
            <w:pPr>
              <w:spacing w:line="360" w:lineRule="auto"/>
              <w:rPr>
                <w:rFonts w:ascii="Times New Roman" w:hAnsi="Times New Roman" w:cs="Times New Roman"/>
                <w:b/>
                <w:bCs/>
                <w:sz w:val="24"/>
                <w:szCs w:val="24"/>
              </w:rPr>
            </w:pPr>
            <w:r>
              <w:rPr>
                <w:rFonts w:ascii="Times New Roman" w:hAnsi="Times New Roman" w:cs="Times New Roman"/>
                <w:b/>
                <w:bCs/>
                <w:sz w:val="24"/>
                <w:szCs w:val="24"/>
              </w:rPr>
              <w:t>Source</w:t>
            </w:r>
          </w:p>
        </w:tc>
      </w:tr>
      <w:tr w:rsidR="003A1040" w14:paraId="6BB386E1" w14:textId="77777777" w:rsidTr="00EF30E4">
        <w:tc>
          <w:tcPr>
            <w:tcW w:w="2155" w:type="dxa"/>
          </w:tcPr>
          <w:p w14:paraId="7462A93E" w14:textId="77777777" w:rsidR="003A1040" w:rsidRPr="00F46837" w:rsidRDefault="003A1040" w:rsidP="00AA2D0F">
            <w:pPr>
              <w:spacing w:line="360" w:lineRule="auto"/>
              <w:rPr>
                <w:rFonts w:ascii="Times New Roman" w:hAnsi="Times New Roman" w:cs="Times New Roman"/>
                <w:sz w:val="24"/>
                <w:szCs w:val="24"/>
              </w:rPr>
            </w:pPr>
            <w:r>
              <w:rPr>
                <w:rFonts w:ascii="Times New Roman" w:hAnsi="Times New Roman" w:cs="Times New Roman"/>
                <w:sz w:val="24"/>
                <w:szCs w:val="24"/>
              </w:rPr>
              <w:t>pTNS3</w:t>
            </w:r>
          </w:p>
        </w:tc>
        <w:tc>
          <w:tcPr>
            <w:tcW w:w="5130" w:type="dxa"/>
          </w:tcPr>
          <w:p w14:paraId="0803B892" w14:textId="697CDB77" w:rsidR="003A1040" w:rsidRPr="00F46837" w:rsidRDefault="0056009F" w:rsidP="00AA2D0F">
            <w:pPr>
              <w:spacing w:line="360" w:lineRule="auto"/>
              <w:rPr>
                <w:rFonts w:ascii="Times New Roman" w:hAnsi="Times New Roman" w:cs="Times New Roman"/>
                <w:sz w:val="24"/>
                <w:szCs w:val="24"/>
              </w:rPr>
            </w:pP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9D5C38">
              <w:rPr>
                <w:rFonts w:ascii="Times New Roman" w:hAnsi="Times New Roman" w:cs="Times New Roman"/>
                <w:sz w:val="24"/>
                <w:szCs w:val="24"/>
              </w:rPr>
              <w:t>; Helper plasmid encoding Tn</w:t>
            </w:r>
            <w:r w:rsidRPr="009D5C38">
              <w:rPr>
                <w:rFonts w:ascii="Times New Roman" w:hAnsi="Times New Roman" w:cs="Times New Roman"/>
                <w:i/>
                <w:sz w:val="24"/>
                <w:szCs w:val="24"/>
              </w:rPr>
              <w:t>7</w:t>
            </w:r>
            <w:r w:rsidRPr="009D5C38">
              <w:rPr>
                <w:rFonts w:ascii="Times New Roman" w:hAnsi="Times New Roman" w:cs="Times New Roman"/>
                <w:sz w:val="24"/>
                <w:szCs w:val="24"/>
              </w:rPr>
              <w:t xml:space="preserve"> transposase proteins </w:t>
            </w:r>
            <w:proofErr w:type="spellStart"/>
            <w:r w:rsidRPr="009D5C38">
              <w:rPr>
                <w:rFonts w:ascii="Times New Roman" w:hAnsi="Times New Roman" w:cs="Times New Roman"/>
                <w:sz w:val="24"/>
                <w:szCs w:val="24"/>
              </w:rPr>
              <w:t>TnsABCD</w:t>
            </w:r>
            <w:proofErr w:type="spellEnd"/>
            <w:r w:rsidRPr="009D5C38">
              <w:rPr>
                <w:rFonts w:ascii="Times New Roman" w:hAnsi="Times New Roman" w:cs="Times New Roman"/>
                <w:sz w:val="24"/>
                <w:szCs w:val="24"/>
              </w:rPr>
              <w:t xml:space="preserve"> from P1 and </w:t>
            </w:r>
            <w:proofErr w:type="spellStart"/>
            <w:r w:rsidRPr="009D5C38">
              <w:rPr>
                <w:rFonts w:ascii="Times New Roman" w:hAnsi="Times New Roman" w:cs="Times New Roman"/>
                <w:sz w:val="24"/>
                <w:szCs w:val="24"/>
              </w:rPr>
              <w:t>P</w:t>
            </w:r>
            <w:r w:rsidRPr="009D5C38">
              <w:rPr>
                <w:rFonts w:ascii="Times New Roman" w:hAnsi="Times New Roman" w:cs="Times New Roman"/>
                <w:i/>
                <w:sz w:val="24"/>
                <w:szCs w:val="24"/>
                <w:vertAlign w:val="subscript"/>
              </w:rPr>
              <w:t>lac</w:t>
            </w:r>
            <w:proofErr w:type="spellEnd"/>
            <w:r w:rsidRPr="009D5C38">
              <w:rPr>
                <w:rFonts w:ascii="Times New Roman" w:hAnsi="Times New Roman" w:cs="Times New Roman"/>
                <w:sz w:val="24"/>
                <w:szCs w:val="24"/>
              </w:rPr>
              <w:t xml:space="preserve"> promoter</w:t>
            </w:r>
          </w:p>
        </w:tc>
        <w:tc>
          <w:tcPr>
            <w:tcW w:w="1345" w:type="dxa"/>
            <w:vAlign w:val="center"/>
          </w:tcPr>
          <w:p w14:paraId="11CC750F" w14:textId="5F9D767E" w:rsidR="003A1040" w:rsidRPr="00F46837" w:rsidRDefault="000D6391"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{"citationID":"b8PEer1C","properties":{"formattedCitation":"\\super 114\\nosupersub{}","plainCitation":"114","noteIndex":0},"citationItems":[{"id":1647,"uris":["http://zotero.org/users/1918630/items/UJ7UIVIF"],"itemData":{"id":1647,"type":"article-journal","abstract":"Acinetobacter baumannii is a Gram-negative ESKAPE microorganism that poses a threat to public health by causing severe and invasive (mostly nosocomial) infections linked with high mortality rates. During the last years, this pathogen displayed multidrug resistance (MDR), mainly due to extensive antibiotic abuse and poor stewardship. MDR isolates are associated with medical history of long hospitalization stays, presence of catheters, and mechanical ventilation, while immunocompromised and severely ill hosts predispose to invasive infections. Next-generation sequencing techniques have revolutionized diagnosis of severe A. baumannii infections, contributing to timely diagnosis and personalized therapeutic regimens according to the identification of the respective resistance genes. The aim of this review is to describe in detail all current knowledge on the genetic background of A. baumannii resistance mechanisms in humans as regards beta-lactams (penicillins, cephalosporins, carbapenems, monobactams, and beta-lactamase inhibitors), aminoglycosides, tetracyclines, fluoroquinolones, macrolides, lincosamides, streptogramin antibiotics, polymyxins, and others (amphenicols, oxazolidinones, rifamycins, fosfomycin, diaminopyrimidines, sulfonamides, glycopeptide, and lipopeptide antibiotics). Mechanisms of antimicrobial resistance refer mainly to regulation of antibiotic transportation through bacterial membranes, alteration of the antibiotic target site, and enzymatic modifications resulting in antibiotic neutralization. Virulence factors that may affect antibiotic susceptibility profiles and confer drug resistance are also being discussed. Reports from cases of A. baumannii coinfection with SARS-CoV-2 during the COVID-19 pandemic in terms of resistance profiles and MDR genes have been investigated.","container-title":"Pathogens","DOI":"10.3390/pathogens10030373","ISSN":"2076-0817","issue":"3","journalAbbreviation":"Pathogens","note":"PMID: 33808905\nPMCID: PMC8003822","page":"373","source":"PubMed Central","title":"Acinetobacter baumannii Antibiotic Resistance Mechanisms","volume":"10","author":[{"family":"Kyriakidis","given":"Ioannis"},{"family":"Vasileiou","given":"Eleni"},{"family":"Pana","given":"Zoi Dorothea"},{"family":"Tragiannidis","given":"Athanasios"}],"issued":{"date-parts":[["2021",3,19]]}}}],"schema":"https://github.com/citation-style-language/schema/raw/master/csl-citation.json"}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114</w:t>
            </w:r>
            <w:r>
              <w:rPr>
                <w:rFonts w:ascii="Times New Roman" w:hAnsi="Times New Roman" w:cs="Times New Roman"/>
                <w:sz w:val="24"/>
                <w:szCs w:val="24"/>
              </w:rPr>
              <w:fldChar w:fldCharType="end"/>
            </w:r>
          </w:p>
        </w:tc>
      </w:tr>
      <w:tr w:rsidR="0056009F" w14:paraId="68D59095" w14:textId="77777777" w:rsidTr="00EF30E4">
        <w:tc>
          <w:tcPr>
            <w:tcW w:w="2155" w:type="dxa"/>
          </w:tcPr>
          <w:p w14:paraId="614A5C0C" w14:textId="5E443B39" w:rsidR="0056009F" w:rsidRPr="00F46837" w:rsidRDefault="0056009F" w:rsidP="0056009F">
            <w:pPr>
              <w:spacing w:line="360" w:lineRule="auto"/>
              <w:rPr>
                <w:rFonts w:ascii="Times New Roman" w:hAnsi="Times New Roman" w:cs="Times New Roman"/>
                <w:sz w:val="24"/>
                <w:szCs w:val="24"/>
              </w:rPr>
            </w:pPr>
            <w:r>
              <w:rPr>
                <w:rFonts w:ascii="Times New Roman" w:hAnsi="Times New Roman" w:cs="Times New Roman"/>
                <w:sz w:val="24"/>
                <w:szCs w:val="24"/>
              </w:rPr>
              <w:t>pTJ1</w:t>
            </w:r>
          </w:p>
        </w:tc>
        <w:tc>
          <w:tcPr>
            <w:tcW w:w="5130" w:type="dxa"/>
          </w:tcPr>
          <w:p w14:paraId="7CBA315D" w14:textId="7AA0E4ED" w:rsidR="0056009F" w:rsidRPr="00211DF3" w:rsidRDefault="0056009F" w:rsidP="0056009F">
            <w:pPr>
              <w:spacing w:line="360" w:lineRule="auto"/>
              <w:rPr>
                <w:rFonts w:ascii="Times New Roman" w:hAnsi="Times New Roman" w:cs="Times New Roman"/>
                <w:sz w:val="24"/>
                <w:szCs w:val="24"/>
                <w:lang w:val="fr-FR"/>
              </w:rPr>
            </w:pPr>
            <w:proofErr w:type="gramStart"/>
            <w:r w:rsidRPr="00ED4005">
              <w:rPr>
                <w:rFonts w:ascii="Times New Roman" w:hAnsi="Times New Roman" w:cs="Times New Roman"/>
                <w:color w:val="000000"/>
                <w:sz w:val="24"/>
                <w:szCs w:val="24"/>
                <w:lang w:val="fr-FR"/>
              </w:rPr>
              <w:t>pUC</w:t>
            </w:r>
            <w:proofErr w:type="gramEnd"/>
            <w:r w:rsidRPr="00ED4005">
              <w:rPr>
                <w:rFonts w:ascii="Times New Roman" w:hAnsi="Times New Roman" w:cs="Times New Roman"/>
                <w:color w:val="000000"/>
                <w:sz w:val="24"/>
                <w:szCs w:val="24"/>
                <w:lang w:val="fr-FR"/>
              </w:rPr>
              <w:t>18T-mini-Tn</w:t>
            </w:r>
            <w:r w:rsidRPr="00ED4005">
              <w:rPr>
                <w:rFonts w:ascii="Times New Roman" w:hAnsi="Times New Roman" w:cs="Times New Roman"/>
                <w:i/>
                <w:iCs/>
                <w:color w:val="000000"/>
                <w:sz w:val="24"/>
                <w:szCs w:val="24"/>
                <w:lang w:val="fr-FR"/>
              </w:rPr>
              <w:t>7</w:t>
            </w:r>
            <w:r w:rsidRPr="00ED4005">
              <w:rPr>
                <w:rFonts w:ascii="Times New Roman" w:hAnsi="Times New Roman" w:cs="Times New Roman"/>
                <w:color w:val="000000"/>
                <w:sz w:val="24"/>
                <w:szCs w:val="24"/>
                <w:lang w:val="fr-FR"/>
              </w:rPr>
              <w:t>T-Tp-</w:t>
            </w:r>
            <w:r w:rsidRPr="00ED4005">
              <w:rPr>
                <w:rFonts w:ascii="Times New Roman" w:hAnsi="Times New Roman" w:cs="Times New Roman"/>
                <w:i/>
                <w:iCs/>
                <w:color w:val="000000"/>
                <w:sz w:val="24"/>
                <w:szCs w:val="24"/>
                <w:lang w:val="fr-FR"/>
              </w:rPr>
              <w:t>araC</w:t>
            </w:r>
            <w:r w:rsidRPr="00ED4005">
              <w:rPr>
                <w:rFonts w:ascii="Times New Roman" w:hAnsi="Times New Roman" w:cs="Times New Roman"/>
                <w:color w:val="000000"/>
                <w:sz w:val="24"/>
                <w:szCs w:val="24"/>
                <w:lang w:val="fr-FR"/>
              </w:rPr>
              <w:t>-P</w:t>
            </w:r>
            <w:r w:rsidRPr="00ED4005">
              <w:rPr>
                <w:rFonts w:ascii="Times New Roman" w:hAnsi="Times New Roman" w:cs="Times New Roman"/>
                <w:i/>
                <w:iCs/>
                <w:color w:val="000000"/>
                <w:sz w:val="24"/>
                <w:szCs w:val="24"/>
                <w:vertAlign w:val="subscript"/>
                <w:lang w:val="fr-FR"/>
              </w:rPr>
              <w:t>BAD</w:t>
            </w:r>
            <w:r w:rsidRPr="00ED4005">
              <w:rPr>
                <w:rFonts w:ascii="Times New Roman" w:hAnsi="Times New Roman" w:cs="Times New Roman"/>
                <w:color w:val="000000"/>
                <w:sz w:val="24"/>
                <w:szCs w:val="24"/>
                <w:lang w:val="fr-FR"/>
              </w:rPr>
              <w:t xml:space="preserve">-MCS, </w:t>
            </w:r>
            <w:proofErr w:type="spellStart"/>
            <w:r w:rsidRPr="00ED4005">
              <w:rPr>
                <w:rFonts w:ascii="Times New Roman" w:hAnsi="Times New Roman" w:cs="Times New Roman"/>
                <w:color w:val="000000"/>
                <w:sz w:val="24"/>
                <w:szCs w:val="24"/>
                <w:lang w:val="fr-FR"/>
              </w:rPr>
              <w:t>Amp</w:t>
            </w:r>
            <w:r w:rsidRPr="00ED4005">
              <w:rPr>
                <w:rFonts w:ascii="Times New Roman" w:hAnsi="Times New Roman" w:cs="Times New Roman"/>
                <w:color w:val="000000"/>
                <w:sz w:val="24"/>
                <w:szCs w:val="24"/>
                <w:vertAlign w:val="superscript"/>
                <w:lang w:val="fr-FR"/>
              </w:rPr>
              <w:t>r</w:t>
            </w:r>
            <w:proofErr w:type="spellEnd"/>
            <w:r w:rsidRPr="00ED4005">
              <w:rPr>
                <w:rFonts w:ascii="Times New Roman" w:hAnsi="Times New Roman" w:cs="Times New Roman"/>
                <w:color w:val="000000"/>
                <w:sz w:val="24"/>
                <w:szCs w:val="24"/>
                <w:lang w:val="fr-FR"/>
              </w:rPr>
              <w:t xml:space="preserve">, </w:t>
            </w:r>
            <w:proofErr w:type="spellStart"/>
            <w:r w:rsidRPr="00ED4005">
              <w:rPr>
                <w:rFonts w:ascii="Times New Roman" w:hAnsi="Times New Roman" w:cs="Times New Roman"/>
                <w:color w:val="000000"/>
                <w:sz w:val="24"/>
                <w:szCs w:val="24"/>
                <w:lang w:val="fr-FR"/>
              </w:rPr>
              <w:t>Tp</w:t>
            </w:r>
            <w:r w:rsidRPr="00ED4005">
              <w:rPr>
                <w:rFonts w:ascii="Times New Roman" w:hAnsi="Times New Roman" w:cs="Times New Roman"/>
                <w:color w:val="000000"/>
                <w:sz w:val="24"/>
                <w:szCs w:val="24"/>
                <w:vertAlign w:val="superscript"/>
                <w:lang w:val="fr-FR"/>
              </w:rPr>
              <w:t>r</w:t>
            </w:r>
            <w:proofErr w:type="spellEnd"/>
          </w:p>
        </w:tc>
        <w:tc>
          <w:tcPr>
            <w:tcW w:w="1345" w:type="dxa"/>
            <w:vAlign w:val="center"/>
          </w:tcPr>
          <w:p w14:paraId="0E04CA67" w14:textId="7B944676" w:rsidR="0056009F" w:rsidRPr="00F46837" w:rsidRDefault="000D6391"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{"citationID":"WZbun88J","properties":{"formattedCitation":"\\super 115\\nosupersub{}","plainCitation":"115","noteIndex":0},"citationItems":[{"id":1650,"uris":["http://zotero.org/users/1918630/items/A5BIIWXV"],"itemData":{"id":1650,"type":"article-journal","abstract":"An Acinetobacter baumannii isolate survived desiccation beyond 30 days and an Acinetobacter lwoffii isolate up to 21 days. For both species, desiccation resulted in a significant increase in the proportion of round cells (A baumannii, 40% to 80%; A lwoffii, 51% to 63%) and a significant decrease in rod shaped cells (A baumannii, 58% to 13%; A lwoffii, 46% to 34%). Electronmicroscopic examination showed that there was also a corresponding significant increase in the cell wall thickness (A baumannii, up to 53%; A lwoffii, up to 26%). Desiccated A baumannii cells became more electron-dense and had significantly thicker cell walls (x1.3) than those of A lwoffii. Cell wall structures of A baumannii strains with different abilities to resist desiccation deserve further study.","container-title":"Journal of Clinical Pathology","DOI":"10.1136/jcp.51.10.786","ISSN":"0021-9746","issue":"10","journalAbbreviation":"J Clin Pathol","language":"eng","note":"PMID: 10023344\nPMCID: PMC500936","page":"786-788","source":"PubMed","title":"Effect of desiccation on the ultrastructural appearances of Acinetobacter baumannii and Acinetobacter lwoffii","volume":"51","author":[{"family":"Houang","given":"E. T."},{"family":"Sormunen","given":"R. T."},{"family":"Lai","given":"L."},{"family":"Chan","given":"C. Y."},{"family":"Leong","given":"A. S."}],"issued":{"date-parts":[["1998",10]]}}}],"schema":"https://github.com/citation-style-language/schema/raw/master/csl-citation.json"}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115</w:t>
            </w:r>
            <w:r>
              <w:rPr>
                <w:rFonts w:ascii="Times New Roman" w:hAnsi="Times New Roman" w:cs="Times New Roman"/>
                <w:sz w:val="24"/>
                <w:szCs w:val="24"/>
              </w:rPr>
              <w:fldChar w:fldCharType="end"/>
            </w:r>
          </w:p>
        </w:tc>
      </w:tr>
      <w:tr w:rsidR="0056009F" w14:paraId="30412E38" w14:textId="77777777" w:rsidTr="00EF30E4">
        <w:tc>
          <w:tcPr>
            <w:tcW w:w="2155" w:type="dxa"/>
          </w:tcPr>
          <w:p w14:paraId="641882B0" w14:textId="097B5588" w:rsidR="0056009F" w:rsidRPr="00F46837" w:rsidRDefault="0056009F" w:rsidP="0056009F">
            <w:pPr>
              <w:spacing w:line="360" w:lineRule="auto"/>
              <w:rPr>
                <w:rFonts w:ascii="Times New Roman" w:hAnsi="Times New Roman" w:cs="Times New Roman"/>
                <w:sz w:val="24"/>
                <w:szCs w:val="24"/>
              </w:rPr>
            </w:pPr>
            <w:r>
              <w:rPr>
                <w:rFonts w:ascii="Times New Roman" w:hAnsi="Times New Roman" w:cs="Times New Roman"/>
                <w:sz w:val="24"/>
                <w:szCs w:val="24"/>
              </w:rPr>
              <w:t>pMOM101 (pTJ1-AmfAB)</w:t>
            </w:r>
          </w:p>
        </w:tc>
        <w:tc>
          <w:tcPr>
            <w:tcW w:w="5130" w:type="dxa"/>
          </w:tcPr>
          <w:p w14:paraId="1B5A7C9F" w14:textId="5B8CF894" w:rsidR="0056009F" w:rsidRPr="00211DF3" w:rsidRDefault="0056009F" w:rsidP="0056009F">
            <w:pPr>
              <w:spacing w:line="360" w:lineRule="auto"/>
              <w:rPr>
                <w:rFonts w:ascii="Times New Roman" w:hAnsi="Times New Roman" w:cs="Times New Roman"/>
                <w:sz w:val="24"/>
                <w:szCs w:val="24"/>
                <w:lang w:val="fr-FR"/>
              </w:rPr>
            </w:pPr>
            <w:proofErr w:type="gramStart"/>
            <w:r w:rsidRPr="00ED4005">
              <w:rPr>
                <w:rFonts w:ascii="Times New Roman" w:hAnsi="Times New Roman" w:cs="Times New Roman"/>
                <w:color w:val="000000"/>
                <w:sz w:val="24"/>
                <w:szCs w:val="24"/>
                <w:lang w:val="fr-FR"/>
              </w:rPr>
              <w:t>pUC</w:t>
            </w:r>
            <w:proofErr w:type="gramEnd"/>
            <w:r w:rsidRPr="00ED4005">
              <w:rPr>
                <w:rFonts w:ascii="Times New Roman" w:hAnsi="Times New Roman" w:cs="Times New Roman"/>
                <w:color w:val="000000"/>
                <w:sz w:val="24"/>
                <w:szCs w:val="24"/>
                <w:lang w:val="fr-FR"/>
              </w:rPr>
              <w:t>18T-mini-Tn</w:t>
            </w:r>
            <w:r w:rsidRPr="00ED4005">
              <w:rPr>
                <w:rFonts w:ascii="Times New Roman" w:hAnsi="Times New Roman" w:cs="Times New Roman"/>
                <w:i/>
                <w:iCs/>
                <w:color w:val="000000"/>
                <w:sz w:val="24"/>
                <w:szCs w:val="24"/>
                <w:lang w:val="fr-FR"/>
              </w:rPr>
              <w:t>7</w:t>
            </w:r>
            <w:r w:rsidRPr="00ED4005">
              <w:rPr>
                <w:rFonts w:ascii="Times New Roman" w:hAnsi="Times New Roman" w:cs="Times New Roman"/>
                <w:color w:val="000000"/>
                <w:sz w:val="24"/>
                <w:szCs w:val="24"/>
                <w:lang w:val="fr-FR"/>
              </w:rPr>
              <w:t>T-Tp-</w:t>
            </w:r>
            <w:r w:rsidRPr="00ED4005">
              <w:rPr>
                <w:rFonts w:ascii="Times New Roman" w:hAnsi="Times New Roman" w:cs="Times New Roman"/>
                <w:i/>
                <w:iCs/>
                <w:color w:val="000000"/>
                <w:sz w:val="24"/>
                <w:szCs w:val="24"/>
                <w:lang w:val="fr-FR"/>
              </w:rPr>
              <w:t>araC</w:t>
            </w:r>
            <w:r w:rsidRPr="00ED4005">
              <w:rPr>
                <w:rFonts w:ascii="Times New Roman" w:hAnsi="Times New Roman" w:cs="Times New Roman"/>
                <w:color w:val="000000"/>
                <w:sz w:val="24"/>
                <w:szCs w:val="24"/>
                <w:lang w:val="fr-FR"/>
              </w:rPr>
              <w:t>-P</w:t>
            </w:r>
            <w:r w:rsidRPr="00ED4005">
              <w:rPr>
                <w:rFonts w:ascii="Times New Roman" w:hAnsi="Times New Roman" w:cs="Times New Roman"/>
                <w:i/>
                <w:iCs/>
                <w:color w:val="000000"/>
                <w:sz w:val="24"/>
                <w:szCs w:val="24"/>
                <w:vertAlign w:val="subscript"/>
                <w:lang w:val="fr-FR"/>
              </w:rPr>
              <w:t>BAD</w:t>
            </w:r>
            <w:r w:rsidRPr="00ED4005">
              <w:rPr>
                <w:rFonts w:ascii="Times New Roman" w:hAnsi="Times New Roman" w:cs="Times New Roman"/>
                <w:color w:val="000000"/>
                <w:sz w:val="24"/>
                <w:szCs w:val="24"/>
                <w:lang w:val="fr-FR"/>
              </w:rPr>
              <w:t>-</w:t>
            </w:r>
            <w:r w:rsidRPr="00ED4005">
              <w:rPr>
                <w:rFonts w:ascii="Times New Roman" w:hAnsi="Times New Roman" w:cs="Times New Roman"/>
                <w:i/>
                <w:color w:val="000000"/>
                <w:sz w:val="24"/>
                <w:szCs w:val="24"/>
                <w:lang w:val="fr-FR"/>
              </w:rPr>
              <w:t>ABUW_1949-50</w:t>
            </w:r>
            <w:r w:rsidRPr="00ED4005">
              <w:rPr>
                <w:rFonts w:ascii="Times New Roman" w:hAnsi="Times New Roman" w:cs="Times New Roman"/>
                <w:color w:val="000000"/>
                <w:sz w:val="24"/>
                <w:szCs w:val="24"/>
                <w:lang w:val="fr-FR"/>
              </w:rPr>
              <w:t xml:space="preserve">, </w:t>
            </w:r>
            <w:proofErr w:type="spellStart"/>
            <w:r w:rsidRPr="00ED4005">
              <w:rPr>
                <w:rFonts w:ascii="Times New Roman" w:hAnsi="Times New Roman" w:cs="Times New Roman"/>
                <w:color w:val="000000"/>
                <w:sz w:val="24"/>
                <w:szCs w:val="24"/>
                <w:lang w:val="fr-FR"/>
              </w:rPr>
              <w:t>Amp</w:t>
            </w:r>
            <w:r w:rsidRPr="00ED4005">
              <w:rPr>
                <w:rFonts w:ascii="Times New Roman" w:hAnsi="Times New Roman" w:cs="Times New Roman"/>
                <w:color w:val="000000"/>
                <w:sz w:val="24"/>
                <w:szCs w:val="24"/>
                <w:vertAlign w:val="superscript"/>
                <w:lang w:val="fr-FR"/>
              </w:rPr>
              <w:t>r</w:t>
            </w:r>
            <w:proofErr w:type="spellEnd"/>
            <w:r w:rsidRPr="00ED4005">
              <w:rPr>
                <w:rFonts w:ascii="Times New Roman" w:hAnsi="Times New Roman" w:cs="Times New Roman"/>
                <w:color w:val="000000"/>
                <w:sz w:val="24"/>
                <w:szCs w:val="24"/>
                <w:lang w:val="fr-FR"/>
              </w:rPr>
              <w:t xml:space="preserve">, </w:t>
            </w:r>
            <w:proofErr w:type="spellStart"/>
            <w:r w:rsidRPr="00ED4005">
              <w:rPr>
                <w:rFonts w:ascii="Times New Roman" w:hAnsi="Times New Roman" w:cs="Times New Roman"/>
                <w:color w:val="000000"/>
                <w:sz w:val="24"/>
                <w:szCs w:val="24"/>
                <w:lang w:val="fr-FR"/>
              </w:rPr>
              <w:t>Tp</w:t>
            </w:r>
            <w:r w:rsidRPr="00ED4005">
              <w:rPr>
                <w:rFonts w:ascii="Times New Roman" w:hAnsi="Times New Roman" w:cs="Times New Roman"/>
                <w:color w:val="000000"/>
                <w:sz w:val="24"/>
                <w:szCs w:val="24"/>
                <w:vertAlign w:val="superscript"/>
                <w:lang w:val="fr-FR"/>
              </w:rPr>
              <w:t>r</w:t>
            </w:r>
            <w:proofErr w:type="spellEnd"/>
          </w:p>
        </w:tc>
        <w:tc>
          <w:tcPr>
            <w:tcW w:w="1345" w:type="dxa"/>
            <w:vAlign w:val="center"/>
          </w:tcPr>
          <w:p w14:paraId="796B9BB4" w14:textId="111AE00D" w:rsidR="0056009F" w:rsidRPr="00F46837"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{"citationID":"H8XW2dEA","properties":{"formattedCitation":"\\super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4EF9E92F" w14:textId="77777777" w:rsidTr="00EF30E4">
        <w:tc>
          <w:tcPr>
            <w:tcW w:w="2155" w:type="dxa"/>
          </w:tcPr>
          <w:p w14:paraId="4F96EE7D" w14:textId="4A292C1E" w:rsidR="0056009F" w:rsidRPr="00F46837" w:rsidRDefault="0056009F" w:rsidP="0056009F">
            <w:pPr>
              <w:spacing w:line="360" w:lineRule="auto"/>
              <w:rPr>
                <w:rFonts w:ascii="Times New Roman" w:hAnsi="Times New Roman" w:cs="Times New Roman"/>
                <w:sz w:val="24"/>
                <w:szCs w:val="24"/>
              </w:rPr>
            </w:pPr>
            <w:r>
              <w:rPr>
                <w:rFonts w:ascii="Times New Roman" w:hAnsi="Times New Roman" w:cs="Times New Roman"/>
                <w:sz w:val="24"/>
                <w:szCs w:val="24"/>
              </w:rPr>
              <w:t>pMOM102 (pTJ1-AmfCD)</w:t>
            </w:r>
          </w:p>
        </w:tc>
        <w:tc>
          <w:tcPr>
            <w:tcW w:w="5130" w:type="dxa"/>
          </w:tcPr>
          <w:p w14:paraId="6C480A93" w14:textId="288E5963" w:rsidR="0056009F" w:rsidRPr="00211DF3" w:rsidRDefault="0056009F" w:rsidP="0056009F">
            <w:pPr>
              <w:spacing w:line="360" w:lineRule="auto"/>
              <w:rPr>
                <w:rFonts w:ascii="Times New Roman" w:hAnsi="Times New Roman" w:cs="Times New Roman"/>
                <w:sz w:val="24"/>
                <w:szCs w:val="24"/>
                <w:lang w:val="fr-FR"/>
              </w:rPr>
            </w:pPr>
            <w:proofErr w:type="gramStart"/>
            <w:r w:rsidRPr="00ED4005">
              <w:rPr>
                <w:rFonts w:ascii="Times New Roman" w:hAnsi="Times New Roman" w:cs="Times New Roman"/>
                <w:color w:val="000000"/>
                <w:sz w:val="24"/>
                <w:szCs w:val="24"/>
                <w:lang w:val="fr-FR"/>
              </w:rPr>
              <w:t>pUC</w:t>
            </w:r>
            <w:proofErr w:type="gramEnd"/>
            <w:r w:rsidRPr="00ED4005">
              <w:rPr>
                <w:rFonts w:ascii="Times New Roman" w:hAnsi="Times New Roman" w:cs="Times New Roman"/>
                <w:color w:val="000000"/>
                <w:sz w:val="24"/>
                <w:szCs w:val="24"/>
                <w:lang w:val="fr-FR"/>
              </w:rPr>
              <w:t>18T-mini-Tn</w:t>
            </w:r>
            <w:r w:rsidRPr="00ED4005">
              <w:rPr>
                <w:rFonts w:ascii="Times New Roman" w:hAnsi="Times New Roman" w:cs="Times New Roman"/>
                <w:i/>
                <w:iCs/>
                <w:color w:val="000000"/>
                <w:sz w:val="24"/>
                <w:szCs w:val="24"/>
                <w:lang w:val="fr-FR"/>
              </w:rPr>
              <w:t>7</w:t>
            </w:r>
            <w:r w:rsidRPr="00ED4005">
              <w:rPr>
                <w:rFonts w:ascii="Times New Roman" w:hAnsi="Times New Roman" w:cs="Times New Roman"/>
                <w:color w:val="000000"/>
                <w:sz w:val="24"/>
                <w:szCs w:val="24"/>
                <w:lang w:val="fr-FR"/>
              </w:rPr>
              <w:t>T-Tp-</w:t>
            </w:r>
            <w:r w:rsidRPr="00ED4005">
              <w:rPr>
                <w:rFonts w:ascii="Times New Roman" w:hAnsi="Times New Roman" w:cs="Times New Roman"/>
                <w:i/>
                <w:iCs/>
                <w:color w:val="000000"/>
                <w:sz w:val="24"/>
                <w:szCs w:val="24"/>
                <w:lang w:val="fr-FR"/>
              </w:rPr>
              <w:t>araC</w:t>
            </w:r>
            <w:r w:rsidRPr="00ED4005">
              <w:rPr>
                <w:rFonts w:ascii="Times New Roman" w:hAnsi="Times New Roman" w:cs="Times New Roman"/>
                <w:color w:val="000000"/>
                <w:sz w:val="24"/>
                <w:szCs w:val="24"/>
                <w:lang w:val="fr-FR"/>
              </w:rPr>
              <w:t>-P</w:t>
            </w:r>
            <w:r w:rsidRPr="00ED4005">
              <w:rPr>
                <w:rFonts w:ascii="Times New Roman" w:hAnsi="Times New Roman" w:cs="Times New Roman"/>
                <w:i/>
                <w:iCs/>
                <w:color w:val="000000"/>
                <w:sz w:val="24"/>
                <w:szCs w:val="24"/>
                <w:vertAlign w:val="subscript"/>
                <w:lang w:val="fr-FR"/>
              </w:rPr>
              <w:t>BAD</w:t>
            </w:r>
            <w:r w:rsidRPr="00ED4005">
              <w:rPr>
                <w:rFonts w:ascii="Times New Roman" w:hAnsi="Times New Roman" w:cs="Times New Roman"/>
                <w:color w:val="000000"/>
                <w:sz w:val="24"/>
                <w:szCs w:val="24"/>
                <w:lang w:val="fr-FR"/>
              </w:rPr>
              <w:t>-</w:t>
            </w:r>
            <w:r w:rsidRPr="00ED4005">
              <w:rPr>
                <w:rFonts w:ascii="Times New Roman" w:hAnsi="Times New Roman" w:cs="Times New Roman"/>
                <w:i/>
                <w:color w:val="000000"/>
                <w:sz w:val="24"/>
                <w:szCs w:val="24"/>
                <w:lang w:val="fr-FR"/>
              </w:rPr>
              <w:t>ABUW_1930-31</w:t>
            </w:r>
            <w:r w:rsidRPr="00ED4005">
              <w:rPr>
                <w:rFonts w:ascii="Times New Roman" w:hAnsi="Times New Roman" w:cs="Times New Roman"/>
                <w:color w:val="000000"/>
                <w:sz w:val="24"/>
                <w:szCs w:val="24"/>
                <w:lang w:val="fr-FR"/>
              </w:rPr>
              <w:t xml:space="preserve">, </w:t>
            </w:r>
            <w:proofErr w:type="spellStart"/>
            <w:r w:rsidRPr="00ED4005">
              <w:rPr>
                <w:rFonts w:ascii="Times New Roman" w:hAnsi="Times New Roman" w:cs="Times New Roman"/>
                <w:color w:val="000000"/>
                <w:sz w:val="24"/>
                <w:szCs w:val="24"/>
                <w:lang w:val="fr-FR"/>
              </w:rPr>
              <w:t>Amp</w:t>
            </w:r>
            <w:r w:rsidRPr="00ED4005">
              <w:rPr>
                <w:rFonts w:ascii="Times New Roman" w:hAnsi="Times New Roman" w:cs="Times New Roman"/>
                <w:color w:val="000000"/>
                <w:sz w:val="24"/>
                <w:szCs w:val="24"/>
                <w:vertAlign w:val="superscript"/>
                <w:lang w:val="fr-FR"/>
              </w:rPr>
              <w:t>r</w:t>
            </w:r>
            <w:proofErr w:type="spellEnd"/>
            <w:r w:rsidRPr="00ED4005">
              <w:rPr>
                <w:rFonts w:ascii="Times New Roman" w:hAnsi="Times New Roman" w:cs="Times New Roman"/>
                <w:color w:val="000000"/>
                <w:sz w:val="24"/>
                <w:szCs w:val="24"/>
                <w:lang w:val="fr-FR"/>
              </w:rPr>
              <w:t xml:space="preserve">, </w:t>
            </w:r>
            <w:proofErr w:type="spellStart"/>
            <w:r w:rsidRPr="00ED4005">
              <w:rPr>
                <w:rFonts w:ascii="Times New Roman" w:hAnsi="Times New Roman" w:cs="Times New Roman"/>
                <w:color w:val="000000"/>
                <w:sz w:val="24"/>
                <w:szCs w:val="24"/>
                <w:lang w:val="fr-FR"/>
              </w:rPr>
              <w:t>Tp</w:t>
            </w:r>
            <w:r w:rsidRPr="00ED4005">
              <w:rPr>
                <w:rFonts w:ascii="Times New Roman" w:hAnsi="Times New Roman" w:cs="Times New Roman"/>
                <w:color w:val="000000"/>
                <w:sz w:val="24"/>
                <w:szCs w:val="24"/>
                <w:vertAlign w:val="superscript"/>
                <w:lang w:val="fr-FR"/>
              </w:rPr>
              <w:t>r</w:t>
            </w:r>
            <w:proofErr w:type="spellEnd"/>
          </w:p>
        </w:tc>
        <w:tc>
          <w:tcPr>
            <w:tcW w:w="1345" w:type="dxa"/>
            <w:vAlign w:val="center"/>
          </w:tcPr>
          <w:p w14:paraId="22CA8916" w14:textId="1A8D2D7F" w:rsidR="0056009F" w:rsidRPr="00F46837" w:rsidRDefault="00FB485E" w:rsidP="00EF30E4">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{"citationID":"1DuFYrOZ","properties":{"formattedCitation":"\\super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113</w:t>
            </w:r>
            <w:r>
              <w:rPr>
                <w:rFonts w:ascii="Times New Roman" w:hAnsi="Times New Roman" w:cs="Times New Roman"/>
                <w:sz w:val="24"/>
                <w:szCs w:val="24"/>
              </w:rPr>
              <w:fldChar w:fldCharType="end"/>
            </w:r>
          </w:p>
        </w:tc>
      </w:tr>
      <w:tr w:rsidR="0056009F" w14:paraId="53263779" w14:textId="77777777" w:rsidTr="00614405">
        <w:tc>
          <w:tcPr>
            <w:tcW w:w="2155" w:type="dxa"/>
          </w:tcPr>
          <w:p w14:paraId="647381E5" w14:textId="6B4A6CF7" w:rsidR="0056009F" w:rsidRPr="00F46837" w:rsidRDefault="00614405" w:rsidP="0056009F">
            <w:pPr>
              <w:spacing w:line="360" w:lineRule="auto"/>
              <w:rPr>
                <w:rFonts w:ascii="Times New Roman" w:hAnsi="Times New Roman" w:cs="Times New Roman"/>
                <w:sz w:val="24"/>
                <w:szCs w:val="24"/>
              </w:rPr>
            </w:pPr>
            <w:r>
              <w:rPr>
                <w:rFonts w:ascii="Times New Roman" w:hAnsi="Times New Roman" w:cs="Times New Roman"/>
                <w:sz w:val="24"/>
                <w:szCs w:val="24"/>
              </w:rPr>
              <w:t>pTJ1-adeFGH</w:t>
            </w:r>
          </w:p>
        </w:tc>
        <w:tc>
          <w:tcPr>
            <w:tcW w:w="5130" w:type="dxa"/>
          </w:tcPr>
          <w:p w14:paraId="3E4B1585" w14:textId="11E9B76C" w:rsidR="0056009F" w:rsidRPr="00042322" w:rsidRDefault="00614405" w:rsidP="0056009F">
            <w:pPr>
              <w:spacing w:line="360" w:lineRule="auto"/>
              <w:rPr>
                <w:rFonts w:ascii="Times New Roman" w:hAnsi="Times New Roman" w:cs="Times New Roman"/>
                <w:sz w:val="24"/>
                <w:szCs w:val="24"/>
                <w:lang w:val="fr-FR"/>
              </w:rPr>
            </w:pPr>
            <w:proofErr w:type="gramStart"/>
            <w:r w:rsidRPr="00042322">
              <w:rPr>
                <w:rFonts w:ascii="Times New Roman" w:hAnsi="Times New Roman" w:cs="Times New Roman"/>
                <w:sz w:val="24"/>
                <w:szCs w:val="24"/>
                <w:lang w:val="fr-FR"/>
              </w:rPr>
              <w:t>pUC</w:t>
            </w:r>
            <w:proofErr w:type="gramEnd"/>
            <w:r w:rsidRPr="00042322">
              <w:rPr>
                <w:rFonts w:ascii="Times New Roman" w:hAnsi="Times New Roman" w:cs="Times New Roman"/>
                <w:sz w:val="24"/>
                <w:szCs w:val="24"/>
                <w:lang w:val="fr-FR"/>
              </w:rPr>
              <w:t>18T-mini-Tn</w:t>
            </w:r>
            <w:r w:rsidRPr="00042322">
              <w:rPr>
                <w:rFonts w:ascii="Times New Roman" w:hAnsi="Times New Roman" w:cs="Times New Roman"/>
                <w:i/>
                <w:iCs/>
                <w:sz w:val="24"/>
                <w:szCs w:val="24"/>
                <w:lang w:val="fr-FR"/>
              </w:rPr>
              <w:t>7</w:t>
            </w:r>
            <w:r w:rsidRPr="00042322">
              <w:rPr>
                <w:rFonts w:ascii="Times New Roman" w:hAnsi="Times New Roman" w:cs="Times New Roman"/>
                <w:sz w:val="24"/>
                <w:szCs w:val="24"/>
                <w:lang w:val="fr-FR"/>
              </w:rPr>
              <w:t>T-Tp-</w:t>
            </w:r>
            <w:r w:rsidRPr="00042322">
              <w:rPr>
                <w:rFonts w:ascii="Times New Roman" w:hAnsi="Times New Roman" w:cs="Times New Roman"/>
                <w:i/>
                <w:iCs/>
                <w:sz w:val="24"/>
                <w:szCs w:val="24"/>
                <w:lang w:val="fr-FR"/>
              </w:rPr>
              <w:t>araC</w:t>
            </w:r>
            <w:r w:rsidRPr="00042322">
              <w:rPr>
                <w:rFonts w:ascii="Times New Roman" w:hAnsi="Times New Roman" w:cs="Times New Roman"/>
                <w:sz w:val="24"/>
                <w:szCs w:val="24"/>
                <w:lang w:val="fr-FR"/>
              </w:rPr>
              <w:t>-</w:t>
            </w:r>
            <w:r w:rsidRPr="00ED4005">
              <w:rPr>
                <w:rFonts w:ascii="Times New Roman" w:hAnsi="Times New Roman" w:cs="Times New Roman"/>
                <w:color w:val="000000"/>
                <w:sz w:val="24"/>
                <w:szCs w:val="24"/>
                <w:lang w:val="fr-FR"/>
              </w:rPr>
              <w:t>P</w:t>
            </w:r>
            <w:r w:rsidRPr="00ED4005">
              <w:rPr>
                <w:rFonts w:ascii="Times New Roman" w:hAnsi="Times New Roman" w:cs="Times New Roman"/>
                <w:i/>
                <w:iCs/>
                <w:color w:val="000000"/>
                <w:sz w:val="24"/>
                <w:szCs w:val="24"/>
                <w:vertAlign w:val="subscript"/>
                <w:lang w:val="fr-FR"/>
              </w:rPr>
              <w:t>BAD</w:t>
            </w:r>
            <w:r w:rsidRPr="00042322">
              <w:rPr>
                <w:rFonts w:ascii="Times New Roman" w:hAnsi="Times New Roman" w:cs="Times New Roman"/>
                <w:sz w:val="24"/>
                <w:szCs w:val="24"/>
                <w:lang w:val="fr-FR"/>
              </w:rPr>
              <w:t>-</w:t>
            </w:r>
            <w:r w:rsidRPr="00042322">
              <w:rPr>
                <w:rFonts w:ascii="Times New Roman" w:hAnsi="Times New Roman" w:cs="Times New Roman"/>
                <w:i/>
                <w:iCs/>
                <w:sz w:val="24"/>
                <w:szCs w:val="24"/>
                <w:lang w:val="fr-FR"/>
              </w:rPr>
              <w:t>adeFGH</w:t>
            </w:r>
            <w:r w:rsidRPr="00042322">
              <w:rPr>
                <w:rFonts w:ascii="Times New Roman" w:hAnsi="Times New Roman" w:cs="Times New Roman"/>
                <w:sz w:val="24"/>
                <w:szCs w:val="24"/>
                <w:lang w:val="fr-FR"/>
              </w:rPr>
              <w:t xml:space="preserve">, </w:t>
            </w:r>
            <w:proofErr w:type="spellStart"/>
            <w:r w:rsidRPr="00042322">
              <w:rPr>
                <w:rFonts w:ascii="Times New Roman" w:hAnsi="Times New Roman" w:cs="Times New Roman"/>
                <w:sz w:val="24"/>
                <w:szCs w:val="24"/>
                <w:lang w:val="fr-FR"/>
              </w:rPr>
              <w:t>Amp</w:t>
            </w:r>
            <w:r w:rsidRPr="00042322">
              <w:rPr>
                <w:rFonts w:ascii="Times New Roman" w:hAnsi="Times New Roman" w:cs="Times New Roman"/>
                <w:sz w:val="24"/>
                <w:szCs w:val="24"/>
                <w:vertAlign w:val="superscript"/>
                <w:lang w:val="fr-FR"/>
              </w:rPr>
              <w:t>r</w:t>
            </w:r>
            <w:proofErr w:type="spellEnd"/>
            <w:r w:rsidRPr="00042322">
              <w:rPr>
                <w:rFonts w:ascii="Times New Roman" w:hAnsi="Times New Roman" w:cs="Times New Roman"/>
                <w:sz w:val="24"/>
                <w:szCs w:val="24"/>
                <w:lang w:val="fr-FR"/>
              </w:rPr>
              <w:t xml:space="preserve">, </w:t>
            </w:r>
            <w:proofErr w:type="spellStart"/>
            <w:r w:rsidRPr="00ED4005">
              <w:rPr>
                <w:rFonts w:ascii="Times New Roman" w:hAnsi="Times New Roman" w:cs="Times New Roman"/>
                <w:color w:val="000000"/>
                <w:sz w:val="24"/>
                <w:szCs w:val="24"/>
                <w:lang w:val="fr-FR"/>
              </w:rPr>
              <w:t>Tp</w:t>
            </w:r>
            <w:r w:rsidRPr="00ED4005">
              <w:rPr>
                <w:rFonts w:ascii="Times New Roman" w:hAnsi="Times New Roman" w:cs="Times New Roman"/>
                <w:color w:val="000000"/>
                <w:sz w:val="24"/>
                <w:szCs w:val="24"/>
                <w:vertAlign w:val="superscript"/>
                <w:lang w:val="fr-FR"/>
              </w:rPr>
              <w:t>r</w:t>
            </w:r>
            <w:proofErr w:type="spellEnd"/>
          </w:p>
        </w:tc>
        <w:tc>
          <w:tcPr>
            <w:tcW w:w="1345" w:type="dxa"/>
            <w:vAlign w:val="center"/>
          </w:tcPr>
          <w:p w14:paraId="6185554C" w14:textId="29376FFE" w:rsidR="0056009F" w:rsidRPr="00F46837" w:rsidRDefault="00614405" w:rsidP="00614405">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{"citationID":"mnbJpP4b","properties":{"formattedCitation":"\\super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p>
        </w:tc>
      </w:tr>
      <w:tr w:rsidR="0056009F" w14:paraId="4E6F4CB3" w14:textId="77777777" w:rsidTr="00614405">
        <w:tc>
          <w:tcPr>
            <w:tcW w:w="2155" w:type="dxa"/>
          </w:tcPr>
          <w:p w14:paraId="7C2B0840" w14:textId="50AB7DCE" w:rsidR="0056009F" w:rsidRPr="00F46837" w:rsidRDefault="00614405" w:rsidP="0056009F">
            <w:pPr>
              <w:spacing w:line="360" w:lineRule="auto"/>
              <w:rPr>
                <w:rFonts w:ascii="Times New Roman" w:hAnsi="Times New Roman" w:cs="Times New Roman"/>
                <w:sz w:val="24"/>
                <w:szCs w:val="24"/>
              </w:rPr>
            </w:pPr>
            <w:r>
              <w:rPr>
                <w:rFonts w:ascii="Times New Roman" w:hAnsi="Times New Roman" w:cs="Times New Roman"/>
                <w:sz w:val="24"/>
                <w:szCs w:val="24"/>
              </w:rPr>
              <w:t>pTJ1-adeIJK</w:t>
            </w:r>
          </w:p>
        </w:tc>
        <w:tc>
          <w:tcPr>
            <w:tcW w:w="5130" w:type="dxa"/>
          </w:tcPr>
          <w:p w14:paraId="19E883A7" w14:textId="26F04EAF" w:rsidR="0056009F" w:rsidRPr="00F46837" w:rsidRDefault="00614405" w:rsidP="0056009F">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eIJK</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080F4FA6" w14:textId="5DC94E40" w:rsidR="0056009F" w:rsidRPr="00F46837" w:rsidRDefault="00614405" w:rsidP="00614405">
            <w:pPr>
              <w:spacing w:line="36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{"citationID":"k8DGyyPk","properties":{"formattedCitation":"\\super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p>
        </w:tc>
      </w:tr>
      <w:tr w:rsidR="008C2688" w14:paraId="774A0620" w14:textId="77777777" w:rsidTr="008C2688">
        <w:tc>
          <w:tcPr>
            <w:tcW w:w="2155" w:type="dxa"/>
          </w:tcPr>
          <w:p w14:paraId="1EDE4E1D" w14:textId="3D70F6F7"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S620A</w:t>
            </w:r>
          </w:p>
        </w:tc>
        <w:tc>
          <w:tcPr>
            <w:tcW w:w="5130" w:type="dxa"/>
          </w:tcPr>
          <w:p w14:paraId="51677544" w14:textId="0FF3E1C7"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S620A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090A9D87" w14:textId="7FA1FE4A" w:rsidR="008C2688" w:rsidRPr="00F46837" w:rsidRDefault="008C2688" w:rsidP="008C2688">
            <w:pPr>
              <w:spacing w:line="360" w:lineRule="auto"/>
              <w:jc w:val="center"/>
              <w:rPr>
                <w:rFonts w:ascii="Times New Roman" w:hAnsi="Times New Roman" w:cs="Times New Roman"/>
                <w:sz w:val="24"/>
                <w:szCs w:val="24"/>
              </w:rPr>
            </w:pPr>
            <w:r w:rsidRPr="00D452FF">
              <w:rPr>
                <w:rFonts w:ascii="Times New Roman" w:hAnsi="Times New Roman" w:cs="Times New Roman"/>
                <w:sz w:val="24"/>
                <w:szCs w:val="24"/>
              </w:rPr>
              <w:t>This work</w:t>
            </w:r>
          </w:p>
        </w:tc>
      </w:tr>
      <w:tr w:rsidR="008C2688" w14:paraId="2F3361DC" w14:textId="77777777" w:rsidTr="008C2688">
        <w:tc>
          <w:tcPr>
            <w:tcW w:w="2155" w:type="dxa"/>
          </w:tcPr>
          <w:p w14:paraId="45E3E136" w14:textId="4B977641"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A705I</w:t>
            </w:r>
          </w:p>
        </w:tc>
        <w:tc>
          <w:tcPr>
            <w:tcW w:w="5130" w:type="dxa"/>
          </w:tcPr>
          <w:p w14:paraId="5243C190" w14:textId="024B5DB6"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A705I</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0C658F33" w14:textId="04A566C1" w:rsidR="008C2688" w:rsidRPr="00F46837" w:rsidRDefault="008C2688" w:rsidP="008C2688">
            <w:pPr>
              <w:spacing w:line="360" w:lineRule="auto"/>
              <w:jc w:val="center"/>
              <w:rPr>
                <w:rFonts w:ascii="Times New Roman" w:hAnsi="Times New Roman" w:cs="Times New Roman"/>
                <w:sz w:val="24"/>
                <w:szCs w:val="24"/>
              </w:rPr>
            </w:pPr>
            <w:r w:rsidRPr="00D452FF">
              <w:rPr>
                <w:rFonts w:ascii="Times New Roman" w:hAnsi="Times New Roman" w:cs="Times New Roman"/>
                <w:sz w:val="24"/>
                <w:szCs w:val="24"/>
              </w:rPr>
              <w:t>This work</w:t>
            </w:r>
          </w:p>
        </w:tc>
      </w:tr>
      <w:tr w:rsidR="008C2688" w14:paraId="2477A909" w14:textId="77777777" w:rsidTr="008C2688">
        <w:tc>
          <w:tcPr>
            <w:tcW w:w="2155" w:type="dxa"/>
          </w:tcPr>
          <w:p w14:paraId="2AA2890F" w14:textId="1743F5D8"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Q83A Y79S</w:t>
            </w:r>
          </w:p>
        </w:tc>
        <w:tc>
          <w:tcPr>
            <w:tcW w:w="5130" w:type="dxa"/>
          </w:tcPr>
          <w:p w14:paraId="3870D765" w14:textId="7328ADA0"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Q83A Y79S</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5C041A74" w14:textId="5863B5FB" w:rsidR="008C2688" w:rsidRPr="00F46837" w:rsidRDefault="008C2688" w:rsidP="008C2688">
            <w:pPr>
              <w:spacing w:line="360" w:lineRule="auto"/>
              <w:jc w:val="center"/>
              <w:rPr>
                <w:rFonts w:ascii="Times New Roman" w:hAnsi="Times New Roman" w:cs="Times New Roman"/>
                <w:sz w:val="24"/>
                <w:szCs w:val="24"/>
              </w:rPr>
            </w:pPr>
            <w:r w:rsidRPr="00D452FF">
              <w:rPr>
                <w:rFonts w:ascii="Times New Roman" w:hAnsi="Times New Roman" w:cs="Times New Roman"/>
                <w:sz w:val="24"/>
                <w:szCs w:val="24"/>
              </w:rPr>
              <w:t>This work</w:t>
            </w:r>
          </w:p>
        </w:tc>
      </w:tr>
      <w:tr w:rsidR="008C2688" w14:paraId="1CE75313" w14:textId="77777777" w:rsidTr="008C2688">
        <w:tc>
          <w:tcPr>
            <w:tcW w:w="2155" w:type="dxa"/>
          </w:tcPr>
          <w:p w14:paraId="1C71CF44" w14:textId="1FE708C7"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I621A</w:t>
            </w:r>
          </w:p>
        </w:tc>
        <w:tc>
          <w:tcPr>
            <w:tcW w:w="5130" w:type="dxa"/>
          </w:tcPr>
          <w:p w14:paraId="55291A8D" w14:textId="025E931E"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I621A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24EC6B91" w14:textId="04493D0C" w:rsidR="008C2688" w:rsidRPr="00F46837" w:rsidRDefault="008C2688" w:rsidP="008C2688">
            <w:pPr>
              <w:spacing w:line="360" w:lineRule="auto"/>
              <w:jc w:val="center"/>
              <w:rPr>
                <w:rFonts w:ascii="Times New Roman" w:hAnsi="Times New Roman" w:cs="Times New Roman"/>
                <w:sz w:val="24"/>
                <w:szCs w:val="24"/>
              </w:rPr>
            </w:pPr>
            <w:r w:rsidRPr="00D452FF">
              <w:rPr>
                <w:rFonts w:ascii="Times New Roman" w:hAnsi="Times New Roman" w:cs="Times New Roman"/>
                <w:sz w:val="24"/>
                <w:szCs w:val="24"/>
              </w:rPr>
              <w:t>This work</w:t>
            </w:r>
          </w:p>
        </w:tc>
      </w:tr>
      <w:tr w:rsidR="008C2688" w14:paraId="160EE788" w14:textId="77777777" w:rsidTr="008C2688">
        <w:tc>
          <w:tcPr>
            <w:tcW w:w="2155" w:type="dxa"/>
          </w:tcPr>
          <w:p w14:paraId="353772B0" w14:textId="05AD9D76"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pTJ1-adeG Q83A</w:t>
            </w:r>
          </w:p>
        </w:tc>
        <w:tc>
          <w:tcPr>
            <w:tcW w:w="5130" w:type="dxa"/>
          </w:tcPr>
          <w:p w14:paraId="2B37ABB8" w14:textId="30EB26FC"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Q83A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11C38D42" w14:textId="08B7A731" w:rsidR="008C2688" w:rsidRPr="00F46837" w:rsidRDefault="008C2688" w:rsidP="008C2688">
            <w:pPr>
              <w:spacing w:line="360" w:lineRule="auto"/>
              <w:jc w:val="center"/>
              <w:rPr>
                <w:rFonts w:ascii="Times New Roman" w:hAnsi="Times New Roman" w:cs="Times New Roman"/>
                <w:sz w:val="24"/>
                <w:szCs w:val="24"/>
              </w:rPr>
            </w:pPr>
            <w:r w:rsidRPr="00D452FF">
              <w:rPr>
                <w:rFonts w:ascii="Times New Roman" w:hAnsi="Times New Roman" w:cs="Times New Roman"/>
                <w:sz w:val="24"/>
                <w:szCs w:val="24"/>
              </w:rPr>
              <w:t>This work</w:t>
            </w:r>
          </w:p>
        </w:tc>
      </w:tr>
      <w:tr w:rsidR="008C2688" w14:paraId="58571F3C" w14:textId="77777777" w:rsidTr="008C2688">
        <w:tc>
          <w:tcPr>
            <w:tcW w:w="2155" w:type="dxa"/>
          </w:tcPr>
          <w:p w14:paraId="3A4E470D" w14:textId="47A3663F"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G679I</w:t>
            </w:r>
          </w:p>
        </w:tc>
        <w:tc>
          <w:tcPr>
            <w:tcW w:w="5130" w:type="dxa"/>
          </w:tcPr>
          <w:p w14:paraId="68089F94" w14:textId="2664CAE7"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w:t>
            </w:r>
            <w:r w:rsidRPr="00614405">
              <w:rPr>
                <w:rFonts w:ascii="Times New Roman" w:hAnsi="Times New Roman" w:cs="Times New Roman"/>
                <w:i/>
                <w:iCs/>
                <w:sz w:val="24"/>
                <w:szCs w:val="24"/>
              </w:rPr>
              <w:t>G</w:t>
            </w:r>
            <w:r>
              <w:rPr>
                <w:rFonts w:ascii="Times New Roman" w:hAnsi="Times New Roman" w:cs="Times New Roman"/>
                <w:i/>
                <w:iCs/>
                <w:sz w:val="24"/>
                <w:szCs w:val="24"/>
              </w:rPr>
              <w:t xml:space="preserve"> G679I</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2DDED326" w14:textId="75440854" w:rsidR="008C2688" w:rsidRPr="00F46837" w:rsidRDefault="008C2688" w:rsidP="008C2688">
            <w:pPr>
              <w:spacing w:line="360" w:lineRule="auto"/>
              <w:jc w:val="center"/>
              <w:rPr>
                <w:rFonts w:ascii="Times New Roman" w:hAnsi="Times New Roman" w:cs="Times New Roman"/>
                <w:sz w:val="24"/>
                <w:szCs w:val="24"/>
              </w:rPr>
            </w:pPr>
            <w:r w:rsidRPr="00202E10">
              <w:rPr>
                <w:rFonts w:ascii="Times New Roman" w:hAnsi="Times New Roman" w:cs="Times New Roman"/>
                <w:sz w:val="24"/>
                <w:szCs w:val="24"/>
              </w:rPr>
              <w:t>This work</w:t>
            </w:r>
          </w:p>
        </w:tc>
      </w:tr>
      <w:tr w:rsidR="008C2688" w14:paraId="505C4CDB" w14:textId="77777777" w:rsidTr="008C2688">
        <w:tc>
          <w:tcPr>
            <w:tcW w:w="2155" w:type="dxa"/>
          </w:tcPr>
          <w:p w14:paraId="3F4B25D6" w14:textId="3949C560"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Y725A</w:t>
            </w:r>
          </w:p>
        </w:tc>
        <w:tc>
          <w:tcPr>
            <w:tcW w:w="5130" w:type="dxa"/>
          </w:tcPr>
          <w:p w14:paraId="40F752FE" w14:textId="35BBDD3D"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Y725A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6B37A25A" w14:textId="4E008550" w:rsidR="008C2688" w:rsidRPr="00F46837" w:rsidRDefault="008C2688" w:rsidP="008C2688">
            <w:pPr>
              <w:spacing w:line="360" w:lineRule="auto"/>
              <w:jc w:val="center"/>
              <w:rPr>
                <w:rFonts w:ascii="Times New Roman" w:hAnsi="Times New Roman" w:cs="Times New Roman"/>
                <w:sz w:val="24"/>
                <w:szCs w:val="24"/>
              </w:rPr>
            </w:pPr>
            <w:r w:rsidRPr="00202E10">
              <w:rPr>
                <w:rFonts w:ascii="Times New Roman" w:hAnsi="Times New Roman" w:cs="Times New Roman"/>
                <w:sz w:val="24"/>
                <w:szCs w:val="24"/>
              </w:rPr>
              <w:t>This work</w:t>
            </w:r>
          </w:p>
        </w:tc>
      </w:tr>
      <w:tr w:rsidR="008C2688" w14:paraId="6A3484BB" w14:textId="77777777" w:rsidTr="008C2688">
        <w:tc>
          <w:tcPr>
            <w:tcW w:w="2155" w:type="dxa"/>
          </w:tcPr>
          <w:p w14:paraId="4D895F3A" w14:textId="1D6480AD" w:rsidR="008C2688" w:rsidRPr="00F46837" w:rsidRDefault="008C2688" w:rsidP="008C2688">
            <w:pPr>
              <w:spacing w:line="360" w:lineRule="auto"/>
              <w:rPr>
                <w:rFonts w:ascii="Times New Roman" w:hAnsi="Times New Roman" w:cs="Times New Roman"/>
                <w:sz w:val="24"/>
                <w:szCs w:val="24"/>
              </w:rPr>
            </w:pPr>
            <w:r>
              <w:rPr>
                <w:rFonts w:ascii="Times New Roman" w:hAnsi="Times New Roman" w:cs="Times New Roman"/>
                <w:sz w:val="24"/>
                <w:szCs w:val="24"/>
              </w:rPr>
              <w:t>pTJ1-adeG L138A</w:t>
            </w:r>
          </w:p>
        </w:tc>
        <w:tc>
          <w:tcPr>
            <w:tcW w:w="5130" w:type="dxa"/>
          </w:tcPr>
          <w:p w14:paraId="2A1721D8" w14:textId="70131925" w:rsidR="008C2688" w:rsidRPr="00F46837" w:rsidRDefault="008C2688" w:rsidP="008C2688">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adeG</w:t>
            </w:r>
            <w:r>
              <w:rPr>
                <w:rFonts w:ascii="Times New Roman" w:hAnsi="Times New Roman" w:cs="Times New Roman"/>
                <w:i/>
                <w:iCs/>
                <w:sz w:val="24"/>
                <w:szCs w:val="24"/>
              </w:rPr>
              <w:t xml:space="preserve"> L138A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547A12EA" w14:textId="05071F37" w:rsidR="008C2688" w:rsidRPr="00F46837" w:rsidRDefault="008C2688" w:rsidP="008C2688">
            <w:pPr>
              <w:spacing w:line="360" w:lineRule="auto"/>
              <w:jc w:val="center"/>
              <w:rPr>
                <w:rFonts w:ascii="Times New Roman" w:hAnsi="Times New Roman" w:cs="Times New Roman"/>
                <w:sz w:val="24"/>
                <w:szCs w:val="24"/>
              </w:rPr>
            </w:pPr>
            <w:r w:rsidRPr="00202E10">
              <w:rPr>
                <w:rFonts w:ascii="Times New Roman" w:hAnsi="Times New Roman" w:cs="Times New Roman"/>
                <w:sz w:val="24"/>
                <w:szCs w:val="24"/>
              </w:rPr>
              <w:t>This work</w:t>
            </w:r>
          </w:p>
        </w:tc>
      </w:tr>
      <w:tr w:rsidR="00F6410B" w14:paraId="1EAA1691" w14:textId="77777777" w:rsidTr="00F6410B">
        <w:tc>
          <w:tcPr>
            <w:tcW w:w="2155" w:type="dxa"/>
          </w:tcPr>
          <w:p w14:paraId="28A71E7F" w14:textId="57DF7A59"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G721A</w:t>
            </w:r>
          </w:p>
        </w:tc>
        <w:tc>
          <w:tcPr>
            <w:tcW w:w="5130" w:type="dxa"/>
          </w:tcPr>
          <w:p w14:paraId="2E49BCBD" w14:textId="7F96D0EA"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G721A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5DDA66E4" w14:textId="58ED5C56"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r w:rsidR="00F6410B" w14:paraId="57F671CD" w14:textId="77777777" w:rsidTr="00F6410B">
        <w:tc>
          <w:tcPr>
            <w:tcW w:w="2155" w:type="dxa"/>
          </w:tcPr>
          <w:p w14:paraId="223EF85D" w14:textId="02847E71"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R701A</w:t>
            </w:r>
          </w:p>
        </w:tc>
        <w:tc>
          <w:tcPr>
            <w:tcW w:w="5130" w:type="dxa"/>
          </w:tcPr>
          <w:p w14:paraId="64CAD256" w14:textId="2351B03B"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R701A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53F4232E" w14:textId="24FC29D5"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r w:rsidR="00F6410B" w14:paraId="4027D894" w14:textId="77777777" w:rsidTr="00F6410B">
        <w:tc>
          <w:tcPr>
            <w:tcW w:w="2155" w:type="dxa"/>
          </w:tcPr>
          <w:p w14:paraId="7E8BF15C" w14:textId="02ECE1A7"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N81A</w:t>
            </w:r>
          </w:p>
        </w:tc>
        <w:tc>
          <w:tcPr>
            <w:tcW w:w="5130" w:type="dxa"/>
          </w:tcPr>
          <w:p w14:paraId="59B7434B" w14:textId="6F03BFEE"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N81A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669D6B3C" w14:textId="78DD9B01"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r w:rsidR="00F6410B" w14:paraId="1DCB73F2" w14:textId="77777777" w:rsidTr="00F6410B">
        <w:tc>
          <w:tcPr>
            <w:tcW w:w="2155" w:type="dxa"/>
          </w:tcPr>
          <w:p w14:paraId="23B918EE" w14:textId="50D66FA5"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E675A</w:t>
            </w:r>
          </w:p>
        </w:tc>
        <w:tc>
          <w:tcPr>
            <w:tcW w:w="5130" w:type="dxa"/>
          </w:tcPr>
          <w:p w14:paraId="0EFE2287" w14:textId="40BB615D"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E675A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467F5422" w14:textId="68907244"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r w:rsidR="00F6410B" w14:paraId="3AC3BABC" w14:textId="77777777" w:rsidTr="00F6410B">
        <w:tc>
          <w:tcPr>
            <w:tcW w:w="2155" w:type="dxa"/>
          </w:tcPr>
          <w:p w14:paraId="7FC446A1" w14:textId="08D8B2FB"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F618A</w:t>
            </w:r>
          </w:p>
        </w:tc>
        <w:tc>
          <w:tcPr>
            <w:tcW w:w="5130" w:type="dxa"/>
          </w:tcPr>
          <w:p w14:paraId="27D6852D" w14:textId="7837C942"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F618A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6BBFDE65" w14:textId="087C931E"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r w:rsidR="00F6410B" w14:paraId="36995749" w14:textId="77777777" w:rsidTr="00F6410B">
        <w:tc>
          <w:tcPr>
            <w:tcW w:w="2155" w:type="dxa"/>
          </w:tcPr>
          <w:p w14:paraId="08F92B54" w14:textId="31A10A59"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F136A</w:t>
            </w:r>
          </w:p>
        </w:tc>
        <w:tc>
          <w:tcPr>
            <w:tcW w:w="5130" w:type="dxa"/>
          </w:tcPr>
          <w:p w14:paraId="59FFDEBA" w14:textId="692D6855"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F136A</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48105BAA" w14:textId="2E249568"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r w:rsidR="00F6410B" w14:paraId="347FCBC6" w14:textId="77777777" w:rsidTr="00F6410B">
        <w:tc>
          <w:tcPr>
            <w:tcW w:w="2155" w:type="dxa"/>
          </w:tcPr>
          <w:p w14:paraId="78FA53F6" w14:textId="30C68C4A" w:rsidR="00F6410B" w:rsidRDefault="00F6410B" w:rsidP="00F6410B">
            <w:pPr>
              <w:spacing w:line="360" w:lineRule="auto"/>
              <w:rPr>
                <w:rFonts w:ascii="Times New Roman" w:hAnsi="Times New Roman" w:cs="Times New Roman"/>
                <w:sz w:val="24"/>
                <w:szCs w:val="24"/>
              </w:rPr>
            </w:pPr>
            <w:r>
              <w:rPr>
                <w:rFonts w:ascii="Times New Roman" w:hAnsi="Times New Roman" w:cs="Times New Roman"/>
                <w:sz w:val="24"/>
                <w:szCs w:val="24"/>
              </w:rPr>
              <w:t>pTJ1-adeJ A134I</w:t>
            </w:r>
          </w:p>
        </w:tc>
        <w:tc>
          <w:tcPr>
            <w:tcW w:w="5130" w:type="dxa"/>
          </w:tcPr>
          <w:p w14:paraId="367401A6" w14:textId="6E0124BC" w:rsidR="00F6410B" w:rsidRPr="00F46837" w:rsidRDefault="00F6410B" w:rsidP="00F6410B">
            <w:pPr>
              <w:spacing w:line="360" w:lineRule="auto"/>
              <w:rPr>
                <w:rFonts w:ascii="Times New Roman" w:hAnsi="Times New Roman" w:cs="Times New Roman"/>
                <w:sz w:val="24"/>
                <w:szCs w:val="24"/>
              </w:rPr>
            </w:pPr>
            <w:r w:rsidRPr="00614405">
              <w:rPr>
                <w:rFonts w:ascii="Times New Roman" w:hAnsi="Times New Roman" w:cs="Times New Roman"/>
                <w:sz w:val="24"/>
                <w:szCs w:val="24"/>
              </w:rPr>
              <w:t>pUC18T-mini-Tn</w:t>
            </w:r>
            <w:r w:rsidRPr="00614405">
              <w:rPr>
                <w:rFonts w:ascii="Times New Roman" w:hAnsi="Times New Roman" w:cs="Times New Roman"/>
                <w:i/>
                <w:iCs/>
                <w:sz w:val="24"/>
                <w:szCs w:val="24"/>
              </w:rPr>
              <w:t>7</w:t>
            </w:r>
            <w:r w:rsidRPr="00614405">
              <w:rPr>
                <w:rFonts w:ascii="Times New Roman" w:hAnsi="Times New Roman" w:cs="Times New Roman"/>
                <w:sz w:val="24"/>
                <w:szCs w:val="24"/>
              </w:rPr>
              <w:t>T-Tp-</w:t>
            </w:r>
            <w:r w:rsidRPr="00614405">
              <w:rPr>
                <w:rFonts w:ascii="Times New Roman" w:hAnsi="Times New Roman" w:cs="Times New Roman"/>
                <w:i/>
                <w:iCs/>
                <w:sz w:val="24"/>
                <w:szCs w:val="24"/>
              </w:rPr>
              <w:t>araC</w:t>
            </w:r>
            <w:r w:rsidRPr="00614405">
              <w:rPr>
                <w:rFonts w:ascii="Times New Roman" w:hAnsi="Times New Roman" w:cs="Times New Roman"/>
                <w:sz w:val="24"/>
                <w:szCs w:val="24"/>
              </w:rPr>
              <w:t>-</w:t>
            </w:r>
            <w:r w:rsidRPr="00042322">
              <w:rPr>
                <w:rFonts w:ascii="Times New Roman" w:hAnsi="Times New Roman" w:cs="Times New Roman"/>
                <w:color w:val="000000"/>
                <w:sz w:val="24"/>
                <w:szCs w:val="24"/>
              </w:rPr>
              <w:t>P</w:t>
            </w:r>
            <w:r w:rsidRPr="00042322">
              <w:rPr>
                <w:rFonts w:ascii="Times New Roman" w:hAnsi="Times New Roman" w:cs="Times New Roman"/>
                <w:i/>
                <w:iCs/>
                <w:color w:val="000000"/>
                <w:sz w:val="24"/>
                <w:szCs w:val="24"/>
                <w:vertAlign w:val="subscript"/>
              </w:rPr>
              <w:t>BAD</w:t>
            </w:r>
            <w:r w:rsidRPr="00614405">
              <w:rPr>
                <w:rFonts w:ascii="Times New Roman" w:hAnsi="Times New Roman" w:cs="Times New Roman"/>
                <w:sz w:val="24"/>
                <w:szCs w:val="24"/>
              </w:rPr>
              <w:t>-</w:t>
            </w:r>
            <w:r w:rsidRPr="00614405">
              <w:rPr>
                <w:rFonts w:ascii="Times New Roman" w:hAnsi="Times New Roman" w:cs="Times New Roman"/>
                <w:i/>
                <w:iCs/>
                <w:sz w:val="24"/>
                <w:szCs w:val="24"/>
              </w:rPr>
              <w:t>ad</w:t>
            </w:r>
            <w:r>
              <w:rPr>
                <w:rFonts w:ascii="Times New Roman" w:hAnsi="Times New Roman" w:cs="Times New Roman"/>
                <w:i/>
                <w:iCs/>
                <w:sz w:val="24"/>
                <w:szCs w:val="24"/>
              </w:rPr>
              <w:t>eJ A134I</w:t>
            </w:r>
            <w:r w:rsidRPr="00614405">
              <w:rPr>
                <w:rFonts w:ascii="Times New Roman" w:hAnsi="Times New Roman" w:cs="Times New Roman"/>
                <w:sz w:val="24"/>
                <w:szCs w:val="24"/>
              </w:rPr>
              <w:t xml:space="preserve">, </w:t>
            </w:r>
            <w:proofErr w:type="spellStart"/>
            <w:r w:rsidRPr="009D5C38">
              <w:rPr>
                <w:rFonts w:ascii="Times New Roman" w:hAnsi="Times New Roman" w:cs="Times New Roman"/>
                <w:sz w:val="24"/>
                <w:szCs w:val="24"/>
              </w:rPr>
              <w:t>A</w:t>
            </w:r>
            <w:r>
              <w:rPr>
                <w:rFonts w:ascii="Times New Roman" w:hAnsi="Times New Roman" w:cs="Times New Roman"/>
                <w:sz w:val="24"/>
                <w:szCs w:val="24"/>
              </w:rPr>
              <w:t>m</w:t>
            </w:r>
            <w:r w:rsidRPr="009D5C38">
              <w:rPr>
                <w:rFonts w:ascii="Times New Roman" w:hAnsi="Times New Roman" w:cs="Times New Roman"/>
                <w:sz w:val="24"/>
                <w:szCs w:val="24"/>
              </w:rPr>
              <w:t>p</w:t>
            </w:r>
            <w:r w:rsidRPr="009D5C38">
              <w:rPr>
                <w:rFonts w:ascii="Times New Roman" w:hAnsi="Times New Roman" w:cs="Times New Roman"/>
                <w:sz w:val="24"/>
                <w:szCs w:val="24"/>
                <w:vertAlign w:val="superscript"/>
              </w:rPr>
              <w:t>r</w:t>
            </w:r>
            <w:proofErr w:type="spellEnd"/>
            <w:r w:rsidRPr="00614405">
              <w:rPr>
                <w:rFonts w:ascii="Times New Roman" w:hAnsi="Times New Roman" w:cs="Times New Roman"/>
                <w:sz w:val="24"/>
                <w:szCs w:val="24"/>
              </w:rPr>
              <w:t xml:space="preserve">, </w:t>
            </w:r>
            <w:proofErr w:type="spellStart"/>
            <w:r w:rsidRPr="00042322">
              <w:rPr>
                <w:rFonts w:ascii="Times New Roman" w:hAnsi="Times New Roman" w:cs="Times New Roman"/>
                <w:color w:val="000000"/>
                <w:sz w:val="24"/>
                <w:szCs w:val="24"/>
              </w:rPr>
              <w:t>Tp</w:t>
            </w:r>
            <w:r w:rsidRPr="00042322">
              <w:rPr>
                <w:rFonts w:ascii="Times New Roman" w:hAnsi="Times New Roman" w:cs="Times New Roman"/>
                <w:color w:val="000000"/>
                <w:sz w:val="24"/>
                <w:szCs w:val="24"/>
                <w:vertAlign w:val="superscript"/>
              </w:rPr>
              <w:t>r</w:t>
            </w:r>
            <w:proofErr w:type="spellEnd"/>
          </w:p>
        </w:tc>
        <w:tc>
          <w:tcPr>
            <w:tcW w:w="1345" w:type="dxa"/>
            <w:vAlign w:val="center"/>
          </w:tcPr>
          <w:p w14:paraId="1B700BC2" w14:textId="4C847067" w:rsidR="00F6410B" w:rsidRPr="00F46837" w:rsidRDefault="00F6410B" w:rsidP="00F6410B">
            <w:pPr>
              <w:spacing w:line="360" w:lineRule="auto"/>
              <w:jc w:val="center"/>
              <w:rPr>
                <w:rFonts w:ascii="Times New Roman" w:hAnsi="Times New Roman" w:cs="Times New Roman"/>
                <w:sz w:val="24"/>
                <w:szCs w:val="24"/>
              </w:rPr>
            </w:pPr>
            <w:r w:rsidRPr="00EA2FDE">
              <w:rPr>
                <w:rFonts w:ascii="Times New Roman" w:hAnsi="Times New Roman" w:cs="Times New Roman"/>
                <w:sz w:val="24"/>
                <w:szCs w:val="24"/>
              </w:rPr>
              <w:t>This work</w:t>
            </w:r>
          </w:p>
        </w:tc>
      </w:tr>
    </w:tbl>
    <w:p w14:paraId="0D1D35A6" w14:textId="77777777" w:rsidR="003A1040" w:rsidRPr="003A1040" w:rsidRDefault="003A1040" w:rsidP="00C836F0">
      <w:pPr>
        <w:rPr>
          <w:rFonts w:asciiTheme="majorHAnsi" w:hAnsiTheme="majorHAnsi" w:cstheme="majorHAnsi"/>
          <w:b/>
          <w:bCs/>
          <w:sz w:val="24"/>
          <w:szCs w:val="24"/>
        </w:rPr>
      </w:pPr>
    </w:p>
    <w:p w14:paraId="26277DB8" w14:textId="40CDF29E" w:rsidR="00156CBA" w:rsidRDefault="003A1040" w:rsidP="00C836F0">
      <w:pPr>
        <w:rPr>
          <w:rFonts w:asciiTheme="majorHAnsi" w:hAnsiTheme="majorHAnsi" w:cstheme="majorHAnsi"/>
          <w:b/>
          <w:bCs/>
          <w:sz w:val="24"/>
          <w:szCs w:val="24"/>
        </w:rPr>
      </w:pPr>
      <w:r>
        <w:rPr>
          <w:rFonts w:asciiTheme="majorHAnsi" w:hAnsiTheme="majorHAnsi" w:cstheme="majorHAnsi"/>
          <w:b/>
          <w:bCs/>
          <w:sz w:val="24"/>
          <w:szCs w:val="24"/>
        </w:rPr>
        <w:t xml:space="preserve">Table </w:t>
      </w:r>
      <w:r w:rsidR="00265E3A">
        <w:rPr>
          <w:rFonts w:asciiTheme="majorHAnsi" w:hAnsiTheme="majorHAnsi" w:cstheme="majorHAnsi"/>
          <w:b/>
          <w:bCs/>
          <w:sz w:val="24"/>
          <w:szCs w:val="24"/>
        </w:rPr>
        <w:t>2</w:t>
      </w:r>
      <w:r>
        <w:rPr>
          <w:rFonts w:asciiTheme="majorHAnsi" w:hAnsiTheme="majorHAnsi" w:cstheme="majorHAnsi"/>
          <w:b/>
          <w:bCs/>
          <w:sz w:val="24"/>
          <w:szCs w:val="24"/>
        </w:rPr>
        <w:t>.</w:t>
      </w:r>
      <w:r w:rsidR="00265E3A">
        <w:rPr>
          <w:rFonts w:asciiTheme="majorHAnsi" w:hAnsiTheme="majorHAnsi" w:cstheme="majorHAnsi"/>
          <w:b/>
          <w:bCs/>
          <w:sz w:val="24"/>
          <w:szCs w:val="24"/>
        </w:rPr>
        <w:t>3</w:t>
      </w:r>
      <w:r>
        <w:rPr>
          <w:rFonts w:asciiTheme="majorHAnsi" w:hAnsiTheme="majorHAnsi" w:cstheme="majorHAnsi"/>
          <w:b/>
          <w:bCs/>
          <w:sz w:val="24"/>
          <w:szCs w:val="24"/>
        </w:rPr>
        <w:t xml:space="preserve"> - List of </w:t>
      </w:r>
      <w:r w:rsidR="007D3623">
        <w:rPr>
          <w:rFonts w:asciiTheme="majorHAnsi" w:hAnsiTheme="majorHAnsi" w:cstheme="majorHAnsi"/>
          <w:b/>
          <w:bCs/>
          <w:sz w:val="24"/>
          <w:szCs w:val="24"/>
        </w:rPr>
        <w:t>p</w:t>
      </w:r>
      <w:r>
        <w:rPr>
          <w:rFonts w:asciiTheme="majorHAnsi" w:hAnsiTheme="majorHAnsi" w:cstheme="majorHAnsi"/>
          <w:b/>
          <w:bCs/>
          <w:sz w:val="24"/>
          <w:szCs w:val="24"/>
        </w:rPr>
        <w:t xml:space="preserve">rimers used in these </w:t>
      </w:r>
      <w:proofErr w:type="gramStart"/>
      <w:r w:rsidR="007D3623">
        <w:rPr>
          <w:rFonts w:asciiTheme="majorHAnsi" w:hAnsiTheme="majorHAnsi" w:cstheme="majorHAnsi"/>
          <w:b/>
          <w:bCs/>
          <w:sz w:val="24"/>
          <w:szCs w:val="24"/>
        </w:rPr>
        <w:t>s</w:t>
      </w:r>
      <w:r>
        <w:rPr>
          <w:rFonts w:asciiTheme="majorHAnsi" w:hAnsiTheme="majorHAnsi" w:cstheme="majorHAnsi"/>
          <w:b/>
          <w:bCs/>
          <w:sz w:val="24"/>
          <w:szCs w:val="24"/>
        </w:rPr>
        <w:t>tudies</w:t>
      </w:r>
      <w:proofErr w:type="gramEnd"/>
    </w:p>
    <w:tbl>
      <w:tblPr>
        <w:tblStyle w:val="TableGrid"/>
        <w:tblW w:w="8635" w:type="dxa"/>
        <w:tblLayout w:type="fixed"/>
        <w:tblLook w:val="04A0" w:firstRow="1" w:lastRow="0" w:firstColumn="1" w:lastColumn="0" w:noHBand="0" w:noVBand="1"/>
      </w:tblPr>
      <w:tblGrid>
        <w:gridCol w:w="2335"/>
        <w:gridCol w:w="6300"/>
      </w:tblGrid>
      <w:tr w:rsidR="0056009F" w:rsidRPr="00A134DF" w14:paraId="63896BD9" w14:textId="77777777" w:rsidTr="00EF30E4">
        <w:tc>
          <w:tcPr>
            <w:tcW w:w="2335" w:type="dxa"/>
          </w:tcPr>
          <w:p w14:paraId="7DF09A75" w14:textId="77777777" w:rsidR="0056009F" w:rsidRPr="00A134DF" w:rsidRDefault="0056009F" w:rsidP="003110C1">
            <w:pPr>
              <w:rPr>
                <w:rFonts w:ascii="Times New Roman" w:hAnsi="Times New Roman" w:cs="Times New Roman"/>
                <w:sz w:val="24"/>
                <w:szCs w:val="24"/>
              </w:rPr>
            </w:pPr>
            <w:r w:rsidRPr="00A134DF">
              <w:rPr>
                <w:rFonts w:ascii="Times New Roman" w:hAnsi="Times New Roman" w:cs="Times New Roman"/>
                <w:sz w:val="24"/>
                <w:szCs w:val="24"/>
              </w:rPr>
              <w:t>Primer Name</w:t>
            </w:r>
          </w:p>
        </w:tc>
        <w:tc>
          <w:tcPr>
            <w:tcW w:w="6300" w:type="dxa"/>
          </w:tcPr>
          <w:p w14:paraId="12626355" w14:textId="77777777" w:rsidR="0056009F" w:rsidRPr="00A134DF" w:rsidRDefault="0056009F" w:rsidP="003110C1">
            <w:pPr>
              <w:rPr>
                <w:rFonts w:ascii="Times New Roman" w:hAnsi="Times New Roman" w:cs="Times New Roman"/>
                <w:sz w:val="24"/>
                <w:szCs w:val="24"/>
              </w:rPr>
            </w:pPr>
            <w:r w:rsidRPr="00A134DF">
              <w:rPr>
                <w:rFonts w:ascii="Times New Roman" w:hAnsi="Times New Roman" w:cs="Times New Roman"/>
                <w:sz w:val="24"/>
                <w:szCs w:val="24"/>
              </w:rPr>
              <w:t xml:space="preserve">Sequence 5’ </w:t>
            </w:r>
            <w:r w:rsidRPr="00A134DF">
              <w:rPr>
                <w:rFonts w:ascii="Times New Roman" w:hAnsi="Times New Roman" w:cs="Times New Roman"/>
                <w:sz w:val="24"/>
                <w:szCs w:val="24"/>
              </w:rPr>
              <w:sym w:font="Wingdings" w:char="F0E0"/>
            </w:r>
            <w:r w:rsidRPr="00A134DF">
              <w:rPr>
                <w:rFonts w:ascii="Times New Roman" w:hAnsi="Times New Roman" w:cs="Times New Roman"/>
                <w:sz w:val="24"/>
                <w:szCs w:val="24"/>
              </w:rPr>
              <w:t xml:space="preserve"> 3’</w:t>
            </w:r>
          </w:p>
        </w:tc>
      </w:tr>
      <w:tr w:rsidR="0056009F" w:rsidRPr="00A134DF" w14:paraId="5A7F248B" w14:textId="77777777" w:rsidTr="00EF30E4">
        <w:trPr>
          <w:trHeight w:val="288"/>
        </w:trPr>
        <w:tc>
          <w:tcPr>
            <w:tcW w:w="2335" w:type="dxa"/>
            <w:vAlign w:val="center"/>
          </w:tcPr>
          <w:p w14:paraId="29FB57F9" w14:textId="77777777" w:rsidR="0056009F" w:rsidRPr="00F6795E" w:rsidRDefault="0056009F" w:rsidP="003110C1">
            <w:pPr>
              <w:spacing w:line="276" w:lineRule="auto"/>
              <w:rPr>
                <w:rFonts w:ascii="Times New Roman" w:hAnsi="Times New Roman" w:cs="Times New Roman"/>
              </w:rPr>
            </w:pPr>
            <w:r w:rsidRPr="00F6795E">
              <w:rPr>
                <w:rFonts w:ascii="Times New Roman" w:hAnsi="Times New Roman" w:cs="Times New Roman"/>
                <w:shd w:val="clear" w:color="auto" w:fill="FEFEFF"/>
              </w:rPr>
              <w:t xml:space="preserve">Ab (17978) </w:t>
            </w:r>
            <w:proofErr w:type="spellStart"/>
            <w:r w:rsidRPr="00F6795E">
              <w:rPr>
                <w:rFonts w:ascii="Times New Roman" w:hAnsi="Times New Roman" w:cs="Times New Roman"/>
                <w:shd w:val="clear" w:color="auto" w:fill="FEFEFF"/>
              </w:rPr>
              <w:t>glmS</w:t>
            </w:r>
            <w:proofErr w:type="spellEnd"/>
            <w:r w:rsidRPr="00F6795E">
              <w:rPr>
                <w:rFonts w:ascii="Times New Roman" w:hAnsi="Times New Roman" w:cs="Times New Roman"/>
                <w:shd w:val="clear" w:color="auto" w:fill="FEFEFF"/>
              </w:rPr>
              <w:t xml:space="preserve"> FWD</w:t>
            </w:r>
          </w:p>
        </w:tc>
        <w:tc>
          <w:tcPr>
            <w:tcW w:w="6300" w:type="dxa"/>
            <w:vAlign w:val="center"/>
          </w:tcPr>
          <w:p w14:paraId="2A6AB3C4" w14:textId="77777777" w:rsidR="0056009F" w:rsidRPr="00F6795E" w:rsidRDefault="0056009F" w:rsidP="003110C1">
            <w:pPr>
              <w:spacing w:line="276" w:lineRule="auto"/>
              <w:rPr>
                <w:rFonts w:ascii="Times New Roman" w:hAnsi="Times New Roman" w:cs="Times New Roman"/>
              </w:rPr>
            </w:pPr>
            <w:r w:rsidRPr="00F6795E">
              <w:rPr>
                <w:rFonts w:ascii="Times New Roman" w:eastAsia="Times New Roman" w:hAnsi="Times New Roman" w:cs="Times New Roman"/>
                <w:lang w:val="en-GB"/>
              </w:rPr>
              <w:t>TTCGCTGATGAAAATAGTGG</w:t>
            </w:r>
          </w:p>
        </w:tc>
      </w:tr>
      <w:tr w:rsidR="0056009F" w:rsidRPr="00A134DF" w14:paraId="175C1967" w14:textId="77777777" w:rsidTr="00EF30E4">
        <w:trPr>
          <w:trHeight w:val="288"/>
        </w:trPr>
        <w:tc>
          <w:tcPr>
            <w:tcW w:w="2335" w:type="dxa"/>
            <w:vAlign w:val="center"/>
          </w:tcPr>
          <w:p w14:paraId="5AA9C721" w14:textId="77777777" w:rsidR="0056009F" w:rsidRPr="00F6795E" w:rsidRDefault="0056009F" w:rsidP="003110C1">
            <w:pPr>
              <w:spacing w:line="276" w:lineRule="auto"/>
              <w:rPr>
                <w:rFonts w:ascii="Times New Roman" w:hAnsi="Times New Roman" w:cs="Times New Roman"/>
                <w:shd w:val="clear" w:color="auto" w:fill="FEFEFF"/>
              </w:rPr>
            </w:pPr>
            <w:r w:rsidRPr="00F6795E">
              <w:rPr>
                <w:rFonts w:ascii="Times New Roman" w:hAnsi="Times New Roman" w:cs="Times New Roman"/>
                <w:shd w:val="clear" w:color="auto" w:fill="FEFEFF"/>
              </w:rPr>
              <w:t xml:space="preserve">Ab (17978) </w:t>
            </w:r>
            <w:proofErr w:type="spellStart"/>
            <w:r w:rsidRPr="00F6795E">
              <w:rPr>
                <w:rFonts w:ascii="Times New Roman" w:hAnsi="Times New Roman" w:cs="Times New Roman"/>
                <w:shd w:val="clear" w:color="auto" w:fill="FEFEFF"/>
              </w:rPr>
              <w:t>glmS</w:t>
            </w:r>
            <w:proofErr w:type="spellEnd"/>
            <w:r w:rsidRPr="00F6795E">
              <w:rPr>
                <w:rFonts w:ascii="Times New Roman" w:hAnsi="Times New Roman" w:cs="Times New Roman"/>
                <w:shd w:val="clear" w:color="auto" w:fill="FEFEFF"/>
              </w:rPr>
              <w:t xml:space="preserve"> REV</w:t>
            </w:r>
          </w:p>
        </w:tc>
        <w:tc>
          <w:tcPr>
            <w:tcW w:w="6300" w:type="dxa"/>
            <w:vAlign w:val="center"/>
          </w:tcPr>
          <w:p w14:paraId="3E4926A3" w14:textId="77777777" w:rsidR="0056009F" w:rsidRPr="00F6795E" w:rsidRDefault="0056009F" w:rsidP="003110C1">
            <w:pPr>
              <w:spacing w:line="276" w:lineRule="auto"/>
              <w:rPr>
                <w:rFonts w:ascii="Times New Roman" w:eastAsia="Times New Roman" w:hAnsi="Times New Roman" w:cs="Times New Roman"/>
                <w:lang w:val="en-GB"/>
              </w:rPr>
            </w:pPr>
            <w:r w:rsidRPr="00F6795E">
              <w:rPr>
                <w:rFonts w:ascii="Times New Roman" w:eastAsia="Times New Roman" w:hAnsi="Times New Roman" w:cs="Times New Roman"/>
                <w:lang w:val="en-GB"/>
              </w:rPr>
              <w:t>ATTCACCTCAAACCGTACAACG</w:t>
            </w:r>
          </w:p>
        </w:tc>
      </w:tr>
      <w:tr w:rsidR="0056009F" w:rsidRPr="00A134DF" w14:paraId="3FE8DF71" w14:textId="77777777" w:rsidTr="00EF30E4">
        <w:trPr>
          <w:trHeight w:val="288"/>
        </w:trPr>
        <w:tc>
          <w:tcPr>
            <w:tcW w:w="2335" w:type="dxa"/>
            <w:vAlign w:val="center"/>
          </w:tcPr>
          <w:tbl>
            <w:tblPr>
              <w:tblW w:w="11140" w:type="dxa"/>
              <w:tblLayout w:type="fixed"/>
              <w:tblLook w:val="04A0" w:firstRow="1" w:lastRow="0" w:firstColumn="1" w:lastColumn="0" w:noHBand="0" w:noVBand="1"/>
            </w:tblPr>
            <w:tblGrid>
              <w:gridCol w:w="3720"/>
              <w:gridCol w:w="7420"/>
            </w:tblGrid>
            <w:tr w:rsidR="0056009F" w:rsidRPr="00F6795E" w14:paraId="7D40C0A1" w14:textId="77777777" w:rsidTr="003110C1">
              <w:trPr>
                <w:trHeight w:val="290"/>
              </w:trPr>
              <w:tc>
                <w:tcPr>
                  <w:tcW w:w="3720" w:type="dxa"/>
                  <w:tcBorders>
                    <w:top w:val="nil"/>
                    <w:left w:val="nil"/>
                    <w:bottom w:val="nil"/>
                    <w:right w:val="nil"/>
                  </w:tcBorders>
                  <w:shd w:val="clear" w:color="auto" w:fill="auto"/>
                  <w:noWrap/>
                  <w:vAlign w:val="bottom"/>
                  <w:hideMark/>
                </w:tcPr>
                <w:p w14:paraId="43474442" w14:textId="7C803E64" w:rsidR="0056009F" w:rsidRPr="000A04AA" w:rsidRDefault="0034291B" w:rsidP="003110C1">
                  <w:pPr>
                    <w:spacing w:after="0" w:line="276" w:lineRule="auto"/>
                    <w:rPr>
                      <w:rFonts w:ascii="Times New Roman" w:eastAsia="Times New Roman" w:hAnsi="Times New Roman" w:cs="Times New Roman"/>
                    </w:rPr>
                  </w:pPr>
                  <w:r>
                    <w:rPr>
                      <w:rFonts w:ascii="Times New Roman" w:eastAsia="Times New Roman" w:hAnsi="Times New Roman" w:cs="Times New Roman"/>
                    </w:rPr>
                    <w:t>P</w:t>
                  </w:r>
                  <w:r w:rsidR="0056009F" w:rsidRPr="000A04AA">
                    <w:rPr>
                      <w:rFonts w:ascii="Times New Roman" w:eastAsia="Times New Roman" w:hAnsi="Times New Roman" w:cs="Times New Roman"/>
                    </w:rPr>
                    <w:t>Tn7R</w:t>
                  </w:r>
                </w:p>
              </w:tc>
              <w:tc>
                <w:tcPr>
                  <w:tcW w:w="7420" w:type="dxa"/>
                  <w:tcBorders>
                    <w:top w:val="nil"/>
                    <w:left w:val="nil"/>
                    <w:bottom w:val="nil"/>
                    <w:right w:val="nil"/>
                  </w:tcBorders>
                  <w:shd w:val="clear" w:color="auto" w:fill="auto"/>
                  <w:noWrap/>
                  <w:vAlign w:val="bottom"/>
                  <w:hideMark/>
                </w:tcPr>
                <w:p w14:paraId="20126887" w14:textId="77777777" w:rsidR="0056009F" w:rsidRPr="000A04AA" w:rsidRDefault="0056009F" w:rsidP="003110C1">
                  <w:pPr>
                    <w:spacing w:after="0" w:line="276" w:lineRule="auto"/>
                    <w:rPr>
                      <w:rFonts w:ascii="Times New Roman" w:eastAsia="Times New Roman" w:hAnsi="Times New Roman" w:cs="Times New Roman"/>
                    </w:rPr>
                  </w:pPr>
                  <w:r w:rsidRPr="000A04AA">
                    <w:rPr>
                      <w:rFonts w:ascii="Times New Roman" w:eastAsia="Times New Roman" w:hAnsi="Times New Roman" w:cs="Times New Roman"/>
                    </w:rPr>
                    <w:t>CACAGCATAACTGGACTGATTTC</w:t>
                  </w:r>
                </w:p>
              </w:tc>
            </w:tr>
          </w:tbl>
          <w:p w14:paraId="382AEC88" w14:textId="77777777" w:rsidR="0056009F" w:rsidRPr="00F6795E" w:rsidRDefault="0056009F" w:rsidP="003110C1">
            <w:pPr>
              <w:spacing w:line="276" w:lineRule="auto"/>
              <w:rPr>
                <w:rFonts w:ascii="Times New Roman" w:hAnsi="Times New Roman" w:cs="Times New Roman"/>
                <w:shd w:val="clear" w:color="auto" w:fill="FEFEFF"/>
              </w:rPr>
            </w:pPr>
          </w:p>
        </w:tc>
        <w:tc>
          <w:tcPr>
            <w:tcW w:w="6300" w:type="dxa"/>
            <w:vAlign w:val="center"/>
          </w:tcPr>
          <w:p w14:paraId="61C0E39D" w14:textId="77777777" w:rsidR="0056009F" w:rsidRPr="00F6795E" w:rsidRDefault="0056009F" w:rsidP="003110C1">
            <w:pPr>
              <w:spacing w:line="276" w:lineRule="auto"/>
              <w:rPr>
                <w:rFonts w:ascii="Times New Roman" w:hAnsi="Times New Roman" w:cs="Times New Roman"/>
              </w:rPr>
            </w:pPr>
            <w:r w:rsidRPr="00F6795E">
              <w:rPr>
                <w:rFonts w:ascii="Times New Roman" w:hAnsi="Times New Roman" w:cs="Times New Roman"/>
              </w:rPr>
              <w:t>CACAGCATAACTGGACTGATTTC</w:t>
            </w:r>
          </w:p>
        </w:tc>
      </w:tr>
      <w:tr w:rsidR="0056009F" w:rsidRPr="00A134DF" w14:paraId="148C7E39" w14:textId="77777777" w:rsidTr="00EF30E4">
        <w:trPr>
          <w:trHeight w:val="288"/>
        </w:trPr>
        <w:tc>
          <w:tcPr>
            <w:tcW w:w="2335" w:type="dxa"/>
            <w:vAlign w:val="center"/>
          </w:tcPr>
          <w:p w14:paraId="751708AA" w14:textId="77777777" w:rsidR="0056009F" w:rsidRPr="00F6795E" w:rsidRDefault="0056009F" w:rsidP="003110C1">
            <w:pPr>
              <w:spacing w:line="276" w:lineRule="auto"/>
              <w:rPr>
                <w:rFonts w:ascii="Times New Roman" w:hAnsi="Times New Roman" w:cs="Times New Roman"/>
              </w:rPr>
            </w:pPr>
            <w:proofErr w:type="spellStart"/>
            <w:r>
              <w:rPr>
                <w:rFonts w:ascii="Times New Roman" w:hAnsi="Times New Roman" w:cs="Times New Roman"/>
              </w:rPr>
              <w:t>AmfAB_NcoI_FWD</w:t>
            </w:r>
            <w:proofErr w:type="spellEnd"/>
          </w:p>
        </w:tc>
        <w:tc>
          <w:tcPr>
            <w:tcW w:w="6300" w:type="dxa"/>
            <w:vAlign w:val="center"/>
          </w:tcPr>
          <w:p w14:paraId="0FB45779" w14:textId="77777777" w:rsidR="0056009F" w:rsidRPr="00121D43" w:rsidRDefault="0056009F" w:rsidP="003110C1">
            <w:pPr>
              <w:spacing w:line="276" w:lineRule="auto"/>
              <w:ind w:left="720" w:hanging="720"/>
              <w:rPr>
                <w:rFonts w:ascii="Times New Roman" w:hAnsi="Times New Roman" w:cs="Times New Roman"/>
              </w:rPr>
            </w:pPr>
            <w:r w:rsidRPr="00121D43">
              <w:rPr>
                <w:rFonts w:ascii="Times New Roman" w:hAnsi="Times New Roman" w:cs="Times New Roman"/>
              </w:rPr>
              <w:t>CGCTCCATGGATAACGTAGCTCAGCTAGA</w:t>
            </w:r>
          </w:p>
        </w:tc>
      </w:tr>
      <w:tr w:rsidR="0056009F" w:rsidRPr="00A134DF" w14:paraId="3318CB27" w14:textId="77777777" w:rsidTr="00EF30E4">
        <w:trPr>
          <w:trHeight w:val="288"/>
        </w:trPr>
        <w:tc>
          <w:tcPr>
            <w:tcW w:w="2335" w:type="dxa"/>
            <w:vAlign w:val="center"/>
          </w:tcPr>
          <w:p w14:paraId="6CD30C33" w14:textId="77777777" w:rsidR="0056009F" w:rsidRPr="00F6795E" w:rsidRDefault="0056009F" w:rsidP="003110C1">
            <w:pPr>
              <w:spacing w:line="276" w:lineRule="auto"/>
              <w:rPr>
                <w:rFonts w:ascii="Times New Roman" w:hAnsi="Times New Roman" w:cs="Times New Roman"/>
              </w:rPr>
            </w:pPr>
            <w:proofErr w:type="spellStart"/>
            <w:r>
              <w:rPr>
                <w:rFonts w:ascii="Times New Roman" w:hAnsi="Times New Roman" w:cs="Times New Roman"/>
              </w:rPr>
              <w:t>AmfAB_HindIII_REV</w:t>
            </w:r>
            <w:proofErr w:type="spellEnd"/>
          </w:p>
        </w:tc>
        <w:tc>
          <w:tcPr>
            <w:tcW w:w="6300" w:type="dxa"/>
            <w:vAlign w:val="center"/>
          </w:tcPr>
          <w:p w14:paraId="7787E2E8" w14:textId="77777777" w:rsidR="0056009F" w:rsidRPr="00511F3B" w:rsidRDefault="0056009F" w:rsidP="003110C1">
            <w:pPr>
              <w:spacing w:line="276" w:lineRule="auto"/>
              <w:ind w:left="720" w:hanging="720"/>
              <w:rPr>
                <w:rFonts w:ascii="Times New Roman" w:hAnsi="Times New Roman" w:cs="Times New Roman"/>
              </w:rPr>
            </w:pPr>
            <w:r w:rsidRPr="00511F3B">
              <w:rPr>
                <w:rFonts w:ascii="Times New Roman" w:hAnsi="Times New Roman" w:cs="Times New Roman"/>
              </w:rPr>
              <w:t>CGCAAGCTTCTA</w:t>
            </w:r>
            <w:r w:rsidRPr="00511F3B">
              <w:rPr>
                <w:rStyle w:val="HTMLTypewriter"/>
                <w:rFonts w:ascii="Times New Roman" w:eastAsiaTheme="minorHAnsi" w:hAnsi="Times New Roman" w:cs="Times New Roman"/>
                <w:sz w:val="22"/>
                <w:szCs w:val="22"/>
              </w:rPr>
              <w:t>GTGGTGGTGGTGGTGGTG</w:t>
            </w:r>
            <w:r w:rsidRPr="00511F3B">
              <w:rPr>
                <w:rFonts w:ascii="Times New Roman" w:hAnsi="Times New Roman" w:cs="Times New Roman"/>
              </w:rPr>
              <w:t>CATATTCATTTTCTT</w:t>
            </w:r>
          </w:p>
        </w:tc>
      </w:tr>
      <w:tr w:rsidR="0056009F" w:rsidRPr="00A134DF" w14:paraId="0F0C099A" w14:textId="77777777" w:rsidTr="00EF30E4">
        <w:trPr>
          <w:trHeight w:val="288"/>
        </w:trPr>
        <w:tc>
          <w:tcPr>
            <w:tcW w:w="2335" w:type="dxa"/>
            <w:vAlign w:val="center"/>
          </w:tcPr>
          <w:p w14:paraId="59366E29" w14:textId="77777777" w:rsidR="0056009F" w:rsidRPr="00F6795E" w:rsidRDefault="0056009F" w:rsidP="003110C1">
            <w:pPr>
              <w:spacing w:line="276" w:lineRule="auto"/>
              <w:rPr>
                <w:rFonts w:ascii="Times New Roman" w:hAnsi="Times New Roman" w:cs="Times New Roman"/>
              </w:rPr>
            </w:pPr>
            <w:proofErr w:type="spellStart"/>
            <w:r>
              <w:rPr>
                <w:rFonts w:ascii="Times New Roman" w:hAnsi="Times New Roman" w:cs="Times New Roman"/>
              </w:rPr>
              <w:t>AmfCD_NcoI_FWD</w:t>
            </w:r>
            <w:proofErr w:type="spellEnd"/>
          </w:p>
        </w:tc>
        <w:tc>
          <w:tcPr>
            <w:tcW w:w="6300" w:type="dxa"/>
            <w:vAlign w:val="center"/>
          </w:tcPr>
          <w:p w14:paraId="182CF051" w14:textId="77777777" w:rsidR="0056009F" w:rsidRPr="00511F3B" w:rsidRDefault="0056009F" w:rsidP="003110C1">
            <w:pPr>
              <w:spacing w:line="276" w:lineRule="auto"/>
              <w:ind w:left="720" w:hanging="720"/>
              <w:rPr>
                <w:rFonts w:ascii="Times New Roman" w:hAnsi="Times New Roman" w:cs="Times New Roman"/>
              </w:rPr>
            </w:pPr>
            <w:r w:rsidRPr="00511F3B">
              <w:rPr>
                <w:rFonts w:ascii="Times New Roman" w:hAnsi="Times New Roman" w:cs="Times New Roman"/>
              </w:rPr>
              <w:t>CCTTCCATGGCAAATATACGACCACTCATCGGTTTG</w:t>
            </w:r>
          </w:p>
        </w:tc>
      </w:tr>
      <w:tr w:rsidR="0056009F" w:rsidRPr="00A134DF" w14:paraId="01EE1D6A" w14:textId="77777777" w:rsidTr="00EF30E4">
        <w:trPr>
          <w:trHeight w:val="288"/>
        </w:trPr>
        <w:tc>
          <w:tcPr>
            <w:tcW w:w="2335" w:type="dxa"/>
            <w:vAlign w:val="center"/>
          </w:tcPr>
          <w:p w14:paraId="5BD918EF" w14:textId="77777777" w:rsidR="0056009F" w:rsidRPr="00F6795E" w:rsidRDefault="0056009F" w:rsidP="003110C1">
            <w:pPr>
              <w:spacing w:line="276" w:lineRule="auto"/>
              <w:rPr>
                <w:rFonts w:ascii="Times New Roman" w:hAnsi="Times New Roman" w:cs="Times New Roman"/>
              </w:rPr>
            </w:pPr>
            <w:proofErr w:type="spellStart"/>
            <w:r>
              <w:rPr>
                <w:rFonts w:ascii="Times New Roman" w:hAnsi="Times New Roman" w:cs="Times New Roman"/>
              </w:rPr>
              <w:lastRenderedPageBreak/>
              <w:t>AmfCD_EcoRI_REV</w:t>
            </w:r>
            <w:proofErr w:type="spellEnd"/>
          </w:p>
        </w:tc>
        <w:tc>
          <w:tcPr>
            <w:tcW w:w="6300" w:type="dxa"/>
            <w:vAlign w:val="center"/>
          </w:tcPr>
          <w:p w14:paraId="329E674F" w14:textId="77777777" w:rsidR="0056009F" w:rsidRPr="00511F3B" w:rsidRDefault="0056009F" w:rsidP="003110C1">
            <w:pPr>
              <w:spacing w:line="276" w:lineRule="auto"/>
              <w:ind w:left="720" w:hanging="720"/>
              <w:rPr>
                <w:rFonts w:ascii="Times New Roman" w:hAnsi="Times New Roman" w:cs="Times New Roman"/>
              </w:rPr>
            </w:pPr>
            <w:r w:rsidRPr="00511F3B">
              <w:rPr>
                <w:rFonts w:ascii="Times New Roman" w:hAnsi="Times New Roman" w:cs="Times New Roman"/>
              </w:rPr>
              <w:t>CTTGAATTCTTA</w:t>
            </w:r>
            <w:r w:rsidRPr="00511F3B">
              <w:rPr>
                <w:rStyle w:val="HTMLTypewriter"/>
                <w:rFonts w:ascii="Times New Roman" w:eastAsiaTheme="minorHAnsi" w:hAnsi="Times New Roman" w:cs="Times New Roman"/>
                <w:sz w:val="22"/>
                <w:szCs w:val="22"/>
              </w:rPr>
              <w:t>GTGGTGGTGGTGGTGGTG</w:t>
            </w:r>
            <w:r w:rsidRPr="00511F3B">
              <w:rPr>
                <w:rFonts w:ascii="Times New Roman" w:hAnsi="Times New Roman" w:cs="Times New Roman"/>
              </w:rPr>
              <w:t>TTTGGTCGTATCCACAGAAAC</w:t>
            </w:r>
          </w:p>
        </w:tc>
      </w:tr>
      <w:tr w:rsidR="00511F3B" w:rsidRPr="00A134DF" w14:paraId="5830CA9C" w14:textId="77777777" w:rsidTr="00EF30E4">
        <w:trPr>
          <w:trHeight w:val="288"/>
        </w:trPr>
        <w:tc>
          <w:tcPr>
            <w:tcW w:w="2335" w:type="dxa"/>
            <w:vAlign w:val="center"/>
          </w:tcPr>
          <w:p w14:paraId="7F446D79" w14:textId="7EB68D6E" w:rsidR="00511F3B" w:rsidRDefault="00511F3B" w:rsidP="003110C1">
            <w:pPr>
              <w:spacing w:line="276" w:lineRule="auto"/>
              <w:rPr>
                <w:rFonts w:ascii="Times New Roman" w:hAnsi="Times New Roman" w:cs="Times New Roman"/>
              </w:rPr>
            </w:pPr>
            <w:r>
              <w:rPr>
                <w:rFonts w:ascii="Times New Roman" w:hAnsi="Times New Roman" w:cs="Times New Roman"/>
              </w:rPr>
              <w:t>AdeG I621A FWD</w:t>
            </w:r>
          </w:p>
        </w:tc>
        <w:tc>
          <w:tcPr>
            <w:tcW w:w="6300" w:type="dxa"/>
            <w:vAlign w:val="center"/>
          </w:tcPr>
          <w:p w14:paraId="7F28B83C" w14:textId="16F9D341" w:rsidR="00511F3B" w:rsidRPr="00511F3B" w:rsidRDefault="00511F3B" w:rsidP="00511F3B">
            <w:pPr>
              <w:rPr>
                <w:rFonts w:cstheme="minorHAnsi"/>
              </w:rPr>
            </w:pPr>
            <w:proofErr w:type="spellStart"/>
            <w:r w:rsidRPr="00511F3B">
              <w:rPr>
                <w:rFonts w:cstheme="minorHAnsi"/>
              </w:rPr>
              <w:t>TGGCCTCTCAgcTAATGGTTTCACCAATAG</w:t>
            </w:r>
            <w:proofErr w:type="spellEnd"/>
          </w:p>
        </w:tc>
      </w:tr>
      <w:tr w:rsidR="00511F3B" w:rsidRPr="00A134DF" w14:paraId="5DA33098" w14:textId="77777777" w:rsidTr="00EF30E4">
        <w:trPr>
          <w:trHeight w:val="288"/>
        </w:trPr>
        <w:tc>
          <w:tcPr>
            <w:tcW w:w="2335" w:type="dxa"/>
            <w:vAlign w:val="center"/>
          </w:tcPr>
          <w:p w14:paraId="114834AC" w14:textId="3A89F05C" w:rsidR="00511F3B" w:rsidRDefault="00511F3B" w:rsidP="003110C1">
            <w:pPr>
              <w:spacing w:line="276" w:lineRule="auto"/>
              <w:rPr>
                <w:rFonts w:ascii="Times New Roman" w:hAnsi="Times New Roman" w:cs="Times New Roman"/>
              </w:rPr>
            </w:pPr>
            <w:r>
              <w:rPr>
                <w:rFonts w:ascii="Times New Roman" w:hAnsi="Times New Roman" w:cs="Times New Roman"/>
              </w:rPr>
              <w:t>AdeG I621A REV</w:t>
            </w:r>
          </w:p>
        </w:tc>
        <w:tc>
          <w:tcPr>
            <w:tcW w:w="6300" w:type="dxa"/>
            <w:vAlign w:val="center"/>
          </w:tcPr>
          <w:p w14:paraId="1A1974D1" w14:textId="1DC25730" w:rsidR="00511F3B" w:rsidRPr="00511F3B" w:rsidRDefault="00511F3B" w:rsidP="00511F3B">
            <w:pPr>
              <w:rPr>
                <w:rFonts w:cstheme="minorHAnsi"/>
              </w:rPr>
            </w:pPr>
            <w:r w:rsidRPr="00511F3B">
              <w:rPr>
                <w:rFonts w:cstheme="minorHAnsi"/>
              </w:rPr>
              <w:t>GGGAAGGCAACAGCAC</w:t>
            </w:r>
          </w:p>
        </w:tc>
      </w:tr>
      <w:tr w:rsidR="00511F3B" w:rsidRPr="00A134DF" w14:paraId="512C0461" w14:textId="77777777" w:rsidTr="00EF30E4">
        <w:trPr>
          <w:trHeight w:val="288"/>
        </w:trPr>
        <w:tc>
          <w:tcPr>
            <w:tcW w:w="2335" w:type="dxa"/>
            <w:vAlign w:val="center"/>
          </w:tcPr>
          <w:p w14:paraId="53389614" w14:textId="14D94842" w:rsidR="00511F3B" w:rsidRDefault="00511F3B" w:rsidP="003110C1">
            <w:pPr>
              <w:spacing w:line="276" w:lineRule="auto"/>
              <w:rPr>
                <w:rFonts w:ascii="Times New Roman" w:hAnsi="Times New Roman" w:cs="Times New Roman"/>
              </w:rPr>
            </w:pPr>
            <w:r>
              <w:rPr>
                <w:rFonts w:ascii="Times New Roman" w:hAnsi="Times New Roman" w:cs="Times New Roman"/>
              </w:rPr>
              <w:t>AdeG Q83A FWD</w:t>
            </w:r>
          </w:p>
        </w:tc>
        <w:tc>
          <w:tcPr>
            <w:tcW w:w="6300" w:type="dxa"/>
            <w:vAlign w:val="center"/>
          </w:tcPr>
          <w:p w14:paraId="3CE25036" w14:textId="782C7B6A" w:rsidR="00511F3B" w:rsidRPr="00511F3B" w:rsidRDefault="00511F3B" w:rsidP="00511F3B">
            <w:pPr>
              <w:rPr>
                <w:rFonts w:cstheme="minorHAnsi"/>
              </w:rPr>
            </w:pPr>
            <w:proofErr w:type="spellStart"/>
            <w:r w:rsidRPr="00511F3B">
              <w:rPr>
                <w:rFonts w:cstheme="minorHAnsi"/>
              </w:rPr>
              <w:t>TATGCAATCTgcAGCAAACAGC</w:t>
            </w:r>
            <w:proofErr w:type="spellEnd"/>
          </w:p>
        </w:tc>
      </w:tr>
      <w:tr w:rsidR="00511F3B" w:rsidRPr="00A134DF" w14:paraId="0E456BD3" w14:textId="77777777" w:rsidTr="00EF30E4">
        <w:trPr>
          <w:trHeight w:val="288"/>
        </w:trPr>
        <w:tc>
          <w:tcPr>
            <w:tcW w:w="2335" w:type="dxa"/>
            <w:vAlign w:val="center"/>
          </w:tcPr>
          <w:p w14:paraId="7D3BE2CA" w14:textId="7FA66AFC" w:rsidR="00511F3B" w:rsidRDefault="00511F3B" w:rsidP="003110C1">
            <w:pPr>
              <w:spacing w:line="276" w:lineRule="auto"/>
              <w:rPr>
                <w:rFonts w:ascii="Times New Roman" w:hAnsi="Times New Roman" w:cs="Times New Roman"/>
              </w:rPr>
            </w:pPr>
            <w:r>
              <w:rPr>
                <w:rFonts w:ascii="Times New Roman" w:hAnsi="Times New Roman" w:cs="Times New Roman"/>
              </w:rPr>
              <w:t>AdeG Q83A REV</w:t>
            </w:r>
          </w:p>
        </w:tc>
        <w:tc>
          <w:tcPr>
            <w:tcW w:w="6300" w:type="dxa"/>
            <w:vAlign w:val="center"/>
          </w:tcPr>
          <w:p w14:paraId="7D78619B" w14:textId="3BF930D8" w:rsidR="00511F3B" w:rsidRPr="00511F3B" w:rsidRDefault="00511F3B" w:rsidP="00511F3B">
            <w:pPr>
              <w:rPr>
                <w:rFonts w:cstheme="minorHAnsi"/>
              </w:rPr>
            </w:pPr>
            <w:r w:rsidRPr="00511F3B">
              <w:rPr>
                <w:rFonts w:cstheme="minorHAnsi"/>
              </w:rPr>
              <w:t>TACAGCATGTCTTCGAC</w:t>
            </w:r>
          </w:p>
        </w:tc>
      </w:tr>
    </w:tbl>
    <w:p w14:paraId="5A3427E0" w14:textId="77777777" w:rsidR="0056009F" w:rsidRDefault="0056009F" w:rsidP="00C836F0">
      <w:pPr>
        <w:rPr>
          <w:rFonts w:asciiTheme="majorHAnsi" w:hAnsiTheme="majorHAnsi" w:cstheme="majorHAnsi"/>
          <w:sz w:val="24"/>
          <w:szCs w:val="24"/>
          <w:u w:val="single"/>
        </w:rPr>
      </w:pPr>
    </w:p>
    <w:p w14:paraId="612DADF5" w14:textId="77C5AAD4" w:rsidR="00156CBA" w:rsidRDefault="007D3623"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2.2. </w:t>
      </w:r>
      <w:r w:rsidR="00156CBA" w:rsidRPr="00734E96">
        <w:rPr>
          <w:rFonts w:asciiTheme="majorHAnsi" w:hAnsiTheme="majorHAnsi" w:cstheme="majorHAnsi"/>
          <w:sz w:val="24"/>
          <w:szCs w:val="24"/>
          <w:u w:val="single"/>
        </w:rPr>
        <w:t xml:space="preserve">Strains and </w:t>
      </w:r>
      <w:r>
        <w:rPr>
          <w:rFonts w:asciiTheme="majorHAnsi" w:hAnsiTheme="majorHAnsi" w:cstheme="majorHAnsi"/>
          <w:sz w:val="24"/>
          <w:szCs w:val="24"/>
          <w:u w:val="single"/>
        </w:rPr>
        <w:t>g</w:t>
      </w:r>
      <w:r w:rsidR="00156CBA" w:rsidRPr="00734E96">
        <w:rPr>
          <w:rFonts w:asciiTheme="majorHAnsi" w:hAnsiTheme="majorHAnsi" w:cstheme="majorHAnsi"/>
          <w:sz w:val="24"/>
          <w:szCs w:val="24"/>
          <w:u w:val="single"/>
        </w:rPr>
        <w:t xml:space="preserve">rowth </w:t>
      </w:r>
      <w:r>
        <w:rPr>
          <w:rFonts w:asciiTheme="majorHAnsi" w:hAnsiTheme="majorHAnsi" w:cstheme="majorHAnsi"/>
          <w:sz w:val="24"/>
          <w:szCs w:val="24"/>
          <w:u w:val="single"/>
        </w:rPr>
        <w:t>c</w:t>
      </w:r>
      <w:r w:rsidR="00156CBA" w:rsidRPr="00734E96">
        <w:rPr>
          <w:rFonts w:asciiTheme="majorHAnsi" w:hAnsiTheme="majorHAnsi" w:cstheme="majorHAnsi"/>
          <w:sz w:val="24"/>
          <w:szCs w:val="24"/>
          <w:u w:val="single"/>
        </w:rPr>
        <w:t>onditions</w:t>
      </w:r>
    </w:p>
    <w:p w14:paraId="20B540F4" w14:textId="7C0A2F6F" w:rsidR="00593EE7" w:rsidRPr="00934713" w:rsidRDefault="00593EE7" w:rsidP="005D433D">
      <w:pPr>
        <w:spacing w:line="360" w:lineRule="auto"/>
        <w:rPr>
          <w:rFonts w:ascii="Times New Roman" w:hAnsi="Times New Roman" w:cs="Times New Roman"/>
          <w:sz w:val="24"/>
          <w:szCs w:val="24"/>
        </w:rPr>
      </w:pPr>
      <w:r>
        <w:rPr>
          <w:rFonts w:ascii="Times New Roman" w:hAnsi="Times New Roman" w:cs="Times New Roman"/>
          <w:i/>
          <w:iCs/>
          <w:sz w:val="24"/>
          <w:szCs w:val="24"/>
        </w:rPr>
        <w:t>E. coli</w:t>
      </w:r>
      <w:r w:rsidR="005D433D">
        <w:rPr>
          <w:rFonts w:ascii="Times New Roman" w:hAnsi="Times New Roman" w:cs="Times New Roman"/>
          <w:i/>
          <w:iCs/>
          <w:sz w:val="24"/>
          <w:szCs w:val="24"/>
        </w:rPr>
        <w:t>,</w:t>
      </w:r>
      <w:r>
        <w:rPr>
          <w:rFonts w:ascii="Times New Roman" w:hAnsi="Times New Roman" w:cs="Times New Roman"/>
          <w:sz w:val="24"/>
          <w:szCs w:val="24"/>
        </w:rPr>
        <w:t xml:space="preserve"> </w:t>
      </w:r>
      <w:r w:rsidR="005D433D">
        <w:rPr>
          <w:rFonts w:ascii="Times New Roman" w:hAnsi="Times New Roman" w:cs="Times New Roman"/>
          <w:i/>
          <w:iCs/>
          <w:sz w:val="24"/>
          <w:szCs w:val="24"/>
        </w:rPr>
        <w:t xml:space="preserve">A. baumannii </w:t>
      </w:r>
      <w:r w:rsidR="005D433D">
        <w:rPr>
          <w:rFonts w:ascii="Times New Roman" w:hAnsi="Times New Roman" w:cs="Times New Roman"/>
          <w:sz w:val="24"/>
          <w:szCs w:val="24"/>
        </w:rPr>
        <w:t xml:space="preserve">AB5075, </w:t>
      </w:r>
      <w:r w:rsidR="005D433D">
        <w:rPr>
          <w:rFonts w:ascii="Times New Roman" w:hAnsi="Times New Roman" w:cs="Times New Roman"/>
          <w:i/>
          <w:iCs/>
          <w:sz w:val="24"/>
          <w:szCs w:val="24"/>
        </w:rPr>
        <w:t>A. baumannii</w:t>
      </w:r>
      <w:r w:rsidR="005D433D">
        <w:rPr>
          <w:rFonts w:ascii="Times New Roman" w:hAnsi="Times New Roman" w:cs="Times New Roman"/>
          <w:sz w:val="24"/>
          <w:szCs w:val="24"/>
        </w:rPr>
        <w:t xml:space="preserve">  ATCC 17978 </w:t>
      </w:r>
      <w:r>
        <w:rPr>
          <w:rFonts w:ascii="Times New Roman" w:hAnsi="Times New Roman" w:cs="Times New Roman"/>
          <w:sz w:val="24"/>
          <w:szCs w:val="24"/>
        </w:rPr>
        <w:t xml:space="preserve">cells were grown at 37 °C with shaking in Luria-Bertani (LB) broth (10 g </w:t>
      </w:r>
      <w:proofErr w:type="spellStart"/>
      <w:r>
        <w:rPr>
          <w:rFonts w:ascii="Times New Roman" w:hAnsi="Times New Roman" w:cs="Times New Roman"/>
          <w:sz w:val="24"/>
          <w:szCs w:val="24"/>
        </w:rPr>
        <w:t>Bacto</w:t>
      </w:r>
      <w:proofErr w:type="spellEnd"/>
      <w:r>
        <w:rPr>
          <w:rFonts w:ascii="Times New Roman" w:hAnsi="Times New Roman" w:cs="Times New Roman"/>
          <w:sz w:val="24"/>
          <w:szCs w:val="24"/>
        </w:rPr>
        <w:t xml:space="preserve"> tryptone, 5 g yeast extract, and 5 g NaCl per liter</w:t>
      </w:r>
      <w:r w:rsidR="0067403A">
        <w:rPr>
          <w:rFonts w:ascii="Times New Roman" w:hAnsi="Times New Roman" w:cs="Times New Roman"/>
          <w:sz w:val="24"/>
          <w:szCs w:val="24"/>
        </w:rPr>
        <w:t>; Research Products International, Mt. Prospect, USA</w:t>
      </w:r>
      <w:r>
        <w:rPr>
          <w:rFonts w:ascii="Times New Roman" w:hAnsi="Times New Roman" w:cs="Times New Roman"/>
          <w:sz w:val="24"/>
          <w:szCs w:val="24"/>
        </w:rPr>
        <w:t>).</w:t>
      </w:r>
      <w:r w:rsidR="005D433D">
        <w:rPr>
          <w:rFonts w:ascii="Times New Roman" w:hAnsi="Times New Roman" w:cs="Times New Roman"/>
          <w:sz w:val="24"/>
          <w:szCs w:val="24"/>
        </w:rPr>
        <w:t xml:space="preserve"> </w:t>
      </w:r>
      <w:r w:rsidR="002637E0">
        <w:rPr>
          <w:rFonts w:ascii="Times New Roman" w:hAnsi="Times New Roman" w:cs="Times New Roman"/>
          <w:sz w:val="24"/>
          <w:szCs w:val="24"/>
        </w:rPr>
        <w:t xml:space="preserve"> </w:t>
      </w:r>
      <w:r>
        <w:rPr>
          <w:rFonts w:ascii="Times New Roman" w:hAnsi="Times New Roman" w:cs="Times New Roman"/>
          <w:i/>
          <w:iCs/>
          <w:sz w:val="24"/>
          <w:szCs w:val="24"/>
        </w:rPr>
        <w:t xml:space="preserve">A. baumannii </w:t>
      </w:r>
      <w:r>
        <w:rPr>
          <w:rFonts w:ascii="Times New Roman" w:hAnsi="Times New Roman" w:cs="Times New Roman"/>
          <w:sz w:val="24"/>
          <w:szCs w:val="24"/>
        </w:rPr>
        <w:t xml:space="preserve">AB5075 was isolated from </w:t>
      </w:r>
      <w:r w:rsidR="009D1429">
        <w:rPr>
          <w:rFonts w:ascii="Times New Roman" w:hAnsi="Times New Roman" w:cs="Times New Roman"/>
          <w:sz w:val="24"/>
          <w:szCs w:val="24"/>
        </w:rPr>
        <w:t>a diabetes patient’s osteomyelitis of the tibia.</w:t>
      </w:r>
      <w:r w:rsidR="009D1429">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{"citationID":"bg6vfTZK","properties":{"formattedCitation":"\\super 116\\nosupersub{}","plainCitation":"116","noteIndex":0},"citationItems":[{"id":1691,"uris":["http://zotero.org/users/1918630/items/IDTS8X9Q"],"itemData":{"id":1691,"type":"article-journal","abstract":"Acinetobacter baumannii is recognized as an emerging bacterial pathogen because of traits such as prolonged survival in a desiccated state, effective nosocomial transmission, and an inherent ability to acquire antibiotic resistance genes. A pressing need in the field of A. baumannii research is a suitable model strain that is representative of current clinical isolates, is highly virulent in established animal models, and can be genetically manipulated. To identify a suitable strain, a genetically diverse set of recent U.S. military clinical isolates was assessed. Pulsed-field gel electrophoresis and multiplex PCR determined the genetic diversity of 33 A. baumannii isolates. Subsequently, five representative isolates were tested in murine pulmonary and Galleria mellonella models of infection. Infections with one strain, AB5075, were considerably more severe in both animal models than those with other isolates, as there was a significant decrease in survival rates. AB5075 also caused osteomyelitis in a rat open fracture model, while another isolate did not. Additionally, a Tn5 transposon library was successfully generated in AB5075, and the insertion of exogenous genes into the AB5075 chromosome via Tn7 was completed, suggesting that this isolate may be genetically amenable for research purposes. Finally, proof-of-concept experiments with the antibiotic rifampin showed that this strain can be used in animal models to assess therapies under numerous parameters, including survival rates and lung bacterial burden. We propose that AB5075 can serve as a model strain for A. baumannii pathogenesis due to its relatively recent isolation, multidrug resistance, reproducible virulence in animal models, and genetic tractability.\nIMPORTANCE The incidence of A. baumannii infections has increased over the last decade, and unfortunately, so has antibiotic resistance in this bacterial species. A. baumannii is now responsible for more than 10% of all hospital-acquired infections in the United States and has a &gt;50% mortality rate in patients with sepsis and pneumonia. Most research on the pathogenicity of A. baumannii focused on isolates that are not truly representative of current multidrug-resistant strains isolated from patients. After screening of a panel of isolates in different in vitro and in vivo assays, the strain AB5075 was selected as more suitable for research because of its antibiotic resistance profile and increased virulence in animal models. Moreover, AB5075 is susceptible to tetracycline and hygromycin, which makes it amenable to genetic manipulation. Taken together, these traits make AB5075 a good candidate for use in studying virulence and pathogenicity of this species and testing novel antimicrobials.","container-title":"mBio","DOI":"10.1128/mbio.01076-14","issue":"3","note":"publisher: American Society for Microbiology","page":"10.1128/mbio.01076-14","source":"journals.asm.org (Atypon)","title":"AB5075, a Highly Virulent Isolate of Acinetobacter baumannii, as a Model Strain for the Evaluation of Pathogenesis and Antimicrobial Treatments","volume":"5","author":[{"family":"Jacobs","given":"Anna C."},{"family":"Thompson","given":"Mitchell G."},{"family":"Black","given":"Chad C."},{"family":"Kessler","given":"Jennifer L."},{"family":"Clark","given":"Lily P."},{"family":"McQueary","given":"Christin N."},{"family":"Gancz","given":"Hanan Y."},{"family":"Corey","given":"Brendan W."},{"family":"Moon","given":"Jay K."},{"family":"Si","given":"Yuanzheng"},{"family":"Owen","given":"Matthew T."},{"family":"Hallock","given":"Justin D."},{"family":"Kwak","given":"Yoon I."},{"family":"Summers","given":"Amy"},{"family":"Li","given":"Charles Z."},{"family":"Rasko","given":"David A."},{"family":"Penwell","given":"William F."},{"family":"Honnold","given":"Cary L."},{"family":"Wise","given":"Matthew C."},{"family":"Waterman","given":"Paige E."},{"family":"Lesho","given":"Emil P."},{"family":"Stewart","given":"Rena L."},{"family":"Actis","given":"Luis A."},{"family":"Palys","given":"Thomas J."},{"family":"Craft","given":"David W."},{"family":"Zurawski","given":"Daniel V."}],"issued":{"date-parts":[["2014",5,27]]}}}],"schema":"https://github.com/citation-style-language/schema/raw/master/csl-citation.json"} </w:instrText>
      </w:r>
      <w:r w:rsidR="009D1429">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116</w:t>
      </w:r>
      <w:r w:rsidR="009D1429">
        <w:rPr>
          <w:rFonts w:ascii="Times New Roman" w:hAnsi="Times New Roman" w:cs="Times New Roman"/>
          <w:sz w:val="24"/>
          <w:szCs w:val="24"/>
        </w:rPr>
        <w:fldChar w:fldCharType="end"/>
      </w:r>
    </w:p>
    <w:p w14:paraId="0F829C5C" w14:textId="6F2229BF" w:rsidR="00593EE7" w:rsidRDefault="00593EE7" w:rsidP="00593EE7">
      <w:pPr>
        <w:spacing w:line="360" w:lineRule="auto"/>
        <w:rPr>
          <w:rFonts w:ascii="Times New Roman" w:hAnsi="Times New Roman" w:cs="Times New Roman"/>
          <w:sz w:val="24"/>
          <w:szCs w:val="24"/>
        </w:rPr>
      </w:pPr>
      <w:r>
        <w:rPr>
          <w:rFonts w:ascii="Times New Roman" w:hAnsi="Times New Roman" w:cs="Times New Roman"/>
          <w:sz w:val="24"/>
          <w:szCs w:val="24"/>
        </w:rPr>
        <w:t>When indicated, cultures were in</w:t>
      </w:r>
      <w:r w:rsidR="0067403A">
        <w:rPr>
          <w:rFonts w:ascii="Times New Roman" w:hAnsi="Times New Roman" w:cs="Times New Roman"/>
          <w:sz w:val="24"/>
          <w:szCs w:val="24"/>
        </w:rPr>
        <w:t>cubated</w:t>
      </w:r>
      <w:r>
        <w:rPr>
          <w:rFonts w:ascii="Times New Roman" w:hAnsi="Times New Roman" w:cs="Times New Roman"/>
          <w:sz w:val="24"/>
          <w:szCs w:val="24"/>
        </w:rPr>
        <w:t xml:space="preserve"> with 1% L-arabinose </w:t>
      </w:r>
      <w:r w:rsidR="0067403A">
        <w:rPr>
          <w:rFonts w:ascii="Times New Roman" w:hAnsi="Times New Roman" w:cs="Times New Roman"/>
          <w:sz w:val="24"/>
          <w:szCs w:val="24"/>
        </w:rPr>
        <w:t xml:space="preserve">(Sigma-Aldrich, St. Louis, USA) </w:t>
      </w:r>
      <w:r>
        <w:rPr>
          <w:rFonts w:ascii="Times New Roman" w:hAnsi="Times New Roman" w:cs="Times New Roman"/>
          <w:sz w:val="24"/>
          <w:szCs w:val="24"/>
        </w:rPr>
        <w:t>to induce expression of efflux pump proteins. For selection, ampicillin (100 µg/ml</w:t>
      </w:r>
      <w:r w:rsidR="0067403A">
        <w:rPr>
          <w:rFonts w:ascii="Times New Roman" w:hAnsi="Times New Roman" w:cs="Times New Roman"/>
          <w:sz w:val="24"/>
          <w:szCs w:val="24"/>
        </w:rPr>
        <w:t>; Research Products International, Mt. Prospect, USA</w:t>
      </w:r>
      <w:r>
        <w:rPr>
          <w:rFonts w:ascii="Times New Roman" w:hAnsi="Times New Roman" w:cs="Times New Roman"/>
          <w:sz w:val="24"/>
          <w:szCs w:val="24"/>
        </w:rPr>
        <w:t>), 2,6-Diaminopimelic acid (0.3 mM</w:t>
      </w:r>
      <w:r w:rsidR="00E553F2">
        <w:rPr>
          <w:rFonts w:ascii="Times New Roman" w:hAnsi="Times New Roman" w:cs="Times New Roman"/>
          <w:sz w:val="24"/>
          <w:szCs w:val="24"/>
        </w:rPr>
        <w:t>;</w:t>
      </w:r>
      <w:r w:rsidR="00DC4A58">
        <w:rPr>
          <w:rFonts w:ascii="Times New Roman" w:hAnsi="Times New Roman" w:cs="Times New Roman"/>
          <w:sz w:val="24"/>
          <w:szCs w:val="24"/>
        </w:rPr>
        <w:t xml:space="preserve"> Sigma-Aldrich, St. Louis, USA</w:t>
      </w:r>
      <w:r>
        <w:rPr>
          <w:rFonts w:ascii="Times New Roman" w:hAnsi="Times New Roman" w:cs="Times New Roman"/>
          <w:sz w:val="24"/>
          <w:szCs w:val="24"/>
        </w:rPr>
        <w:t>), gentamicin (30 µg/ml</w:t>
      </w:r>
      <w:r w:rsidR="00E553F2">
        <w:rPr>
          <w:rFonts w:ascii="Times New Roman" w:hAnsi="Times New Roman" w:cs="Times New Roman"/>
          <w:sz w:val="24"/>
          <w:szCs w:val="24"/>
        </w:rPr>
        <w:t>; Sigma-Aldrich, St. Louis, USA</w:t>
      </w:r>
      <w:r>
        <w:rPr>
          <w:rFonts w:ascii="Times New Roman" w:hAnsi="Times New Roman" w:cs="Times New Roman"/>
          <w:sz w:val="24"/>
          <w:szCs w:val="24"/>
        </w:rPr>
        <w:t>), trimethoprim (100 µg/ml</w:t>
      </w:r>
      <w:r w:rsidR="00E553F2">
        <w:rPr>
          <w:rFonts w:ascii="Times New Roman" w:hAnsi="Times New Roman" w:cs="Times New Roman"/>
          <w:sz w:val="24"/>
          <w:szCs w:val="24"/>
        </w:rPr>
        <w:t>; Tokyo Chemical Industry, Portland, OR, USA)</w:t>
      </w:r>
      <w:r>
        <w:rPr>
          <w:rFonts w:ascii="Times New Roman" w:hAnsi="Times New Roman" w:cs="Times New Roman"/>
          <w:sz w:val="24"/>
          <w:szCs w:val="24"/>
        </w:rPr>
        <w:t>, and streptomycin (100 µg/ml</w:t>
      </w:r>
      <w:r w:rsidR="00E553F2">
        <w:rPr>
          <w:rFonts w:ascii="Times New Roman" w:hAnsi="Times New Roman" w:cs="Times New Roman"/>
          <w:sz w:val="24"/>
          <w:szCs w:val="24"/>
        </w:rPr>
        <w:t>; Sigma-Aldrich, St. Louis, USA</w:t>
      </w:r>
      <w:r>
        <w:rPr>
          <w:rFonts w:ascii="Times New Roman" w:hAnsi="Times New Roman" w:cs="Times New Roman"/>
          <w:sz w:val="24"/>
          <w:szCs w:val="24"/>
        </w:rPr>
        <w:t>) were used.</w:t>
      </w:r>
      <w:r w:rsidR="00E553F2">
        <w:rPr>
          <w:rFonts w:ascii="Times New Roman" w:hAnsi="Times New Roman" w:cs="Times New Roman"/>
          <w:sz w:val="24"/>
          <w:szCs w:val="24"/>
        </w:rPr>
        <w:t xml:space="preserve"> </w:t>
      </w:r>
    </w:p>
    <w:p w14:paraId="0FA813BE" w14:textId="0441A89B"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2.3. </w:t>
      </w:r>
      <w:r w:rsidR="00156CBA" w:rsidRPr="00734E96">
        <w:rPr>
          <w:rFonts w:asciiTheme="majorHAnsi" w:hAnsiTheme="majorHAnsi" w:cstheme="majorHAnsi"/>
          <w:sz w:val="24"/>
          <w:szCs w:val="24"/>
          <w:u w:val="single"/>
        </w:rPr>
        <w:t xml:space="preserve">Plasmid </w:t>
      </w:r>
      <w:r>
        <w:rPr>
          <w:rFonts w:asciiTheme="majorHAnsi" w:hAnsiTheme="majorHAnsi" w:cstheme="majorHAnsi"/>
          <w:sz w:val="24"/>
          <w:szCs w:val="24"/>
          <w:u w:val="single"/>
        </w:rPr>
        <w:t>c</w:t>
      </w:r>
      <w:r w:rsidR="00156CBA" w:rsidRPr="00734E96">
        <w:rPr>
          <w:rFonts w:asciiTheme="majorHAnsi" w:hAnsiTheme="majorHAnsi" w:cstheme="majorHAnsi"/>
          <w:sz w:val="24"/>
          <w:szCs w:val="24"/>
          <w:u w:val="single"/>
        </w:rPr>
        <w:t>onstruction</w:t>
      </w:r>
    </w:p>
    <w:p w14:paraId="06248944" w14:textId="2F9C0E8B" w:rsidR="00A254C7" w:rsidRDefault="00593EE7" w:rsidP="00605897">
      <w:pPr>
        <w:spacing w:line="360" w:lineRule="auto"/>
        <w:rPr>
          <w:rFonts w:cstheme="minorHAnsi"/>
          <w:sz w:val="24"/>
          <w:szCs w:val="24"/>
        </w:rPr>
      </w:pPr>
      <w:r w:rsidRPr="00605897">
        <w:rPr>
          <w:rFonts w:cstheme="minorHAnsi"/>
          <w:sz w:val="24"/>
          <w:szCs w:val="24"/>
        </w:rPr>
        <w:t xml:space="preserve">Sequences of all primers can be found in </w:t>
      </w:r>
      <w:r w:rsidR="00B61FD5" w:rsidRPr="00605897">
        <w:rPr>
          <w:rFonts w:cstheme="minorHAnsi"/>
          <w:b/>
          <w:bCs/>
          <w:sz w:val="24"/>
          <w:szCs w:val="24"/>
        </w:rPr>
        <w:t>Table 2.3</w:t>
      </w:r>
      <w:r w:rsidRPr="00605897">
        <w:rPr>
          <w:rFonts w:cstheme="minorHAnsi"/>
          <w:sz w:val="24"/>
          <w:szCs w:val="24"/>
        </w:rPr>
        <w:t>.</w:t>
      </w:r>
      <w:r w:rsidR="009D24F2">
        <w:rPr>
          <w:rFonts w:cstheme="minorHAnsi"/>
          <w:sz w:val="24"/>
          <w:szCs w:val="24"/>
        </w:rPr>
        <w:t xml:space="preserve"> All primers were obtained from </w:t>
      </w:r>
      <w:r w:rsidR="009D24F2">
        <w:rPr>
          <w:rFonts w:ascii="Times New Roman" w:hAnsi="Times New Roman" w:cs="Times New Roman"/>
          <w:sz w:val="24"/>
          <w:szCs w:val="24"/>
        </w:rPr>
        <w:t xml:space="preserve">Sigma-Alrich (St. Louis, USA). </w:t>
      </w:r>
      <w:r w:rsidRPr="00605897">
        <w:rPr>
          <w:rFonts w:cstheme="minorHAnsi"/>
          <w:sz w:val="24"/>
          <w:szCs w:val="24"/>
        </w:rPr>
        <w:t xml:space="preserve"> Plasmid</w:t>
      </w:r>
      <w:r w:rsidR="00721DF5">
        <w:rPr>
          <w:rFonts w:cstheme="minorHAnsi"/>
          <w:sz w:val="24"/>
          <w:szCs w:val="24"/>
        </w:rPr>
        <w:t>s</w:t>
      </w:r>
      <w:r w:rsidRPr="00605897">
        <w:rPr>
          <w:rFonts w:cstheme="minorHAnsi"/>
          <w:sz w:val="24"/>
          <w:szCs w:val="24"/>
        </w:rPr>
        <w:t xml:space="preserve"> for the overexpression of </w:t>
      </w:r>
      <w:proofErr w:type="spellStart"/>
      <w:r w:rsidRPr="00605897">
        <w:rPr>
          <w:rFonts w:cstheme="minorHAnsi"/>
          <w:sz w:val="24"/>
          <w:szCs w:val="24"/>
        </w:rPr>
        <w:t>EmrAB</w:t>
      </w:r>
      <w:proofErr w:type="spellEnd"/>
      <w:r w:rsidRPr="00605897">
        <w:rPr>
          <w:rFonts w:cstheme="minorHAnsi"/>
          <w:sz w:val="24"/>
          <w:szCs w:val="24"/>
        </w:rPr>
        <w:t>-like efflux pumps AB</w:t>
      </w:r>
      <w:r w:rsidR="00B61FD5" w:rsidRPr="00605897">
        <w:rPr>
          <w:rFonts w:cstheme="minorHAnsi"/>
          <w:sz w:val="24"/>
          <w:szCs w:val="24"/>
        </w:rPr>
        <w:t>5075</w:t>
      </w:r>
      <w:r w:rsidRPr="00605897">
        <w:rPr>
          <w:rFonts w:cstheme="minorHAnsi"/>
          <w:sz w:val="24"/>
          <w:szCs w:val="24"/>
        </w:rPr>
        <w:t>1949-1950 and AB</w:t>
      </w:r>
      <w:r w:rsidR="00B61FD5" w:rsidRPr="00605897">
        <w:rPr>
          <w:rFonts w:cstheme="minorHAnsi"/>
          <w:sz w:val="24"/>
          <w:szCs w:val="24"/>
        </w:rPr>
        <w:t>5075</w:t>
      </w:r>
      <w:r w:rsidRPr="00605897">
        <w:rPr>
          <w:rFonts w:cstheme="minorHAnsi"/>
          <w:sz w:val="24"/>
          <w:szCs w:val="24"/>
        </w:rPr>
        <w:t>1930-1931 were constructed using the vector pTJ1</w:t>
      </w:r>
      <w:r w:rsidR="00B61FD5" w:rsidRPr="00605897">
        <w:rPr>
          <w:rFonts w:cstheme="minorHAnsi"/>
          <w:sz w:val="24"/>
          <w:szCs w:val="24"/>
        </w:rPr>
        <w:t>, an L-arabinose inducible overproduction plasmid</w:t>
      </w:r>
      <w:r w:rsidRPr="00605897">
        <w:rPr>
          <w:rFonts w:cstheme="minorHAnsi"/>
          <w:sz w:val="24"/>
          <w:szCs w:val="24"/>
        </w:rPr>
        <w:t xml:space="preserve"> </w:t>
      </w:r>
      <w:r w:rsidR="00B61FD5" w:rsidRPr="00605897">
        <w:rPr>
          <w:rFonts w:cstheme="minorHAnsi"/>
          <w:sz w:val="24"/>
          <w:szCs w:val="24"/>
        </w:rPr>
        <w:t xml:space="preserve">that works well in </w:t>
      </w:r>
      <w:r w:rsidR="00B61FD5" w:rsidRPr="00605897">
        <w:rPr>
          <w:rFonts w:cstheme="minorHAnsi"/>
          <w:i/>
          <w:iCs/>
          <w:sz w:val="24"/>
          <w:szCs w:val="24"/>
        </w:rPr>
        <w:t xml:space="preserve">Acinetobacter </w:t>
      </w:r>
      <w:r w:rsidR="00B61FD5" w:rsidRPr="00605897">
        <w:rPr>
          <w:rFonts w:cstheme="minorHAnsi"/>
          <w:sz w:val="24"/>
          <w:szCs w:val="24"/>
        </w:rPr>
        <w:t xml:space="preserve">(plasmid genotypes can be found in </w:t>
      </w:r>
      <w:r w:rsidR="00B61FD5" w:rsidRPr="00605897">
        <w:rPr>
          <w:rFonts w:cstheme="minorHAnsi"/>
          <w:b/>
          <w:bCs/>
          <w:sz w:val="24"/>
          <w:szCs w:val="24"/>
        </w:rPr>
        <w:t>Table 2.2</w:t>
      </w:r>
      <w:r w:rsidR="00B61FD5" w:rsidRPr="00605897">
        <w:rPr>
          <w:rFonts w:cstheme="minorHAnsi"/>
          <w:sz w:val="24"/>
          <w:szCs w:val="24"/>
        </w:rPr>
        <w:t>). The g</w:t>
      </w:r>
      <w:r w:rsidRPr="00605897">
        <w:rPr>
          <w:rFonts w:cstheme="minorHAnsi"/>
          <w:sz w:val="24"/>
          <w:szCs w:val="24"/>
        </w:rPr>
        <w:t>enes</w:t>
      </w:r>
      <w:r w:rsidR="00B61FD5" w:rsidRPr="00605897">
        <w:rPr>
          <w:rFonts w:cstheme="minorHAnsi"/>
          <w:sz w:val="24"/>
          <w:szCs w:val="24"/>
        </w:rPr>
        <w:t xml:space="preserve"> of interest</w:t>
      </w:r>
      <w:r w:rsidRPr="00605897">
        <w:rPr>
          <w:rFonts w:cstheme="minorHAnsi"/>
          <w:sz w:val="24"/>
          <w:szCs w:val="24"/>
        </w:rPr>
        <w:t xml:space="preserve"> were PCR amplified from </w:t>
      </w:r>
      <w:r w:rsidRPr="00605897">
        <w:rPr>
          <w:rFonts w:cstheme="minorHAnsi"/>
          <w:i/>
          <w:iCs/>
          <w:sz w:val="24"/>
          <w:szCs w:val="24"/>
        </w:rPr>
        <w:t xml:space="preserve">A. baumannii </w:t>
      </w:r>
      <w:r w:rsidRPr="00605897">
        <w:rPr>
          <w:rFonts w:cstheme="minorHAnsi"/>
          <w:sz w:val="24"/>
          <w:szCs w:val="24"/>
        </w:rPr>
        <w:t xml:space="preserve">AB5075 genomic DNA, purified using the </w:t>
      </w:r>
      <w:proofErr w:type="spellStart"/>
      <w:r w:rsidRPr="00605897">
        <w:rPr>
          <w:rFonts w:cstheme="minorHAnsi"/>
          <w:sz w:val="24"/>
          <w:szCs w:val="24"/>
        </w:rPr>
        <w:t>GenElute</w:t>
      </w:r>
      <w:proofErr w:type="spellEnd"/>
      <w:r w:rsidRPr="00605897">
        <w:rPr>
          <w:rFonts w:cstheme="minorHAnsi"/>
          <w:sz w:val="24"/>
          <w:szCs w:val="24"/>
        </w:rPr>
        <w:t xml:space="preserve"> Bacterial Genomic DNA Kit (</w:t>
      </w:r>
      <w:r w:rsidR="009D24F2">
        <w:rPr>
          <w:rFonts w:ascii="Times New Roman" w:hAnsi="Times New Roman" w:cs="Times New Roman"/>
          <w:sz w:val="24"/>
          <w:szCs w:val="24"/>
        </w:rPr>
        <w:t>Sigma-Alrich. St. Louis, USA</w:t>
      </w:r>
      <w:r w:rsidRPr="00605897">
        <w:rPr>
          <w:rFonts w:cstheme="minorHAnsi"/>
          <w:sz w:val="24"/>
          <w:szCs w:val="24"/>
        </w:rPr>
        <w:t xml:space="preserve">), and amplified using the primers </w:t>
      </w:r>
      <w:r w:rsidR="00B61FD5" w:rsidRPr="00605897">
        <w:rPr>
          <w:rFonts w:cstheme="minorHAnsi"/>
          <w:sz w:val="24"/>
          <w:szCs w:val="24"/>
        </w:rPr>
        <w:t>“</w:t>
      </w:r>
      <w:proofErr w:type="spellStart"/>
      <w:r w:rsidR="00B61FD5" w:rsidRPr="00605897">
        <w:rPr>
          <w:rFonts w:cstheme="minorHAnsi"/>
          <w:sz w:val="24"/>
          <w:szCs w:val="24"/>
        </w:rPr>
        <w:t>AmfAB_NcoI_FWD</w:t>
      </w:r>
      <w:proofErr w:type="spellEnd"/>
      <w:r w:rsidR="00B61FD5" w:rsidRPr="00605897">
        <w:rPr>
          <w:rFonts w:cstheme="minorHAnsi"/>
          <w:sz w:val="24"/>
          <w:szCs w:val="24"/>
        </w:rPr>
        <w:t xml:space="preserve">” </w:t>
      </w:r>
      <w:r w:rsidRPr="00605897">
        <w:rPr>
          <w:rFonts w:cstheme="minorHAnsi"/>
          <w:sz w:val="24"/>
          <w:szCs w:val="24"/>
        </w:rPr>
        <w:t>and</w:t>
      </w:r>
      <w:r w:rsidR="00B61FD5" w:rsidRPr="00605897">
        <w:rPr>
          <w:rFonts w:cstheme="minorHAnsi"/>
          <w:sz w:val="24"/>
          <w:szCs w:val="24"/>
        </w:rPr>
        <w:t xml:space="preserve"> “</w:t>
      </w:r>
      <w:proofErr w:type="spellStart"/>
      <w:r w:rsidR="00B61FD5" w:rsidRPr="00605897">
        <w:rPr>
          <w:rFonts w:cstheme="minorHAnsi"/>
          <w:sz w:val="24"/>
          <w:szCs w:val="24"/>
        </w:rPr>
        <w:t>AmfAB_HindIII_REV</w:t>
      </w:r>
      <w:proofErr w:type="spellEnd"/>
      <w:r w:rsidR="00B61FD5" w:rsidRPr="00605897">
        <w:rPr>
          <w:rFonts w:cstheme="minorHAnsi"/>
          <w:sz w:val="24"/>
          <w:szCs w:val="24"/>
        </w:rPr>
        <w:t xml:space="preserve">” for </w:t>
      </w:r>
      <w:proofErr w:type="spellStart"/>
      <w:r w:rsidR="00B61FD5" w:rsidRPr="00605897">
        <w:rPr>
          <w:rFonts w:cstheme="minorHAnsi"/>
          <w:sz w:val="24"/>
          <w:szCs w:val="24"/>
        </w:rPr>
        <w:t>AmfAB</w:t>
      </w:r>
      <w:proofErr w:type="spellEnd"/>
      <w:r w:rsidRPr="00605897">
        <w:rPr>
          <w:rFonts w:cstheme="minorHAnsi"/>
          <w:sz w:val="24"/>
          <w:szCs w:val="24"/>
        </w:rPr>
        <w:t>, or</w:t>
      </w:r>
      <w:r w:rsidR="00B61FD5" w:rsidRPr="00605897">
        <w:rPr>
          <w:rFonts w:cstheme="minorHAnsi"/>
          <w:sz w:val="24"/>
          <w:szCs w:val="24"/>
        </w:rPr>
        <w:t xml:space="preserve"> “</w:t>
      </w:r>
      <w:proofErr w:type="spellStart"/>
      <w:r w:rsidR="00B61FD5" w:rsidRPr="00605897">
        <w:rPr>
          <w:rFonts w:cstheme="minorHAnsi"/>
          <w:sz w:val="24"/>
          <w:szCs w:val="24"/>
        </w:rPr>
        <w:t>AmfCD_NcoI_FWD</w:t>
      </w:r>
      <w:proofErr w:type="spellEnd"/>
      <w:r w:rsidR="00B61FD5" w:rsidRPr="00605897">
        <w:rPr>
          <w:rFonts w:cstheme="minorHAnsi"/>
          <w:sz w:val="24"/>
          <w:szCs w:val="24"/>
        </w:rPr>
        <w:t xml:space="preserve">” </w:t>
      </w:r>
      <w:r w:rsidRPr="00605897">
        <w:rPr>
          <w:rFonts w:cstheme="minorHAnsi"/>
          <w:sz w:val="24"/>
          <w:szCs w:val="24"/>
        </w:rPr>
        <w:t xml:space="preserve">and </w:t>
      </w:r>
      <w:r w:rsidR="00B61FD5" w:rsidRPr="00605897">
        <w:rPr>
          <w:rFonts w:cstheme="minorHAnsi"/>
          <w:sz w:val="24"/>
          <w:szCs w:val="24"/>
        </w:rPr>
        <w:t>“</w:t>
      </w:r>
      <w:proofErr w:type="spellStart"/>
      <w:r w:rsidR="00B61FD5" w:rsidRPr="00605897">
        <w:rPr>
          <w:rFonts w:cstheme="minorHAnsi"/>
          <w:sz w:val="24"/>
          <w:szCs w:val="24"/>
        </w:rPr>
        <w:t>AmfCD_EcoRI_REV</w:t>
      </w:r>
      <w:proofErr w:type="spellEnd"/>
      <w:r w:rsidR="00B61FD5" w:rsidRPr="00605897">
        <w:rPr>
          <w:rFonts w:cstheme="minorHAnsi"/>
          <w:sz w:val="24"/>
          <w:szCs w:val="24"/>
        </w:rPr>
        <w:t xml:space="preserve">” for </w:t>
      </w:r>
      <w:proofErr w:type="spellStart"/>
      <w:r w:rsidR="00B61FD5" w:rsidRPr="00605897">
        <w:rPr>
          <w:rFonts w:cstheme="minorHAnsi"/>
          <w:sz w:val="24"/>
          <w:szCs w:val="24"/>
        </w:rPr>
        <w:t>AmfCD</w:t>
      </w:r>
      <w:proofErr w:type="spellEnd"/>
      <w:r w:rsidRPr="00605897">
        <w:rPr>
          <w:rFonts w:cstheme="minorHAnsi"/>
          <w:sz w:val="24"/>
          <w:szCs w:val="24"/>
        </w:rPr>
        <w:t>.</w:t>
      </w:r>
      <w:r w:rsidR="00A254C7">
        <w:rPr>
          <w:rFonts w:cstheme="minorHAnsi"/>
          <w:sz w:val="24"/>
          <w:szCs w:val="24"/>
        </w:rPr>
        <w:t xml:space="preserve"> Amplification condition was performed in a 50 ml reaction volume and consisting of 10 µl GC buffer, 2.5 µl forward primer, 2.5 µl reverse primer, 1 µl 10 mM dNTPs, 0.5 µl template DNA, 31.5 µl nuclease free water, 1.5 µl DMSO, and 0.5 µl Phusion DNA polymerase (New England Biolabs, Ipswich, USA). The mixture was amplified by </w:t>
      </w:r>
      <w:r w:rsidR="00DC4A58">
        <w:rPr>
          <w:rFonts w:cstheme="minorHAnsi"/>
          <w:sz w:val="24"/>
          <w:szCs w:val="24"/>
        </w:rPr>
        <w:t xml:space="preserve">an Eppendorf (Hamburg, </w:t>
      </w:r>
      <w:r w:rsidR="00DC4A58">
        <w:rPr>
          <w:rFonts w:cstheme="minorHAnsi"/>
          <w:sz w:val="24"/>
          <w:szCs w:val="24"/>
        </w:rPr>
        <w:lastRenderedPageBreak/>
        <w:t xml:space="preserve">Germany) </w:t>
      </w:r>
      <w:proofErr w:type="spellStart"/>
      <w:r w:rsidR="00DC4A58">
        <w:rPr>
          <w:rFonts w:cstheme="minorHAnsi"/>
          <w:sz w:val="24"/>
          <w:szCs w:val="24"/>
        </w:rPr>
        <w:t>Mastercycler</w:t>
      </w:r>
      <w:proofErr w:type="spellEnd"/>
      <w:r w:rsidR="00DC4A58">
        <w:rPr>
          <w:rFonts w:cstheme="minorHAnsi"/>
          <w:sz w:val="24"/>
          <w:szCs w:val="24"/>
        </w:rPr>
        <w:t xml:space="preserve"> nexus gradient thermocycler</w:t>
      </w:r>
      <w:r w:rsidR="00BF2AC7">
        <w:rPr>
          <w:rFonts w:cstheme="minorHAnsi"/>
          <w:sz w:val="24"/>
          <w:szCs w:val="24"/>
        </w:rPr>
        <w:t xml:space="preserve">. The thermocycler was programed for an initial denaturation at 98 °C for 30 seconds, followed by 25 cycles of denaturation at 98 °C for 30 seconds, annealing at 72 °C for 30 seconds, extension at 72 °C for 80 seconds, and a final extension at 72 °C for 10 minutes. The PCR products were examined by electrophoresis at </w:t>
      </w:r>
      <w:r w:rsidR="0010112A">
        <w:rPr>
          <w:rFonts w:cstheme="minorHAnsi"/>
          <w:sz w:val="24"/>
          <w:szCs w:val="24"/>
        </w:rPr>
        <w:t>160</w:t>
      </w:r>
      <w:r w:rsidR="00BF2AC7">
        <w:rPr>
          <w:rFonts w:cstheme="minorHAnsi"/>
          <w:sz w:val="24"/>
          <w:szCs w:val="24"/>
        </w:rPr>
        <w:t xml:space="preserve"> V for </w:t>
      </w:r>
      <w:r w:rsidR="0010112A">
        <w:rPr>
          <w:rFonts w:cstheme="minorHAnsi"/>
          <w:sz w:val="24"/>
          <w:szCs w:val="24"/>
        </w:rPr>
        <w:t>25</w:t>
      </w:r>
      <w:r w:rsidR="00BF2AC7">
        <w:rPr>
          <w:rFonts w:cstheme="minorHAnsi"/>
          <w:sz w:val="24"/>
          <w:szCs w:val="24"/>
        </w:rPr>
        <w:t xml:space="preserve"> minutes in a 1% (w/v) agarose gel containing </w:t>
      </w:r>
      <w:r w:rsidR="00DC4A58">
        <w:rPr>
          <w:rFonts w:cstheme="minorHAnsi"/>
          <w:sz w:val="24"/>
          <w:szCs w:val="24"/>
        </w:rPr>
        <w:t>0.001 mg/ml</w:t>
      </w:r>
      <w:r w:rsidR="00BF2AC7">
        <w:rPr>
          <w:rFonts w:cstheme="minorHAnsi"/>
          <w:sz w:val="24"/>
          <w:szCs w:val="24"/>
        </w:rPr>
        <w:t xml:space="preserve"> of ethidium bromide </w:t>
      </w:r>
      <w:r w:rsidR="00DC4A58">
        <w:rPr>
          <w:rFonts w:cstheme="minorHAnsi"/>
          <w:sz w:val="24"/>
          <w:szCs w:val="24"/>
        </w:rPr>
        <w:t>(Sigma-Aldrich, St. Louis, USA)</w:t>
      </w:r>
      <w:r w:rsidR="00BF2AC7">
        <w:rPr>
          <w:rFonts w:cstheme="minorHAnsi"/>
          <w:sz w:val="24"/>
          <w:szCs w:val="24"/>
        </w:rPr>
        <w:t xml:space="preserve"> in 1X TAE buffer </w:t>
      </w:r>
      <w:r w:rsidR="00DC4A58">
        <w:rPr>
          <w:rFonts w:cstheme="minorHAnsi"/>
          <w:sz w:val="24"/>
          <w:szCs w:val="24"/>
        </w:rPr>
        <w:t>(4.84 g Tris, 1.14 mL acetic acid, 0.74g Na</w:t>
      </w:r>
      <w:r w:rsidR="00DC4A58">
        <w:rPr>
          <w:rFonts w:cstheme="minorHAnsi"/>
          <w:sz w:val="24"/>
          <w:szCs w:val="24"/>
          <w:vertAlign w:val="subscript"/>
        </w:rPr>
        <w:t>2</w:t>
      </w:r>
      <w:r w:rsidR="00DC4A58">
        <w:rPr>
          <w:rFonts w:cstheme="minorHAnsi"/>
          <w:sz w:val="24"/>
          <w:szCs w:val="24"/>
        </w:rPr>
        <w:t>EDTAx2H</w:t>
      </w:r>
      <w:r w:rsidR="00DC4A58">
        <w:rPr>
          <w:rFonts w:cstheme="minorHAnsi"/>
          <w:sz w:val="24"/>
          <w:szCs w:val="24"/>
          <w:vertAlign w:val="subscript"/>
        </w:rPr>
        <w:t>2</w:t>
      </w:r>
      <w:r w:rsidR="00DC4A58">
        <w:rPr>
          <w:rFonts w:cstheme="minorHAnsi"/>
          <w:sz w:val="24"/>
          <w:szCs w:val="24"/>
        </w:rPr>
        <w:t>O)</w:t>
      </w:r>
      <w:r w:rsidR="00BF2AC7">
        <w:rPr>
          <w:rFonts w:cstheme="minorHAnsi"/>
          <w:sz w:val="24"/>
          <w:szCs w:val="24"/>
        </w:rPr>
        <w:t xml:space="preserve">. The marker </w:t>
      </w:r>
      <w:r w:rsidR="00974ADC">
        <w:rPr>
          <w:rFonts w:cstheme="minorHAnsi"/>
          <w:sz w:val="24"/>
          <w:szCs w:val="24"/>
        </w:rPr>
        <w:t xml:space="preserve">1 </w:t>
      </w:r>
      <w:proofErr w:type="spellStart"/>
      <w:r w:rsidR="00974ADC">
        <w:rPr>
          <w:rFonts w:cstheme="minorHAnsi"/>
          <w:sz w:val="24"/>
          <w:szCs w:val="24"/>
        </w:rPr>
        <w:t>Kb</w:t>
      </w:r>
      <w:proofErr w:type="spellEnd"/>
      <w:r w:rsidR="00974ADC">
        <w:rPr>
          <w:rFonts w:cstheme="minorHAnsi"/>
          <w:sz w:val="24"/>
          <w:szCs w:val="24"/>
        </w:rPr>
        <w:t xml:space="preserve"> Plus DNA Ladder (Invitrogen, Carlsbad, USA)</w:t>
      </w:r>
      <w:r w:rsidR="00BF2AC7">
        <w:rPr>
          <w:rFonts w:cstheme="minorHAnsi"/>
          <w:sz w:val="24"/>
          <w:szCs w:val="24"/>
        </w:rPr>
        <w:t xml:space="preserve"> was used as a reference ladder. The electrophoresis gel was visualized in UV light. </w:t>
      </w:r>
    </w:p>
    <w:p w14:paraId="3E2E2284" w14:textId="2954227E" w:rsidR="00593EE7" w:rsidRPr="00605897" w:rsidRDefault="00593EE7" w:rsidP="00605897">
      <w:pPr>
        <w:spacing w:line="360" w:lineRule="auto"/>
        <w:rPr>
          <w:rFonts w:cstheme="minorHAnsi"/>
          <w:sz w:val="24"/>
          <w:szCs w:val="24"/>
        </w:rPr>
      </w:pPr>
      <w:r w:rsidRPr="00605897">
        <w:rPr>
          <w:rFonts w:cstheme="minorHAnsi"/>
          <w:sz w:val="24"/>
          <w:szCs w:val="24"/>
        </w:rPr>
        <w:t xml:space="preserve">PCR amplified fragments and the vector pTJ1 were digested with </w:t>
      </w:r>
      <w:proofErr w:type="spellStart"/>
      <w:r w:rsidRPr="00605897">
        <w:rPr>
          <w:rFonts w:cstheme="minorHAnsi"/>
          <w:sz w:val="24"/>
          <w:szCs w:val="24"/>
        </w:rPr>
        <w:t>NcoI</w:t>
      </w:r>
      <w:proofErr w:type="spellEnd"/>
      <w:r w:rsidR="008A2706" w:rsidRPr="00605897">
        <w:rPr>
          <w:rFonts w:cstheme="minorHAnsi"/>
          <w:sz w:val="24"/>
          <w:szCs w:val="24"/>
        </w:rPr>
        <w:t>-</w:t>
      </w:r>
      <w:r w:rsidRPr="00605897">
        <w:rPr>
          <w:rFonts w:cstheme="minorHAnsi"/>
          <w:sz w:val="24"/>
          <w:szCs w:val="24"/>
        </w:rPr>
        <w:t xml:space="preserve">HF and </w:t>
      </w:r>
      <w:proofErr w:type="spellStart"/>
      <w:r w:rsidRPr="00605897">
        <w:rPr>
          <w:rFonts w:cstheme="minorHAnsi"/>
          <w:sz w:val="24"/>
          <w:szCs w:val="24"/>
        </w:rPr>
        <w:t>HindIII</w:t>
      </w:r>
      <w:proofErr w:type="spellEnd"/>
      <w:r w:rsidRPr="00605897">
        <w:rPr>
          <w:rFonts w:cstheme="minorHAnsi"/>
          <w:sz w:val="24"/>
          <w:szCs w:val="24"/>
        </w:rPr>
        <w:t xml:space="preserve">-HF for AB1949-1950, or </w:t>
      </w:r>
      <w:proofErr w:type="spellStart"/>
      <w:r w:rsidRPr="00605897">
        <w:rPr>
          <w:rFonts w:cstheme="minorHAnsi"/>
          <w:sz w:val="24"/>
          <w:szCs w:val="24"/>
        </w:rPr>
        <w:t>NcoI</w:t>
      </w:r>
      <w:proofErr w:type="spellEnd"/>
      <w:r w:rsidRPr="00605897">
        <w:rPr>
          <w:rFonts w:cstheme="minorHAnsi"/>
          <w:sz w:val="24"/>
          <w:szCs w:val="24"/>
        </w:rPr>
        <w:t xml:space="preserve">-HF and </w:t>
      </w:r>
      <w:proofErr w:type="spellStart"/>
      <w:r w:rsidRPr="00605897">
        <w:rPr>
          <w:rFonts w:cstheme="minorHAnsi"/>
          <w:sz w:val="24"/>
          <w:szCs w:val="24"/>
        </w:rPr>
        <w:t>EcoRI</w:t>
      </w:r>
      <w:proofErr w:type="spellEnd"/>
      <w:r w:rsidRPr="00605897">
        <w:rPr>
          <w:rFonts w:cstheme="minorHAnsi"/>
          <w:sz w:val="24"/>
          <w:szCs w:val="24"/>
        </w:rPr>
        <w:t>-HF for AB1930-1931 using the reaction conditions recommended by the manufacturer of the restriction enzymes (N</w:t>
      </w:r>
      <w:r w:rsidR="009D24F2">
        <w:rPr>
          <w:rFonts w:cstheme="minorHAnsi"/>
          <w:sz w:val="24"/>
          <w:szCs w:val="24"/>
        </w:rPr>
        <w:t>ew England Bio</w:t>
      </w:r>
      <w:r w:rsidR="00721DF5">
        <w:rPr>
          <w:rFonts w:cstheme="minorHAnsi"/>
          <w:sz w:val="24"/>
          <w:szCs w:val="24"/>
        </w:rPr>
        <w:t>l</w:t>
      </w:r>
      <w:r w:rsidR="009D24F2">
        <w:rPr>
          <w:rFonts w:cstheme="minorHAnsi"/>
          <w:sz w:val="24"/>
          <w:szCs w:val="24"/>
        </w:rPr>
        <w:t>abs, Ipswich, USA</w:t>
      </w:r>
      <w:r w:rsidRPr="00605897">
        <w:rPr>
          <w:rFonts w:cstheme="minorHAnsi"/>
          <w:sz w:val="24"/>
          <w:szCs w:val="24"/>
        </w:rPr>
        <w:t xml:space="preserve">). The digested gene </w:t>
      </w:r>
      <w:proofErr w:type="gramStart"/>
      <w:r w:rsidRPr="00605897">
        <w:rPr>
          <w:rFonts w:cstheme="minorHAnsi"/>
          <w:sz w:val="24"/>
          <w:szCs w:val="24"/>
        </w:rPr>
        <w:t>insert</w:t>
      </w:r>
      <w:proofErr w:type="gramEnd"/>
      <w:r w:rsidRPr="00605897">
        <w:rPr>
          <w:rFonts w:cstheme="minorHAnsi"/>
          <w:sz w:val="24"/>
          <w:szCs w:val="24"/>
        </w:rPr>
        <w:t xml:space="preserve"> and vector were ligated together using T4-Ligase</w:t>
      </w:r>
      <w:r w:rsidR="00621811">
        <w:rPr>
          <w:rFonts w:cstheme="minorHAnsi"/>
          <w:sz w:val="24"/>
          <w:szCs w:val="24"/>
        </w:rPr>
        <w:t xml:space="preserve"> (Invitrogen</w:t>
      </w:r>
      <w:r w:rsidR="009D24F2">
        <w:rPr>
          <w:rFonts w:cstheme="minorHAnsi"/>
          <w:sz w:val="24"/>
          <w:szCs w:val="24"/>
        </w:rPr>
        <w:t>, Carlsbad, USA</w:t>
      </w:r>
      <w:r w:rsidR="00621811">
        <w:rPr>
          <w:rFonts w:cstheme="minorHAnsi"/>
          <w:sz w:val="24"/>
          <w:szCs w:val="24"/>
        </w:rPr>
        <w:t>)</w:t>
      </w:r>
      <w:r w:rsidRPr="00605897">
        <w:rPr>
          <w:rFonts w:cstheme="minorHAnsi"/>
          <w:sz w:val="24"/>
          <w:szCs w:val="24"/>
        </w:rPr>
        <w:t xml:space="preserve"> according to </w:t>
      </w:r>
      <w:r w:rsidR="00621811">
        <w:rPr>
          <w:rFonts w:cstheme="minorHAnsi"/>
          <w:sz w:val="24"/>
          <w:szCs w:val="24"/>
        </w:rPr>
        <w:t xml:space="preserve">the manufacturer’s </w:t>
      </w:r>
      <w:r w:rsidRPr="00605897">
        <w:rPr>
          <w:rFonts w:cstheme="minorHAnsi"/>
          <w:sz w:val="24"/>
          <w:szCs w:val="24"/>
        </w:rPr>
        <w:t xml:space="preserve">recommended protocol. The constructs were confirmed by restriction analysis and DNA sequencing (as described below). Constructed plasmids pTJ1_AB1949-1950 or pTJ1_AB1930-1931 were electroporated into </w:t>
      </w:r>
      <w:r w:rsidRPr="00605897">
        <w:rPr>
          <w:rFonts w:cstheme="minorHAnsi"/>
          <w:i/>
          <w:iCs/>
          <w:sz w:val="24"/>
          <w:szCs w:val="24"/>
        </w:rPr>
        <w:t>A. baumannii</w:t>
      </w:r>
      <w:r w:rsidRPr="00605897">
        <w:rPr>
          <w:rFonts w:cstheme="minorHAnsi"/>
          <w:sz w:val="24"/>
          <w:szCs w:val="24"/>
        </w:rPr>
        <w:t xml:space="preserve"> strains ATCC 17978</w:t>
      </w:r>
      <w:r w:rsidR="00265E3A" w:rsidRPr="00605897">
        <w:rPr>
          <w:rFonts w:cstheme="minorHAnsi"/>
          <w:sz w:val="24"/>
          <w:szCs w:val="24"/>
        </w:rPr>
        <w:t xml:space="preserve"> and its derivatives</w:t>
      </w:r>
      <w:r w:rsidRPr="00605897">
        <w:rPr>
          <w:rFonts w:cstheme="minorHAnsi"/>
          <w:sz w:val="24"/>
          <w:szCs w:val="24"/>
        </w:rPr>
        <w:t>.</w:t>
      </w:r>
    </w:p>
    <w:p w14:paraId="4365ADC9" w14:textId="120F66F9"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2.4. </w:t>
      </w:r>
      <w:r w:rsidR="00156CBA" w:rsidRPr="00734E96">
        <w:rPr>
          <w:rFonts w:asciiTheme="majorHAnsi" w:hAnsiTheme="majorHAnsi" w:cstheme="majorHAnsi"/>
          <w:sz w:val="24"/>
          <w:szCs w:val="24"/>
          <w:u w:val="single"/>
        </w:rPr>
        <w:t xml:space="preserve">Chromosomal DNA </w:t>
      </w:r>
      <w:r>
        <w:rPr>
          <w:rFonts w:asciiTheme="majorHAnsi" w:hAnsiTheme="majorHAnsi" w:cstheme="majorHAnsi"/>
          <w:sz w:val="24"/>
          <w:szCs w:val="24"/>
          <w:u w:val="single"/>
        </w:rPr>
        <w:t>i</w:t>
      </w:r>
      <w:r w:rsidR="00156CBA" w:rsidRPr="00734E96">
        <w:rPr>
          <w:rFonts w:asciiTheme="majorHAnsi" w:hAnsiTheme="majorHAnsi" w:cstheme="majorHAnsi"/>
          <w:sz w:val="24"/>
          <w:szCs w:val="24"/>
          <w:u w:val="single"/>
        </w:rPr>
        <w:t>nsertion</w:t>
      </w:r>
    </w:p>
    <w:p w14:paraId="7B719688" w14:textId="2FB2C832" w:rsidR="00593EE7" w:rsidRPr="00605897" w:rsidRDefault="00593EE7" w:rsidP="00605897">
      <w:pPr>
        <w:spacing w:line="360" w:lineRule="auto"/>
        <w:rPr>
          <w:rFonts w:cstheme="minorHAnsi"/>
          <w:sz w:val="24"/>
          <w:szCs w:val="24"/>
        </w:rPr>
      </w:pPr>
      <w:r w:rsidRPr="00605897">
        <w:rPr>
          <w:rFonts w:cstheme="minorHAnsi"/>
          <w:sz w:val="24"/>
          <w:szCs w:val="24"/>
        </w:rPr>
        <w:t>Insertion of the efflux pump operons was carried out using previously described methods</w:t>
      </w:r>
      <w:r w:rsidR="00FB22F4" w:rsidRPr="00605897">
        <w:rPr>
          <w:rFonts w:cstheme="minorHAnsi"/>
          <w:sz w:val="24"/>
          <w:szCs w:val="24"/>
        </w:rPr>
        <w:t xml:space="preserve">. </w:t>
      </w:r>
      <w:r w:rsidR="00FB22F4" w:rsidRPr="00605897">
        <w:rPr>
          <w:rFonts w:cstheme="minorHAnsi"/>
          <w:sz w:val="24"/>
          <w:szCs w:val="24"/>
        </w:rPr>
        <w:fldChar w:fldCharType="begin"/>
      </w:r>
      <w:r w:rsidR="00176906">
        <w:rPr>
          <w:rFonts w:cstheme="minorHAnsi"/>
          <w:sz w:val="24"/>
          <w:szCs w:val="24"/>
        </w:rPr>
        <w:instrText xml:space="preserve"> ADDIN ZOTERO_ITEM CSL_CITATION {"citationID":"9csQcn22","properties":{"formattedCitation":"\\super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I."}],"accessed":{"date-parts":[["2018",2,7]]},"issued":{"date-parts":[["2017",10,31]]}},"label":"page"}],"schema":"https://github.com/citation-style-language/schema/raw/master/csl-citation.json"} </w:instrText>
      </w:r>
      <w:r w:rsidR="00FB22F4" w:rsidRPr="00605897">
        <w:rPr>
          <w:rFonts w:cstheme="minorHAnsi"/>
          <w:sz w:val="24"/>
          <w:szCs w:val="24"/>
        </w:rPr>
        <w:fldChar w:fldCharType="separate"/>
      </w:r>
      <w:r w:rsidR="00176906" w:rsidRPr="00176906">
        <w:rPr>
          <w:rFonts w:ascii="Times New Roman" w:hAnsi="Times New Roman" w:cs="Times New Roman"/>
          <w:sz w:val="24"/>
          <w:szCs w:val="24"/>
          <w:vertAlign w:val="superscript"/>
        </w:rPr>
        <w:t>20</w:t>
      </w:r>
      <w:r w:rsidR="00FB22F4" w:rsidRPr="00605897">
        <w:rPr>
          <w:rFonts w:cstheme="minorHAnsi"/>
          <w:sz w:val="24"/>
          <w:szCs w:val="24"/>
        </w:rPr>
        <w:fldChar w:fldCharType="end"/>
      </w:r>
      <w:r w:rsidR="00FB22F4" w:rsidRPr="00605897">
        <w:rPr>
          <w:rFonts w:cstheme="minorHAnsi"/>
          <w:sz w:val="24"/>
          <w:szCs w:val="24"/>
        </w:rPr>
        <w:t xml:space="preserve"> </w:t>
      </w:r>
      <w:r w:rsidRPr="00605897">
        <w:rPr>
          <w:rFonts w:cstheme="minorHAnsi"/>
          <w:sz w:val="24"/>
          <w:szCs w:val="24"/>
        </w:rPr>
        <w:t xml:space="preserve">Overexpression vectors pTJ1_AB1949-1950 or pTJ1_AB1930-1931 and helper plasmid pTNS3 were electroporated into </w:t>
      </w:r>
      <w:r w:rsidRPr="00605897">
        <w:rPr>
          <w:rFonts w:cstheme="minorHAnsi"/>
          <w:i/>
          <w:iCs/>
          <w:sz w:val="24"/>
          <w:szCs w:val="24"/>
        </w:rPr>
        <w:t xml:space="preserve">A. baumannii </w:t>
      </w:r>
      <w:r w:rsidRPr="00605897">
        <w:rPr>
          <w:rFonts w:cstheme="minorHAnsi"/>
          <w:sz w:val="24"/>
          <w:szCs w:val="24"/>
        </w:rPr>
        <w:t xml:space="preserve">strains </w:t>
      </w:r>
      <w:r w:rsidR="00C91156" w:rsidRPr="00605897">
        <w:rPr>
          <w:rFonts w:cstheme="minorHAnsi"/>
          <w:sz w:val="24"/>
          <w:szCs w:val="24"/>
        </w:rPr>
        <w:t xml:space="preserve">JWW30 </w:t>
      </w:r>
      <w:r w:rsidRPr="00605897">
        <w:rPr>
          <w:rFonts w:cstheme="minorHAnsi"/>
          <w:sz w:val="24"/>
          <w:szCs w:val="24"/>
        </w:rPr>
        <w:t xml:space="preserve"> (</w:t>
      </w:r>
      <w:proofErr w:type="spellStart"/>
      <w:r w:rsidR="00C91156" w:rsidRPr="00605897">
        <w:rPr>
          <w:rFonts w:cstheme="minorHAnsi"/>
          <w:sz w:val="24"/>
          <w:szCs w:val="24"/>
        </w:rPr>
        <w:t>AbWT</w:t>
      </w:r>
      <w:proofErr w:type="spellEnd"/>
      <w:r w:rsidR="00C91156" w:rsidRPr="00605897">
        <w:rPr>
          <w:rFonts w:cstheme="minorHAnsi"/>
          <w:sz w:val="24"/>
          <w:szCs w:val="24"/>
        </w:rPr>
        <w:t>), AbΔ2, Ab</w:t>
      </w:r>
      <w:r w:rsidRPr="00605897">
        <w:rPr>
          <w:rFonts w:cstheme="minorHAnsi"/>
          <w:sz w:val="24"/>
          <w:szCs w:val="24"/>
        </w:rPr>
        <w:t>Δ3</w:t>
      </w:r>
      <w:r w:rsidR="00C91156" w:rsidRPr="00605897">
        <w:rPr>
          <w:rFonts w:cstheme="minorHAnsi"/>
          <w:sz w:val="24"/>
          <w:szCs w:val="24"/>
        </w:rPr>
        <w:t>, and AbΔ5</w:t>
      </w:r>
      <w:r w:rsidR="0034291B" w:rsidRPr="00605897">
        <w:rPr>
          <w:rFonts w:cstheme="minorHAnsi"/>
          <w:sz w:val="24"/>
          <w:szCs w:val="24"/>
        </w:rPr>
        <w:t>,</w:t>
      </w:r>
      <w:r w:rsidRPr="00605897">
        <w:rPr>
          <w:rFonts w:cstheme="minorHAnsi"/>
          <w:sz w:val="24"/>
          <w:szCs w:val="24"/>
        </w:rPr>
        <w:t xml:space="preserve"> and</w:t>
      </w:r>
      <w:r w:rsidR="0034291B" w:rsidRPr="00605897">
        <w:rPr>
          <w:rFonts w:cstheme="minorHAnsi"/>
          <w:sz w:val="24"/>
          <w:szCs w:val="24"/>
        </w:rPr>
        <w:t xml:space="preserve"> then</w:t>
      </w:r>
      <w:r w:rsidRPr="00605897">
        <w:rPr>
          <w:rFonts w:cstheme="minorHAnsi"/>
          <w:sz w:val="24"/>
          <w:szCs w:val="24"/>
        </w:rPr>
        <w:t xml:space="preserve"> plated onto LB agar plates supplemented with 100 µg/ml trimethoprim. Colonies were picked individually, and insertion was confirmed by PCR using 2 sets of primers: Set A as </w:t>
      </w:r>
      <w:r w:rsidR="0034291B" w:rsidRPr="00605897">
        <w:rPr>
          <w:rFonts w:cstheme="minorHAnsi"/>
          <w:sz w:val="24"/>
          <w:szCs w:val="24"/>
        </w:rPr>
        <w:t>“</w:t>
      </w:r>
      <w:r w:rsidR="0034291B" w:rsidRPr="00605897">
        <w:rPr>
          <w:rFonts w:cstheme="minorHAnsi"/>
          <w:sz w:val="24"/>
          <w:szCs w:val="24"/>
          <w:shd w:val="clear" w:color="auto" w:fill="FEFEFF"/>
        </w:rPr>
        <w:t xml:space="preserve">Ab (17978) </w:t>
      </w:r>
      <w:proofErr w:type="spellStart"/>
      <w:r w:rsidR="0034291B" w:rsidRPr="00605897">
        <w:rPr>
          <w:rFonts w:cstheme="minorHAnsi"/>
          <w:sz w:val="24"/>
          <w:szCs w:val="24"/>
          <w:shd w:val="clear" w:color="auto" w:fill="FEFEFF"/>
        </w:rPr>
        <w:t>glmS</w:t>
      </w:r>
      <w:proofErr w:type="spellEnd"/>
      <w:r w:rsidR="0034291B" w:rsidRPr="00605897">
        <w:rPr>
          <w:rFonts w:cstheme="minorHAnsi"/>
          <w:sz w:val="24"/>
          <w:szCs w:val="24"/>
          <w:shd w:val="clear" w:color="auto" w:fill="FEFEFF"/>
        </w:rPr>
        <w:t xml:space="preserve"> FWD</w:t>
      </w:r>
      <w:r w:rsidR="0034291B" w:rsidRPr="00605897">
        <w:rPr>
          <w:rFonts w:cstheme="minorHAnsi"/>
          <w:sz w:val="24"/>
          <w:szCs w:val="24"/>
        </w:rPr>
        <w:t>”</w:t>
      </w:r>
      <w:r w:rsidRPr="00605897">
        <w:rPr>
          <w:rFonts w:cstheme="minorHAnsi"/>
          <w:sz w:val="24"/>
          <w:szCs w:val="24"/>
        </w:rPr>
        <w:t xml:space="preserve"> and </w:t>
      </w:r>
      <w:r w:rsidR="0034291B" w:rsidRPr="00605897">
        <w:rPr>
          <w:rFonts w:cstheme="minorHAnsi"/>
          <w:sz w:val="24"/>
          <w:szCs w:val="24"/>
        </w:rPr>
        <w:t>“</w:t>
      </w:r>
      <w:r w:rsidR="0034291B" w:rsidRPr="00605897">
        <w:rPr>
          <w:rFonts w:cstheme="minorHAnsi"/>
          <w:sz w:val="24"/>
          <w:szCs w:val="24"/>
          <w:shd w:val="clear" w:color="auto" w:fill="FEFEFF"/>
        </w:rPr>
        <w:t xml:space="preserve">Ab (17978) </w:t>
      </w:r>
      <w:proofErr w:type="spellStart"/>
      <w:r w:rsidR="0034291B" w:rsidRPr="00605897">
        <w:rPr>
          <w:rFonts w:cstheme="minorHAnsi"/>
          <w:sz w:val="24"/>
          <w:szCs w:val="24"/>
          <w:shd w:val="clear" w:color="auto" w:fill="FEFEFF"/>
        </w:rPr>
        <w:t>glmS</w:t>
      </w:r>
      <w:proofErr w:type="spellEnd"/>
      <w:r w:rsidR="0034291B" w:rsidRPr="00605897">
        <w:rPr>
          <w:rFonts w:cstheme="minorHAnsi"/>
          <w:sz w:val="24"/>
          <w:szCs w:val="24"/>
          <w:shd w:val="clear" w:color="auto" w:fill="FEFEFF"/>
        </w:rPr>
        <w:t xml:space="preserve"> REV</w:t>
      </w:r>
      <w:r w:rsidR="003D2435" w:rsidRPr="00605897">
        <w:rPr>
          <w:rFonts w:cstheme="minorHAnsi"/>
          <w:sz w:val="24"/>
          <w:szCs w:val="24"/>
          <w:shd w:val="clear" w:color="auto" w:fill="FEFEFF"/>
        </w:rPr>
        <w:t>” and</w:t>
      </w:r>
      <w:r w:rsidRPr="00605897">
        <w:rPr>
          <w:rFonts w:cstheme="minorHAnsi"/>
          <w:sz w:val="24"/>
          <w:szCs w:val="24"/>
        </w:rPr>
        <w:t xml:space="preserve"> Set B as </w:t>
      </w:r>
      <w:r w:rsidR="0034291B" w:rsidRPr="00605897">
        <w:rPr>
          <w:rFonts w:cstheme="minorHAnsi"/>
          <w:sz w:val="24"/>
          <w:szCs w:val="24"/>
        </w:rPr>
        <w:t>“</w:t>
      </w:r>
      <w:r w:rsidR="0034291B" w:rsidRPr="00605897">
        <w:rPr>
          <w:rFonts w:cstheme="minorHAnsi"/>
          <w:sz w:val="24"/>
          <w:szCs w:val="24"/>
          <w:shd w:val="clear" w:color="auto" w:fill="FEFEFF"/>
        </w:rPr>
        <w:t xml:space="preserve">Ab (17978) </w:t>
      </w:r>
      <w:proofErr w:type="spellStart"/>
      <w:r w:rsidR="0034291B" w:rsidRPr="00605897">
        <w:rPr>
          <w:rFonts w:cstheme="minorHAnsi"/>
          <w:sz w:val="24"/>
          <w:szCs w:val="24"/>
          <w:shd w:val="clear" w:color="auto" w:fill="FEFEFF"/>
        </w:rPr>
        <w:t>glmS</w:t>
      </w:r>
      <w:proofErr w:type="spellEnd"/>
      <w:r w:rsidR="0034291B" w:rsidRPr="00605897">
        <w:rPr>
          <w:rFonts w:cstheme="minorHAnsi"/>
          <w:sz w:val="24"/>
          <w:szCs w:val="24"/>
          <w:shd w:val="clear" w:color="auto" w:fill="FEFEFF"/>
        </w:rPr>
        <w:t xml:space="preserve"> FWD”</w:t>
      </w:r>
      <w:r w:rsidR="0034291B" w:rsidRPr="00605897">
        <w:rPr>
          <w:rFonts w:cstheme="minorHAnsi"/>
          <w:sz w:val="24"/>
          <w:szCs w:val="24"/>
        </w:rPr>
        <w:t xml:space="preserve"> </w:t>
      </w:r>
      <w:r w:rsidRPr="00605897">
        <w:rPr>
          <w:rFonts w:cstheme="minorHAnsi"/>
          <w:sz w:val="24"/>
          <w:szCs w:val="24"/>
        </w:rPr>
        <w:t xml:space="preserve">and </w:t>
      </w:r>
      <w:r w:rsidR="0034291B" w:rsidRPr="00605897">
        <w:rPr>
          <w:rFonts w:cstheme="minorHAnsi"/>
          <w:sz w:val="24"/>
          <w:szCs w:val="24"/>
        </w:rPr>
        <w:t>“</w:t>
      </w:r>
      <w:r w:rsidR="0034291B" w:rsidRPr="00605897">
        <w:rPr>
          <w:rFonts w:eastAsia="Times New Roman" w:cstheme="minorHAnsi"/>
          <w:sz w:val="24"/>
          <w:szCs w:val="24"/>
        </w:rPr>
        <w:t>PTn7R”</w:t>
      </w:r>
      <w:r w:rsidRPr="00605897">
        <w:rPr>
          <w:rFonts w:cstheme="minorHAnsi"/>
          <w:sz w:val="24"/>
          <w:szCs w:val="24"/>
        </w:rPr>
        <w:t>.</w:t>
      </w:r>
    </w:p>
    <w:p w14:paraId="6150F7BE" w14:textId="0E21BCDF"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2.5. </w:t>
      </w:r>
      <w:r w:rsidR="00156CBA" w:rsidRPr="00734E96">
        <w:rPr>
          <w:rFonts w:asciiTheme="majorHAnsi" w:hAnsiTheme="majorHAnsi" w:cstheme="majorHAnsi"/>
          <w:sz w:val="24"/>
          <w:szCs w:val="24"/>
          <w:u w:val="single"/>
        </w:rPr>
        <w:t>Site-</w:t>
      </w:r>
      <w:r>
        <w:rPr>
          <w:rFonts w:asciiTheme="majorHAnsi" w:hAnsiTheme="majorHAnsi" w:cstheme="majorHAnsi"/>
          <w:sz w:val="24"/>
          <w:szCs w:val="24"/>
          <w:u w:val="single"/>
        </w:rPr>
        <w:t>d</w:t>
      </w:r>
      <w:r w:rsidR="00156CBA" w:rsidRPr="00734E96">
        <w:rPr>
          <w:rFonts w:asciiTheme="majorHAnsi" w:hAnsiTheme="majorHAnsi" w:cstheme="majorHAnsi"/>
          <w:sz w:val="24"/>
          <w:szCs w:val="24"/>
          <w:u w:val="single"/>
        </w:rPr>
        <w:t xml:space="preserve">irected </w:t>
      </w:r>
      <w:r>
        <w:rPr>
          <w:rFonts w:asciiTheme="majorHAnsi" w:hAnsiTheme="majorHAnsi" w:cstheme="majorHAnsi"/>
          <w:sz w:val="24"/>
          <w:szCs w:val="24"/>
          <w:u w:val="single"/>
        </w:rPr>
        <w:t>m</w:t>
      </w:r>
      <w:r w:rsidR="00156CBA" w:rsidRPr="00734E96">
        <w:rPr>
          <w:rFonts w:asciiTheme="majorHAnsi" w:hAnsiTheme="majorHAnsi" w:cstheme="majorHAnsi"/>
          <w:sz w:val="24"/>
          <w:szCs w:val="24"/>
          <w:u w:val="single"/>
        </w:rPr>
        <w:t>utagenesis</w:t>
      </w:r>
    </w:p>
    <w:p w14:paraId="5E0474BE" w14:textId="22CEA730" w:rsidR="00593EE7" w:rsidRPr="00593EE7" w:rsidRDefault="00593EE7" w:rsidP="002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All single and one double substitution mutations were introduced using either Agilent</w:t>
      </w:r>
      <w:r w:rsidR="00721DF5">
        <w:rPr>
          <w:rFonts w:ascii="Times New Roman" w:hAnsi="Times New Roman" w:cs="Times New Roman"/>
          <w:sz w:val="24"/>
          <w:szCs w:val="24"/>
        </w:rPr>
        <w:t xml:space="preserve"> (Santa Clara, USA)</w:t>
      </w:r>
      <w:r>
        <w:rPr>
          <w:rFonts w:ascii="Times New Roman" w:hAnsi="Times New Roman" w:cs="Times New Roman"/>
          <w:sz w:val="24"/>
          <w:szCs w:val="24"/>
        </w:rPr>
        <w:t xml:space="preserve"> </w:t>
      </w:r>
      <w:proofErr w:type="spellStart"/>
      <w:r>
        <w:rPr>
          <w:rFonts w:ascii="Times New Roman" w:hAnsi="Times New Roman" w:cs="Times New Roman"/>
          <w:sz w:val="24"/>
          <w:szCs w:val="24"/>
        </w:rPr>
        <w:t>QuikChange</w:t>
      </w:r>
      <w:proofErr w:type="spellEnd"/>
      <w:r>
        <w:rPr>
          <w:rFonts w:ascii="Times New Roman" w:hAnsi="Times New Roman" w:cs="Times New Roman"/>
          <w:sz w:val="24"/>
          <w:szCs w:val="24"/>
        </w:rPr>
        <w:t xml:space="preserve"> II XL Site-Directed Mutagenesis Kit or New England </w:t>
      </w:r>
      <w:r w:rsidR="00FC5929">
        <w:rPr>
          <w:rFonts w:ascii="Times New Roman" w:hAnsi="Times New Roman" w:cs="Times New Roman"/>
          <w:sz w:val="24"/>
          <w:szCs w:val="24"/>
        </w:rPr>
        <w:t>Biolabs’</w:t>
      </w:r>
      <w:r w:rsidR="00721DF5">
        <w:rPr>
          <w:rFonts w:ascii="Times New Roman" w:hAnsi="Times New Roman" w:cs="Times New Roman"/>
          <w:sz w:val="24"/>
          <w:szCs w:val="24"/>
        </w:rPr>
        <w:t xml:space="preserve"> (Ipswich, USA)</w:t>
      </w:r>
      <w:r>
        <w:rPr>
          <w:rFonts w:ascii="Times New Roman" w:hAnsi="Times New Roman" w:cs="Times New Roman"/>
          <w:sz w:val="24"/>
          <w:szCs w:val="24"/>
        </w:rPr>
        <w:t xml:space="preserve"> Q5 Site-Directed Mutagenesis Kit, as recommended by the manufacturer. The starting plasmid is pTJ1 containing the wild </w:t>
      </w:r>
      <w:proofErr w:type="gramStart"/>
      <w:r>
        <w:rPr>
          <w:rFonts w:ascii="Times New Roman" w:hAnsi="Times New Roman" w:cs="Times New Roman"/>
          <w:sz w:val="24"/>
          <w:szCs w:val="24"/>
        </w:rPr>
        <w:t>type</w:t>
      </w:r>
      <w:proofErr w:type="gramEnd"/>
      <w:r>
        <w:rPr>
          <w:rFonts w:ascii="Times New Roman" w:hAnsi="Times New Roman" w:cs="Times New Roman"/>
          <w:sz w:val="24"/>
          <w:szCs w:val="24"/>
        </w:rPr>
        <w:t xml:space="preserve"> operon of </w:t>
      </w:r>
      <w:r>
        <w:rPr>
          <w:rFonts w:ascii="Times New Roman" w:hAnsi="Times New Roman" w:cs="Times New Roman"/>
          <w:sz w:val="24"/>
          <w:szCs w:val="24"/>
        </w:rPr>
        <w:lastRenderedPageBreak/>
        <w:t xml:space="preserve">AdeFGH. The resulting PCR products were treated with </w:t>
      </w:r>
      <w:proofErr w:type="spellStart"/>
      <w:r>
        <w:rPr>
          <w:rFonts w:ascii="Times New Roman" w:hAnsi="Times New Roman" w:cs="Times New Roman"/>
          <w:sz w:val="24"/>
          <w:szCs w:val="24"/>
        </w:rPr>
        <w:t>DpnI</w:t>
      </w:r>
      <w:proofErr w:type="spellEnd"/>
      <w:r>
        <w:rPr>
          <w:rFonts w:ascii="Times New Roman" w:hAnsi="Times New Roman" w:cs="Times New Roman"/>
          <w:sz w:val="24"/>
          <w:szCs w:val="24"/>
        </w:rPr>
        <w:t>, transformed into DH5</w:t>
      </w:r>
      <w:r w:rsidRPr="0042445E">
        <w:rPr>
          <w:rFonts w:ascii="Times New Roman" w:hAnsi="Times New Roman" w:cs="Times New Roman"/>
          <w:sz w:val="24"/>
          <w:szCs w:val="24"/>
        </w:rPr>
        <w:t>α</w:t>
      </w:r>
      <w:r>
        <w:rPr>
          <w:rFonts w:ascii="Times New Roman" w:hAnsi="Times New Roman" w:cs="Times New Roman"/>
          <w:sz w:val="24"/>
          <w:szCs w:val="24"/>
        </w:rPr>
        <w:t xml:space="preserve"> competent cells and plated on Luria Bertani (LB) agar containing trimethoprim (100 µg/mL). For each mutant, at least two plasmids were purified and sequenced to assess the presence of the desired mutation and absence of any non-desired mutations. All mutations were verified by whole plasmid DNA sequencing at </w:t>
      </w:r>
      <w:proofErr w:type="spellStart"/>
      <w:r>
        <w:rPr>
          <w:rFonts w:ascii="Times New Roman" w:hAnsi="Times New Roman" w:cs="Times New Roman"/>
          <w:sz w:val="24"/>
          <w:szCs w:val="24"/>
        </w:rPr>
        <w:t>Plasmidsaurus</w:t>
      </w:r>
      <w:proofErr w:type="spellEnd"/>
      <w:r>
        <w:rPr>
          <w:rFonts w:ascii="Times New Roman" w:hAnsi="Times New Roman" w:cs="Times New Roman"/>
          <w:sz w:val="24"/>
          <w:szCs w:val="24"/>
        </w:rPr>
        <w:t xml:space="preserve"> </w:t>
      </w:r>
      <w:r w:rsidR="00721DF5">
        <w:rPr>
          <w:rFonts w:ascii="Times New Roman" w:hAnsi="Times New Roman" w:cs="Times New Roman"/>
          <w:sz w:val="24"/>
          <w:szCs w:val="24"/>
        </w:rPr>
        <w:t xml:space="preserve">(Eugene, USA) </w:t>
      </w:r>
      <w:r>
        <w:rPr>
          <w:rFonts w:ascii="Times New Roman" w:hAnsi="Times New Roman" w:cs="Times New Roman"/>
          <w:sz w:val="24"/>
          <w:szCs w:val="24"/>
        </w:rPr>
        <w:t xml:space="preserve">DNA Sequencing Facilities. </w:t>
      </w:r>
    </w:p>
    <w:p w14:paraId="1EF1FF22" w14:textId="0FD5E3D6"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2.6. </w:t>
      </w:r>
      <w:r w:rsidR="00156CBA" w:rsidRPr="00734E96">
        <w:rPr>
          <w:rFonts w:asciiTheme="majorHAnsi" w:hAnsiTheme="majorHAnsi" w:cstheme="majorHAnsi"/>
          <w:sz w:val="24"/>
          <w:szCs w:val="24"/>
          <w:u w:val="single"/>
        </w:rPr>
        <w:t xml:space="preserve">Minimum </w:t>
      </w:r>
      <w:r>
        <w:rPr>
          <w:rFonts w:asciiTheme="majorHAnsi" w:hAnsiTheme="majorHAnsi" w:cstheme="majorHAnsi"/>
          <w:sz w:val="24"/>
          <w:szCs w:val="24"/>
          <w:u w:val="single"/>
        </w:rPr>
        <w:t>i</w:t>
      </w:r>
      <w:r w:rsidR="00156CBA" w:rsidRPr="00734E96">
        <w:rPr>
          <w:rFonts w:asciiTheme="majorHAnsi" w:hAnsiTheme="majorHAnsi" w:cstheme="majorHAnsi"/>
          <w:sz w:val="24"/>
          <w:szCs w:val="24"/>
          <w:u w:val="single"/>
        </w:rPr>
        <w:t xml:space="preserve">nhibitory </w:t>
      </w:r>
      <w:r>
        <w:rPr>
          <w:rFonts w:asciiTheme="majorHAnsi" w:hAnsiTheme="majorHAnsi" w:cstheme="majorHAnsi"/>
          <w:sz w:val="24"/>
          <w:szCs w:val="24"/>
          <w:u w:val="single"/>
        </w:rPr>
        <w:t>c</w:t>
      </w:r>
      <w:r w:rsidR="00156CBA" w:rsidRPr="00734E96">
        <w:rPr>
          <w:rFonts w:asciiTheme="majorHAnsi" w:hAnsiTheme="majorHAnsi" w:cstheme="majorHAnsi"/>
          <w:sz w:val="24"/>
          <w:szCs w:val="24"/>
          <w:u w:val="single"/>
        </w:rPr>
        <w:t xml:space="preserve">oncentration (MIC) </w:t>
      </w:r>
      <w:r>
        <w:rPr>
          <w:rFonts w:asciiTheme="majorHAnsi" w:hAnsiTheme="majorHAnsi" w:cstheme="majorHAnsi"/>
          <w:sz w:val="24"/>
          <w:szCs w:val="24"/>
          <w:u w:val="single"/>
        </w:rPr>
        <w:t>d</w:t>
      </w:r>
      <w:r w:rsidR="00156CBA" w:rsidRPr="00734E96">
        <w:rPr>
          <w:rFonts w:asciiTheme="majorHAnsi" w:hAnsiTheme="majorHAnsi" w:cstheme="majorHAnsi"/>
          <w:sz w:val="24"/>
          <w:szCs w:val="24"/>
          <w:u w:val="single"/>
        </w:rPr>
        <w:t>etermination</w:t>
      </w:r>
    </w:p>
    <w:p w14:paraId="07C9775C" w14:textId="6228A50F" w:rsidR="00593EE7" w:rsidRPr="003D2435" w:rsidRDefault="003D2435" w:rsidP="006937AD">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593EE7">
        <w:rPr>
          <w:rFonts w:ascii="Times New Roman" w:hAnsi="Times New Roman" w:cs="Times New Roman"/>
          <w:sz w:val="24"/>
          <w:szCs w:val="24"/>
        </w:rPr>
        <w:t>MIC determinations were carried out as previously described</w:t>
      </w: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{"citationID":"pd9CGOq2","properties":{"formattedCitation":"\\super 117\\nosupersub{}","plainCitation":"117","noteIndex":0},"citationItems":[{"id":680,"uris":["http://zotero.org/users/1918630/items/2P5M6K7L"],"itemData":{"id":680,"type":"article-journal","abstract":"In Gram-negative bacteria, a synergistic relationship between slow passive uptake of antibiotics across the outer membrane and active efflux transporters creates a permeability barrier, which efficiently reduces the effective concentrations of antibiotics in cells and, hence, their activities. To analyze the relative contributions of active efflux and the passive barrier to the activities of antibiotics, we constructed Escherichia coli strains with controllable permeability of the outer membrane. The strains expressed a large pore that does not discriminate between compounds on the basis of their hydrophilicity and sensitizes cells to a variety of antibacterial agents. We found that the efficacies of antibiotics in these strains were specifically affected by either active efflux or slow uptake, or both, and reflect differences in the properties of the outer membrane barrier, the repertoire of efflux pumps, and the inhibitory activities of antibiotics. Our results identify antibiotics which are the best candidates for the potentiation of activities through efflux inhibition and permeabilization of the outer membrane.","container-title":"Antimicrobial Agents and Chemotherapy","DOI":"10.1128/AAC.01882-16","ISSN":"0066-4804","issue":"12","journalAbbreviation":"Antimicrob Agents Chemother","note":"PMID: 27697764\nPMCID: PMC5119019","page":"7372-7381","source":"PubMed Central","title":"Breaking the Permeability Barrier of Escherichia coli by Controlled Hyperporination of the Outer Membrane","volume":"60","author":[{"family":"Krishnamoorthy","given":"Ganesh"},{"family":"Wolloscheck","given":"David"},{"family":"Weeks","given":"Jon W."},{"family":"Croft","given":"Cameron"},{"family":"Rybenkov","given":"Valentin V."},{"family":"Zgurskaya","given":"Helen I."}],"issued":{"date-parts":[["2016",11,21]]}}}],"schema":"https://github.com/citation-style-language/schema/raw/master/csl-citation.json"}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117</w:t>
      </w:r>
      <w:r>
        <w:rPr>
          <w:rFonts w:ascii="Times New Roman" w:hAnsi="Times New Roman" w:cs="Times New Roman"/>
          <w:sz w:val="24"/>
          <w:szCs w:val="24"/>
        </w:rPr>
        <w:fldChar w:fldCharType="end"/>
      </w:r>
      <w:r w:rsidR="00593EE7">
        <w:rPr>
          <w:rFonts w:ascii="Times New Roman" w:hAnsi="Times New Roman" w:cs="Times New Roman"/>
          <w:sz w:val="24"/>
          <w:szCs w:val="24"/>
        </w:rPr>
        <w:t xml:space="preserve"> using the 2-fold broth dilution method.</w:t>
      </w:r>
      <w:r>
        <w:rPr>
          <w:rFonts w:ascii="Times New Roman" w:hAnsi="Times New Roman" w:cs="Times New Roman"/>
          <w:sz w:val="24"/>
          <w:szCs w:val="24"/>
        </w:rPr>
        <w:t xml:space="preserve"> </w:t>
      </w:r>
      <w:r w:rsidRPr="003D2435">
        <w:rPr>
          <w:sz w:val="24"/>
          <w:szCs w:val="24"/>
        </w:rPr>
        <w:t>Briefly, the cells were grown in LB broth with appropriate antibiotics wherever necessary at 37 °C with shaking at 200 rpm. MICs of different classes of antimicrobial agents were measured in 96-well micro-titer plates. For this purpose, exponentially growing cells were inoculated at a density of 10</w:t>
      </w:r>
      <w:r w:rsidRPr="003D2435">
        <w:rPr>
          <w:sz w:val="24"/>
          <w:szCs w:val="24"/>
          <w:vertAlign w:val="superscript"/>
        </w:rPr>
        <w:t>5</w:t>
      </w:r>
      <w:r w:rsidRPr="003D2435">
        <w:rPr>
          <w:sz w:val="24"/>
          <w:szCs w:val="24"/>
        </w:rPr>
        <w:t xml:space="preserve"> cells per mL into wells containing just LB or LB medium supplemented with 1% </w:t>
      </w:r>
      <w:r w:rsidR="00721DF5">
        <w:rPr>
          <w:sz w:val="24"/>
          <w:szCs w:val="24"/>
        </w:rPr>
        <w:t>L-arabinose</w:t>
      </w:r>
      <w:r w:rsidRPr="003D2435">
        <w:rPr>
          <w:sz w:val="24"/>
          <w:szCs w:val="24"/>
        </w:rPr>
        <w:t xml:space="preserve"> in the presence of two-fold-increasing concentrations of </w:t>
      </w:r>
      <w:r w:rsidR="001C0118">
        <w:rPr>
          <w:sz w:val="24"/>
          <w:szCs w:val="24"/>
        </w:rPr>
        <w:t xml:space="preserve">the following </w:t>
      </w:r>
      <w:r w:rsidR="00BF2AC7">
        <w:rPr>
          <w:sz w:val="24"/>
          <w:szCs w:val="24"/>
        </w:rPr>
        <w:t>antibiotics</w:t>
      </w:r>
      <w:r w:rsidRPr="003D2435">
        <w:rPr>
          <w:sz w:val="24"/>
          <w:szCs w:val="24"/>
        </w:rPr>
        <w:t xml:space="preserve"> (ten concentrations in total)</w:t>
      </w:r>
      <w:r w:rsidR="001C0118">
        <w:rPr>
          <w:rFonts w:ascii="Times New Roman" w:hAnsi="Times New Roman" w:cs="Times New Roman"/>
          <w:sz w:val="24"/>
          <w:szCs w:val="24"/>
        </w:rPr>
        <w:t>: chloramphenicol (Sigma-Alrich, St. Louis, USA), norfloxacin (Sigma-Alrich, St. Louis, USA), novobiocin (Sigma-Alrich, St. Louis, USA), erythromycin (Sigma-Alrich, St. Louis, USA), ciprofloxacin (Sigma-Alrich, St. Louis, USA), tetracycline (Sigma-Alrich, St. Louis, USA), nalidixic acid (Sigma-Alrich, St. Louis, USA), azithromycin (</w:t>
      </w:r>
      <w:r w:rsidR="00DC4A58">
        <w:rPr>
          <w:rFonts w:ascii="Times New Roman" w:hAnsi="Times New Roman" w:cs="Times New Roman"/>
          <w:sz w:val="24"/>
          <w:szCs w:val="24"/>
        </w:rPr>
        <w:t>Tokyo Chemical Industry, Portland, OR, USA</w:t>
      </w:r>
      <w:r w:rsidR="001C0118">
        <w:rPr>
          <w:rFonts w:ascii="Times New Roman" w:hAnsi="Times New Roman" w:cs="Times New Roman"/>
          <w:sz w:val="24"/>
          <w:szCs w:val="24"/>
        </w:rPr>
        <w:t xml:space="preserve">), zeocin (Alfa </w:t>
      </w:r>
      <w:proofErr w:type="spellStart"/>
      <w:r w:rsidR="001C0118">
        <w:rPr>
          <w:rFonts w:ascii="Times New Roman" w:hAnsi="Times New Roman" w:cs="Times New Roman"/>
          <w:sz w:val="24"/>
          <w:szCs w:val="24"/>
        </w:rPr>
        <w:t>Aesar</w:t>
      </w:r>
      <w:proofErr w:type="spellEnd"/>
      <w:r w:rsidR="001C0118">
        <w:rPr>
          <w:rFonts w:ascii="Times New Roman" w:hAnsi="Times New Roman" w:cs="Times New Roman"/>
          <w:sz w:val="24"/>
          <w:szCs w:val="24"/>
        </w:rPr>
        <w:t>, Ward Hill, USA), and sodium dodecyl sulfate (Sigma-Alrich, St. Louis, USA)</w:t>
      </w:r>
      <w:r w:rsidRPr="003D2435">
        <w:rPr>
          <w:sz w:val="24"/>
          <w:szCs w:val="24"/>
        </w:rPr>
        <w:t xml:space="preserve">. The first concentration in the experiment was drug-specific and is usually 2–4 fold higher than the MIC of </w:t>
      </w:r>
      <w:proofErr w:type="spellStart"/>
      <w:r w:rsidRPr="003D2435">
        <w:rPr>
          <w:sz w:val="24"/>
          <w:szCs w:val="24"/>
        </w:rPr>
        <w:t>AbWT</w:t>
      </w:r>
      <w:proofErr w:type="spellEnd"/>
      <w:r w:rsidRPr="003D2435">
        <w:rPr>
          <w:sz w:val="24"/>
          <w:szCs w:val="24"/>
        </w:rPr>
        <w:t>, if it is possible to determine. There were two control wells per plate with no antibiotics +/− cells for quality control. Cell growth was determined visually after incubation of the micro-titer plates at 37 °C for 16–20 h. All measurements were performed in duplicates and repeated at least two times independently.</w:t>
      </w:r>
    </w:p>
    <w:p w14:paraId="6B0812DD" w14:textId="501D3BB0"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2.7. </w:t>
      </w:r>
      <w:r w:rsidR="00156CBA" w:rsidRPr="00734E96">
        <w:rPr>
          <w:rFonts w:asciiTheme="majorHAnsi" w:hAnsiTheme="majorHAnsi" w:cstheme="majorHAnsi"/>
          <w:sz w:val="24"/>
          <w:szCs w:val="24"/>
          <w:u w:val="single"/>
        </w:rPr>
        <w:t xml:space="preserve">MPC4 </w:t>
      </w:r>
      <w:r>
        <w:rPr>
          <w:rFonts w:asciiTheme="majorHAnsi" w:hAnsiTheme="majorHAnsi" w:cstheme="majorHAnsi"/>
          <w:sz w:val="24"/>
          <w:szCs w:val="24"/>
          <w:u w:val="single"/>
        </w:rPr>
        <w:t>d</w:t>
      </w:r>
      <w:r w:rsidR="00156CBA" w:rsidRPr="00734E96">
        <w:rPr>
          <w:rFonts w:asciiTheme="majorHAnsi" w:hAnsiTheme="majorHAnsi" w:cstheme="majorHAnsi"/>
          <w:sz w:val="24"/>
          <w:szCs w:val="24"/>
          <w:u w:val="single"/>
        </w:rPr>
        <w:t>etermination</w:t>
      </w:r>
    </w:p>
    <w:p w14:paraId="454C37DB" w14:textId="76EF0D7E" w:rsidR="00593EE7" w:rsidRPr="00593EE7" w:rsidRDefault="00593EE7" w:rsidP="002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minimal potentiating concentration (MPC) was defined as a concentration of a compound that decreases the MIC of an antibiotic by four (MPC4) or more fold.</w:t>
      </w:r>
      <w:r w:rsidR="00104ED3">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{"citationID":"2cqmbn77","properties":{"formattedCitation":"\\super 105\\nosupersub{}","plainCitation":"105","noteIndex":0},"citationItems":[{"id":1927,"uris":["http://zotero.org/users/1918630/items/WBNX77CU"],"itemData":{"id":1927,"type":"article-journal","container-title":"Journal of Medicinal Chemistry","DOI":"10.1021/jm9904598","ISSN":"0022-2623","issue":"24","journalAbbreviation":"J Med Chem","language":"eng","note":"PMID: 10585202","page":"4928-4931","source":"PubMed","title":"Inhibitors of efflux pumps in Pseudomonas aeruginosa potentiate the activity of the fluoroquinolone antibacterial levofloxacin","volume":"42","author":[{"family":"Renau","given":"T. E."},{"family":"Léger","given":"R."},{"family":"Flamme","given":"E. M."},{"family":"Sangalang","given":"J."},{"family":"She","given":"M. W."},{"family":"Yen","given":"R."},{"family":"Gannon","given":"C. L."},{"family":"Griffith","given":"D."},{"family":"Chamberland","given":"S."},{"family":"Lomovskaya","given":"O."},{"family":"Hecker","given":"S. J."},{"family":"Lee","given":"V. J."},{"family":"Ohta","given":"T."},{"family":"Nakayama","given":"K."}],"issued":{"date-parts":[["1999",12,2]]}}}],"schema":"https://github.com/citation-style-language/schema/raw/master/csl-citation.json"} </w:instrText>
      </w:r>
      <w:r w:rsidR="00104ED3">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105</w:t>
      </w:r>
      <w:r w:rsidR="00104ED3">
        <w:rPr>
          <w:rFonts w:ascii="Times New Roman" w:hAnsi="Times New Roman" w:cs="Times New Roman"/>
          <w:sz w:val="24"/>
          <w:szCs w:val="24"/>
        </w:rPr>
        <w:fldChar w:fldCharType="end"/>
      </w:r>
      <w:r>
        <w:rPr>
          <w:rFonts w:ascii="Times New Roman" w:hAnsi="Times New Roman" w:cs="Times New Roman"/>
          <w:sz w:val="24"/>
          <w:szCs w:val="24"/>
        </w:rPr>
        <w:t xml:space="preserve"> A checkerboard titration assay was used to measure the MPC4 of a compound, in which</w:t>
      </w:r>
      <w:r w:rsidR="0021013E">
        <w:rPr>
          <w:rFonts w:ascii="Times New Roman" w:hAnsi="Times New Roman" w:cs="Times New Roman"/>
          <w:sz w:val="24"/>
          <w:szCs w:val="24"/>
        </w:rPr>
        <w:t xml:space="preserve"> </w:t>
      </w:r>
      <w:r>
        <w:rPr>
          <w:rFonts w:ascii="Times New Roman" w:hAnsi="Times New Roman" w:cs="Times New Roman"/>
          <w:sz w:val="24"/>
          <w:szCs w:val="24"/>
        </w:rPr>
        <w:t xml:space="preserve">an antibiotic was dispensed alone in the first row of the plate and was combined with a test </w:t>
      </w:r>
      <w:r>
        <w:rPr>
          <w:rFonts w:ascii="Times New Roman" w:hAnsi="Times New Roman" w:cs="Times New Roman"/>
          <w:sz w:val="24"/>
          <w:szCs w:val="24"/>
        </w:rPr>
        <w:lastRenderedPageBreak/>
        <w:t>compound in the remaining rows. The test compound was also dispensed alone in the first column. The antibiotic was tested at 11 concentrations and the test compound was tested at 7 concentrations. The plate was then inoculated with 5x10</w:t>
      </w:r>
      <w:r>
        <w:rPr>
          <w:rFonts w:ascii="Times New Roman" w:hAnsi="Times New Roman" w:cs="Times New Roman"/>
          <w:sz w:val="24"/>
          <w:szCs w:val="24"/>
          <w:vertAlign w:val="superscript"/>
        </w:rPr>
        <w:t>4</w:t>
      </w:r>
      <w:r>
        <w:rPr>
          <w:rFonts w:ascii="Times New Roman" w:hAnsi="Times New Roman" w:cs="Times New Roman"/>
          <w:sz w:val="24"/>
          <w:szCs w:val="24"/>
        </w:rPr>
        <w:t xml:space="preserve"> cells per well, placed in the incubator at 37 °C with shaking for 18 hours, and the MIC values were read by visual inspection of the wells. </w:t>
      </w:r>
    </w:p>
    <w:p w14:paraId="6C2C9A09" w14:textId="00808DBB"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2.8. </w:t>
      </w:r>
      <w:r w:rsidR="00156CBA" w:rsidRPr="00734E96">
        <w:rPr>
          <w:rFonts w:asciiTheme="majorHAnsi" w:hAnsiTheme="majorHAnsi" w:cstheme="majorHAnsi"/>
          <w:sz w:val="24"/>
          <w:szCs w:val="24"/>
          <w:u w:val="single"/>
        </w:rPr>
        <w:t xml:space="preserve">Growth </w:t>
      </w:r>
      <w:r>
        <w:rPr>
          <w:rFonts w:asciiTheme="majorHAnsi" w:hAnsiTheme="majorHAnsi" w:cstheme="majorHAnsi"/>
          <w:sz w:val="24"/>
          <w:szCs w:val="24"/>
          <w:u w:val="single"/>
        </w:rPr>
        <w:t>c</w:t>
      </w:r>
      <w:r w:rsidR="00156CBA" w:rsidRPr="00734E96">
        <w:rPr>
          <w:rFonts w:asciiTheme="majorHAnsi" w:hAnsiTheme="majorHAnsi" w:cstheme="majorHAnsi"/>
          <w:sz w:val="24"/>
          <w:szCs w:val="24"/>
          <w:u w:val="single"/>
        </w:rPr>
        <w:t xml:space="preserve">urve </w:t>
      </w:r>
      <w:r>
        <w:rPr>
          <w:rFonts w:asciiTheme="majorHAnsi" w:hAnsiTheme="majorHAnsi" w:cstheme="majorHAnsi"/>
          <w:sz w:val="24"/>
          <w:szCs w:val="24"/>
          <w:u w:val="single"/>
        </w:rPr>
        <w:t>d</w:t>
      </w:r>
      <w:r w:rsidR="00156CBA" w:rsidRPr="00734E96">
        <w:rPr>
          <w:rFonts w:asciiTheme="majorHAnsi" w:hAnsiTheme="majorHAnsi" w:cstheme="majorHAnsi"/>
          <w:sz w:val="24"/>
          <w:szCs w:val="24"/>
          <w:u w:val="single"/>
        </w:rPr>
        <w:t>etermination</w:t>
      </w:r>
    </w:p>
    <w:p w14:paraId="55DCD053" w14:textId="10A18B7A" w:rsidR="00593EE7" w:rsidRDefault="00265E3A" w:rsidP="0021013E">
      <w:pPr>
        <w:spacing w:line="360" w:lineRule="auto"/>
        <w:ind w:firstLine="720"/>
        <w:rPr>
          <w:sz w:val="24"/>
          <w:szCs w:val="24"/>
        </w:rPr>
      </w:pPr>
      <w:r>
        <w:rPr>
          <w:rFonts w:ascii="Times New Roman" w:hAnsi="Times New Roman" w:cs="Times New Roman"/>
          <w:sz w:val="24"/>
          <w:szCs w:val="24"/>
        </w:rPr>
        <w:t xml:space="preserve">Cells from frozen stocks were inoculated into LB medium containing appropriate antibiotics if needed and incubated for 16 h at 37 °C. </w:t>
      </w:r>
      <w:r w:rsidR="00E43CE8">
        <w:rPr>
          <w:rFonts w:ascii="Times New Roman" w:hAnsi="Times New Roman" w:cs="Times New Roman"/>
          <w:sz w:val="24"/>
          <w:szCs w:val="24"/>
        </w:rPr>
        <w:t>Exponentially growing cells were inoculated at a density of 10</w:t>
      </w:r>
      <w:r w:rsidR="00E43CE8">
        <w:rPr>
          <w:rFonts w:ascii="Times New Roman" w:hAnsi="Times New Roman" w:cs="Times New Roman"/>
          <w:sz w:val="24"/>
          <w:szCs w:val="24"/>
          <w:vertAlign w:val="superscript"/>
        </w:rPr>
        <w:t xml:space="preserve">5 </w:t>
      </w:r>
      <w:r w:rsidR="00E43CE8">
        <w:rPr>
          <w:rFonts w:ascii="Times New Roman" w:hAnsi="Times New Roman" w:cs="Times New Roman"/>
          <w:sz w:val="24"/>
          <w:szCs w:val="24"/>
        </w:rPr>
        <w:t xml:space="preserve">cells per mL into wells containing LB or LB + 1% L-arabinose medium with and without stress condition. The strength of the stress with the different agents was designed to be as similar and relevant as possible for </w:t>
      </w:r>
      <w:r w:rsidR="00E43CE8">
        <w:rPr>
          <w:rFonts w:ascii="Times New Roman" w:hAnsi="Times New Roman" w:cs="Times New Roman"/>
          <w:i/>
          <w:iCs/>
          <w:sz w:val="24"/>
          <w:szCs w:val="24"/>
        </w:rPr>
        <w:t>A. baumannii</w:t>
      </w:r>
      <w:r w:rsidR="00E43CE8">
        <w:rPr>
          <w:rFonts w:ascii="Times New Roman" w:hAnsi="Times New Roman" w:cs="Times New Roman"/>
          <w:sz w:val="24"/>
          <w:szCs w:val="24"/>
        </w:rPr>
        <w:t xml:space="preserve"> (</w:t>
      </w:r>
      <w:r w:rsidR="00E43CE8" w:rsidRPr="008C66FA">
        <w:rPr>
          <w:rFonts w:ascii="Times New Roman" w:hAnsi="Times New Roman" w:cs="Times New Roman"/>
          <w:b/>
          <w:bCs/>
          <w:sz w:val="24"/>
          <w:szCs w:val="24"/>
        </w:rPr>
        <w:t xml:space="preserve">Table </w:t>
      </w:r>
      <w:r w:rsidR="008C66FA" w:rsidRPr="008C66FA">
        <w:rPr>
          <w:rFonts w:ascii="Times New Roman" w:hAnsi="Times New Roman" w:cs="Times New Roman"/>
          <w:b/>
          <w:bCs/>
          <w:sz w:val="24"/>
          <w:szCs w:val="24"/>
        </w:rPr>
        <w:t>3</w:t>
      </w:r>
      <w:r w:rsidR="008C66FA">
        <w:rPr>
          <w:rFonts w:ascii="Times New Roman" w:hAnsi="Times New Roman" w:cs="Times New Roman"/>
          <w:b/>
          <w:bCs/>
          <w:sz w:val="24"/>
          <w:szCs w:val="24"/>
        </w:rPr>
        <w:t>.2</w:t>
      </w:r>
      <w:r w:rsidR="00E43CE8">
        <w:rPr>
          <w:rFonts w:ascii="Times New Roman" w:hAnsi="Times New Roman" w:cs="Times New Roman"/>
          <w:sz w:val="24"/>
          <w:szCs w:val="24"/>
        </w:rPr>
        <w:t>).</w:t>
      </w:r>
      <w:r w:rsidR="00E43CE8">
        <w:rPr>
          <w:rFonts w:ascii="Times New Roman" w:hAnsi="Times New Roman" w:cs="Times New Roman"/>
          <w:sz w:val="24"/>
          <w:szCs w:val="24"/>
        </w:rPr>
        <w:fldChar w:fldCharType="begin"/>
      </w:r>
      <w:r w:rsidR="00864355">
        <w:rPr>
          <w:rFonts w:ascii="Times New Roman" w:hAnsi="Times New Roman" w:cs="Times New Roman"/>
          <w:sz w:val="24"/>
          <w:szCs w:val="24"/>
        </w:rPr>
        <w:instrText xml:space="preserve"> ADDIN ZOTERO_ITEM CSL_CITATION {"citationID":"230KfJFo","properties":{"formattedCitation":"\\super 67\\nosupersub{}","plainCitation":"67","noteIndex":0},"citationItems":[{"id":1277,"uris":["http://zotero.org/users/1918630/items/T5RT5BXB"],"itemData":{"id":1277,"type":"article-journal","abstract":"Bacterial processes necessary for adaption to stressful host environments are potential targets for new antimicrobials. Here, we report large-scale transcriptomic analyses of 32 human bacterial pathogens grown under 11 stress conditions mimicking human host environments. The potential relevance of the in vitro stress conditions and responses is supported by comparisons with available in vivo transcriptomes of clinically important pathogens. Calculation of a probability score enables comparative cross-microbial analyses of the stress responses, revealing common and unique regulatory responses to different stresses, as well as overlapping processes participating in different stress responses. We identify conserved and species-specific ‘universal stress responders’, that is, genes showing altered expression in multiple stress conditions. Non-coding RNAs are involved in a substantial proportion of the responses. The data are collected in a freely available, interactive online resource (PATHOgenex).","container-title":"Nature Communications","DOI":"10.1038/s41467-021-23588-w","ISSN":"2041-1723","issue":"1","journalAbbreviation":"Nat Commun","language":"en","license":"2021 The Author(s)","note":"Bandiera_abtest: a\nCc_license_type: cc_by\nCg_type: Nature Research Journals\nnumber: 1\nPrimary_atype: Research\npublisher: Nature Publishing Group\nSubject_term: Bacterial physiology;Bacterial transcription;Gene regulation;Pathogens\nSubject_term_id: bacterial-physiology;bacterial-transcription;gene-regulation;pathogens","page":"3282","source":"www.nature.com","title":"RNA atlas of human bacterial pathogens uncovers stress dynamics linked to infection","volume":"12","author":[{"family":"Avican","given":"Kemal"},{"family":"Aldahdooh","given":"Jehad"},{"family":"Togninalli","given":"Matteo"},{"family":"Mahmud","given":"A. K. M. Firoj"},{"family":"Tang","given":"Jing"},{"family":"Borgwardt","given":"Karsten M."},{"family":"Rhen","given":"Mikael"},{"family":"Fällman","given":"Maria"}],"issued":{"date-parts":[["2021",6,2]]}}}],"schema":"https://github.com/citation-style-language/schema/raw/master/csl-citation.json"} </w:instrText>
      </w:r>
      <w:r w:rsidR="00E43CE8">
        <w:rPr>
          <w:rFonts w:ascii="Times New Roman" w:hAnsi="Times New Roman" w:cs="Times New Roman"/>
          <w:sz w:val="24"/>
          <w:szCs w:val="24"/>
        </w:rPr>
        <w:fldChar w:fldCharType="separate"/>
      </w:r>
      <w:r w:rsidR="00864355" w:rsidRPr="00864355">
        <w:rPr>
          <w:rFonts w:ascii="Times New Roman" w:hAnsi="Times New Roman" w:cs="Times New Roman"/>
          <w:sz w:val="24"/>
          <w:szCs w:val="24"/>
          <w:vertAlign w:val="superscript"/>
        </w:rPr>
        <w:t>67</w:t>
      </w:r>
      <w:r w:rsidR="00E43CE8">
        <w:rPr>
          <w:rFonts w:ascii="Times New Roman" w:hAnsi="Times New Roman" w:cs="Times New Roman"/>
          <w:sz w:val="24"/>
          <w:szCs w:val="24"/>
        </w:rPr>
        <w:fldChar w:fldCharType="end"/>
      </w:r>
      <w:r w:rsidR="00E43CE8">
        <w:rPr>
          <w:rFonts w:ascii="Times New Roman" w:hAnsi="Times New Roman" w:cs="Times New Roman"/>
          <w:sz w:val="24"/>
          <w:szCs w:val="24"/>
        </w:rPr>
        <w:t xml:space="preserve"> Bacterial growth assay was performed in a temperature-controlled micro-plate reader (Tecan Spark 10M, </w:t>
      </w:r>
      <w:proofErr w:type="spellStart"/>
      <w:r w:rsidR="00E43CE8">
        <w:rPr>
          <w:rFonts w:ascii="Times New Roman" w:hAnsi="Times New Roman" w:cs="Times New Roman"/>
          <w:sz w:val="24"/>
          <w:szCs w:val="24"/>
        </w:rPr>
        <w:t>M</w:t>
      </w:r>
      <w:r w:rsidR="00E43CE8" w:rsidRPr="00E43CE8">
        <w:rPr>
          <w:sz w:val="24"/>
          <w:szCs w:val="24"/>
        </w:rPr>
        <w:t>ä</w:t>
      </w:r>
      <w:r w:rsidR="00E43CE8">
        <w:rPr>
          <w:sz w:val="24"/>
          <w:szCs w:val="24"/>
        </w:rPr>
        <w:t>nnedorf</w:t>
      </w:r>
      <w:proofErr w:type="spellEnd"/>
      <w:r w:rsidR="00E43CE8">
        <w:rPr>
          <w:sz w:val="24"/>
          <w:szCs w:val="24"/>
        </w:rPr>
        <w:t>, Switzerland). The optical density of cells was measured every 30 min in clear 96-well micro-titer plates over 24 h. All measurements were performed in triplicate and repeated at least three times independently. After averaging, area under the curves</w:t>
      </w:r>
      <w:r w:rsidR="00FC5929">
        <w:rPr>
          <w:sz w:val="24"/>
          <w:szCs w:val="24"/>
        </w:rPr>
        <w:t xml:space="preserve"> (AUC)</w:t>
      </w:r>
      <w:r w:rsidR="00FC5929">
        <w:rPr>
          <w:sz w:val="24"/>
          <w:szCs w:val="24"/>
        </w:rPr>
        <w:fldChar w:fldCharType="begin"/>
      </w:r>
      <w:r w:rsidR="00625D97">
        <w:rPr>
          <w:sz w:val="24"/>
          <w:szCs w:val="24"/>
        </w:rPr>
        <w:instrText xml:space="preserve"> ADDIN ZOTERO_ITEM CSL_CITATION {"citationID":"FnpY2q2S","properties":{"formattedCitation":"\\super 118,119\\nosupersub{}","plainCitation":"118,119","noteIndex":0},"citationItems":[{"id":1880,"uris":["http://zotero.org/users/1918630/items/WKWQY5BK"],"itemData":{"id":1880,"type":"article-journal","abstract":"Determining the fitness of specific microbial genotypes has extensive application in microbial genetics, evolution, and biotechnology. While estimates from growth curves are simple and allow high throughput, they are inaccurate and do not account for interactions between costs and benefits accruing over different parts of a growth cycle. For this reason, pairwise competition experiments are the current \"gold standard\" for accurate estimation of fitness. However, competition experiments require distinct markers, making them difficult to perform between isolates derived from a common ancestor or between isolates of nonmodel organisms. In addition, competition experiments require that competing strains be grown in the same environment, so they cannot be used to infer the fitness consequence of different environmental perturbations on the same genotype. Finally, competition experiments typically consider only the end-points of a period of competition so that they do not readily provide information on the growth differences that underlie competitive ability. Here, we describe a computational approach for predicting density-dependent microbial growth in a mixed culture utilizing data from monoculture and mixed-culture growth curves. We validate this approach using 2 different experiments with Escherichia coli and demonstrate its application for estimating relative fitness. Our approach provides an effective way to predict growth and infer relative fitness in mixed cultures.","container-title":"Proceedings of the National Academy of Sciences of the United States of America","DOI":"10.1073/pnas.1902217116","ISSN":"1091-6490","issue":"29","journalAbbreviation":"Proc Natl Acad Sci U S A","language":"eng","note":"PMID: 31253703\nPMCID: PMC6642348","page":"14698-14707","source":"PubMed","title":"Predicting microbial growth in a mixed culture from growth curve data","volume":"116","author":[{"family":"Ram","given":"Yoav"},{"family":"Dellus-Gur","given":"Eynat"},{"family":"Bibi","given":"Maayan"},{"family":"Karkare","given":"Kedar"},{"family":"Obolski","given":"Uri"},{"family":"Feldman","given":"Marcus W."},{"family":"Cooper","given":"Tim F."},{"family":"Berman","given":"Judith"},{"family":"Hadany","given":"Lilach"}],"issued":{"date-parts":[["2019",7,16]]}}},{"id":1882,"uris":["http://zotero.org/users/1918630/items/36QNE5I2"],"itemData":{"id":1882,"type":"article-journal","abstract":"BACKGROUND: Plate readers can measure the growth curves of many microbial strains in a high-throughput fashion. The hundreds of absorbance readings collected simultaneously for hundreds of samples create technical hurdles for data analysis.\nRESULTS: Growthcurver summarizes the growth characteristics of microbial growth curve experiments conducted in a plate reader. The data are fitted to a standard form of the logistic equation, and the parameters have clear interpretations on population-level characteristics, like doubling time, carrying capacity, and growth rate.\nCONCLUSIONS: Growthcurver is an easy-to-use R package available for installation from the Comprehensive R Archive Network (CRAN). The source code is available under the GNU General Public License and can be obtained from Github (Sprouffske K, Growthcurver sourcecode, 2016).","container-title":"BMC bioinformatics","DOI":"10.1186/s12859-016-1016-7","ISSN":"1471-2105","journalAbbreviation":"BMC Bioinformatics","language":"eng","note":"PMID: 27094401\nPMCID: PMC4837600","page":"172","source":"PubMed","title":"Growthcurver: an R package for obtaining interpretable metrics from microbial growth curves","title-short":"Growthcurver","volume":"17","author":[{"family":"Sprouffske","given":"Kathleen"},{"family":"Wagner","given":"Andreas"}],"issued":{"date-parts":[["2016",4,19]]}}}],"schema":"https://github.com/citation-style-language/schema/raw/master/csl-citation.json"} </w:instrText>
      </w:r>
      <w:r w:rsidR="00FC5929">
        <w:rPr>
          <w:sz w:val="24"/>
          <w:szCs w:val="24"/>
        </w:rPr>
        <w:fldChar w:fldCharType="separate"/>
      </w:r>
      <w:r w:rsidR="00625D97" w:rsidRPr="00625D97">
        <w:rPr>
          <w:rFonts w:ascii="Times New Roman" w:hAnsi="Times New Roman" w:cs="Times New Roman"/>
          <w:sz w:val="24"/>
          <w:vertAlign w:val="superscript"/>
        </w:rPr>
        <w:t>118,119</w:t>
      </w:r>
      <w:r w:rsidR="00FC5929">
        <w:rPr>
          <w:sz w:val="24"/>
          <w:szCs w:val="24"/>
        </w:rPr>
        <w:fldChar w:fldCharType="end"/>
      </w:r>
      <w:r w:rsidR="00E43CE8">
        <w:rPr>
          <w:sz w:val="24"/>
          <w:szCs w:val="24"/>
        </w:rPr>
        <w:t xml:space="preserve"> were calculated for each strain under different exposures using the formula:</w:t>
      </w:r>
    </w:p>
    <w:p w14:paraId="5DE4B8A6" w14:textId="32984852" w:rsidR="00E43CE8" w:rsidRDefault="00E43CE8" w:rsidP="00E43CE8">
      <w:pPr>
        <w:spacing w:line="360" w:lineRule="auto"/>
        <w:ind w:firstLine="720"/>
        <w:jc w:val="center"/>
        <w:rPr>
          <w:sz w:val="24"/>
          <w:szCs w:val="24"/>
        </w:rPr>
      </w:pPr>
      <w:r w:rsidRPr="00E43CE8">
        <w:rPr>
          <w:sz w:val="24"/>
          <w:szCs w:val="24"/>
        </w:rPr>
        <w:t>AUC = (OD</w:t>
      </w:r>
      <w:r w:rsidRPr="00E43CE8">
        <w:rPr>
          <w:sz w:val="24"/>
          <w:szCs w:val="24"/>
          <w:vertAlign w:val="subscript"/>
        </w:rPr>
        <w:t>n+1</w:t>
      </w:r>
      <w:r w:rsidRPr="00E43CE8">
        <w:rPr>
          <w:sz w:val="24"/>
          <w:szCs w:val="24"/>
        </w:rPr>
        <w:t xml:space="preserve"> + </w:t>
      </w:r>
      <w:proofErr w:type="spellStart"/>
      <w:r w:rsidRPr="00E43CE8">
        <w:rPr>
          <w:sz w:val="24"/>
          <w:szCs w:val="24"/>
        </w:rPr>
        <w:t>OD</w:t>
      </w:r>
      <w:r w:rsidRPr="00E43CE8">
        <w:rPr>
          <w:sz w:val="24"/>
          <w:szCs w:val="24"/>
          <w:vertAlign w:val="subscript"/>
        </w:rPr>
        <w:t>n</w:t>
      </w:r>
      <w:proofErr w:type="spellEnd"/>
      <w:r w:rsidRPr="00E43CE8">
        <w:rPr>
          <w:sz w:val="24"/>
          <w:szCs w:val="24"/>
        </w:rPr>
        <w:t>)/2 × (T</w:t>
      </w:r>
      <w:r w:rsidRPr="00E43CE8">
        <w:rPr>
          <w:sz w:val="24"/>
          <w:szCs w:val="24"/>
          <w:vertAlign w:val="subscript"/>
        </w:rPr>
        <w:t>n+1</w:t>
      </w:r>
      <w:r w:rsidRPr="00E43CE8">
        <w:rPr>
          <w:sz w:val="24"/>
          <w:szCs w:val="24"/>
        </w:rPr>
        <w:t xml:space="preserve"> − T</w:t>
      </w:r>
      <w:r w:rsidRPr="00E43CE8">
        <w:rPr>
          <w:sz w:val="24"/>
          <w:szCs w:val="24"/>
          <w:vertAlign w:val="subscript"/>
        </w:rPr>
        <w:t>n</w:t>
      </w:r>
      <w:r w:rsidRPr="00E43CE8">
        <w:rPr>
          <w:sz w:val="24"/>
          <w:szCs w:val="24"/>
        </w:rPr>
        <w:t>).</w:t>
      </w:r>
    </w:p>
    <w:p w14:paraId="6CAAFE20" w14:textId="1EA64B0C" w:rsidR="00E43CE8" w:rsidRPr="00E43CE8" w:rsidRDefault="00E43CE8" w:rsidP="00E43CE8">
      <w:pPr>
        <w:spacing w:line="360" w:lineRule="auto"/>
        <w:ind w:firstLine="720"/>
        <w:rPr>
          <w:rFonts w:ascii="Times New Roman" w:hAnsi="Times New Roman" w:cs="Times New Roman"/>
          <w:sz w:val="24"/>
          <w:szCs w:val="24"/>
        </w:rPr>
      </w:pPr>
      <w:r w:rsidRPr="00E43CE8">
        <w:rPr>
          <w:rFonts w:ascii="Times New Roman" w:hAnsi="Times New Roman" w:cs="Times New Roman"/>
          <w:sz w:val="24"/>
          <w:szCs w:val="24"/>
        </w:rPr>
        <w:t xml:space="preserve">To test the effect of </w:t>
      </w:r>
      <w:r>
        <w:rPr>
          <w:rFonts w:ascii="Times New Roman" w:hAnsi="Times New Roman" w:cs="Times New Roman"/>
          <w:sz w:val="24"/>
          <w:szCs w:val="24"/>
        </w:rPr>
        <w:t xml:space="preserve">iron deficiency on the bacterial growth in the absence of 2,2’-dipyridyl, we followed the same protocol, but instead of using LB broth, the deletion strains were grown in the M9 citrate minimal medium </w:t>
      </w:r>
      <w:r w:rsidR="00FC5929">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{"citationID":"aonmwGCL","properties":{"formattedCitation":"\\super 120\\nosupersub{}","plainCitation":"120","noteIndex":0},"citationItems":[{"id":1885,"uris":["http://zotero.org/users/1918630/items/Z63DPDH8"],"itemData":{"id":1885,"type":"article-journal","abstract":"Gram-negative bacteria are notoriously more resistant to antibiotics than Gram-positive bacteria, primarily due to the presence of the outer membrane and a plethora of active efflux pumps. However, the potency of antibiotics also varies dramatically between different Gram-negative pathogens, suggesting major mechanistic differences in how antibiotics penetrate permeability barriers. Two approaches are used broadly to analyze how permeability barriers affect intracellular accumulation of antibiotics. One compares the antibacterial activities of compounds, while the other measures the total intracellular concentrations of compounds in nongrowing cells, with both approaches using strains harboring wild-type or genetically modified efflux systems and permeability barriers. Whether the two assays provide similar mechanistic insights remains unclear. In this study, we analyzed the intracellular accumulation and antibacterial activities of antibiotics representative of major clinical classes in three Gram-negative pathogens of high clinical importance, Pseudomonas aeruginosa, Escherichia coli, and Acinetobacter baumannii. We found that both assays are informative about properties of permeability barriers, but there is no quantitative agreement between the assays. Our results show that the three pathogens differ dramatically in their permeability barriers, with the outer membrane playing the dominant role in E. coli and P. aeruginosa but efflux dominating in A. baumannii. However, even compounds of the same chemotype may use different permeation pathways depending on small chemical modifications. Accordingly, a classification analysis revealed limited conservation of molecular properties that define compound penetration into the three bacteria.","container-title":"Antimicrobial Agents and Chemotherapy","DOI":"10.1128/aac.01377-22","ISSN":"1098-6596","issue":"2","journalAbbreviation":"Antimicrob Agents Chemother","language":"eng","note":"PMID: 36715507\nPMCID: PMC9933635","page":"e0137722","source":"PubMed","title":"Functional Diversity of Gram-Negative Permeability Barriers Reflected in Antibacterial Activities and Intracellular Accumulation of Antibiotics","volume":"67","author":[{"family":"Leus","given":"Inga V."},{"family":"Adamiak","given":"Justyna"},{"family":"Chandar","given":"Brinda"},{"family":"Bonifay","given":"Vincent"},{"family":"Zhao","given":"Shibin"},{"family":"Walker","given":"Scott S."},{"family":"Squadroni","given":"Brian"},{"family":"Balibar","given":"Carl J."},{"family":"Kinarivala","given":"Nihar"},{"family":"Standke","given":"Lisa C."},{"family":"Voss","given":"Henning U."},{"family":"Tan","given":"Derek S."},{"family":"Rybenkov","given":"Valentin V."},{"family":"Zgurskaya","given":"Helen I."}],"issued":{"date-parts":[["2023",2,16]]}}}],"schema":"https://github.com/citation-style-language/schema/raw/master/csl-citation.json"} </w:instrText>
      </w:r>
      <w:r w:rsidR="00FC5929">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120</w:t>
      </w:r>
      <w:r w:rsidR="00FC5929">
        <w:rPr>
          <w:rFonts w:ascii="Times New Roman" w:hAnsi="Times New Roman" w:cs="Times New Roman"/>
          <w:sz w:val="24"/>
          <w:szCs w:val="24"/>
        </w:rPr>
        <w:fldChar w:fldCharType="end"/>
      </w:r>
      <w:r>
        <w:rPr>
          <w:rFonts w:ascii="Times New Roman" w:hAnsi="Times New Roman" w:cs="Times New Roman"/>
          <w:sz w:val="24"/>
          <w:szCs w:val="24"/>
        </w:rPr>
        <w:t xml:space="preserve"> with and without a ferric iron supplement (3.1 </w:t>
      </w:r>
      <w:r w:rsidR="00F741FF">
        <w:rPr>
          <w:rFonts w:ascii="Times New Roman" w:hAnsi="Times New Roman" w:cs="Times New Roman"/>
          <w:sz w:val="24"/>
          <w:szCs w:val="24"/>
        </w:rPr>
        <w:t>µM).</w:t>
      </w:r>
    </w:p>
    <w:p w14:paraId="4AAF2103" w14:textId="5BB63362" w:rsidR="00156CBA" w:rsidRDefault="00974ADC" w:rsidP="00C836F0">
      <w:pPr>
        <w:rPr>
          <w:rFonts w:asciiTheme="majorHAnsi" w:hAnsiTheme="majorHAnsi" w:cstheme="majorHAnsi"/>
          <w:sz w:val="24"/>
          <w:szCs w:val="24"/>
        </w:rPr>
      </w:pPr>
      <w:r>
        <w:rPr>
          <w:rFonts w:asciiTheme="majorHAnsi" w:hAnsiTheme="majorHAnsi" w:cstheme="majorHAnsi"/>
          <w:sz w:val="24"/>
          <w:szCs w:val="24"/>
          <w:u w:val="single"/>
        </w:rPr>
        <w:t xml:space="preserve">2.9. </w:t>
      </w:r>
      <w:r w:rsidR="00156CBA" w:rsidRPr="00734E96">
        <w:rPr>
          <w:rFonts w:asciiTheme="majorHAnsi" w:hAnsiTheme="majorHAnsi" w:cstheme="majorHAnsi"/>
          <w:sz w:val="24"/>
          <w:szCs w:val="24"/>
          <w:u w:val="single"/>
        </w:rPr>
        <w:t xml:space="preserve">Membrane </w:t>
      </w:r>
      <w:r>
        <w:rPr>
          <w:rFonts w:asciiTheme="majorHAnsi" w:hAnsiTheme="majorHAnsi" w:cstheme="majorHAnsi"/>
          <w:sz w:val="24"/>
          <w:szCs w:val="24"/>
          <w:u w:val="single"/>
        </w:rPr>
        <w:t>f</w:t>
      </w:r>
      <w:r w:rsidR="00156CBA" w:rsidRPr="00734E96">
        <w:rPr>
          <w:rFonts w:asciiTheme="majorHAnsi" w:hAnsiTheme="majorHAnsi" w:cstheme="majorHAnsi"/>
          <w:sz w:val="24"/>
          <w:szCs w:val="24"/>
          <w:u w:val="single"/>
        </w:rPr>
        <w:t xml:space="preserve">raction </w:t>
      </w:r>
      <w:r>
        <w:rPr>
          <w:rFonts w:asciiTheme="majorHAnsi" w:hAnsiTheme="majorHAnsi" w:cstheme="majorHAnsi"/>
          <w:sz w:val="24"/>
          <w:szCs w:val="24"/>
          <w:u w:val="single"/>
        </w:rPr>
        <w:t>p</w:t>
      </w:r>
      <w:r w:rsidR="00156CBA" w:rsidRPr="00734E96">
        <w:rPr>
          <w:rFonts w:asciiTheme="majorHAnsi" w:hAnsiTheme="majorHAnsi" w:cstheme="majorHAnsi"/>
          <w:sz w:val="24"/>
          <w:szCs w:val="24"/>
          <w:u w:val="single"/>
        </w:rPr>
        <w:t>urification</w:t>
      </w:r>
    </w:p>
    <w:p w14:paraId="5CCFF6B9" w14:textId="2872A7FC" w:rsidR="00593EE7" w:rsidRPr="00593EE7" w:rsidRDefault="00104ED3" w:rsidP="002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preparation of bacterial cell membranes was performed as described in </w:t>
      </w:r>
      <w:proofErr w:type="spellStart"/>
      <w:r>
        <w:rPr>
          <w:rFonts w:ascii="Times New Roman" w:hAnsi="Times New Roman" w:cs="Times New Roman"/>
          <w:sz w:val="24"/>
          <w:szCs w:val="24"/>
        </w:rPr>
        <w:t>Koronakis</w:t>
      </w:r>
      <w:proofErr w:type="spellEnd"/>
      <w:r>
        <w:rPr>
          <w:rFonts w:ascii="Times New Roman" w:hAnsi="Times New Roman" w:cs="Times New Roman"/>
          <w:sz w:val="24"/>
          <w:szCs w:val="24"/>
        </w:rPr>
        <w:t xml:space="preserve"> et al., with minor alterations.</w:t>
      </w: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{"citationID":"NCpbXGwC","properties":{"formattedCitation":"\\super 121\\nosupersub{}","plainCitation":"121","noteIndex":0},"citationItems":[{"id":2030,"uris":["http://zotero.org/users/1918630/items/Z57IZI2M"],"itemData":{"id":2030,"type":"article-journal","abstract":"TolC is an outer membrane protein required for the export of virulence proteins and toxic compounds without a periplasmic intermediate. We show that TolC is an integral part of the translocator, interacting with inner membrane components, by demonstrating a need for TolC in protein export not only from intact cells but also from sphaeroplasts. To establish the structure of TolC, and thus gain information on how this might be achieved, the protein was purified from the Escherichia coli outer membrane, as a trimer, and crystallized in two-dimensional lattices by reconstitution in phospholipid bilayers. The projection structure at 12 Å resolution showed a threefold symmetric molecule of 58 Å outer diameter, and a single pool of stain filling its centre. Side views parallel to the membrane plane revealed an additional domain outside the membrane. Eighteen membrane-spanning β-strands were predicted for the 51.5 kDa monomer, excluding a 7 kDa C-terminal segment, and this segment was shown to contain a proteinase K-sensitive site that was exposed in reconstituted membranes and sphaeroplasts, but which was protected in intact cells. The combined data suggest that TolC is a trimeric outer membrane protein with each monomer comprising a membrane domain, predicted to be β-barrel, and a C-terminal periplasmic domain. The latter could form part of the bridge to the energized inner membrane component of the translocation complex.","container-title":"Molecular Microbiology","DOI":"10.1046/j.1365-2958.1997.d01-1880.x","ISSN":"1365-2958","issue":"3","language":"en","note":"_eprint: https://onlinelibrary.wiley.com/doi/pdf/10.1046/j.1365-2958.1997.d01-1880.x","page":"617-626","source":"Wiley Online Library","title":"Structure of TolC, the outer membrane component of the bacterial type I efflux system, derived from two-dimensional crystals","volume":"23","author":[{"family":"Koronakis","given":"Vassilis"},{"family":"Li","given":"Jade"},{"family":"Koronakis","given":"Eva"},{"family":"Stauffer","given":"Kathrin"}],"issued":{"date-parts":[["1997"]]}}}],"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121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93EE7">
        <w:rPr>
          <w:rFonts w:ascii="Times New Roman" w:hAnsi="Times New Roman" w:cs="Times New Roman"/>
          <w:sz w:val="24"/>
          <w:szCs w:val="24"/>
        </w:rPr>
        <w:t>Cells were grown overnight in LB medium containing appropriate selection antibiotic if applicable. Overnight cells were inoculated into fresh LB at a 1:50 ratio and grown for 1 hour at 37 °C with shaking at 200 rpm to OD</w:t>
      </w:r>
      <w:r w:rsidR="00593EE7">
        <w:rPr>
          <w:rFonts w:ascii="Times New Roman" w:hAnsi="Times New Roman" w:cs="Times New Roman"/>
          <w:sz w:val="24"/>
          <w:szCs w:val="24"/>
          <w:vertAlign w:val="subscript"/>
        </w:rPr>
        <w:t>600</w:t>
      </w:r>
      <w:r w:rsidR="00593EE7">
        <w:rPr>
          <w:rFonts w:ascii="Times New Roman" w:hAnsi="Times New Roman" w:cs="Times New Roman"/>
          <w:sz w:val="24"/>
          <w:szCs w:val="24"/>
        </w:rPr>
        <w:t xml:space="preserve"> ~0.3. Cells were induced with 1% L-arabinose and grown for another 3 hours. Cells were pelleted at 4 °C, 4,000 rpm</w:t>
      </w:r>
      <w:r w:rsidR="00E11CF8">
        <w:rPr>
          <w:rFonts w:ascii="Times New Roman" w:hAnsi="Times New Roman" w:cs="Times New Roman"/>
          <w:sz w:val="24"/>
          <w:szCs w:val="24"/>
        </w:rPr>
        <w:t xml:space="preserve"> (Eppendorf Centrifuge 5804, rotor S-4-72)</w:t>
      </w:r>
      <w:r w:rsidR="00593EE7">
        <w:rPr>
          <w:rFonts w:ascii="Times New Roman" w:hAnsi="Times New Roman" w:cs="Times New Roman"/>
          <w:sz w:val="24"/>
          <w:szCs w:val="24"/>
        </w:rPr>
        <w:t xml:space="preserve">, for 15 </w:t>
      </w:r>
      <w:r w:rsidR="00593EE7">
        <w:rPr>
          <w:rFonts w:ascii="Times New Roman" w:hAnsi="Times New Roman" w:cs="Times New Roman"/>
          <w:sz w:val="24"/>
          <w:szCs w:val="24"/>
        </w:rPr>
        <w:lastRenderedPageBreak/>
        <w:t>minutes. Cell pellets were resuspended in Lysis buffer (50 mM Tris, 5 mM EDTA, 100 µg/mL Lysozyme, 1 mM PMSF) and kept on ice for 30 minutes. Lysed cells were sonicated 2-3 times in 30 second rounds. Unbroken cells were pelleted at 4 °C, 4,000 rpm</w:t>
      </w:r>
      <w:r w:rsidR="00E11CF8">
        <w:rPr>
          <w:rFonts w:ascii="Times New Roman" w:hAnsi="Times New Roman" w:cs="Times New Roman"/>
          <w:sz w:val="24"/>
          <w:szCs w:val="24"/>
        </w:rPr>
        <w:t xml:space="preserve"> (Eppendorf Centrifuge 5804, rotor S-4-72), </w:t>
      </w:r>
      <w:r w:rsidR="00593EE7">
        <w:rPr>
          <w:rFonts w:ascii="Times New Roman" w:hAnsi="Times New Roman" w:cs="Times New Roman"/>
          <w:sz w:val="24"/>
          <w:szCs w:val="24"/>
        </w:rPr>
        <w:t xml:space="preserve">for 15 min. The supernatant containing lysed cell content was pelleted in </w:t>
      </w:r>
      <w:r w:rsidR="00CD37A3">
        <w:rPr>
          <w:rFonts w:ascii="Times New Roman" w:hAnsi="Times New Roman" w:cs="Times New Roman"/>
          <w:sz w:val="24"/>
          <w:szCs w:val="24"/>
        </w:rPr>
        <w:t>a Beckman Coulter Optima TLX Ultracentrifuge</w:t>
      </w:r>
      <w:r w:rsidR="00593EE7">
        <w:rPr>
          <w:rFonts w:ascii="Times New Roman" w:hAnsi="Times New Roman" w:cs="Times New Roman"/>
          <w:sz w:val="24"/>
          <w:szCs w:val="24"/>
        </w:rPr>
        <w:t xml:space="preserve"> at 4 °C, 45,000 rpm</w:t>
      </w:r>
      <w:r w:rsidR="00E11CF8">
        <w:rPr>
          <w:rFonts w:ascii="Times New Roman" w:hAnsi="Times New Roman" w:cs="Times New Roman"/>
          <w:sz w:val="24"/>
          <w:szCs w:val="24"/>
        </w:rPr>
        <w:t xml:space="preserve"> (Beckman Coulter Optima TLX Ultracentrifuge, rotor TLA 55)</w:t>
      </w:r>
      <w:r w:rsidR="00593EE7">
        <w:rPr>
          <w:rFonts w:ascii="Times New Roman" w:hAnsi="Times New Roman" w:cs="Times New Roman"/>
          <w:sz w:val="24"/>
          <w:szCs w:val="24"/>
        </w:rPr>
        <w:t xml:space="preserve">, for 1 hour. The pellet containing the membrane fraction was resuspended in Resuspension buffer (100 mM Tris, 300 mM NaCl, 2 mM PMSF) using water sonication.  </w:t>
      </w:r>
    </w:p>
    <w:p w14:paraId="40724A2C" w14:textId="396FF6DB"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2.10. </w:t>
      </w:r>
      <w:r w:rsidR="00156CBA" w:rsidRPr="00734E96">
        <w:rPr>
          <w:rFonts w:asciiTheme="majorHAnsi" w:hAnsiTheme="majorHAnsi" w:cstheme="majorHAnsi"/>
          <w:sz w:val="24"/>
          <w:szCs w:val="24"/>
          <w:u w:val="single"/>
        </w:rPr>
        <w:t xml:space="preserve">Protein </w:t>
      </w:r>
      <w:r>
        <w:rPr>
          <w:rFonts w:asciiTheme="majorHAnsi" w:hAnsiTheme="majorHAnsi" w:cstheme="majorHAnsi"/>
          <w:sz w:val="24"/>
          <w:szCs w:val="24"/>
          <w:u w:val="single"/>
        </w:rPr>
        <w:t>c</w:t>
      </w:r>
      <w:r w:rsidR="00156CBA" w:rsidRPr="00734E96">
        <w:rPr>
          <w:rFonts w:asciiTheme="majorHAnsi" w:hAnsiTheme="majorHAnsi" w:cstheme="majorHAnsi"/>
          <w:sz w:val="24"/>
          <w:szCs w:val="24"/>
          <w:u w:val="single"/>
        </w:rPr>
        <w:t xml:space="preserve">oncentration </w:t>
      </w:r>
      <w:r>
        <w:rPr>
          <w:rFonts w:asciiTheme="majorHAnsi" w:hAnsiTheme="majorHAnsi" w:cstheme="majorHAnsi"/>
          <w:sz w:val="24"/>
          <w:szCs w:val="24"/>
          <w:u w:val="single"/>
        </w:rPr>
        <w:t>d</w:t>
      </w:r>
      <w:r w:rsidR="00156CBA" w:rsidRPr="00734E96">
        <w:rPr>
          <w:rFonts w:asciiTheme="majorHAnsi" w:hAnsiTheme="majorHAnsi" w:cstheme="majorHAnsi"/>
          <w:sz w:val="24"/>
          <w:szCs w:val="24"/>
          <w:u w:val="single"/>
        </w:rPr>
        <w:t>etermination</w:t>
      </w:r>
    </w:p>
    <w:p w14:paraId="79BC3589" w14:textId="782D4BFA" w:rsidR="00593EE7" w:rsidRPr="00593EE7" w:rsidRDefault="00593EE7" w:rsidP="002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Dye reagent was prepared by diluting 1 part Dye Reagent Concentrate </w:t>
      </w:r>
      <w:r w:rsidR="00621811">
        <w:rPr>
          <w:rFonts w:ascii="Times New Roman" w:hAnsi="Times New Roman" w:cs="Times New Roman"/>
          <w:sz w:val="24"/>
          <w:szCs w:val="24"/>
        </w:rPr>
        <w:t>(Bio</w:t>
      </w:r>
      <w:r w:rsidR="00721DF5">
        <w:rPr>
          <w:rFonts w:ascii="Times New Roman" w:hAnsi="Times New Roman" w:cs="Times New Roman"/>
          <w:sz w:val="24"/>
          <w:szCs w:val="24"/>
        </w:rPr>
        <w:t>-</w:t>
      </w:r>
      <w:r w:rsidR="00621811">
        <w:rPr>
          <w:rFonts w:ascii="Times New Roman" w:hAnsi="Times New Roman" w:cs="Times New Roman"/>
          <w:sz w:val="24"/>
          <w:szCs w:val="24"/>
        </w:rPr>
        <w:t>Rad</w:t>
      </w:r>
      <w:r w:rsidR="00721DF5">
        <w:rPr>
          <w:rFonts w:ascii="Times New Roman" w:hAnsi="Times New Roman" w:cs="Times New Roman"/>
          <w:sz w:val="24"/>
          <w:szCs w:val="24"/>
        </w:rPr>
        <w:t>, Hercules, USA</w:t>
      </w:r>
      <w:r w:rsidR="00621811">
        <w:rPr>
          <w:rFonts w:ascii="Times New Roman" w:hAnsi="Times New Roman" w:cs="Times New Roman"/>
          <w:sz w:val="24"/>
          <w:szCs w:val="24"/>
        </w:rPr>
        <w:t xml:space="preserve">) </w:t>
      </w:r>
      <w:r>
        <w:rPr>
          <w:rFonts w:ascii="Times New Roman" w:hAnsi="Times New Roman" w:cs="Times New Roman"/>
          <w:sz w:val="24"/>
          <w:szCs w:val="24"/>
        </w:rPr>
        <w:t>with 4 parts deionized water and filter sterilized. Bovine Serum Albumin (BSA</w:t>
      </w:r>
      <w:r w:rsidR="00721DF5">
        <w:rPr>
          <w:rFonts w:ascii="Times New Roman" w:hAnsi="Times New Roman" w:cs="Times New Roman"/>
          <w:sz w:val="24"/>
          <w:szCs w:val="24"/>
        </w:rPr>
        <w:t>; Research Products International, Mt. Prospect, USA)</w:t>
      </w:r>
      <w:r>
        <w:rPr>
          <w:rFonts w:ascii="Times New Roman" w:hAnsi="Times New Roman" w:cs="Times New Roman"/>
          <w:sz w:val="24"/>
          <w:szCs w:val="24"/>
        </w:rPr>
        <w:t xml:space="preserve"> standards were prepared in the following concentrations: 0.2 mg/ml, 0.4 mg/ml, 0.6 mg/ml, 0.8 mg/ml, and 1.0 mg/ml. For each standard, 20 µL of standard solution was added to a clean, dry microfuge tube. For each sample, 18 µL of Resuspension buffer and 2 µL of sample were added to a microfuge tube. The blank was prepared with 20 µL Resuspension buffer. To each prepared microfuge tube, 1 mL of diluted dye reagent was added and mixed. The tubes were incubated at room temperature for ~5 minutes. Absorbance was measured at 595 nm. Sample protein concentration was calculated based on BSA standard curve equation. </w:t>
      </w:r>
    </w:p>
    <w:p w14:paraId="1160A8DF" w14:textId="19F90EE4"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2.11. </w:t>
      </w:r>
      <w:r w:rsidR="00156CBA" w:rsidRPr="00734E96">
        <w:rPr>
          <w:rFonts w:asciiTheme="majorHAnsi" w:hAnsiTheme="majorHAnsi" w:cstheme="majorHAnsi"/>
          <w:sz w:val="24"/>
          <w:szCs w:val="24"/>
          <w:u w:val="single"/>
        </w:rPr>
        <w:t xml:space="preserve">Inner and </w:t>
      </w:r>
      <w:r>
        <w:rPr>
          <w:rFonts w:asciiTheme="majorHAnsi" w:hAnsiTheme="majorHAnsi" w:cstheme="majorHAnsi"/>
          <w:sz w:val="24"/>
          <w:szCs w:val="24"/>
          <w:u w:val="single"/>
        </w:rPr>
        <w:t>o</w:t>
      </w:r>
      <w:r w:rsidR="00156CBA" w:rsidRPr="00734E96">
        <w:rPr>
          <w:rFonts w:asciiTheme="majorHAnsi" w:hAnsiTheme="majorHAnsi" w:cstheme="majorHAnsi"/>
          <w:sz w:val="24"/>
          <w:szCs w:val="24"/>
          <w:u w:val="single"/>
        </w:rPr>
        <w:t xml:space="preserve">uter </w:t>
      </w:r>
      <w:r>
        <w:rPr>
          <w:rFonts w:asciiTheme="majorHAnsi" w:hAnsiTheme="majorHAnsi" w:cstheme="majorHAnsi"/>
          <w:sz w:val="24"/>
          <w:szCs w:val="24"/>
          <w:u w:val="single"/>
        </w:rPr>
        <w:t>m</w:t>
      </w:r>
      <w:r w:rsidR="00156CBA" w:rsidRPr="00734E96">
        <w:rPr>
          <w:rFonts w:asciiTheme="majorHAnsi" w:hAnsiTheme="majorHAnsi" w:cstheme="majorHAnsi"/>
          <w:sz w:val="24"/>
          <w:szCs w:val="24"/>
          <w:u w:val="single"/>
        </w:rPr>
        <w:t xml:space="preserve">embrane </w:t>
      </w:r>
      <w:r>
        <w:rPr>
          <w:rFonts w:asciiTheme="majorHAnsi" w:hAnsiTheme="majorHAnsi" w:cstheme="majorHAnsi"/>
          <w:sz w:val="24"/>
          <w:szCs w:val="24"/>
          <w:u w:val="single"/>
        </w:rPr>
        <w:t>f</w:t>
      </w:r>
      <w:r w:rsidR="00156CBA" w:rsidRPr="00734E96">
        <w:rPr>
          <w:rFonts w:asciiTheme="majorHAnsi" w:hAnsiTheme="majorHAnsi" w:cstheme="majorHAnsi"/>
          <w:sz w:val="24"/>
          <w:szCs w:val="24"/>
          <w:u w:val="single"/>
        </w:rPr>
        <w:t xml:space="preserve">raction </w:t>
      </w:r>
      <w:r>
        <w:rPr>
          <w:rFonts w:asciiTheme="majorHAnsi" w:hAnsiTheme="majorHAnsi" w:cstheme="majorHAnsi"/>
          <w:sz w:val="24"/>
          <w:szCs w:val="24"/>
          <w:u w:val="single"/>
        </w:rPr>
        <w:t>s</w:t>
      </w:r>
      <w:r w:rsidR="00156CBA" w:rsidRPr="00734E96">
        <w:rPr>
          <w:rFonts w:asciiTheme="majorHAnsi" w:hAnsiTheme="majorHAnsi" w:cstheme="majorHAnsi"/>
          <w:sz w:val="24"/>
          <w:szCs w:val="24"/>
          <w:u w:val="single"/>
        </w:rPr>
        <w:t>eparation</w:t>
      </w:r>
    </w:p>
    <w:p w14:paraId="5F09EAE3" w14:textId="3BE81C8E" w:rsidR="00593EE7" w:rsidRPr="00593EE7" w:rsidRDefault="00593EE7" w:rsidP="0021013E">
      <w:pPr>
        <w:spacing w:line="360" w:lineRule="auto"/>
        <w:ind w:firstLine="720"/>
        <w:rPr>
          <w:rFonts w:ascii="Times New Roman" w:hAnsi="Times New Roman" w:cs="Times New Roman"/>
          <w:b/>
          <w:bCs/>
          <w:sz w:val="24"/>
          <w:szCs w:val="24"/>
        </w:rPr>
      </w:pPr>
      <w:r>
        <w:rPr>
          <w:rFonts w:ascii="Times New Roman" w:hAnsi="Times New Roman" w:cs="Times New Roman"/>
          <w:sz w:val="24"/>
          <w:szCs w:val="24"/>
        </w:rPr>
        <w:t>For each set of membrane fractions the total protein concentration was determined using a standard curve and a Bradford assay</w:t>
      </w:r>
      <w:r w:rsidR="008C66FA">
        <w:rPr>
          <w:rFonts w:ascii="Times New Roman" w:hAnsi="Times New Roman" w:cs="Times New Roman"/>
          <w:sz w:val="24"/>
          <w:szCs w:val="24"/>
        </w:rPr>
        <w:t xml:space="preserve"> as described above</w:t>
      </w:r>
      <w:r>
        <w:rPr>
          <w:rFonts w:ascii="Times New Roman" w:hAnsi="Times New Roman" w:cs="Times New Roman"/>
          <w:sz w:val="24"/>
          <w:szCs w:val="24"/>
        </w:rPr>
        <w:t xml:space="preserve">. Resuspension buffer and 0.4% Triton were used to adjust all samples to the lowest protein concentration and a final concentration of 0.2% Triton. The samples were then rotated at 4 °C overnight to solubilize membrane proteins. The samples were then pelleted at 4 °C, 50,000 rpm </w:t>
      </w:r>
      <w:r w:rsidR="00E11CF8">
        <w:rPr>
          <w:rFonts w:ascii="Times New Roman" w:hAnsi="Times New Roman" w:cs="Times New Roman"/>
          <w:sz w:val="24"/>
          <w:szCs w:val="24"/>
        </w:rPr>
        <w:t xml:space="preserve">(Beckman Coulter Optima TLX Ultracentrifuge, rotor TLA 55) </w:t>
      </w:r>
      <w:r>
        <w:rPr>
          <w:rFonts w:ascii="Times New Roman" w:hAnsi="Times New Roman" w:cs="Times New Roman"/>
          <w:sz w:val="24"/>
          <w:szCs w:val="24"/>
        </w:rPr>
        <w:t xml:space="preserve">for 1 hour. The supernatant containing the inner membrane protein fraction was separated from the pellet. The pellet containing the outer membrane protein fraction was resuspended in </w:t>
      </w:r>
      <w:r w:rsidR="00D11D23">
        <w:rPr>
          <w:rFonts w:ascii="Times New Roman" w:hAnsi="Times New Roman" w:cs="Times New Roman"/>
          <w:sz w:val="24"/>
          <w:szCs w:val="24"/>
        </w:rPr>
        <w:t>r</w:t>
      </w:r>
      <w:r>
        <w:rPr>
          <w:rFonts w:ascii="Times New Roman" w:hAnsi="Times New Roman" w:cs="Times New Roman"/>
          <w:sz w:val="24"/>
          <w:szCs w:val="24"/>
        </w:rPr>
        <w:t>esuspension buffer.</w:t>
      </w:r>
    </w:p>
    <w:p w14:paraId="0A913167" w14:textId="048B8FA0"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lastRenderedPageBreak/>
        <w:t xml:space="preserve">2.12. </w:t>
      </w:r>
      <w:r w:rsidR="00156CBA" w:rsidRPr="00734E96">
        <w:rPr>
          <w:rFonts w:asciiTheme="majorHAnsi" w:hAnsiTheme="majorHAnsi" w:cstheme="majorHAnsi"/>
          <w:sz w:val="24"/>
          <w:szCs w:val="24"/>
          <w:u w:val="single"/>
        </w:rPr>
        <w:t xml:space="preserve">NPN </w:t>
      </w:r>
      <w:r>
        <w:rPr>
          <w:rFonts w:asciiTheme="majorHAnsi" w:hAnsiTheme="majorHAnsi" w:cstheme="majorHAnsi"/>
          <w:sz w:val="24"/>
          <w:szCs w:val="24"/>
          <w:u w:val="single"/>
        </w:rPr>
        <w:t>f</w:t>
      </w:r>
      <w:r w:rsidR="00156CBA" w:rsidRPr="00734E96">
        <w:rPr>
          <w:rFonts w:asciiTheme="majorHAnsi" w:hAnsiTheme="majorHAnsi" w:cstheme="majorHAnsi"/>
          <w:sz w:val="24"/>
          <w:szCs w:val="24"/>
          <w:u w:val="single"/>
        </w:rPr>
        <w:t xml:space="preserve">luorescent </w:t>
      </w:r>
      <w:r>
        <w:rPr>
          <w:rFonts w:asciiTheme="majorHAnsi" w:hAnsiTheme="majorHAnsi" w:cstheme="majorHAnsi"/>
          <w:sz w:val="24"/>
          <w:szCs w:val="24"/>
          <w:u w:val="single"/>
        </w:rPr>
        <w:t>p</w:t>
      </w:r>
      <w:r w:rsidR="00156CBA" w:rsidRPr="00734E96">
        <w:rPr>
          <w:rFonts w:asciiTheme="majorHAnsi" w:hAnsiTheme="majorHAnsi" w:cstheme="majorHAnsi"/>
          <w:sz w:val="24"/>
          <w:szCs w:val="24"/>
          <w:u w:val="single"/>
        </w:rPr>
        <w:t xml:space="preserve">robe </w:t>
      </w:r>
      <w:r>
        <w:rPr>
          <w:rFonts w:asciiTheme="majorHAnsi" w:hAnsiTheme="majorHAnsi" w:cstheme="majorHAnsi"/>
          <w:sz w:val="24"/>
          <w:szCs w:val="24"/>
          <w:u w:val="single"/>
        </w:rPr>
        <w:t>u</w:t>
      </w:r>
      <w:r w:rsidR="00156CBA" w:rsidRPr="00734E96">
        <w:rPr>
          <w:rFonts w:asciiTheme="majorHAnsi" w:hAnsiTheme="majorHAnsi" w:cstheme="majorHAnsi"/>
          <w:sz w:val="24"/>
          <w:szCs w:val="24"/>
          <w:u w:val="single"/>
        </w:rPr>
        <w:t xml:space="preserve">ptake </w:t>
      </w:r>
      <w:r>
        <w:rPr>
          <w:rFonts w:asciiTheme="majorHAnsi" w:hAnsiTheme="majorHAnsi" w:cstheme="majorHAnsi"/>
          <w:sz w:val="24"/>
          <w:szCs w:val="24"/>
          <w:u w:val="single"/>
        </w:rPr>
        <w:t>a</w:t>
      </w:r>
      <w:r w:rsidR="00156CBA" w:rsidRPr="00734E96">
        <w:rPr>
          <w:rFonts w:asciiTheme="majorHAnsi" w:hAnsiTheme="majorHAnsi" w:cstheme="majorHAnsi"/>
          <w:sz w:val="24"/>
          <w:szCs w:val="24"/>
          <w:u w:val="single"/>
        </w:rPr>
        <w:t>ssay</w:t>
      </w:r>
    </w:p>
    <w:p w14:paraId="1A945A1D" w14:textId="529C35F9" w:rsidR="00593EE7" w:rsidRDefault="003D2435" w:rsidP="0021013E">
      <w:pPr>
        <w:spacing w:line="360" w:lineRule="auto"/>
        <w:ind w:firstLine="720"/>
        <w:rPr>
          <w:sz w:val="24"/>
          <w:szCs w:val="24"/>
        </w:rPr>
      </w:pPr>
      <w:r>
        <w:rPr>
          <w:rFonts w:ascii="Times New Roman" w:hAnsi="Times New Roman" w:cs="Times New Roman"/>
          <w:sz w:val="24"/>
          <w:szCs w:val="24"/>
        </w:rPr>
        <w:t>These experiments were carried out as described before.</w:t>
      </w:r>
      <w:r>
        <w:rPr>
          <w:rFonts w:ascii="Times New Roman" w:hAnsi="Times New Roman" w:cs="Times New Roman"/>
          <w:sz w:val="24"/>
          <w:szCs w:val="24"/>
        </w:rPr>
        <w:fldChar w:fldCharType="begin"/>
      </w:r>
      <w:r w:rsidR="00176906">
        <w:rPr>
          <w:rFonts w:ascii="Times New Roman" w:hAnsi="Times New Roman" w:cs="Times New Roman"/>
          <w:sz w:val="24"/>
          <w:szCs w:val="24"/>
        </w:rPr>
        <w:instrText xml:space="preserve"> ADDIN ZOTERO_ITEM CSL_CITATION {"citationID":"N3MvxQjr","properties":{"formattedCitation":"\\super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Pr>
          <w:rFonts w:ascii="Times New Roman" w:hAnsi="Times New Roman" w:cs="Times New Roman"/>
          <w:sz w:val="24"/>
          <w:szCs w:val="24"/>
        </w:rPr>
        <w:fldChar w:fldCharType="separate"/>
      </w:r>
      <w:r w:rsidR="00176906" w:rsidRPr="00176906">
        <w:rPr>
          <w:rFonts w:ascii="Times New Roman" w:hAnsi="Times New Roman" w:cs="Times New Roman"/>
          <w:sz w:val="24"/>
          <w:szCs w:val="24"/>
          <w:vertAlign w:val="superscript"/>
        </w:rPr>
        <w:t>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593EE7">
        <w:rPr>
          <w:rFonts w:ascii="Times New Roman" w:hAnsi="Times New Roman" w:cs="Times New Roman"/>
          <w:sz w:val="24"/>
          <w:szCs w:val="24"/>
        </w:rPr>
        <w:t>Cells were grown overnight in LB medium containing appropriate selection antibiotic if applicable. An aliquot of 0.5 mL overnight cell culture was inoculated into fresh 20 mL LB medium and grown at 37 °C with shaking at 200 rpm to OD</w:t>
      </w:r>
      <w:r w:rsidR="00593EE7">
        <w:rPr>
          <w:rFonts w:ascii="Times New Roman" w:hAnsi="Times New Roman" w:cs="Times New Roman"/>
          <w:sz w:val="24"/>
          <w:szCs w:val="24"/>
          <w:vertAlign w:val="subscript"/>
        </w:rPr>
        <w:t>600</w:t>
      </w:r>
      <w:r w:rsidR="00593EE7">
        <w:rPr>
          <w:rFonts w:ascii="Times New Roman" w:hAnsi="Times New Roman" w:cs="Times New Roman"/>
          <w:sz w:val="24"/>
          <w:szCs w:val="24"/>
        </w:rPr>
        <w:t xml:space="preserve"> 0.3. Cells reach this approximate OD</w:t>
      </w:r>
      <w:r w:rsidR="00593EE7">
        <w:rPr>
          <w:rFonts w:ascii="Times New Roman" w:hAnsi="Times New Roman" w:cs="Times New Roman"/>
          <w:sz w:val="24"/>
          <w:szCs w:val="24"/>
          <w:vertAlign w:val="subscript"/>
        </w:rPr>
        <w:t>600</w:t>
      </w:r>
      <w:r w:rsidR="00593EE7">
        <w:rPr>
          <w:rFonts w:ascii="Times New Roman" w:hAnsi="Times New Roman" w:cs="Times New Roman"/>
          <w:sz w:val="24"/>
          <w:szCs w:val="24"/>
        </w:rPr>
        <w:t xml:space="preserve"> after an hour of growth, at which point the cell cultures were induced with 1% L-arabinose and grown </w:t>
      </w:r>
      <w:r w:rsidR="002004B3">
        <w:rPr>
          <w:rFonts w:ascii="Times New Roman" w:hAnsi="Times New Roman" w:cs="Times New Roman"/>
          <w:sz w:val="24"/>
          <w:szCs w:val="24"/>
        </w:rPr>
        <w:t>for three more hours</w:t>
      </w:r>
      <w:r w:rsidR="00593EE7">
        <w:rPr>
          <w:rFonts w:ascii="Times New Roman" w:hAnsi="Times New Roman" w:cs="Times New Roman"/>
          <w:sz w:val="24"/>
          <w:szCs w:val="24"/>
        </w:rPr>
        <w:t>. The cells were then pelleted at room temperature by centrifugations for 20 minutes. The pellet was resuspended and washed in 10 mL</w:t>
      </w:r>
      <w:r w:rsidR="002004B3">
        <w:rPr>
          <w:rFonts w:ascii="Times New Roman" w:hAnsi="Times New Roman" w:cs="Times New Roman"/>
          <w:sz w:val="24"/>
          <w:szCs w:val="24"/>
        </w:rPr>
        <w:t xml:space="preserve"> </w:t>
      </w:r>
      <w:r w:rsidR="00593EE7">
        <w:rPr>
          <w:rFonts w:ascii="Times New Roman" w:hAnsi="Times New Roman" w:cs="Times New Roman"/>
          <w:sz w:val="24"/>
          <w:szCs w:val="24"/>
        </w:rPr>
        <w:t>HMG buffer</w:t>
      </w:r>
      <w:r w:rsidR="002004B3">
        <w:rPr>
          <w:rFonts w:ascii="Times New Roman" w:hAnsi="Times New Roman" w:cs="Times New Roman"/>
          <w:sz w:val="24"/>
          <w:szCs w:val="24"/>
        </w:rPr>
        <w:t xml:space="preserve"> (50 mM HEPES-KOH buffer (pH 7.0) containing 1 mM MgSO</w:t>
      </w:r>
      <w:r w:rsidR="002004B3">
        <w:rPr>
          <w:rFonts w:ascii="Times New Roman" w:hAnsi="Times New Roman" w:cs="Times New Roman"/>
          <w:sz w:val="24"/>
          <w:szCs w:val="24"/>
          <w:vertAlign w:val="subscript"/>
        </w:rPr>
        <w:t>4</w:t>
      </w:r>
      <w:r w:rsidR="002004B3">
        <w:rPr>
          <w:rFonts w:ascii="Times New Roman" w:hAnsi="Times New Roman" w:cs="Times New Roman"/>
          <w:sz w:val="24"/>
          <w:szCs w:val="24"/>
        </w:rPr>
        <w:t xml:space="preserve"> and 0.4 mM glucose)</w:t>
      </w:r>
      <w:r w:rsidR="00593EE7">
        <w:rPr>
          <w:rFonts w:ascii="Times New Roman" w:hAnsi="Times New Roman" w:cs="Times New Roman"/>
          <w:sz w:val="24"/>
          <w:szCs w:val="24"/>
        </w:rPr>
        <w:t>. The pellet was resuspended again in HMG buffer with a variable volume that resulted in a final OD</w:t>
      </w:r>
      <w:r w:rsidR="00593EE7">
        <w:rPr>
          <w:rFonts w:ascii="Times New Roman" w:hAnsi="Times New Roman" w:cs="Times New Roman"/>
          <w:sz w:val="24"/>
          <w:szCs w:val="24"/>
          <w:vertAlign w:val="subscript"/>
        </w:rPr>
        <w:t>600</w:t>
      </w:r>
      <w:r w:rsidR="00593EE7">
        <w:rPr>
          <w:rFonts w:ascii="Times New Roman" w:hAnsi="Times New Roman" w:cs="Times New Roman"/>
          <w:sz w:val="24"/>
          <w:szCs w:val="24"/>
        </w:rPr>
        <w:t xml:space="preserve"> of 1.0</w:t>
      </w:r>
      <w:r w:rsidR="002004B3">
        <w:rPr>
          <w:rFonts w:ascii="Times New Roman" w:hAnsi="Times New Roman" w:cs="Times New Roman"/>
          <w:sz w:val="24"/>
          <w:szCs w:val="24"/>
        </w:rPr>
        <w:t xml:space="preserve"> +/- 0.05</w:t>
      </w:r>
      <w:r w:rsidR="00593EE7">
        <w:rPr>
          <w:rFonts w:ascii="Times New Roman" w:hAnsi="Times New Roman" w:cs="Times New Roman"/>
          <w:sz w:val="24"/>
          <w:szCs w:val="24"/>
        </w:rPr>
        <w:t xml:space="preserve"> for each cell strain. The cells were kept at room temperature during the course of the experiment. Uptake assays were performed in a </w:t>
      </w:r>
      <w:r w:rsidR="002004B3">
        <w:rPr>
          <w:rFonts w:ascii="Times New Roman" w:hAnsi="Times New Roman" w:cs="Times New Roman"/>
          <w:sz w:val="24"/>
          <w:szCs w:val="24"/>
        </w:rPr>
        <w:t xml:space="preserve">multimode microplate reader (Tecan Spark 10M, </w:t>
      </w:r>
      <w:proofErr w:type="spellStart"/>
      <w:r w:rsidR="002004B3">
        <w:rPr>
          <w:rFonts w:ascii="Times New Roman" w:hAnsi="Times New Roman" w:cs="Times New Roman"/>
          <w:sz w:val="24"/>
          <w:szCs w:val="24"/>
        </w:rPr>
        <w:t>M</w:t>
      </w:r>
      <w:r w:rsidR="002004B3" w:rsidRPr="002004B3">
        <w:rPr>
          <w:sz w:val="24"/>
          <w:szCs w:val="24"/>
        </w:rPr>
        <w:t>ä</w:t>
      </w:r>
      <w:r w:rsidR="002004B3">
        <w:rPr>
          <w:sz w:val="24"/>
          <w:szCs w:val="24"/>
        </w:rPr>
        <w:t>nnedorf</w:t>
      </w:r>
      <w:proofErr w:type="spellEnd"/>
      <w:r w:rsidR="002004B3">
        <w:rPr>
          <w:sz w:val="24"/>
          <w:szCs w:val="24"/>
        </w:rPr>
        <w:t>, Switzerland)</w:t>
      </w:r>
      <w:r w:rsidR="002004B3">
        <w:rPr>
          <w:rFonts w:ascii="Times New Roman" w:hAnsi="Times New Roman" w:cs="Times New Roman"/>
          <w:sz w:val="24"/>
          <w:szCs w:val="24"/>
        </w:rPr>
        <w:t xml:space="preserve">. The </w:t>
      </w:r>
      <w:r w:rsidR="00593EE7">
        <w:rPr>
          <w:rFonts w:ascii="Times New Roman" w:hAnsi="Times New Roman" w:cs="Times New Roman"/>
          <w:sz w:val="24"/>
          <w:szCs w:val="24"/>
        </w:rPr>
        <w:t xml:space="preserve">fluorescence </w:t>
      </w:r>
      <w:r w:rsidR="002004B3">
        <w:rPr>
          <w:rFonts w:ascii="Times New Roman" w:hAnsi="Times New Roman" w:cs="Times New Roman"/>
          <w:sz w:val="24"/>
          <w:szCs w:val="24"/>
        </w:rPr>
        <w:t xml:space="preserve">of NPN </w:t>
      </w:r>
      <w:r w:rsidR="009875FB">
        <w:rPr>
          <w:rFonts w:ascii="Times New Roman" w:hAnsi="Times New Roman" w:cs="Times New Roman"/>
          <w:sz w:val="24"/>
          <w:szCs w:val="24"/>
        </w:rPr>
        <w:t xml:space="preserve">(1-N-phenylnaphthylamine; Sigma-Alrich. St. Louis, USA ) </w:t>
      </w:r>
      <w:r w:rsidR="002004B3">
        <w:rPr>
          <w:rFonts w:ascii="Times New Roman" w:hAnsi="Times New Roman" w:cs="Times New Roman"/>
          <w:sz w:val="24"/>
          <w:szCs w:val="24"/>
        </w:rPr>
        <w:t xml:space="preserve">was monitored at </w:t>
      </w:r>
      <w:proofErr w:type="spellStart"/>
      <w:r w:rsidR="002004B3" w:rsidRPr="002004B3">
        <w:rPr>
          <w:sz w:val="24"/>
          <w:szCs w:val="24"/>
        </w:rPr>
        <w:t>λex</w:t>
      </w:r>
      <w:proofErr w:type="spellEnd"/>
      <w:r w:rsidR="002004B3" w:rsidRPr="002004B3">
        <w:rPr>
          <w:sz w:val="24"/>
          <w:szCs w:val="24"/>
        </w:rPr>
        <w:t xml:space="preserve"> = 350 nm and </w:t>
      </w:r>
      <w:proofErr w:type="spellStart"/>
      <w:r w:rsidR="002004B3" w:rsidRPr="002004B3">
        <w:rPr>
          <w:sz w:val="24"/>
          <w:szCs w:val="24"/>
        </w:rPr>
        <w:t>λem</w:t>
      </w:r>
      <w:proofErr w:type="spellEnd"/>
      <w:r w:rsidR="002004B3" w:rsidRPr="002004B3">
        <w:rPr>
          <w:sz w:val="24"/>
          <w:szCs w:val="24"/>
        </w:rPr>
        <w:t xml:space="preserve"> = 405 nm at a gain of 75 for 10 min. All measurements were collected in duplicates and performed with at least two biological and two technical repeats.</w:t>
      </w:r>
    </w:p>
    <w:p w14:paraId="69CF6F89" w14:textId="2EAD381A" w:rsidR="00B56D31" w:rsidRDefault="00974ADC" w:rsidP="00B56D31">
      <w:pPr>
        <w:spacing w:line="360" w:lineRule="auto"/>
        <w:rPr>
          <w:sz w:val="24"/>
          <w:szCs w:val="24"/>
          <w:u w:val="single"/>
        </w:rPr>
      </w:pPr>
      <w:r>
        <w:rPr>
          <w:sz w:val="24"/>
          <w:szCs w:val="24"/>
          <w:u w:val="single"/>
        </w:rPr>
        <w:t xml:space="preserve">2.13. </w:t>
      </w:r>
      <w:r w:rsidR="00B56D31">
        <w:rPr>
          <w:sz w:val="24"/>
          <w:szCs w:val="24"/>
          <w:u w:val="single"/>
        </w:rPr>
        <w:t xml:space="preserve">Analysis of </w:t>
      </w:r>
      <w:r>
        <w:rPr>
          <w:sz w:val="24"/>
          <w:szCs w:val="24"/>
          <w:u w:val="single"/>
        </w:rPr>
        <w:t>f</w:t>
      </w:r>
      <w:r w:rsidR="00B56D31">
        <w:rPr>
          <w:sz w:val="24"/>
          <w:szCs w:val="24"/>
          <w:u w:val="single"/>
        </w:rPr>
        <w:t xml:space="preserve">luorescence </w:t>
      </w:r>
      <w:r>
        <w:rPr>
          <w:sz w:val="24"/>
          <w:szCs w:val="24"/>
          <w:u w:val="single"/>
        </w:rPr>
        <w:t>u</w:t>
      </w:r>
      <w:r w:rsidR="00B56D31">
        <w:rPr>
          <w:sz w:val="24"/>
          <w:szCs w:val="24"/>
          <w:u w:val="single"/>
        </w:rPr>
        <w:t xml:space="preserve">ptake </w:t>
      </w:r>
      <w:r>
        <w:rPr>
          <w:sz w:val="24"/>
          <w:szCs w:val="24"/>
          <w:u w:val="single"/>
        </w:rPr>
        <w:t>d</w:t>
      </w:r>
      <w:r w:rsidR="00B56D31">
        <w:rPr>
          <w:sz w:val="24"/>
          <w:szCs w:val="24"/>
          <w:u w:val="single"/>
        </w:rPr>
        <w:t>ata</w:t>
      </w:r>
    </w:p>
    <w:p w14:paraId="42CE7A9E" w14:textId="169C1AEE" w:rsidR="00B56D31" w:rsidRDefault="00B56D31" w:rsidP="00B56D31">
      <w:pPr>
        <w:spacing w:line="360" w:lineRule="auto"/>
        <w:rPr>
          <w:sz w:val="24"/>
          <w:szCs w:val="24"/>
        </w:rPr>
      </w:pPr>
      <w:r>
        <w:rPr>
          <w:sz w:val="24"/>
          <w:szCs w:val="24"/>
        </w:rPr>
        <w:tab/>
        <w:t xml:space="preserve">The data was first plotted in Microsoft Excel, with replicates averaged and standard deviation or standard error also calculated for each curve. Fluorescence was normalized to the first reading of the wells without cells and the data was inspected for outliers. To calculate initial rates and steady states of fluorophore uptake, the time courses were imported into MATLAB </w:t>
      </w:r>
      <w:r w:rsidRPr="007C3677">
        <w:rPr>
          <w:sz w:val="24"/>
          <w:szCs w:val="24"/>
        </w:rPr>
        <w:t>(MathWorks</w:t>
      </w:r>
      <w:r w:rsidR="007C3677">
        <w:rPr>
          <w:sz w:val="24"/>
          <w:szCs w:val="24"/>
        </w:rPr>
        <w:t>, Natick, USA</w:t>
      </w:r>
      <w:r>
        <w:rPr>
          <w:sz w:val="24"/>
          <w:szCs w:val="24"/>
        </w:rPr>
        <w:t>)</w:t>
      </w:r>
      <w:r w:rsidR="008325B4">
        <w:rPr>
          <w:sz w:val="24"/>
          <w:szCs w:val="24"/>
        </w:rPr>
        <w:t xml:space="preserve"> and analyzed using the home written program STEADYSTATE_PREPROCESS</w:t>
      </w:r>
      <w:r>
        <w:rPr>
          <w:sz w:val="24"/>
          <w:szCs w:val="24"/>
        </w:rPr>
        <w:t>.</w:t>
      </w:r>
      <w:r w:rsidR="008325B4">
        <w:rPr>
          <w:sz w:val="24"/>
          <w:szCs w:val="24"/>
        </w:rPr>
        <w:fldChar w:fldCharType="begin"/>
      </w:r>
      <w:r w:rsidR="00625D97">
        <w:rPr>
          <w:sz w:val="24"/>
          <w:szCs w:val="24"/>
        </w:rPr>
        <w:instrText xml:space="preserve"> ADDIN ZOTERO_ITEM CSL_CITATION {"citationID":"ajl64iqf97","properties":{"formattedCitation":"\\super 122\\nosupersub{}","plainCitation":"122","noteIndex":0},"citationItems":[{"id":678,"uris":["http://zotero.org/users/1918630/items/DEDYYF6V"],"itemData":{"id":678,"type":"article-journal","abstract":"Cell envelopes of many bacteria consist of two membranes studded with efflux transporters. Such organization protects bacteria from the environment and gives rise to multidrug resistance. We report a kinetic model that accurately describes the permeation properties of this system. The model predicts complex non-linear patterns of drug uptake complete with a bifurcation, which recapitulate the known experimental anomalies. We introduce two kinetic parameters, the efflux and barrier constants, which replace those of Michaelis and Menten for trans-envelope transport. Both compound permeation and efflux display transitions, which delineate regimes of efficient and inefficient efflux. The first transition is related to saturation of the transporter by the compound and the second one behaves as a bifurcation and involves saturation of the outer membrane barrier. The bifurcation was experimentally observed in live bacteria. We further found that active efflux of a drug can be orders of magnitude faster than its diffusion into a cell and that the efficacy of a drug depends both on its transport properties and therapeutic potency. This analysis reveals novel physical principles in the behavior of the cellular envelope, creates a framework for quantification of small molecule permeation into bacteria, and should invigorate structure-activity studies of novel antibiotics.","container-title":"PLoS ONE","DOI":"10.1371/journal.pone.0184671","ISSN":"1932-6203","issue":"9","journalAbbreviation":"PLoS One","note":"PMID: 28926596\nPMCID: PMC5604995","source":"PubMed Central","title":"Bifurcation kinetics of drug uptake by Gram-negative bacteria","URL":"https://www.ncbi.nlm.nih.gov/pmc/articles/PMC5604995/","volume":"12","author":[{"family":"Westfall","given":"David A."},{"family":"Krishnamoorthy","given":"Ganesh"},{"family":"Wolloscheck","given":"David"},{"family":"Sarkar","given":"Rupa"},{"family":"Zgurskaya","given":"Helen I."},{"family":"Rybenkov","given":"Valentin V."}],"accessed":{"date-parts":[["2018",1,23]]},"issued":{"date-parts":[["2017",9,19]]}}}],"schema":"https://github.com/citation-style-language/schema/raw/master/csl-citation.json"} </w:instrText>
      </w:r>
      <w:r w:rsidR="008325B4">
        <w:rPr>
          <w:sz w:val="24"/>
          <w:szCs w:val="24"/>
        </w:rPr>
        <w:fldChar w:fldCharType="separate"/>
      </w:r>
      <w:r w:rsidR="00625D97" w:rsidRPr="00625D97">
        <w:rPr>
          <w:rFonts w:ascii="Times New Roman" w:hAnsi="Times New Roman" w:cs="Times New Roman"/>
          <w:sz w:val="24"/>
          <w:vertAlign w:val="superscript"/>
        </w:rPr>
        <w:t>122</w:t>
      </w:r>
      <w:r w:rsidR="008325B4">
        <w:rPr>
          <w:sz w:val="24"/>
          <w:szCs w:val="24"/>
        </w:rPr>
        <w:fldChar w:fldCharType="end"/>
      </w:r>
      <w:r>
        <w:rPr>
          <w:sz w:val="24"/>
          <w:szCs w:val="24"/>
        </w:rPr>
        <w:t xml:space="preserve"> </w:t>
      </w:r>
    </w:p>
    <w:p w14:paraId="12CC43D2" w14:textId="4493FCB6" w:rsidR="00F741FF" w:rsidRDefault="00974ADC" w:rsidP="00F741FF">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2.14. </w:t>
      </w:r>
      <w:r w:rsidR="00F741FF">
        <w:rPr>
          <w:rFonts w:ascii="Times New Roman" w:hAnsi="Times New Roman" w:cs="Times New Roman"/>
          <w:sz w:val="24"/>
          <w:szCs w:val="24"/>
          <w:u w:val="single"/>
        </w:rPr>
        <w:t>Clustering</w:t>
      </w:r>
    </w:p>
    <w:p w14:paraId="3A039A31" w14:textId="418D9325" w:rsidR="00F741FF" w:rsidRDefault="00F741FF" w:rsidP="00F741FF">
      <w:pPr>
        <w:spacing w:line="360" w:lineRule="auto"/>
        <w:rPr>
          <w:rFonts w:ascii="Times New Roman" w:hAnsi="Times New Roman" w:cs="Times New Roman"/>
          <w:sz w:val="24"/>
          <w:szCs w:val="24"/>
        </w:rPr>
      </w:pPr>
      <w:r>
        <w:rPr>
          <w:rFonts w:ascii="Times New Roman" w:hAnsi="Times New Roman" w:cs="Times New Roman"/>
          <w:sz w:val="24"/>
          <w:szCs w:val="24"/>
        </w:rPr>
        <w:tab/>
      </w:r>
      <w:r w:rsidR="009875FB">
        <w:rPr>
          <w:rFonts w:ascii="Times New Roman" w:hAnsi="Times New Roman" w:cs="Times New Roman"/>
          <w:sz w:val="24"/>
          <w:szCs w:val="24"/>
        </w:rPr>
        <w:t xml:space="preserve">Clustering analysis was performed by Dr. Justyna Adamiak. </w:t>
      </w:r>
      <w:r>
        <w:rPr>
          <w:rFonts w:ascii="Times New Roman" w:hAnsi="Times New Roman" w:cs="Times New Roman"/>
          <w:sz w:val="24"/>
          <w:szCs w:val="24"/>
        </w:rPr>
        <w:t xml:space="preserve">Multivariate statistical techniques (principal component analysis, PCA) were applied to investigate the association between strains depending on their physiological properties (growth under stress conditions, NPN uptake, MICs). Data for conducting PCA were normalized by </w:t>
      </w:r>
      <w:r>
        <w:rPr>
          <w:rFonts w:ascii="Times New Roman" w:hAnsi="Times New Roman" w:cs="Times New Roman"/>
          <w:sz w:val="24"/>
          <w:szCs w:val="24"/>
        </w:rPr>
        <w:lastRenderedPageBreak/>
        <w:t>centering to the mean and dividing by the standard deviation. All code, unless indicated, was written in house using RStudio 1.4 and R version 4.04.</w:t>
      </w:r>
    </w:p>
    <w:p w14:paraId="4DC2D4EB" w14:textId="36CAF13F" w:rsidR="00156CBA" w:rsidRDefault="00974ADC"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2.15. </w:t>
      </w:r>
      <w:r w:rsidR="00156CBA" w:rsidRPr="00734E96">
        <w:rPr>
          <w:rFonts w:asciiTheme="majorHAnsi" w:hAnsiTheme="majorHAnsi" w:cstheme="majorHAnsi"/>
          <w:sz w:val="24"/>
          <w:szCs w:val="24"/>
          <w:u w:val="single"/>
        </w:rPr>
        <w:t xml:space="preserve">Antigen </w:t>
      </w:r>
      <w:r>
        <w:rPr>
          <w:rFonts w:asciiTheme="majorHAnsi" w:hAnsiTheme="majorHAnsi" w:cstheme="majorHAnsi"/>
          <w:sz w:val="24"/>
          <w:szCs w:val="24"/>
          <w:u w:val="single"/>
        </w:rPr>
        <w:t>p</w:t>
      </w:r>
      <w:r w:rsidR="00156CBA" w:rsidRPr="00734E96">
        <w:rPr>
          <w:rFonts w:asciiTheme="majorHAnsi" w:hAnsiTheme="majorHAnsi" w:cstheme="majorHAnsi"/>
          <w:sz w:val="24"/>
          <w:szCs w:val="24"/>
          <w:u w:val="single"/>
        </w:rPr>
        <w:t xml:space="preserve">reparation for </w:t>
      </w:r>
      <w:r>
        <w:rPr>
          <w:rFonts w:asciiTheme="majorHAnsi" w:hAnsiTheme="majorHAnsi" w:cstheme="majorHAnsi"/>
          <w:sz w:val="24"/>
          <w:szCs w:val="24"/>
          <w:u w:val="single"/>
        </w:rPr>
        <w:t>a</w:t>
      </w:r>
      <w:r w:rsidR="00156CBA" w:rsidRPr="00734E96">
        <w:rPr>
          <w:rFonts w:asciiTheme="majorHAnsi" w:hAnsiTheme="majorHAnsi" w:cstheme="majorHAnsi"/>
          <w:sz w:val="24"/>
          <w:szCs w:val="24"/>
          <w:u w:val="single"/>
        </w:rPr>
        <w:t xml:space="preserve">ntibody </w:t>
      </w:r>
      <w:r>
        <w:rPr>
          <w:rFonts w:asciiTheme="majorHAnsi" w:hAnsiTheme="majorHAnsi" w:cstheme="majorHAnsi"/>
          <w:sz w:val="24"/>
          <w:szCs w:val="24"/>
          <w:u w:val="single"/>
        </w:rPr>
        <w:t>p</w:t>
      </w:r>
      <w:r w:rsidR="00156CBA" w:rsidRPr="00734E96">
        <w:rPr>
          <w:rFonts w:asciiTheme="majorHAnsi" w:hAnsiTheme="majorHAnsi" w:cstheme="majorHAnsi"/>
          <w:sz w:val="24"/>
          <w:szCs w:val="24"/>
          <w:u w:val="single"/>
        </w:rPr>
        <w:t>roduction</w:t>
      </w:r>
    </w:p>
    <w:p w14:paraId="0A41F964" w14:textId="456F77B0" w:rsidR="00593EE7" w:rsidRDefault="00593EE7" w:rsidP="0021013E">
      <w:pPr>
        <w:spacing w:line="360" w:lineRule="auto"/>
        <w:ind w:firstLine="720"/>
        <w:rPr>
          <w:rFonts w:ascii="Times New Roman" w:hAnsi="Times New Roman" w:cs="Times New Roman"/>
          <w:sz w:val="24"/>
          <w:szCs w:val="24"/>
        </w:rPr>
      </w:pPr>
      <w:r>
        <w:rPr>
          <w:rFonts w:ascii="Times New Roman" w:hAnsi="Times New Roman" w:cs="Times New Roman"/>
          <w:i/>
          <w:iCs/>
          <w:sz w:val="24"/>
          <w:szCs w:val="24"/>
        </w:rPr>
        <w:t>E. coli</w:t>
      </w:r>
      <w:r>
        <w:rPr>
          <w:rFonts w:ascii="Times New Roman" w:hAnsi="Times New Roman" w:cs="Times New Roman"/>
          <w:sz w:val="24"/>
          <w:szCs w:val="24"/>
        </w:rPr>
        <w:t xml:space="preserve"> C43 cells containing pTJ1_AdeB or pTJ1_AdeJ were grown overnight in LB media containing 100 µg/ml Ampicillin at 37 °C with shaking. The cells were then </w:t>
      </w:r>
      <w:proofErr w:type="spellStart"/>
      <w:r>
        <w:rPr>
          <w:rFonts w:ascii="Times New Roman" w:hAnsi="Times New Roman" w:cs="Times New Roman"/>
          <w:sz w:val="24"/>
          <w:szCs w:val="24"/>
        </w:rPr>
        <w:t>subcultured</w:t>
      </w:r>
      <w:proofErr w:type="spellEnd"/>
      <w:r>
        <w:rPr>
          <w:rFonts w:ascii="Times New Roman" w:hAnsi="Times New Roman" w:cs="Times New Roman"/>
          <w:sz w:val="24"/>
          <w:szCs w:val="24"/>
        </w:rPr>
        <w:t xml:space="preserve"> into 1 L of fresh LB media containing 100 µg/mL Ampicillin and grown at 37 °C with shaking. After 2 hours the cultures were induced with [0.2 mM] </w:t>
      </w:r>
      <w:r w:rsidRPr="005A3382">
        <w:rPr>
          <w:rFonts w:ascii="Times New Roman" w:hAnsi="Times New Roman" w:cs="Times New Roman"/>
          <w:sz w:val="24"/>
          <w:szCs w:val="24"/>
        </w:rPr>
        <w:t>Isopropyl β- d-1-thiogalactopyranoside</w:t>
      </w:r>
      <w:r w:rsidRPr="005A3382">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4"/>
          <w:szCs w:val="24"/>
        </w:rPr>
        <w:t>IPTG</w:t>
      </w:r>
      <w:r w:rsidR="00326B26">
        <w:rPr>
          <w:rFonts w:ascii="Times New Roman" w:hAnsi="Times New Roman" w:cs="Times New Roman"/>
          <w:sz w:val="24"/>
          <w:szCs w:val="24"/>
        </w:rPr>
        <w:t xml:space="preserve">; </w:t>
      </w:r>
      <w:proofErr w:type="spellStart"/>
      <w:r w:rsidR="00326B26">
        <w:rPr>
          <w:rFonts w:ascii="Times New Roman" w:hAnsi="Times New Roman" w:cs="Times New Roman"/>
          <w:sz w:val="24"/>
          <w:szCs w:val="24"/>
        </w:rPr>
        <w:t>Inalco</w:t>
      </w:r>
      <w:proofErr w:type="spellEnd"/>
      <w:r w:rsidR="00326B26">
        <w:rPr>
          <w:rFonts w:ascii="Times New Roman" w:hAnsi="Times New Roman" w:cs="Times New Roman"/>
          <w:sz w:val="24"/>
          <w:szCs w:val="24"/>
        </w:rPr>
        <w:t xml:space="preserve"> SAS, Milano, Italy</w:t>
      </w:r>
      <w:r>
        <w:rPr>
          <w:rFonts w:ascii="Times New Roman" w:hAnsi="Times New Roman" w:cs="Times New Roman"/>
          <w:sz w:val="24"/>
          <w:szCs w:val="24"/>
        </w:rPr>
        <w:t xml:space="preserve">) then grown for another 5 hours. To collect the cells, the cultures were centrifuged at 4,000 rpm </w:t>
      </w:r>
      <w:r w:rsidR="00E11CF8">
        <w:rPr>
          <w:rFonts w:ascii="Times New Roman" w:hAnsi="Times New Roman" w:cs="Times New Roman"/>
          <w:sz w:val="24"/>
          <w:szCs w:val="24"/>
        </w:rPr>
        <w:t xml:space="preserve">(Eppendorf Centrifuge 5804, rotor S-4-72) </w:t>
      </w:r>
      <w:r>
        <w:rPr>
          <w:rFonts w:ascii="Times New Roman" w:hAnsi="Times New Roman" w:cs="Times New Roman"/>
          <w:sz w:val="24"/>
          <w:szCs w:val="24"/>
        </w:rPr>
        <w:t>in 4 °C for 30 minutes. The pellets were resuspended in 40 mL resuspension buffer (100 mM NaCl, 10 mM Tris-HCl pH 7.5, 1 mM PMSF). The cells were once again centrifuged at 4,000 rpm</w:t>
      </w:r>
      <w:r w:rsidR="00E11CF8">
        <w:rPr>
          <w:rFonts w:ascii="Times New Roman" w:hAnsi="Times New Roman" w:cs="Times New Roman"/>
          <w:sz w:val="24"/>
          <w:szCs w:val="24"/>
        </w:rPr>
        <w:t xml:space="preserve"> (Eppendorf Centrifuge 5804, rotor S-4-72)</w:t>
      </w:r>
      <w:r>
        <w:rPr>
          <w:rFonts w:ascii="Times New Roman" w:hAnsi="Times New Roman" w:cs="Times New Roman"/>
          <w:sz w:val="24"/>
          <w:szCs w:val="24"/>
        </w:rPr>
        <w:t xml:space="preserve"> in 4 °C for 20 minutes, then the pellets were frozen at -20 °C. To prepare cells for lysis, the pellets were defrosted at room temperature and resuspended in 40 mL lysis buffer (20 mM Tris-HCl pH 7.5, 5 mM EDTA, 0.05 mg/mL </w:t>
      </w:r>
      <w:proofErr w:type="spellStart"/>
      <w:r>
        <w:rPr>
          <w:rFonts w:ascii="Times New Roman" w:hAnsi="Times New Roman" w:cs="Times New Roman"/>
          <w:sz w:val="24"/>
          <w:szCs w:val="24"/>
        </w:rPr>
        <w:t>DNAse</w:t>
      </w:r>
      <w:proofErr w:type="spellEnd"/>
      <w:r>
        <w:rPr>
          <w:rFonts w:ascii="Times New Roman" w:hAnsi="Times New Roman" w:cs="Times New Roman"/>
          <w:sz w:val="24"/>
          <w:szCs w:val="24"/>
        </w:rPr>
        <w:t xml:space="preserve">, 1 mM PMSF). </w:t>
      </w:r>
    </w:p>
    <w:p w14:paraId="200920D6" w14:textId="77198091" w:rsidR="00593EE7" w:rsidRDefault="00593EE7" w:rsidP="00593EE7">
      <w:pPr>
        <w:spacing w:line="360" w:lineRule="auto"/>
        <w:rPr>
          <w:rFonts w:ascii="Times New Roman" w:hAnsi="Times New Roman" w:cs="Times New Roman"/>
          <w:sz w:val="24"/>
          <w:szCs w:val="24"/>
        </w:rPr>
      </w:pPr>
      <w:r>
        <w:rPr>
          <w:rFonts w:ascii="Times New Roman" w:hAnsi="Times New Roman" w:cs="Times New Roman"/>
          <w:sz w:val="24"/>
          <w:szCs w:val="24"/>
        </w:rPr>
        <w:t>The cells were lysed usin</w:t>
      </w:r>
      <w:r w:rsidR="000D2173">
        <w:rPr>
          <w:rFonts w:ascii="Times New Roman" w:hAnsi="Times New Roman" w:cs="Times New Roman"/>
          <w:sz w:val="24"/>
          <w:szCs w:val="24"/>
        </w:rPr>
        <w:t xml:space="preserve">g a </w:t>
      </w:r>
      <w:r>
        <w:rPr>
          <w:rFonts w:ascii="Times New Roman" w:hAnsi="Times New Roman" w:cs="Times New Roman"/>
          <w:sz w:val="24"/>
          <w:szCs w:val="24"/>
        </w:rPr>
        <w:t>F</w:t>
      </w:r>
      <w:r w:rsidR="000D2173">
        <w:rPr>
          <w:rFonts w:ascii="Times New Roman" w:hAnsi="Times New Roman" w:cs="Times New Roman"/>
          <w:sz w:val="24"/>
          <w:szCs w:val="24"/>
        </w:rPr>
        <w:t>RENCH Pressure Cell</w:t>
      </w:r>
      <w:r>
        <w:rPr>
          <w:rFonts w:ascii="Times New Roman" w:hAnsi="Times New Roman" w:cs="Times New Roman"/>
          <w:sz w:val="24"/>
          <w:szCs w:val="24"/>
        </w:rPr>
        <w:t xml:space="preserve"> Press</w:t>
      </w:r>
      <w:r w:rsidR="000D2173">
        <w:rPr>
          <w:rFonts w:ascii="Times New Roman" w:hAnsi="Times New Roman" w:cs="Times New Roman"/>
          <w:sz w:val="24"/>
          <w:szCs w:val="24"/>
        </w:rPr>
        <w:t xml:space="preserve"> (SLM Instruments Inc.)</w:t>
      </w:r>
      <w:r>
        <w:rPr>
          <w:rFonts w:ascii="Times New Roman" w:hAnsi="Times New Roman" w:cs="Times New Roman"/>
          <w:sz w:val="24"/>
          <w:szCs w:val="24"/>
        </w:rPr>
        <w:t xml:space="preserve">. The samples were centrifuged at 4,000 rpm </w:t>
      </w:r>
      <w:r w:rsidR="00E11CF8">
        <w:rPr>
          <w:rFonts w:ascii="Times New Roman" w:hAnsi="Times New Roman" w:cs="Times New Roman"/>
          <w:sz w:val="24"/>
          <w:szCs w:val="24"/>
        </w:rPr>
        <w:t xml:space="preserve">(Eppendorf Centrifuge 5804, rotor S-4-72) </w:t>
      </w:r>
      <w:r>
        <w:rPr>
          <w:rFonts w:ascii="Times New Roman" w:hAnsi="Times New Roman" w:cs="Times New Roman"/>
          <w:sz w:val="24"/>
          <w:szCs w:val="24"/>
        </w:rPr>
        <w:t xml:space="preserve">in 4 °C for 20 minutes to pellet the unbroken cells. The supernatant was collected and centrifuged at 35,000 rpm </w:t>
      </w:r>
      <w:r w:rsidR="00E11CF8">
        <w:rPr>
          <w:rFonts w:ascii="Times New Roman" w:hAnsi="Times New Roman" w:cs="Times New Roman"/>
          <w:sz w:val="24"/>
          <w:szCs w:val="24"/>
        </w:rPr>
        <w:t xml:space="preserve">(Beckman Coulter Optima TLX Ultracentrifuge rotor TLA 55) </w:t>
      </w:r>
      <w:r>
        <w:rPr>
          <w:rFonts w:ascii="Times New Roman" w:hAnsi="Times New Roman" w:cs="Times New Roman"/>
          <w:sz w:val="24"/>
          <w:szCs w:val="24"/>
        </w:rPr>
        <w:t>at 4 °C for 1 hour. The pellets containing the membrane fraction w</w:t>
      </w:r>
      <w:r w:rsidR="000D2173">
        <w:rPr>
          <w:rFonts w:ascii="Times New Roman" w:hAnsi="Times New Roman" w:cs="Times New Roman"/>
          <w:sz w:val="24"/>
          <w:szCs w:val="24"/>
        </w:rPr>
        <w:t>ere</w:t>
      </w:r>
      <w:r>
        <w:rPr>
          <w:rFonts w:ascii="Times New Roman" w:hAnsi="Times New Roman" w:cs="Times New Roman"/>
          <w:sz w:val="24"/>
          <w:szCs w:val="24"/>
        </w:rPr>
        <w:t xml:space="preserve"> washed with 40 mL resuspension buffer then centrifuged again at 35,000 rpm </w:t>
      </w:r>
      <w:r w:rsidR="00E11CF8">
        <w:rPr>
          <w:rFonts w:ascii="Times New Roman" w:hAnsi="Times New Roman" w:cs="Times New Roman"/>
          <w:sz w:val="24"/>
          <w:szCs w:val="24"/>
        </w:rPr>
        <w:t xml:space="preserve">(Beckman Coulter Optima TLX Ultracentrifuge rotor TLA 55) </w:t>
      </w:r>
      <w:r>
        <w:rPr>
          <w:rFonts w:ascii="Times New Roman" w:hAnsi="Times New Roman" w:cs="Times New Roman"/>
          <w:sz w:val="24"/>
          <w:szCs w:val="24"/>
        </w:rPr>
        <w:t xml:space="preserve">in 4 °C for 30 minutes. The pellets were resuspended in 10 mL of solubilization solution (25 mM HEPES, 150 mM NaCl, 2% DDM, 1 mM PMSF) and set up to rotate overnight at 4 °C. The samples were then centrifuged at 40,000 rpm </w:t>
      </w:r>
      <w:r w:rsidR="00E11CF8">
        <w:rPr>
          <w:rFonts w:ascii="Times New Roman" w:hAnsi="Times New Roman" w:cs="Times New Roman"/>
          <w:sz w:val="24"/>
          <w:szCs w:val="24"/>
        </w:rPr>
        <w:t xml:space="preserve">(Beckman Coulter Optima TLX Ultracentrifuge rotor TLA 55) </w:t>
      </w:r>
      <w:r>
        <w:rPr>
          <w:rFonts w:ascii="Times New Roman" w:hAnsi="Times New Roman" w:cs="Times New Roman"/>
          <w:sz w:val="24"/>
          <w:szCs w:val="24"/>
        </w:rPr>
        <w:t xml:space="preserve">in 4 °C for 1 hour. The supernatant was collected as the soluble fraction and purified using a </w:t>
      </w:r>
      <w:r w:rsidR="00621811">
        <w:rPr>
          <w:rFonts w:ascii="Times New Roman" w:hAnsi="Times New Roman" w:cs="Times New Roman"/>
          <w:sz w:val="24"/>
          <w:szCs w:val="24"/>
        </w:rPr>
        <w:t xml:space="preserve">nickel-affinity </w:t>
      </w:r>
      <w:r>
        <w:rPr>
          <w:rFonts w:ascii="Times New Roman" w:hAnsi="Times New Roman" w:cs="Times New Roman"/>
          <w:sz w:val="24"/>
          <w:szCs w:val="24"/>
        </w:rPr>
        <w:t xml:space="preserve">column. The resulting fractions were visualized on a 12% SDS-PAGE gel followed by Coomassie staining and western blot to identify the fractions with the highest concentration of the protein. The selected fractions were combined and visualized on another 12% SDS-PAGE gel along with bovine serum albumin (BSA) standards (0.2 µg, </w:t>
      </w:r>
      <w:r>
        <w:rPr>
          <w:rFonts w:ascii="Times New Roman" w:hAnsi="Times New Roman" w:cs="Times New Roman"/>
          <w:sz w:val="24"/>
          <w:szCs w:val="24"/>
        </w:rPr>
        <w:lastRenderedPageBreak/>
        <w:t xml:space="preserve">0.5 µg, 1.0 µg, 1.5 µg, 2.0 µg). </w:t>
      </w:r>
      <w:r w:rsidR="00621811">
        <w:rPr>
          <w:rFonts w:ascii="Times New Roman" w:hAnsi="Times New Roman" w:cs="Times New Roman"/>
          <w:sz w:val="24"/>
          <w:szCs w:val="24"/>
        </w:rPr>
        <w:t xml:space="preserve">Quantity One (Bio Rad) </w:t>
      </w:r>
      <w:r>
        <w:rPr>
          <w:rFonts w:ascii="Times New Roman" w:hAnsi="Times New Roman" w:cs="Times New Roman"/>
          <w:sz w:val="24"/>
          <w:szCs w:val="24"/>
        </w:rPr>
        <w:t xml:space="preserve">was used to quantify the samples’ protein concentrations. </w:t>
      </w:r>
    </w:p>
    <w:p w14:paraId="6BD55315" w14:textId="42572147" w:rsidR="00156CBA" w:rsidRDefault="00593EE7" w:rsidP="00593EE7">
      <w:pPr>
        <w:spacing w:line="360" w:lineRule="auto"/>
        <w:rPr>
          <w:rFonts w:ascii="Times New Roman" w:hAnsi="Times New Roman" w:cs="Times New Roman"/>
          <w:sz w:val="24"/>
          <w:szCs w:val="24"/>
        </w:rPr>
      </w:pPr>
      <w:r>
        <w:rPr>
          <w:rFonts w:ascii="Times New Roman" w:hAnsi="Times New Roman" w:cs="Times New Roman"/>
          <w:sz w:val="24"/>
          <w:szCs w:val="24"/>
        </w:rPr>
        <w:t xml:space="preserve">The remaining samples were run on 8% SDS-PAGE gels and stained with Coomassie dye. Our protein bands were cut out of the gels and placed in conical tubes containing PBS </w:t>
      </w:r>
      <w:r w:rsidR="00621811">
        <w:rPr>
          <w:rFonts w:ascii="Times New Roman" w:hAnsi="Times New Roman" w:cs="Times New Roman"/>
          <w:sz w:val="24"/>
          <w:szCs w:val="24"/>
        </w:rPr>
        <w:t xml:space="preserve">(Phosphate-buffered saline) </w:t>
      </w:r>
      <w:r>
        <w:rPr>
          <w:rFonts w:ascii="Times New Roman" w:hAnsi="Times New Roman" w:cs="Times New Roman"/>
          <w:sz w:val="24"/>
          <w:szCs w:val="24"/>
        </w:rPr>
        <w:t xml:space="preserve">buffer </w:t>
      </w:r>
      <w:r w:rsidR="00590DC9">
        <w:rPr>
          <w:rFonts w:ascii="Times New Roman" w:hAnsi="Times New Roman" w:cs="Times New Roman"/>
          <w:sz w:val="24"/>
          <w:szCs w:val="24"/>
        </w:rPr>
        <w:t>(10 mM Phosphate, 2.7 mM Potassium Chloride, 137 mM Sodium Chloride, pH 7.4)</w:t>
      </w:r>
      <w:r>
        <w:rPr>
          <w:rFonts w:ascii="Times New Roman" w:hAnsi="Times New Roman" w:cs="Times New Roman"/>
          <w:sz w:val="24"/>
          <w:szCs w:val="24"/>
        </w:rPr>
        <w:t>. These protein samples serve as our supplied antigens for rabbit immunization.</w:t>
      </w:r>
    </w:p>
    <w:p w14:paraId="4729D318" w14:textId="73CF6C4A" w:rsidR="00B2190B" w:rsidRDefault="00974ADC" w:rsidP="00593EE7">
      <w:pPr>
        <w:spacing w:line="360" w:lineRule="auto"/>
        <w:rPr>
          <w:rFonts w:ascii="Times New Roman" w:hAnsi="Times New Roman" w:cs="Times New Roman"/>
          <w:sz w:val="24"/>
          <w:szCs w:val="24"/>
        </w:rPr>
      </w:pPr>
      <w:r>
        <w:rPr>
          <w:rFonts w:ascii="Times New Roman" w:hAnsi="Times New Roman" w:cs="Times New Roman"/>
          <w:sz w:val="24"/>
          <w:szCs w:val="24"/>
          <w:u w:val="single"/>
        </w:rPr>
        <w:t xml:space="preserve">2.16. </w:t>
      </w:r>
      <w:r w:rsidR="00B2190B">
        <w:rPr>
          <w:rFonts w:ascii="Times New Roman" w:hAnsi="Times New Roman" w:cs="Times New Roman"/>
          <w:sz w:val="24"/>
          <w:szCs w:val="24"/>
          <w:u w:val="single"/>
        </w:rPr>
        <w:t xml:space="preserve">Protein </w:t>
      </w:r>
      <w:r>
        <w:rPr>
          <w:rFonts w:ascii="Times New Roman" w:hAnsi="Times New Roman" w:cs="Times New Roman"/>
          <w:sz w:val="24"/>
          <w:szCs w:val="24"/>
          <w:u w:val="single"/>
        </w:rPr>
        <w:t>s</w:t>
      </w:r>
      <w:r w:rsidR="00B2190B">
        <w:rPr>
          <w:rFonts w:ascii="Times New Roman" w:hAnsi="Times New Roman" w:cs="Times New Roman"/>
          <w:sz w:val="24"/>
          <w:szCs w:val="24"/>
          <w:u w:val="single"/>
        </w:rPr>
        <w:t xml:space="preserve">tructure </w:t>
      </w:r>
      <w:r>
        <w:rPr>
          <w:rFonts w:ascii="Times New Roman" w:hAnsi="Times New Roman" w:cs="Times New Roman"/>
          <w:sz w:val="24"/>
          <w:szCs w:val="24"/>
          <w:u w:val="single"/>
        </w:rPr>
        <w:t>m</w:t>
      </w:r>
      <w:r w:rsidR="00B2190B">
        <w:rPr>
          <w:rFonts w:ascii="Times New Roman" w:hAnsi="Times New Roman" w:cs="Times New Roman"/>
          <w:sz w:val="24"/>
          <w:szCs w:val="24"/>
          <w:u w:val="single"/>
        </w:rPr>
        <w:t>odeling</w:t>
      </w:r>
    </w:p>
    <w:p w14:paraId="40376CCF" w14:textId="77C2E3F3" w:rsidR="00B2190B" w:rsidRDefault="00B2190B" w:rsidP="002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newly named </w:t>
      </w:r>
      <w:proofErr w:type="spellStart"/>
      <w:r>
        <w:rPr>
          <w:rFonts w:ascii="Times New Roman" w:hAnsi="Times New Roman" w:cs="Times New Roman"/>
          <w:sz w:val="24"/>
          <w:szCs w:val="24"/>
        </w:rPr>
        <w:t>AmfA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AmfB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AmfC</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AmfD</w:t>
      </w:r>
      <w:proofErr w:type="spellEnd"/>
      <w:r>
        <w:rPr>
          <w:rFonts w:ascii="Times New Roman" w:hAnsi="Times New Roman" w:cs="Times New Roman"/>
          <w:sz w:val="24"/>
          <w:szCs w:val="24"/>
        </w:rPr>
        <w:t xml:space="preserve"> efflux pump protomer structures were </w:t>
      </w:r>
      <w:r w:rsidR="00CF2A33">
        <w:rPr>
          <w:rFonts w:ascii="Times New Roman" w:hAnsi="Times New Roman" w:cs="Times New Roman"/>
          <w:sz w:val="24"/>
          <w:szCs w:val="24"/>
        </w:rPr>
        <w:t>predicted by the I-TASSER (</w:t>
      </w:r>
      <w:r w:rsidR="003424B3">
        <w:rPr>
          <w:rFonts w:ascii="Times New Roman" w:hAnsi="Times New Roman" w:cs="Times New Roman"/>
          <w:sz w:val="24"/>
          <w:szCs w:val="24"/>
        </w:rPr>
        <w:t xml:space="preserve">Iterative Threading </w:t>
      </w:r>
      <w:proofErr w:type="spellStart"/>
      <w:r w:rsidR="003424B3">
        <w:rPr>
          <w:rFonts w:ascii="Times New Roman" w:hAnsi="Times New Roman" w:cs="Times New Roman"/>
          <w:sz w:val="24"/>
          <w:szCs w:val="24"/>
        </w:rPr>
        <w:t>ASSembly</w:t>
      </w:r>
      <w:proofErr w:type="spellEnd"/>
      <w:r w:rsidR="003424B3">
        <w:rPr>
          <w:rFonts w:ascii="Times New Roman" w:hAnsi="Times New Roman" w:cs="Times New Roman"/>
          <w:sz w:val="24"/>
          <w:szCs w:val="24"/>
        </w:rPr>
        <w:t xml:space="preserve"> Refinement</w:t>
      </w:r>
      <w:r w:rsidR="00CF2A33">
        <w:rPr>
          <w:rFonts w:ascii="Times New Roman" w:hAnsi="Times New Roman" w:cs="Times New Roman"/>
          <w:sz w:val="24"/>
          <w:szCs w:val="24"/>
        </w:rPr>
        <w:t>) online platform, made and maintained by the Yang Zhang lab</w:t>
      </w:r>
      <w:r w:rsidR="009F1717">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{"citationID":"lkpet3kW","properties":{"formattedCitation":"\\super 123\\nosupersub{}","plainCitation":"123","noteIndex":0},"citationItems":[{"id":1838,"uris":["http://zotero.org/users/1918630/items/NIRY9Z3S"],"itemData":{"id":1838,"type":"article-journal","container-title":"Nature Methods","DOI":"10.1038/nmeth.3213","ISSN":"1548-7105","issue":"1","journalAbbreviation":"Nat Methods","language":"en","license":"2015 Springer Nature America, Inc.","note":"number: 1\npublisher: Nature Publishing Group","page":"7-8","source":"www.nature.com","title":"The I-TASSER Suite: protein structure and function prediction","title-short":"The I-TASSER Suite","volume":"12","author":[{"family":"Yang","given":"Jianyi"},{"family":"Yan","given":"Renxiang"},{"family":"Roy","given":"Ambrish"},{"family":"Xu","given":"Dong"},{"family":"Poisson","given":"Jonathan"},{"family":"Zhang","given":"Yang"}],"issued":{"date-parts":[["2015",1]]}}}],"schema":"https://github.com/citation-style-language/schema/raw/master/csl-citation.json"} </w:instrText>
      </w:r>
      <w:r w:rsidR="009F1717">
        <w:rPr>
          <w:rFonts w:ascii="Times New Roman" w:hAnsi="Times New Roman" w:cs="Times New Roman"/>
          <w:sz w:val="24"/>
          <w:szCs w:val="24"/>
        </w:rPr>
        <w:fldChar w:fldCharType="separate"/>
      </w:r>
      <w:r w:rsidR="00625D97" w:rsidRPr="00625D97">
        <w:rPr>
          <w:rFonts w:ascii="Times New Roman" w:hAnsi="Times New Roman" w:cs="Times New Roman"/>
          <w:sz w:val="24"/>
          <w:vertAlign w:val="superscript"/>
        </w:rPr>
        <w:t>123</w:t>
      </w:r>
      <w:r w:rsidR="009F1717">
        <w:rPr>
          <w:rFonts w:ascii="Times New Roman" w:hAnsi="Times New Roman" w:cs="Times New Roman"/>
          <w:sz w:val="24"/>
          <w:szCs w:val="24"/>
        </w:rPr>
        <w:fldChar w:fldCharType="end"/>
      </w:r>
      <w:r w:rsidR="009F1717">
        <w:rPr>
          <w:rFonts w:ascii="Times New Roman" w:hAnsi="Times New Roman" w:cs="Times New Roman"/>
          <w:sz w:val="24"/>
          <w:szCs w:val="24"/>
          <w:vertAlign w:val="superscript"/>
        </w:rPr>
        <w:t>,</w:t>
      </w:r>
      <w:r w:rsidR="009F1717">
        <w:rPr>
          <w:rFonts w:ascii="Times New Roman" w:hAnsi="Times New Roman" w:cs="Times New Roman"/>
          <w:sz w:val="24"/>
          <w:szCs w:val="24"/>
          <w:vertAlign w:val="superscript"/>
        </w:rPr>
        <w:fldChar w:fldCharType="begin"/>
      </w:r>
      <w:r w:rsidR="00625D97">
        <w:rPr>
          <w:rFonts w:ascii="Times New Roman" w:hAnsi="Times New Roman" w:cs="Times New Roman"/>
          <w:sz w:val="24"/>
          <w:szCs w:val="24"/>
          <w:vertAlign w:val="superscript"/>
        </w:rPr>
        <w:instrText xml:space="preserve"> ADDIN ZOTERO_ITEM CSL_CITATION {"citationID":"XGh14C84","properties":{"formattedCitation":"\\super 124\\nosupersub{}","plainCitation":"124","noteIndex":0},"citationItems":[{"id":1840,"uris":["http://zotero.org/users/1918630/items/JBUBGLAK"],"itemData":{"id":1840,"type":"article-journal","abstract":"The iterative threading assembly refinement (I-TASSER) server is an integrated platform for automated protein structure and function prediction based on the sequence-to-structure-to-function paradigm. Starting from an amino acid sequence, I-TASSER first generates three-dimensional (3D) atomic models from multiple threading alignments and iterative structural assembly simulations. The function of the protein is then inferred by structurally matching the 3D models with other known proteins. The output from a typical server run contains full-length secondary and tertiary structure predictions, and functional annotations on ligand-binding sites, Enzyme Commission numbers and Gene Ontology terms. An estimate of accuracy of the predictions is provided based on the confidence score of the modeling. This protocol provides new insights and guidelines for designing of online server systems for the state-of-the-art protein structure and function predictions. The server is available at http://zhanglab.ccmb.med.umich.edu/I-TASSER.","container-title":"Nature Protocols","DOI":"10.1038/nprot.2010.5","ISSN":"1750-2799","issue":"4","journalAbbreviation":"Nat Protoc","language":"en","license":"2010 Springer Nature Limited","note":"number: 4\npublisher: Nature Publishing Group","page":"725-738","source":"www.nature.com","title":"I-TASSER: a unified platform for automated protein structure and function prediction","title-short":"I-TASSER","volume":"5","author":[{"family":"Roy","given":"Ambrish"},{"family":"Kucukural","given":"Alper"},{"family":"Zhang","given":"Yang"}],"issued":{"date-parts":[["2010",4]]}}}],"schema":"https://github.com/citation-style-language/schema/raw/master/csl-citation.json"} </w:instrText>
      </w:r>
      <w:r w:rsidR="009F1717">
        <w:rPr>
          <w:rFonts w:ascii="Times New Roman" w:hAnsi="Times New Roman" w:cs="Times New Roman"/>
          <w:sz w:val="24"/>
          <w:szCs w:val="24"/>
          <w:vertAlign w:val="superscript"/>
        </w:rPr>
        <w:fldChar w:fldCharType="separate"/>
      </w:r>
      <w:r w:rsidR="00625D97" w:rsidRPr="00625D97">
        <w:rPr>
          <w:rFonts w:ascii="Times New Roman" w:hAnsi="Times New Roman" w:cs="Times New Roman"/>
          <w:sz w:val="24"/>
          <w:vertAlign w:val="superscript"/>
        </w:rPr>
        <w:t>124</w:t>
      </w:r>
      <w:r w:rsidR="009F1717">
        <w:rPr>
          <w:rFonts w:ascii="Times New Roman" w:hAnsi="Times New Roman" w:cs="Times New Roman"/>
          <w:sz w:val="24"/>
          <w:szCs w:val="24"/>
          <w:vertAlign w:val="superscript"/>
        </w:rPr>
        <w:fldChar w:fldCharType="end"/>
      </w:r>
      <w:r w:rsidR="009F1717">
        <w:rPr>
          <w:rFonts w:ascii="Times New Roman" w:hAnsi="Times New Roman" w:cs="Times New Roman"/>
          <w:sz w:val="24"/>
          <w:szCs w:val="24"/>
          <w:vertAlign w:val="superscript"/>
        </w:rPr>
        <w:t>,</w:t>
      </w:r>
      <w:r w:rsidR="009F1717">
        <w:rPr>
          <w:rFonts w:ascii="Times New Roman" w:hAnsi="Times New Roman" w:cs="Times New Roman"/>
          <w:sz w:val="24"/>
          <w:szCs w:val="24"/>
          <w:vertAlign w:val="superscript"/>
        </w:rPr>
        <w:fldChar w:fldCharType="begin"/>
      </w:r>
      <w:r w:rsidR="00625D97">
        <w:rPr>
          <w:rFonts w:ascii="Times New Roman" w:hAnsi="Times New Roman" w:cs="Times New Roman"/>
          <w:sz w:val="24"/>
          <w:szCs w:val="24"/>
          <w:vertAlign w:val="superscript"/>
        </w:rPr>
        <w:instrText xml:space="preserve"> ADDIN ZOTERO_ITEM CSL_CITATION {"citationID":"llBeY0ao","properties":{"formattedCitation":"\\super 125\\nosupersub{}","plainCitation":"125","noteIndex":0},"citationItems":[{"id":1842,"uris":["http://zotero.org/users/1918630/items/T3F5D9VI"],"itemData":{"id":1842,"type":"article-journal","abstract":"Prediction of 3-dimensional protein structures from amino acid sequences represents one of the most important problems in computational structural biology. The community-wide Critical Assessment of Structure Prediction (CASP) experiments have been designed to obtain an objective assessment of the state-of-the-art of the field, where I-TASSER was ranked as the best method in the server section of the recent 7th CASP experiment. Our laboratory has since then received numerous requests about the public availability of the I-TASSER algorithm and the usage of the I-TASSER predictions.","container-title":"BMC Bioinformatics","DOI":"10.1186/1471-2105-9-40","ISSN":"1471-2105","issue":"1","journalAbbreviation":"BMC Bioinformatics","page":"40","source":"BioMed Central","title":"I-TASSER server for protein 3D structure prediction","volume":"9","author":[{"family":"Zhang","given":"Yang"}],"issued":{"date-parts":[["2008",1,23]]}}}],"schema":"https://github.com/citation-style-language/schema/raw/master/csl-citation.json"} </w:instrText>
      </w:r>
      <w:r w:rsidR="009F1717">
        <w:rPr>
          <w:rFonts w:ascii="Times New Roman" w:hAnsi="Times New Roman" w:cs="Times New Roman"/>
          <w:sz w:val="24"/>
          <w:szCs w:val="24"/>
          <w:vertAlign w:val="superscript"/>
        </w:rPr>
        <w:fldChar w:fldCharType="separate"/>
      </w:r>
      <w:r w:rsidR="00625D97" w:rsidRPr="00625D97">
        <w:rPr>
          <w:rFonts w:ascii="Times New Roman" w:hAnsi="Times New Roman" w:cs="Times New Roman"/>
          <w:sz w:val="24"/>
          <w:vertAlign w:val="superscript"/>
        </w:rPr>
        <w:t>125</w:t>
      </w:r>
      <w:r w:rsidR="009F1717">
        <w:rPr>
          <w:rFonts w:ascii="Times New Roman" w:hAnsi="Times New Roman" w:cs="Times New Roman"/>
          <w:sz w:val="24"/>
          <w:szCs w:val="24"/>
          <w:vertAlign w:val="superscript"/>
        </w:rPr>
        <w:fldChar w:fldCharType="end"/>
      </w:r>
      <w:r w:rsidR="00CF2A33">
        <w:rPr>
          <w:rFonts w:ascii="Times New Roman" w:hAnsi="Times New Roman" w:cs="Times New Roman"/>
          <w:sz w:val="24"/>
          <w:szCs w:val="24"/>
        </w:rPr>
        <w:t>, which uses I-TASSER based algorithms for protein structure and function predictions. For each protomer, the protein’s amino acid sequence was</w:t>
      </w:r>
      <w:r w:rsidR="00B743BB">
        <w:rPr>
          <w:rFonts w:ascii="Times New Roman" w:hAnsi="Times New Roman" w:cs="Times New Roman"/>
          <w:sz w:val="24"/>
          <w:szCs w:val="24"/>
        </w:rPr>
        <w:t xml:space="preserve"> submitted to the I-TASSER server. The server first attempts to retrieve template proteins of similar folds</w:t>
      </w:r>
      <w:r w:rsidR="00043FF9">
        <w:rPr>
          <w:rFonts w:ascii="Times New Roman" w:hAnsi="Times New Roman" w:cs="Times New Roman"/>
          <w:sz w:val="24"/>
          <w:szCs w:val="24"/>
        </w:rPr>
        <w:t xml:space="preserve"> from a locally stored copy of the PDB library</w:t>
      </w:r>
      <w:r w:rsidR="009F1717">
        <w:rPr>
          <w:rFonts w:ascii="Times New Roman" w:hAnsi="Times New Roman" w:cs="Times New Roman"/>
          <w:sz w:val="24"/>
          <w:szCs w:val="24"/>
        </w:rPr>
        <w:t xml:space="preserve">, </w:t>
      </w:r>
      <w:r w:rsidR="00043FF9">
        <w:rPr>
          <w:rFonts w:ascii="Times New Roman" w:hAnsi="Times New Roman" w:cs="Times New Roman"/>
          <w:sz w:val="24"/>
          <w:szCs w:val="24"/>
        </w:rPr>
        <w:t xml:space="preserve">by </w:t>
      </w:r>
      <w:r w:rsidR="00043FF9" w:rsidRPr="00254BE8">
        <w:rPr>
          <w:rFonts w:ascii="Times New Roman" w:hAnsi="Times New Roman" w:cs="Times New Roman"/>
          <w:sz w:val="24"/>
          <w:szCs w:val="24"/>
        </w:rPr>
        <w:t>LOMETS</w:t>
      </w:r>
      <w:r w:rsidR="009F1717" w:rsidRPr="00254BE8">
        <w:rPr>
          <w:rFonts w:ascii="Times New Roman" w:hAnsi="Times New Roman" w:cs="Times New Roman"/>
          <w:sz w:val="24"/>
          <w:szCs w:val="24"/>
        </w:rPr>
        <w:t xml:space="preserve"> (Local Meta-Threading Server, version 3</w:t>
      </w:r>
      <w:r w:rsidR="003424B3">
        <w:rPr>
          <w:rFonts w:ascii="Times New Roman" w:hAnsi="Times New Roman" w:cs="Times New Roman"/>
          <w:sz w:val="24"/>
          <w:szCs w:val="24"/>
        </w:rPr>
        <w:t>. A meta-server approach to template-based protein structure prediction and structure-based function annotation</w:t>
      </w:r>
      <w:r w:rsidR="00043FF9" w:rsidRPr="00254BE8">
        <w:rPr>
          <w:rFonts w:ascii="Times New Roman" w:hAnsi="Times New Roman" w:cs="Times New Roman"/>
          <w:sz w:val="24"/>
          <w:szCs w:val="24"/>
        </w:rPr>
        <w:t>)</w:t>
      </w:r>
      <w:r w:rsidR="003424B3">
        <w:rPr>
          <w:rFonts w:ascii="Times New Roman" w:hAnsi="Times New Roman" w:cs="Times New Roman"/>
          <w:sz w:val="24"/>
          <w:szCs w:val="24"/>
        </w:rPr>
        <w:t>.</w:t>
      </w:r>
      <w:r w:rsidR="00B743BB">
        <w:rPr>
          <w:rFonts w:ascii="Times New Roman" w:hAnsi="Times New Roman" w:cs="Times New Roman"/>
          <w:sz w:val="24"/>
          <w:szCs w:val="24"/>
        </w:rPr>
        <w:t xml:space="preserve"> </w:t>
      </w:r>
      <w:r w:rsidR="00043FF9">
        <w:rPr>
          <w:rFonts w:ascii="Times New Roman" w:hAnsi="Times New Roman" w:cs="Times New Roman"/>
          <w:sz w:val="24"/>
          <w:szCs w:val="24"/>
        </w:rPr>
        <w:t>T</w:t>
      </w:r>
      <w:r w:rsidR="00B743BB">
        <w:rPr>
          <w:rFonts w:ascii="Times New Roman" w:hAnsi="Times New Roman" w:cs="Times New Roman"/>
          <w:sz w:val="24"/>
          <w:szCs w:val="24"/>
        </w:rPr>
        <w:t>hen the snippets of template folds are reassembled into full-length models</w:t>
      </w:r>
      <w:r w:rsidR="00043FF9">
        <w:rPr>
          <w:rFonts w:ascii="Times New Roman" w:hAnsi="Times New Roman" w:cs="Times New Roman"/>
          <w:sz w:val="24"/>
          <w:szCs w:val="24"/>
        </w:rPr>
        <w:t xml:space="preserve"> by replica-exchange Monte Carlo simulations</w:t>
      </w:r>
      <w:r w:rsidR="00B743BB">
        <w:rPr>
          <w:rFonts w:ascii="Times New Roman" w:hAnsi="Times New Roman" w:cs="Times New Roman"/>
          <w:sz w:val="24"/>
          <w:szCs w:val="24"/>
        </w:rPr>
        <w:t xml:space="preserve">. Any unaligned regions (mainly flexible loop regions) </w:t>
      </w:r>
      <w:r w:rsidR="00043FF9">
        <w:rPr>
          <w:rFonts w:ascii="Times New Roman" w:hAnsi="Times New Roman" w:cs="Times New Roman"/>
          <w:sz w:val="24"/>
          <w:szCs w:val="24"/>
        </w:rPr>
        <w:t xml:space="preserve">are built by ab initio modeling and incorporated into the full-length model. </w:t>
      </w:r>
      <w:r w:rsidR="00650506">
        <w:rPr>
          <w:rFonts w:ascii="Times New Roman" w:hAnsi="Times New Roman" w:cs="Times New Roman"/>
          <w:sz w:val="24"/>
          <w:szCs w:val="24"/>
        </w:rPr>
        <w:t xml:space="preserve">Clustering the simulation decoys via </w:t>
      </w:r>
      <w:r w:rsidR="00650506" w:rsidRPr="00254BE8">
        <w:rPr>
          <w:rFonts w:ascii="Times New Roman" w:hAnsi="Times New Roman" w:cs="Times New Roman"/>
          <w:sz w:val="24"/>
          <w:szCs w:val="24"/>
        </w:rPr>
        <w:t xml:space="preserve">SPICKLER </w:t>
      </w:r>
      <w:r w:rsidR="00254BE8">
        <w:rPr>
          <w:rFonts w:ascii="Times New Roman" w:hAnsi="Times New Roman" w:cs="Times New Roman"/>
          <w:sz w:val="24"/>
          <w:szCs w:val="24"/>
        </w:rPr>
        <w:t>(a clustering algorithm to identify the near-native models from a pool of protein structure decoys)</w:t>
      </w:r>
      <w:r w:rsidR="00650506">
        <w:rPr>
          <w:rFonts w:ascii="Times New Roman" w:hAnsi="Times New Roman" w:cs="Times New Roman"/>
          <w:sz w:val="24"/>
          <w:szCs w:val="24"/>
        </w:rPr>
        <w:t xml:space="preserve"> was done to find the low free-energy states of the protein models. Next, the structure is re-assembled starting from the SPICKLER cluster centroid. This second assembly is guided by the spatial restraints collected from the LOMETS templates and the PDB structures by </w:t>
      </w:r>
      <w:r w:rsidR="00650506" w:rsidRPr="00254BE8">
        <w:rPr>
          <w:rFonts w:ascii="Times New Roman" w:hAnsi="Times New Roman" w:cs="Times New Roman"/>
          <w:sz w:val="24"/>
          <w:szCs w:val="24"/>
        </w:rPr>
        <w:t xml:space="preserve">TM-align </w:t>
      </w:r>
      <w:r w:rsidR="00254BE8">
        <w:rPr>
          <w:rFonts w:ascii="Times New Roman" w:hAnsi="Times New Roman" w:cs="Times New Roman"/>
          <w:sz w:val="24"/>
          <w:szCs w:val="24"/>
        </w:rPr>
        <w:t>(</w:t>
      </w:r>
      <w:r w:rsidR="003424B3">
        <w:rPr>
          <w:rFonts w:ascii="Times New Roman" w:hAnsi="Times New Roman" w:cs="Times New Roman"/>
          <w:sz w:val="24"/>
          <w:szCs w:val="24"/>
        </w:rPr>
        <w:t xml:space="preserve">an </w:t>
      </w:r>
      <w:r w:rsidR="00254BE8">
        <w:rPr>
          <w:rFonts w:ascii="Times New Roman" w:hAnsi="Times New Roman" w:cs="Times New Roman"/>
          <w:sz w:val="24"/>
          <w:szCs w:val="24"/>
        </w:rPr>
        <w:t>algorithm for sequence independent protein structure comparisons)</w:t>
      </w:r>
      <w:r w:rsidR="00650506">
        <w:rPr>
          <w:rFonts w:ascii="Times New Roman" w:hAnsi="Times New Roman" w:cs="Times New Roman"/>
          <w:sz w:val="24"/>
          <w:szCs w:val="24"/>
        </w:rPr>
        <w:t xml:space="preserve">. </w:t>
      </w:r>
      <w:r w:rsidR="002A634C">
        <w:rPr>
          <w:rFonts w:ascii="Times New Roman" w:hAnsi="Times New Roman" w:cs="Times New Roman"/>
          <w:sz w:val="24"/>
          <w:szCs w:val="24"/>
        </w:rPr>
        <w:t xml:space="preserve">The aim of the second assembly is to remove steric clash and to refine the previously identified lowest free-energy structures. The final models are obtained by </w:t>
      </w:r>
      <w:r w:rsidR="002A634C" w:rsidRPr="003424B3">
        <w:rPr>
          <w:rFonts w:ascii="Times New Roman" w:hAnsi="Times New Roman" w:cs="Times New Roman"/>
          <w:sz w:val="24"/>
          <w:szCs w:val="24"/>
        </w:rPr>
        <w:t xml:space="preserve">REMO </w:t>
      </w:r>
      <w:r w:rsidR="003424B3" w:rsidRPr="003424B3">
        <w:rPr>
          <w:rFonts w:ascii="Times New Roman" w:hAnsi="Times New Roman" w:cs="Times New Roman"/>
          <w:sz w:val="24"/>
          <w:szCs w:val="24"/>
        </w:rPr>
        <w:t>(</w:t>
      </w:r>
      <w:r w:rsidR="003424B3">
        <w:rPr>
          <w:rFonts w:ascii="Times New Roman" w:hAnsi="Times New Roman" w:cs="Times New Roman"/>
          <w:sz w:val="24"/>
          <w:szCs w:val="24"/>
        </w:rPr>
        <w:t>an algorithm for constructing protein atomic structures from C-alpha traces by optimizing the backbone hydrogen bonding networks)</w:t>
      </w:r>
      <w:r w:rsidR="002A634C">
        <w:rPr>
          <w:rFonts w:ascii="Times New Roman" w:hAnsi="Times New Roman" w:cs="Times New Roman"/>
          <w:sz w:val="24"/>
          <w:szCs w:val="24"/>
        </w:rPr>
        <w:t xml:space="preserve">, which finishes the atomic detail of the assembled model through the optimization of the hydrogen-binding network. Part of the I-TASSER server </w:t>
      </w:r>
      <w:r w:rsidR="002A634C">
        <w:rPr>
          <w:rFonts w:ascii="Times New Roman" w:hAnsi="Times New Roman" w:cs="Times New Roman"/>
          <w:sz w:val="24"/>
          <w:szCs w:val="24"/>
        </w:rPr>
        <w:lastRenderedPageBreak/>
        <w:t xml:space="preserve">output includes up to five full-length atomic models (ranked based on cluster density). The models with the highest cluster density were chosen for this work. </w:t>
      </w:r>
      <w:r w:rsidR="00E66949">
        <w:rPr>
          <w:rFonts w:ascii="Times New Roman" w:hAnsi="Times New Roman" w:cs="Times New Roman"/>
          <w:sz w:val="24"/>
          <w:szCs w:val="24"/>
        </w:rPr>
        <w:t xml:space="preserve">The models, downloaded as PDB files, were visualized, colored, and labeled </w:t>
      </w:r>
      <w:r w:rsidR="00E66949" w:rsidRPr="0027341E">
        <w:rPr>
          <w:rFonts w:ascii="Times New Roman" w:hAnsi="Times New Roman" w:cs="Times New Roman"/>
          <w:sz w:val="24"/>
          <w:szCs w:val="24"/>
        </w:rPr>
        <w:t xml:space="preserve">on </w:t>
      </w:r>
      <w:proofErr w:type="spellStart"/>
      <w:r w:rsidR="00E66949" w:rsidRPr="0027341E">
        <w:rPr>
          <w:rFonts w:ascii="Times New Roman" w:hAnsi="Times New Roman" w:cs="Times New Roman"/>
          <w:sz w:val="24"/>
          <w:szCs w:val="24"/>
        </w:rPr>
        <w:t>Pymol</w:t>
      </w:r>
      <w:proofErr w:type="spellEnd"/>
      <w:r w:rsidR="00E66949" w:rsidRPr="0027341E">
        <w:rPr>
          <w:rFonts w:ascii="Times New Roman" w:hAnsi="Times New Roman" w:cs="Times New Roman"/>
          <w:sz w:val="24"/>
          <w:szCs w:val="24"/>
        </w:rPr>
        <w:t xml:space="preserve"> </w:t>
      </w:r>
      <w:r w:rsidR="0027341E" w:rsidRPr="0027341E">
        <w:rPr>
          <w:rFonts w:ascii="Times New Roman" w:hAnsi="Times New Roman" w:cs="Times New Roman"/>
          <w:sz w:val="24"/>
          <w:szCs w:val="24"/>
        </w:rPr>
        <w:t>(a molecular visualization system)</w:t>
      </w:r>
      <w:r w:rsidR="00E66949" w:rsidRPr="0027341E">
        <w:rPr>
          <w:rFonts w:ascii="Times New Roman" w:hAnsi="Times New Roman" w:cs="Times New Roman"/>
          <w:sz w:val="24"/>
          <w:szCs w:val="24"/>
        </w:rPr>
        <w:t>.</w:t>
      </w:r>
      <w:r w:rsidR="00E66949">
        <w:rPr>
          <w:rFonts w:ascii="Times New Roman" w:hAnsi="Times New Roman" w:cs="Times New Roman"/>
          <w:sz w:val="24"/>
          <w:szCs w:val="24"/>
        </w:rPr>
        <w:t xml:space="preserve"> </w:t>
      </w:r>
    </w:p>
    <w:p w14:paraId="6933D13C" w14:textId="5922028B" w:rsidR="00156CBA" w:rsidRPr="00734E96" w:rsidRDefault="00156CBA" w:rsidP="00C836F0">
      <w:pPr>
        <w:rPr>
          <w:rFonts w:asciiTheme="majorHAnsi" w:hAnsiTheme="majorHAnsi" w:cstheme="majorHAnsi"/>
          <w:b/>
          <w:bCs/>
          <w:sz w:val="24"/>
          <w:szCs w:val="24"/>
        </w:rPr>
      </w:pPr>
      <w:bookmarkStart w:id="7" w:name="_Hlk155608054"/>
      <w:r w:rsidRPr="00734E96">
        <w:rPr>
          <w:rFonts w:asciiTheme="majorHAnsi" w:hAnsiTheme="majorHAnsi" w:cstheme="majorHAnsi"/>
          <w:b/>
          <w:bCs/>
          <w:sz w:val="24"/>
          <w:szCs w:val="24"/>
        </w:rPr>
        <w:t>Results</w:t>
      </w:r>
    </w:p>
    <w:p w14:paraId="0DB321C2" w14:textId="12D4BFFE" w:rsidR="00156CBA" w:rsidRDefault="000323D5" w:rsidP="00C836F0">
      <w:pPr>
        <w:rPr>
          <w:rFonts w:asciiTheme="majorHAnsi" w:hAnsiTheme="majorHAnsi" w:cstheme="majorHAnsi"/>
          <w:b/>
          <w:bCs/>
          <w:sz w:val="24"/>
          <w:szCs w:val="24"/>
        </w:rPr>
      </w:pPr>
      <w:bookmarkStart w:id="8" w:name="_Hlk152583835"/>
      <w:r>
        <w:rPr>
          <w:rFonts w:asciiTheme="majorHAnsi" w:hAnsiTheme="majorHAnsi" w:cstheme="majorHAnsi"/>
          <w:b/>
          <w:bCs/>
          <w:sz w:val="24"/>
          <w:szCs w:val="24"/>
        </w:rPr>
        <w:t xml:space="preserve">Chapter 3: </w:t>
      </w:r>
      <w:r w:rsidR="00156CBA" w:rsidRPr="009D2C1A">
        <w:rPr>
          <w:rFonts w:asciiTheme="majorHAnsi" w:hAnsiTheme="majorHAnsi" w:cstheme="majorHAnsi"/>
          <w:b/>
          <w:bCs/>
          <w:sz w:val="24"/>
          <w:szCs w:val="24"/>
        </w:rPr>
        <w:t xml:space="preserve">Characterization of Two MFS Efflux Pumps, </w:t>
      </w:r>
      <w:proofErr w:type="spellStart"/>
      <w:r w:rsidR="00156CBA" w:rsidRPr="009D2C1A">
        <w:rPr>
          <w:rFonts w:asciiTheme="majorHAnsi" w:hAnsiTheme="majorHAnsi" w:cstheme="majorHAnsi"/>
          <w:b/>
          <w:bCs/>
          <w:sz w:val="24"/>
          <w:szCs w:val="24"/>
        </w:rPr>
        <w:t>AmfAB</w:t>
      </w:r>
      <w:proofErr w:type="spellEnd"/>
      <w:r w:rsidR="00156CBA" w:rsidRPr="009D2C1A">
        <w:rPr>
          <w:rFonts w:asciiTheme="majorHAnsi" w:hAnsiTheme="majorHAnsi" w:cstheme="majorHAnsi"/>
          <w:b/>
          <w:bCs/>
          <w:sz w:val="24"/>
          <w:szCs w:val="24"/>
        </w:rPr>
        <w:t xml:space="preserve"> and </w:t>
      </w:r>
      <w:proofErr w:type="spellStart"/>
      <w:r w:rsidR="00156CBA" w:rsidRPr="009D2C1A">
        <w:rPr>
          <w:rFonts w:asciiTheme="majorHAnsi" w:hAnsiTheme="majorHAnsi" w:cstheme="majorHAnsi"/>
          <w:b/>
          <w:bCs/>
          <w:sz w:val="24"/>
          <w:szCs w:val="24"/>
        </w:rPr>
        <w:t>AmfCD</w:t>
      </w:r>
      <w:proofErr w:type="spellEnd"/>
      <w:r w:rsidR="00156CBA" w:rsidRPr="009D2C1A">
        <w:rPr>
          <w:rFonts w:asciiTheme="majorHAnsi" w:hAnsiTheme="majorHAnsi" w:cstheme="majorHAnsi"/>
          <w:b/>
          <w:bCs/>
          <w:sz w:val="24"/>
          <w:szCs w:val="24"/>
        </w:rPr>
        <w:t xml:space="preserve">, from Multidrug Resistant Strain </w:t>
      </w:r>
      <w:r w:rsidR="00156CBA" w:rsidRPr="009D2C1A">
        <w:rPr>
          <w:rFonts w:asciiTheme="majorHAnsi" w:hAnsiTheme="majorHAnsi" w:cstheme="majorHAnsi"/>
          <w:b/>
          <w:bCs/>
          <w:i/>
          <w:iCs/>
          <w:sz w:val="24"/>
          <w:szCs w:val="24"/>
        </w:rPr>
        <w:t>A. baumannii</w:t>
      </w:r>
      <w:r w:rsidR="00156CBA" w:rsidRPr="009D2C1A">
        <w:rPr>
          <w:rFonts w:asciiTheme="majorHAnsi" w:hAnsiTheme="majorHAnsi" w:cstheme="majorHAnsi"/>
          <w:b/>
          <w:bCs/>
          <w:sz w:val="24"/>
          <w:szCs w:val="24"/>
        </w:rPr>
        <w:t xml:space="preserve"> 5075</w:t>
      </w:r>
    </w:p>
    <w:p w14:paraId="2E2EE72C" w14:textId="34F339C2" w:rsidR="002859C6" w:rsidRPr="00734E96" w:rsidRDefault="002859C6" w:rsidP="00C836F0">
      <w:pPr>
        <w:rPr>
          <w:rFonts w:asciiTheme="majorHAnsi" w:hAnsiTheme="majorHAnsi" w:cstheme="majorHAnsi"/>
          <w:sz w:val="24"/>
          <w:szCs w:val="24"/>
        </w:rPr>
      </w:pPr>
      <w:r>
        <w:rPr>
          <w:noProof/>
        </w:rPr>
        <w:drawing>
          <wp:inline distT="0" distB="0" distL="0" distR="0" wp14:anchorId="53757367" wp14:editId="48FE73FD">
            <wp:extent cx="5486400" cy="2247900"/>
            <wp:effectExtent l="0" t="0" r="0" b="0"/>
            <wp:docPr id="590932059" name="Picture 5" descr="A diagram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32059" name="Picture 5" descr="A diagram of a human body&#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2247900"/>
                    </a:xfrm>
                    <a:prstGeom prst="rect">
                      <a:avLst/>
                    </a:prstGeom>
                    <a:noFill/>
                    <a:ln>
                      <a:noFill/>
                    </a:ln>
                  </pic:spPr>
                </pic:pic>
              </a:graphicData>
            </a:graphic>
          </wp:inline>
        </w:drawing>
      </w:r>
    </w:p>
    <w:p w14:paraId="4DF9810D" w14:textId="327D947B" w:rsidR="00156CBA" w:rsidRDefault="00DB4FE9"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3.1. </w:t>
      </w:r>
      <w:r w:rsidR="00156CBA" w:rsidRPr="00734E96">
        <w:rPr>
          <w:rFonts w:asciiTheme="majorHAnsi" w:hAnsiTheme="majorHAnsi" w:cstheme="majorHAnsi"/>
          <w:sz w:val="24"/>
          <w:szCs w:val="24"/>
          <w:u w:val="single"/>
        </w:rPr>
        <w:t>Abstract</w:t>
      </w:r>
    </w:p>
    <w:p w14:paraId="7F336019" w14:textId="416FAF85" w:rsidR="007364D1" w:rsidRPr="00D877F4" w:rsidRDefault="000A35EA" w:rsidP="00725720">
      <w:pPr>
        <w:spacing w:line="360" w:lineRule="auto"/>
        <w:ind w:firstLine="720"/>
        <w:rPr>
          <w:sz w:val="24"/>
          <w:szCs w:val="24"/>
        </w:rPr>
      </w:pPr>
      <w:r w:rsidRPr="000A35EA">
        <w:rPr>
          <w:sz w:val="24"/>
          <w:szCs w:val="24"/>
        </w:rPr>
        <w:t xml:space="preserve">Multidrug efflux transporters are major contributors to the antibiotic resistance of </w:t>
      </w:r>
      <w:r w:rsidR="00DB4FE9" w:rsidRPr="00DB4FE9">
        <w:rPr>
          <w:i/>
          <w:iCs/>
          <w:sz w:val="24"/>
          <w:szCs w:val="24"/>
        </w:rPr>
        <w:t>A</w:t>
      </w:r>
      <w:r w:rsidR="00DB4FE9" w:rsidRPr="00DB4FE9">
        <w:rPr>
          <w:rStyle w:val="html-italic"/>
          <w:i/>
          <w:iCs/>
          <w:sz w:val="24"/>
          <w:szCs w:val="24"/>
        </w:rPr>
        <w:t>.</w:t>
      </w:r>
      <w:r w:rsidRPr="00DB4FE9">
        <w:rPr>
          <w:rStyle w:val="html-italic"/>
          <w:i/>
          <w:iCs/>
          <w:sz w:val="24"/>
          <w:szCs w:val="24"/>
        </w:rPr>
        <w:t xml:space="preserve"> baumannii</w:t>
      </w:r>
      <w:r w:rsidRPr="000A35EA">
        <w:rPr>
          <w:sz w:val="24"/>
          <w:szCs w:val="24"/>
        </w:rPr>
        <w:t xml:space="preserve"> in clinical settings. Previous studies showed that these transporters are tightly integrated into the physiology of </w:t>
      </w:r>
      <w:r w:rsidRPr="007364D1">
        <w:rPr>
          <w:rStyle w:val="html-italic"/>
          <w:i/>
          <w:iCs/>
          <w:sz w:val="24"/>
          <w:szCs w:val="24"/>
        </w:rPr>
        <w:t>A. baumannii</w:t>
      </w:r>
      <w:r w:rsidRPr="000A35EA">
        <w:rPr>
          <w:sz w:val="24"/>
          <w:szCs w:val="24"/>
        </w:rPr>
        <w:t xml:space="preserve"> and have diverse functions. However, for many of the efflux pumps, such functions remain poorly defined. In this study, we characterized two putative drug efflux pumps, </w:t>
      </w:r>
      <w:proofErr w:type="spellStart"/>
      <w:r w:rsidRPr="000A35EA">
        <w:rPr>
          <w:sz w:val="24"/>
          <w:szCs w:val="24"/>
        </w:rPr>
        <w:t>AmfAB</w:t>
      </w:r>
      <w:proofErr w:type="spellEnd"/>
      <w:r w:rsidRPr="000A35EA">
        <w:rPr>
          <w:sz w:val="24"/>
          <w:szCs w:val="24"/>
        </w:rPr>
        <w:t xml:space="preserve"> and </w:t>
      </w:r>
      <w:proofErr w:type="spellStart"/>
      <w:r w:rsidRPr="000A35EA">
        <w:rPr>
          <w:sz w:val="24"/>
          <w:szCs w:val="24"/>
        </w:rPr>
        <w:t>AmfCD</w:t>
      </w:r>
      <w:proofErr w:type="spellEnd"/>
      <w:r w:rsidRPr="000A35EA">
        <w:rPr>
          <w:sz w:val="24"/>
          <w:szCs w:val="24"/>
        </w:rPr>
        <w:t xml:space="preserve"> (</w:t>
      </w:r>
      <w:r w:rsidRPr="007364D1">
        <w:rPr>
          <w:sz w:val="24"/>
          <w:szCs w:val="24"/>
          <w:u w:val="single"/>
        </w:rPr>
        <w:t>A</w:t>
      </w:r>
      <w:r w:rsidRPr="000A35EA">
        <w:rPr>
          <w:sz w:val="24"/>
          <w:szCs w:val="24"/>
        </w:rPr>
        <w:t xml:space="preserve">cinetobacter </w:t>
      </w:r>
      <w:r w:rsidRPr="007364D1">
        <w:rPr>
          <w:sz w:val="24"/>
          <w:szCs w:val="24"/>
          <w:u w:val="single"/>
        </w:rPr>
        <w:t>M</w:t>
      </w:r>
      <w:r w:rsidRPr="000A35EA">
        <w:rPr>
          <w:sz w:val="24"/>
          <w:szCs w:val="24"/>
        </w:rPr>
        <w:t xml:space="preserve">ajor </w:t>
      </w:r>
      <w:r w:rsidRPr="007364D1">
        <w:rPr>
          <w:sz w:val="24"/>
          <w:szCs w:val="24"/>
          <w:u w:val="single"/>
        </w:rPr>
        <w:t>F</w:t>
      </w:r>
      <w:r w:rsidRPr="000A35EA">
        <w:rPr>
          <w:sz w:val="24"/>
          <w:szCs w:val="24"/>
        </w:rPr>
        <w:t xml:space="preserve">acilitator), that are homologous to </w:t>
      </w:r>
      <w:proofErr w:type="spellStart"/>
      <w:r w:rsidRPr="000A35EA">
        <w:rPr>
          <w:sz w:val="24"/>
          <w:szCs w:val="24"/>
        </w:rPr>
        <w:t>EmrAB</w:t>
      </w:r>
      <w:proofErr w:type="spellEnd"/>
      <w:r w:rsidRPr="000A35EA">
        <w:rPr>
          <w:sz w:val="24"/>
          <w:szCs w:val="24"/>
        </w:rPr>
        <w:t xml:space="preserve">-like transporters from </w:t>
      </w:r>
      <w:r w:rsidRPr="007364D1">
        <w:rPr>
          <w:rStyle w:val="html-italic"/>
          <w:i/>
          <w:iCs/>
          <w:sz w:val="24"/>
          <w:szCs w:val="24"/>
        </w:rPr>
        <w:t>Escherichia coli</w:t>
      </w:r>
      <w:r w:rsidRPr="000A35EA">
        <w:rPr>
          <w:sz w:val="24"/>
          <w:szCs w:val="24"/>
        </w:rPr>
        <w:t xml:space="preserve"> and other Gram-negative bacteria. These pumps comprise the Major Facilitator Superfamily (MFS) transporters </w:t>
      </w:r>
      <w:proofErr w:type="spellStart"/>
      <w:r w:rsidRPr="000A35EA">
        <w:rPr>
          <w:sz w:val="24"/>
          <w:szCs w:val="24"/>
        </w:rPr>
        <w:t>AmfB</w:t>
      </w:r>
      <w:proofErr w:type="spellEnd"/>
      <w:r w:rsidRPr="000A35EA">
        <w:rPr>
          <w:sz w:val="24"/>
          <w:szCs w:val="24"/>
        </w:rPr>
        <w:t xml:space="preserve"> and </w:t>
      </w:r>
      <w:proofErr w:type="spellStart"/>
      <w:r w:rsidRPr="000A35EA">
        <w:rPr>
          <w:sz w:val="24"/>
          <w:szCs w:val="24"/>
        </w:rPr>
        <w:t>AmfD</w:t>
      </w:r>
      <w:proofErr w:type="spellEnd"/>
      <w:r w:rsidRPr="000A35EA">
        <w:rPr>
          <w:sz w:val="24"/>
          <w:szCs w:val="24"/>
        </w:rPr>
        <w:t xml:space="preserve"> and the periplasmic membrane fusion proteins </w:t>
      </w:r>
      <w:proofErr w:type="spellStart"/>
      <w:r w:rsidRPr="000A35EA">
        <w:rPr>
          <w:sz w:val="24"/>
          <w:szCs w:val="24"/>
        </w:rPr>
        <w:t>AmfA</w:t>
      </w:r>
      <w:proofErr w:type="spellEnd"/>
      <w:r w:rsidRPr="000A35EA">
        <w:rPr>
          <w:sz w:val="24"/>
          <w:szCs w:val="24"/>
        </w:rPr>
        <w:t xml:space="preserve"> and </w:t>
      </w:r>
      <w:proofErr w:type="spellStart"/>
      <w:r w:rsidRPr="000A35EA">
        <w:rPr>
          <w:sz w:val="24"/>
          <w:szCs w:val="24"/>
        </w:rPr>
        <w:t>AmfC</w:t>
      </w:r>
      <w:proofErr w:type="spellEnd"/>
      <w:r w:rsidRPr="000A35EA">
        <w:rPr>
          <w:sz w:val="24"/>
          <w:szCs w:val="24"/>
        </w:rPr>
        <w:t xml:space="preserve">, respectively. </w:t>
      </w:r>
      <w:r w:rsidR="007364D1">
        <w:rPr>
          <w:sz w:val="24"/>
          <w:szCs w:val="24"/>
        </w:rPr>
        <w:t>I overproduced these pumps in</w:t>
      </w:r>
      <w:r w:rsidR="007364D1" w:rsidRPr="007364D1">
        <w:rPr>
          <w:sz w:val="24"/>
          <w:szCs w:val="24"/>
        </w:rPr>
        <w:t xml:space="preserve"> </w:t>
      </w:r>
      <w:r w:rsidR="007364D1" w:rsidRPr="000A35EA">
        <w:rPr>
          <w:sz w:val="24"/>
          <w:szCs w:val="24"/>
        </w:rPr>
        <w:t>the wild-type ATCC 17978 strain and its derivative strains lacking the major efflux pumps from the Resistance–Nodulation–Division (RND) superfamily</w:t>
      </w:r>
      <w:r w:rsidR="007364D1">
        <w:rPr>
          <w:sz w:val="24"/>
          <w:szCs w:val="24"/>
        </w:rPr>
        <w:t xml:space="preserve"> in order to functionally characterize the pumps under various stress conditions, including several classes of antibiotics and stress conditions typically encountered during human infections. I found that neither </w:t>
      </w:r>
      <w:proofErr w:type="spellStart"/>
      <w:r w:rsidR="007364D1">
        <w:rPr>
          <w:sz w:val="24"/>
          <w:szCs w:val="24"/>
        </w:rPr>
        <w:t>AmfAB</w:t>
      </w:r>
      <w:proofErr w:type="spellEnd"/>
      <w:r w:rsidR="007364D1">
        <w:rPr>
          <w:sz w:val="24"/>
          <w:szCs w:val="24"/>
        </w:rPr>
        <w:t xml:space="preserve"> nor </w:t>
      </w:r>
      <w:proofErr w:type="spellStart"/>
      <w:r w:rsidR="007364D1">
        <w:rPr>
          <w:sz w:val="24"/>
          <w:szCs w:val="24"/>
        </w:rPr>
        <w:t>AmfCD</w:t>
      </w:r>
      <w:proofErr w:type="spellEnd"/>
      <w:r w:rsidR="007364D1">
        <w:rPr>
          <w:sz w:val="24"/>
          <w:szCs w:val="24"/>
        </w:rPr>
        <w:t xml:space="preserve"> significantly contribute to </w:t>
      </w:r>
      <w:r w:rsidR="007364D1">
        <w:rPr>
          <w:i/>
          <w:iCs/>
          <w:sz w:val="24"/>
          <w:szCs w:val="24"/>
        </w:rPr>
        <w:t xml:space="preserve">A. </w:t>
      </w:r>
      <w:proofErr w:type="spellStart"/>
      <w:r w:rsidR="007364D1">
        <w:rPr>
          <w:i/>
          <w:iCs/>
          <w:sz w:val="24"/>
          <w:szCs w:val="24"/>
        </w:rPr>
        <w:lastRenderedPageBreak/>
        <w:t>baumannii</w:t>
      </w:r>
      <w:r w:rsidR="007364D1">
        <w:rPr>
          <w:sz w:val="24"/>
          <w:szCs w:val="24"/>
        </w:rPr>
        <w:t>’s</w:t>
      </w:r>
      <w:proofErr w:type="spellEnd"/>
      <w:r w:rsidR="007364D1">
        <w:rPr>
          <w:sz w:val="24"/>
          <w:szCs w:val="24"/>
        </w:rPr>
        <w:t xml:space="preserve"> antibiotic susceptibility profile, meaning that they do not confer resistance to any antibiotic. However, I did find that the two pumps are crucial for </w:t>
      </w:r>
      <w:r w:rsidR="007364D1">
        <w:rPr>
          <w:i/>
          <w:iCs/>
          <w:sz w:val="24"/>
          <w:szCs w:val="24"/>
        </w:rPr>
        <w:t xml:space="preserve">A. baumannii </w:t>
      </w:r>
      <w:r w:rsidR="007364D1">
        <w:rPr>
          <w:sz w:val="24"/>
          <w:szCs w:val="24"/>
        </w:rPr>
        <w:t>survival under acidic conditions.</w:t>
      </w:r>
      <w:r w:rsidR="00D877F4">
        <w:rPr>
          <w:sz w:val="24"/>
          <w:szCs w:val="24"/>
        </w:rPr>
        <w:t xml:space="preserve"> This suggests that these pumps play a role in maintaining intracellular pH homeostasis in </w:t>
      </w:r>
      <w:r w:rsidR="00D877F4">
        <w:rPr>
          <w:i/>
          <w:iCs/>
          <w:sz w:val="24"/>
          <w:szCs w:val="24"/>
        </w:rPr>
        <w:t>A. baumannii</w:t>
      </w:r>
      <w:r w:rsidR="00D877F4">
        <w:rPr>
          <w:sz w:val="24"/>
          <w:szCs w:val="24"/>
        </w:rPr>
        <w:t xml:space="preserve">. I also found that inactivation of either </w:t>
      </w:r>
      <w:proofErr w:type="spellStart"/>
      <w:r w:rsidR="00D877F4">
        <w:rPr>
          <w:sz w:val="24"/>
          <w:szCs w:val="24"/>
        </w:rPr>
        <w:t>AmfAB</w:t>
      </w:r>
      <w:proofErr w:type="spellEnd"/>
      <w:r w:rsidR="00D877F4">
        <w:rPr>
          <w:sz w:val="24"/>
          <w:szCs w:val="24"/>
        </w:rPr>
        <w:t xml:space="preserve"> or </w:t>
      </w:r>
      <w:proofErr w:type="spellStart"/>
      <w:r w:rsidR="00D877F4">
        <w:rPr>
          <w:sz w:val="24"/>
          <w:szCs w:val="24"/>
        </w:rPr>
        <w:t>AmfCD</w:t>
      </w:r>
      <w:proofErr w:type="spellEnd"/>
      <w:r w:rsidR="00D877F4">
        <w:rPr>
          <w:sz w:val="24"/>
          <w:szCs w:val="24"/>
        </w:rPr>
        <w:t xml:space="preserve"> makes cells less permeable to the fluorescent probe NPN. On the other hand, over expression of either pump impairs cell growth </w:t>
      </w:r>
      <w:proofErr w:type="gramStart"/>
      <w:r w:rsidR="00D877F4">
        <w:rPr>
          <w:sz w:val="24"/>
          <w:szCs w:val="24"/>
        </w:rPr>
        <w:t>and</w:t>
      </w:r>
      <w:proofErr w:type="gramEnd"/>
      <w:r w:rsidR="00D877F4">
        <w:rPr>
          <w:sz w:val="24"/>
          <w:szCs w:val="24"/>
        </w:rPr>
        <w:t xml:space="preserve"> is toxic to cells. These results suggest that MFS transporters assist in stress adaptation by modifying the permeability barrier of </w:t>
      </w:r>
      <w:r w:rsidR="00D877F4">
        <w:rPr>
          <w:i/>
          <w:iCs/>
          <w:sz w:val="24"/>
          <w:szCs w:val="24"/>
        </w:rPr>
        <w:t xml:space="preserve">A. baumannii </w:t>
      </w:r>
      <w:r w:rsidR="00D877F4">
        <w:rPr>
          <w:sz w:val="24"/>
          <w:szCs w:val="24"/>
        </w:rPr>
        <w:t>and perhaps also by helping maintain normal metabolic processes.</w:t>
      </w:r>
    </w:p>
    <w:p w14:paraId="50F1B923" w14:textId="45D80268" w:rsidR="006F46D3" w:rsidRPr="00725720" w:rsidRDefault="008A47A7"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3.2. </w:t>
      </w:r>
      <w:r w:rsidR="00156CBA" w:rsidRPr="00734E96">
        <w:rPr>
          <w:rFonts w:asciiTheme="majorHAnsi" w:hAnsiTheme="majorHAnsi" w:cstheme="majorHAnsi"/>
          <w:sz w:val="24"/>
          <w:szCs w:val="24"/>
          <w:u w:val="single"/>
        </w:rPr>
        <w:t>Introduction</w:t>
      </w:r>
    </w:p>
    <w:p w14:paraId="69AAB4B2" w14:textId="1B7F8CFC" w:rsidR="00E9322C" w:rsidRPr="00E9322C" w:rsidRDefault="003D27F1" w:rsidP="00E9322C">
      <w:pPr>
        <w:spacing w:line="360" w:lineRule="auto"/>
        <w:rPr>
          <w:rFonts w:ascii="Times New Roman" w:eastAsia="Times New Roman" w:hAnsi="Times New Roman" w:cs="Times New Roman"/>
          <w:sz w:val="24"/>
          <w:szCs w:val="24"/>
          <w14:ligatures w14:val="none"/>
        </w:rPr>
      </w:pPr>
      <w:r>
        <w:rPr>
          <w:rFonts w:asciiTheme="majorHAnsi" w:hAnsiTheme="majorHAnsi" w:cstheme="majorHAnsi"/>
          <w:sz w:val="24"/>
          <w:szCs w:val="24"/>
        </w:rPr>
        <w:tab/>
      </w:r>
      <w:r w:rsidR="00E9322C" w:rsidRPr="00C158D7">
        <w:rPr>
          <w:rFonts w:ascii="Times New Roman" w:eastAsia="Times New Roman" w:hAnsi="Times New Roman" w:cs="Times New Roman"/>
          <w:i/>
          <w:iCs/>
          <w:sz w:val="24"/>
          <w:szCs w:val="24"/>
          <w14:ligatures w14:val="none"/>
        </w:rPr>
        <w:t>A</w:t>
      </w:r>
      <w:r w:rsidR="00D11D23">
        <w:rPr>
          <w:rFonts w:ascii="Times New Roman" w:eastAsia="Times New Roman" w:hAnsi="Times New Roman" w:cs="Times New Roman"/>
          <w:i/>
          <w:iCs/>
          <w:sz w:val="24"/>
          <w:szCs w:val="24"/>
          <w14:ligatures w14:val="none"/>
        </w:rPr>
        <w:t>.</w:t>
      </w:r>
      <w:r w:rsidR="00E9322C" w:rsidRPr="00C158D7">
        <w:rPr>
          <w:rFonts w:ascii="Times New Roman" w:eastAsia="Times New Roman" w:hAnsi="Times New Roman" w:cs="Times New Roman"/>
          <w:i/>
          <w:iCs/>
          <w:sz w:val="24"/>
          <w:szCs w:val="24"/>
          <w14:ligatures w14:val="none"/>
        </w:rPr>
        <w:t xml:space="preserve"> baumannii</w:t>
      </w:r>
      <w:r w:rsidR="00E9322C" w:rsidRPr="00E9322C">
        <w:rPr>
          <w:rFonts w:ascii="Times New Roman" w:eastAsia="Times New Roman" w:hAnsi="Times New Roman" w:cs="Times New Roman"/>
          <w:sz w:val="24"/>
          <w:szCs w:val="24"/>
          <w14:ligatures w14:val="none"/>
        </w:rPr>
        <w:t xml:space="preserve"> is a Gram-negative ESKAPE pathogen that can cause a broad range of severe infections in humans</w:t>
      </w:r>
      <w:r w:rsidR="00725720">
        <w:rPr>
          <w:rFonts w:ascii="Times New Roman" w:eastAsia="Times New Roman" w:hAnsi="Times New Roman" w:cs="Times New Roman"/>
          <w:sz w:val="24"/>
          <w:szCs w:val="24"/>
          <w14:ligatures w14:val="none"/>
        </w:rPr>
        <w:t>.</w:t>
      </w:r>
      <w:r w:rsidR="00725720">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{"citationID":"GqvmBl8v","properties":{"formattedCitation":"\\super 126\\nosupersub{}","plainCitation":"126","noteIndex":0},"citationItems":[{"id":1644,"uris":["http://zotero.org/users/1918630/items/62FL9BK3"],"itemData":{"id":1644,"type":"article-journal","container-title":"The Journal of Infectious Diseases","DOI":"10.1086/533452","ISSN":"0022-1899","issue":"8","journalAbbreviation":"J Infect Dis","language":"eng","note":"PMID: 18419525","page":"1079-1081","source":"PubMed","title":"Federal funding for the study of antimicrobial resistance in nosocomial pathogens: no ESKAPE","title-short":"Federal funding for the study of antimicrobial resistance in nosocomial pathogens","volume":"197","author":[{"family":"Rice","given":"Louis B."}],"issued":{"date-parts":[["2008",4,15]]}}}],"schema":"https://github.com/citation-style-language/schema/raw/master/csl-citation.json"} </w:instrText>
      </w:r>
      <w:r w:rsidR="00725720">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126</w:t>
      </w:r>
      <w:r w:rsidR="00725720">
        <w:rPr>
          <w:rFonts w:ascii="Times New Roman" w:eastAsia="Times New Roman" w:hAnsi="Times New Roman" w:cs="Times New Roman"/>
          <w:sz w:val="24"/>
          <w:szCs w:val="24"/>
          <w14:ligatures w14:val="none"/>
        </w:rPr>
        <w:fldChar w:fldCharType="end"/>
      </w:r>
      <w:r w:rsidR="00725720">
        <w:rPr>
          <w:rFonts w:ascii="Times New Roman" w:eastAsia="Times New Roman" w:hAnsi="Times New Roman" w:cs="Times New Roman"/>
          <w:sz w:val="24"/>
          <w:szCs w:val="24"/>
          <w:vertAlign w:val="superscript"/>
          <w14:ligatures w14:val="none"/>
        </w:rPr>
        <w:t>,</w:t>
      </w:r>
      <w:r w:rsidR="00725720">
        <w:rPr>
          <w:rFonts w:ascii="Times New Roman" w:eastAsia="Times New Roman" w:hAnsi="Times New Roman" w:cs="Times New Roman"/>
          <w:sz w:val="24"/>
          <w:szCs w:val="24"/>
          <w:vertAlign w:val="superscript"/>
          <w14:ligatures w14:val="none"/>
        </w:rPr>
        <w:fldChar w:fldCharType="begin"/>
      </w:r>
      <w:r w:rsidR="00625D97">
        <w:rPr>
          <w:rFonts w:ascii="Times New Roman" w:eastAsia="Times New Roman" w:hAnsi="Times New Roman" w:cs="Times New Roman"/>
          <w:sz w:val="24"/>
          <w:szCs w:val="24"/>
          <w:vertAlign w:val="superscript"/>
          <w14:ligatures w14:val="none"/>
        </w:rPr>
        <w:instrText xml:space="preserve"> ADDIN ZOTERO_ITEM CSL_CITATION {"citationID":"l9JFStc0","properties":{"formattedCitation":"\\super 114\\nosupersub{}","plainCitation":"114","noteIndex":0},"citationItems":[{"id":1647,"uris":["http://zotero.org/users/1918630/items/UJ7UIVIF"],"itemData":{"id":1647,"type":"article-journal","abstract":"Acinetobacter baumannii is a Gram-negative ESKAPE microorganism that poses a threat to public health by causing severe and invasive (mostly nosocomial) infections linked with high mortality rates. During the last years, this pathogen displayed multidrug resistance (MDR), mainly due to extensive antibiotic abuse and poor stewardship. MDR isolates are associated with medical history of long hospitalization stays, presence of catheters, and mechanical ventilation, while immunocompromised and severely ill hosts predispose to invasive infections. Next-generation sequencing techniques have revolutionized diagnosis of severe A. baumannii infections, contributing to timely diagnosis and personalized therapeutic regimens according to the identification of the respective resistance genes. The aim of this review is to describe in detail all current knowledge on the genetic background of A. baumannii resistance mechanisms in humans as regards beta-lactams (penicillins, cephalosporins, carbapenems, monobactams, and beta-lactamase inhibitors), aminoglycosides, tetracyclines, fluoroquinolones, macrolides, lincosamides, streptogramin antibiotics, polymyxins, and others (amphenicols, oxazolidinones, rifamycins, fosfomycin, diaminopyrimidines, sulfonamides, glycopeptide, and lipopeptide antibiotics). Mechanisms of antimicrobial resistance refer mainly to regulation of antibiotic transportation through bacterial membranes, alteration of the antibiotic target site, and enzymatic modifications resulting in antibiotic neutralization. Virulence factors that may affect antibiotic susceptibility profiles and confer drug resistance are also being discussed. Reports from cases of A. baumannii coinfection with SARS-CoV-2 during the COVID-19 pandemic in terms of resistance profiles and MDR genes have been investigated.","container-title":"Pathogens","DOI":"10.3390/pathogens10030373","ISSN":"2076-0817","issue":"3","journalAbbreviation":"Pathogens","note":"PMID: 33808905\nPMCID: PMC8003822","page":"373","source":"PubMed Central","title":"Acinetobacter baumannii Antibiotic Resistance Mechanisms","volume":"10","author":[{"family":"Kyriakidis","given":"Ioannis"},{"family":"Vasileiou","given":"Eleni"},{"family":"Pana","given":"Zoi Dorothea"},{"family":"Tragiannidis","given":"Athanasios"}],"issued":{"date-parts":[["2021",3,19]]}}}],"schema":"https://github.com/citation-style-language/schema/raw/master/csl-citation.json"} </w:instrText>
      </w:r>
      <w:r w:rsidR="00725720">
        <w:rPr>
          <w:rFonts w:ascii="Times New Roman" w:eastAsia="Times New Roman" w:hAnsi="Times New Roman" w:cs="Times New Roman"/>
          <w:sz w:val="24"/>
          <w:szCs w:val="24"/>
          <w:vertAlign w:val="superscript"/>
          <w14:ligatures w14:val="none"/>
        </w:rPr>
        <w:fldChar w:fldCharType="separate"/>
      </w:r>
      <w:r w:rsidR="00625D97" w:rsidRPr="00625D97">
        <w:rPr>
          <w:rFonts w:ascii="Times New Roman" w:hAnsi="Times New Roman" w:cs="Times New Roman"/>
          <w:sz w:val="24"/>
          <w:vertAlign w:val="superscript"/>
        </w:rPr>
        <w:t>114</w:t>
      </w:r>
      <w:r w:rsidR="00725720">
        <w:rPr>
          <w:rFonts w:ascii="Times New Roman" w:eastAsia="Times New Roman" w:hAnsi="Times New Roman" w:cs="Times New Roman"/>
          <w:sz w:val="24"/>
          <w:szCs w:val="24"/>
          <w:vertAlign w:val="superscript"/>
          <w14:ligatures w14:val="none"/>
        </w:rPr>
        <w:fldChar w:fldCharType="end"/>
      </w:r>
      <w:r w:rsidR="00E9322C" w:rsidRPr="00E9322C">
        <w:rPr>
          <w:rFonts w:ascii="Times New Roman" w:eastAsia="Times New Roman" w:hAnsi="Times New Roman" w:cs="Times New Roman"/>
          <w:sz w:val="24"/>
          <w:szCs w:val="24"/>
          <w14:ligatures w14:val="none"/>
        </w:rPr>
        <w:t xml:space="preserve"> This microorganism is well known for its environmental persistence—its ability to grow across a range of temperatures, osmotic conditions, and pHs</w:t>
      </w:r>
      <w:r w:rsidR="00725720">
        <w:rPr>
          <w:rFonts w:ascii="Times New Roman" w:eastAsia="Times New Roman" w:hAnsi="Times New Roman" w:cs="Times New Roman"/>
          <w:sz w:val="24"/>
          <w:szCs w:val="24"/>
          <w14:ligatures w14:val="none"/>
        </w:rPr>
        <w:t>.</w:t>
      </w:r>
      <w:r w:rsidR="00725720">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{"citationID":"dJQrDT01","properties":{"formattedCitation":"\\super 115\\nosupersub{}","plainCitation":"115","noteIndex":0},"citationItems":[{"id":1650,"uris":["http://zotero.org/users/1918630/items/A5BIIWXV"],"itemData":{"id":1650,"type":"article-journal","abstract":"An Acinetobacter baumannii isolate survived desiccation beyond 30 days and an Acinetobacter lwoffii isolate up to 21 days. For both species, desiccation resulted in a significant increase in the proportion of round cells (A baumannii, 40% to 80%; A lwoffii, 51% to 63%) and a significant decrease in rod shaped cells (A baumannii, 58% to 13%; A lwoffii, 46% to 34%). Electronmicroscopic examination showed that there was also a corresponding significant increase in the cell wall thickness (A baumannii, up to 53%; A lwoffii, up to 26%). Desiccated A baumannii cells became more electron-dense and had significantly thicker cell walls (x1.3) than those of A lwoffii. Cell wall structures of A baumannii strains with different abilities to resist desiccation deserve further study.","container-title":"Journal of Clinical Pathology","DOI":"10.1136/jcp.51.10.786","ISSN":"0021-9746","issue":"10","journalAbbreviation":"J Clin Pathol","language":"eng","note":"PMID: 10023344\nPMCID: PMC500936","page":"786-788","source":"PubMed","title":"Effect of desiccation on the ultrastructural appearances of Acinetobacter baumannii and Acinetobacter lwoffii","volume":"51","author":[{"family":"Houang","given":"E. T."},{"family":"Sormunen","given":"R. T."},{"family":"Lai","given":"L."},{"family":"Chan","given":"C. Y."},{"family":"Leong","given":"A. S."}],"issued":{"date-parts":[["1998",10]]}}}],"schema":"https://github.com/citation-style-language/schema/raw/master/csl-citation.json"} </w:instrText>
      </w:r>
      <w:r w:rsidR="00725720">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115</w:t>
      </w:r>
      <w:r w:rsidR="00725720">
        <w:rPr>
          <w:rFonts w:ascii="Times New Roman" w:eastAsia="Times New Roman" w:hAnsi="Times New Roman" w:cs="Times New Roman"/>
          <w:sz w:val="24"/>
          <w:szCs w:val="24"/>
          <w14:ligatures w14:val="none"/>
        </w:rPr>
        <w:fldChar w:fldCharType="end"/>
      </w:r>
      <w:r w:rsidR="00E9322C" w:rsidRPr="00E9322C">
        <w:rPr>
          <w:rFonts w:ascii="Times New Roman" w:eastAsia="Times New Roman" w:hAnsi="Times New Roman" w:cs="Times New Roman"/>
          <w:sz w:val="24"/>
          <w:szCs w:val="24"/>
          <w14:ligatures w14:val="none"/>
        </w:rPr>
        <w:t xml:space="preserve"> Extensive antibiotic use in the hospital environment has allowed this pathogen to develop resistance to all classes of antibiotics and become better suited to out-competing other bacteria that are drug-susceptible</w:t>
      </w:r>
      <w:r w:rsidR="00725720">
        <w:rPr>
          <w:rFonts w:ascii="Times New Roman" w:eastAsia="Times New Roman" w:hAnsi="Times New Roman" w:cs="Times New Roman"/>
          <w:sz w:val="24"/>
          <w:szCs w:val="24"/>
          <w14:ligatures w14:val="none"/>
        </w:rPr>
        <w:t>.</w:t>
      </w:r>
      <w:r w:rsidR="00725720">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{"citationID":"IPMTpmIC","properties":{"formattedCitation":"\\super 127\\nosupersub{}","plainCitation":"127","noteIndex":0},"citationItems":[{"id":1845,"uris":["http://zotero.org/users/1918630/items/FMGAQDJD"],"itemData":{"id":1845,"type":"article-journal","abstract":"In recent years, the Infectious Diseases Society of America has highlighted a faction of antibiotic-resistant bacteria (Enterococcus faecium, Staphylococcus aureus, Klebsiella pneumoniae, Acinetobacter baumannii, Pseudomonas aeruginosa and Enterobacter spp.) - acronymically dubbed 'the ESKAPE pathogens' - capable of 'escaping' the biocidal action of antibiotics and mutually representing new paradigms in pathogenesis, transmission and resistance. This review aims to consolidate clinically relevant background information on the ESKAPE pathogens and provide a contemporary summary of bacterial resistance, alongside pertinent microbiological considerations necessary to face the mounting threat of antimicrobial resistance.","container-title":"Expert Review of Anti-Infective Therapy","DOI":"10.1586/eri.13.12","ISSN":"1744-8336","issue":"3","journalAbbreviation":"Expert Rev Anti Infect Ther","language":"eng","note":"PMID: 23458769","page":"297-308","source":"PubMed","title":"Clinical relevance of the ESKAPE pathogens","volume":"11","author":[{"family":"Pendleton","given":"Jack N."},{"family":"Gorman","given":"Sean P."},{"family":"Gilmore","given":"Brendan F."}],"issued":{"date-parts":[["2013",3]]}}}],"schema":"https://github.com/citation-style-language/schema/raw/master/csl-citation.json"} </w:instrText>
      </w:r>
      <w:r w:rsidR="00725720">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127</w:t>
      </w:r>
      <w:r w:rsidR="00725720">
        <w:rPr>
          <w:rFonts w:ascii="Times New Roman" w:eastAsia="Times New Roman" w:hAnsi="Times New Roman" w:cs="Times New Roman"/>
          <w:sz w:val="24"/>
          <w:szCs w:val="24"/>
          <w14:ligatures w14:val="none"/>
        </w:rPr>
        <w:fldChar w:fldCharType="end"/>
      </w:r>
      <w:r w:rsidR="00E9322C" w:rsidRPr="00E9322C">
        <w:rPr>
          <w:rFonts w:ascii="Times New Roman" w:eastAsia="Times New Roman" w:hAnsi="Times New Roman" w:cs="Times New Roman"/>
          <w:sz w:val="24"/>
          <w:szCs w:val="24"/>
          <w14:ligatures w14:val="none"/>
        </w:rPr>
        <w:t xml:space="preserve"> As a result, multidrug-resistant </w:t>
      </w:r>
      <w:r w:rsidR="00E9322C" w:rsidRPr="001D7962">
        <w:rPr>
          <w:rFonts w:ascii="Times New Roman" w:eastAsia="Times New Roman" w:hAnsi="Times New Roman" w:cs="Times New Roman"/>
          <w:i/>
          <w:iCs/>
          <w:sz w:val="24"/>
          <w:szCs w:val="24"/>
          <w14:ligatures w14:val="none"/>
        </w:rPr>
        <w:t>A. baumannii</w:t>
      </w:r>
      <w:r w:rsidR="00E9322C" w:rsidRPr="00E9322C">
        <w:rPr>
          <w:rFonts w:ascii="Times New Roman" w:eastAsia="Times New Roman" w:hAnsi="Times New Roman" w:cs="Times New Roman"/>
          <w:sz w:val="24"/>
          <w:szCs w:val="24"/>
          <w14:ligatures w14:val="none"/>
        </w:rPr>
        <w:t xml:space="preserve"> infections commonly occur in hospital settings and can spread quickly among patients within those environments</w:t>
      </w:r>
      <w:r w:rsidR="00725720">
        <w:rPr>
          <w:rFonts w:ascii="Times New Roman" w:eastAsia="Times New Roman" w:hAnsi="Times New Roman" w:cs="Times New Roman"/>
          <w:sz w:val="24"/>
          <w:szCs w:val="24"/>
          <w14:ligatures w14:val="none"/>
        </w:rPr>
        <w:t>.</w:t>
      </w:r>
      <w:r w:rsidR="00725720">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{"citationID":"A7yVds22","properties":{"formattedCitation":"\\super 128\\nosupersub{}","plainCitation":"128","noteIndex":0},"citationItems":[{"id":1396,"uris":["http://zotero.org/users/1918630/items/3PAUZLJC"],"itemData":{"id":1396,"type":"article-journal","container-title":"Clinical Microbiology Reviews","DOI":"10.1128/CMR.00181-19","issue":"3","note":"publisher: American Society for Microbiology","page":"e00181-19","source":"journals.asm.org (Atypon)","title":"Antimicrobial Resistance in ESKAPE Pathogens","volume":"33","author":[{"family":"De Oliveira","given":"David M. P."},{"family":"Forde","given":"Brian M."},{"family":"Kidd","given":"Timothy J."},{"family":"Harris","given":"Patrick N. A."},{"family":"Schembri","given":"Mark A."},{"family":"Beatson","given":"Scott A."},{"family":"Paterson","given":"David L."},{"family":"Walker","given":"Mark J."}],"issued":{"date-parts":[["2020",5,13]]}}}],"schema":"https://github.com/citation-style-language/schema/raw/master/csl-citation.json"} </w:instrText>
      </w:r>
      <w:r w:rsidR="00725720">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128</w:t>
      </w:r>
      <w:r w:rsidR="00725720">
        <w:rPr>
          <w:rFonts w:ascii="Times New Roman" w:eastAsia="Times New Roman" w:hAnsi="Times New Roman" w:cs="Times New Roman"/>
          <w:sz w:val="24"/>
          <w:szCs w:val="24"/>
          <w14:ligatures w14:val="none"/>
        </w:rPr>
        <w:fldChar w:fldCharType="end"/>
      </w:r>
      <w:r w:rsidR="00E9322C" w:rsidRPr="00E9322C">
        <w:rPr>
          <w:rFonts w:ascii="Times New Roman" w:eastAsia="Times New Roman" w:hAnsi="Times New Roman" w:cs="Times New Roman"/>
          <w:sz w:val="24"/>
          <w:szCs w:val="24"/>
          <w14:ligatures w14:val="none"/>
        </w:rPr>
        <w:t xml:space="preserve"> These adaptations make </w:t>
      </w:r>
      <w:r w:rsidR="00E9322C" w:rsidRPr="00012CE6">
        <w:rPr>
          <w:rFonts w:ascii="Times New Roman" w:eastAsia="Times New Roman" w:hAnsi="Times New Roman" w:cs="Times New Roman"/>
          <w:i/>
          <w:iCs/>
          <w:sz w:val="24"/>
          <w:szCs w:val="24"/>
          <w14:ligatures w14:val="none"/>
        </w:rPr>
        <w:t>A. baumannii</w:t>
      </w:r>
      <w:r w:rsidR="00E9322C" w:rsidRPr="00E9322C">
        <w:rPr>
          <w:rFonts w:ascii="Times New Roman" w:eastAsia="Times New Roman" w:hAnsi="Times New Roman" w:cs="Times New Roman"/>
          <w:sz w:val="24"/>
          <w:szCs w:val="24"/>
          <w14:ligatures w14:val="none"/>
        </w:rPr>
        <w:t xml:space="preserve"> a worrisome pathogen, especially for vulnerable and critically ill patients. </w:t>
      </w:r>
    </w:p>
    <w:p w14:paraId="5999C8C8" w14:textId="722BDA5E" w:rsidR="00012CE6" w:rsidRDefault="00E9322C" w:rsidP="00135D27">
      <w:pPr>
        <w:spacing w:after="0" w:line="360" w:lineRule="auto"/>
        <w:ind w:firstLine="720"/>
        <w:rPr>
          <w:rFonts w:ascii="Times New Roman" w:eastAsia="Times New Roman" w:hAnsi="Times New Roman" w:cs="Times New Roman"/>
          <w:sz w:val="24"/>
          <w:szCs w:val="24"/>
          <w14:ligatures w14:val="none"/>
        </w:rPr>
      </w:pPr>
      <w:r w:rsidRPr="00DB4FE9">
        <w:rPr>
          <w:rFonts w:ascii="Times New Roman" w:eastAsia="Times New Roman" w:hAnsi="Times New Roman" w:cs="Times New Roman"/>
          <w:i/>
          <w:iCs/>
          <w:sz w:val="24"/>
          <w:szCs w:val="24"/>
          <w14:ligatures w14:val="none"/>
        </w:rPr>
        <w:t>A. baumannii</w:t>
      </w:r>
      <w:r w:rsidRPr="00E9322C">
        <w:rPr>
          <w:rFonts w:ascii="Times New Roman" w:eastAsia="Times New Roman" w:hAnsi="Times New Roman" w:cs="Times New Roman"/>
          <w:sz w:val="24"/>
          <w:szCs w:val="24"/>
          <w14:ligatures w14:val="none"/>
        </w:rPr>
        <w:t xml:space="preserve"> utilizes a variety of antibiotic resistance mechanisms, among which the active efflux of antibiotics and biocides is the major contributor </w:t>
      </w:r>
      <w:r w:rsidR="00E44C8C">
        <w:rPr>
          <w:rFonts w:ascii="Times New Roman" w:eastAsia="Times New Roman" w:hAnsi="Times New Roman" w:cs="Times New Roman"/>
          <w:sz w:val="24"/>
          <w:szCs w:val="24"/>
          <w14:ligatures w14:val="none"/>
        </w:rPr>
        <w:t xml:space="preserve">of antimicrobial resistance </w:t>
      </w:r>
      <w:r w:rsidRPr="00E9322C">
        <w:rPr>
          <w:rFonts w:ascii="Times New Roman" w:eastAsia="Times New Roman" w:hAnsi="Times New Roman" w:cs="Times New Roman"/>
          <w:sz w:val="24"/>
          <w:szCs w:val="24"/>
          <w14:ligatures w14:val="none"/>
        </w:rPr>
        <w:t>in clinical settings</w:t>
      </w:r>
      <w:r w:rsidR="00725720">
        <w:rPr>
          <w:rFonts w:ascii="Times New Roman" w:eastAsia="Times New Roman" w:hAnsi="Times New Roman" w:cs="Times New Roman"/>
          <w:sz w:val="24"/>
          <w:szCs w:val="24"/>
          <w14:ligatures w14:val="none"/>
        </w:rPr>
        <w:t>.</w:t>
      </w:r>
      <w:r w:rsidR="00725720">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{"citationID":"OGP26Juy","properties":{"formattedCitation":"\\super 129\\nosupersub{}","plainCitation":"129","noteIndex":0},"citationItems":[{"id":1425,"uris":["http://zotero.org/users/1918630/items/VGFSBDL2"],"itemData":{"id":1425,"type":"article-journal","abstract":"Acinetobacter spp. have become of increased clinical importance as studies have shown the antimicrobial resistant potential of these species. Efﬂux pumps can lead to reduced susceptibility to a variety of antibiotics and are present in large number across Acinetobacter spp. There are six families of efﬂux pumps that have been shown to be of clinical relevance: the major facilitator superfamily (MFS), small multidrug resistance (SMR) family, ATP-binding cassette (ABC) family, multidrug and toxic compound extrusion (MATE) family, proteobacterial antimicrobial compound efﬂux (PACE) family, and the resistance-nodulation-division (RND) family. Much work has been done for understanding and characterizing the roles these efﬂux pumps play in relation to antimicrobial resistance and the physiology of these bacteria. RND efﬂux pumps, with their expansive substrate proﬁles, are a major component of Acinetobacter spp. antimicrobial resistance. New discoveries over the last decade have shed light on the complex regulation of these efﬂux pumps, leading to greater understanding and the potential of slowing the reduced susceptibility seen in these bacterial species.","container-title":"Antimicrobial Agents and Chemotherapy","DOI":"10.1128/AAC.00514-21","ISSN":"0066-4804, 1098-6596","issue":"7","journalAbbreviation":"Antimicrob Agents Chemother","language":"en","page":"e00514-21","source":"DOI.org (Crossref)","title":"Update on Multidrug Resistance Efflux Pumps in Acinetobacter spp.","volume":"65","author":[{"family":"Kornelsen","given":"Vanessa"},{"family":"Kumar","given":"Ayush"}],"issued":{"date-parts":[["2021",6,17]]}}}],"schema":"https://github.com/citation-style-language/schema/raw/master/csl-citation.json"} </w:instrText>
      </w:r>
      <w:r w:rsidR="00725720">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129</w:t>
      </w:r>
      <w:r w:rsidR="00725720">
        <w:rPr>
          <w:rFonts w:ascii="Times New Roman" w:eastAsia="Times New Roman" w:hAnsi="Times New Roman" w:cs="Times New Roman"/>
          <w:sz w:val="24"/>
          <w:szCs w:val="24"/>
          <w14:ligatures w14:val="none"/>
        </w:rPr>
        <w:fldChar w:fldCharType="end"/>
      </w:r>
      <w:r w:rsidRPr="00E9322C">
        <w:rPr>
          <w:rFonts w:ascii="Times New Roman" w:eastAsia="Times New Roman" w:hAnsi="Times New Roman" w:cs="Times New Roman"/>
          <w:sz w:val="24"/>
          <w:szCs w:val="24"/>
          <w14:ligatures w14:val="none"/>
        </w:rPr>
        <w:t xml:space="preserve"> As in other Gram-negative bacteria, the efflux pumps of </w:t>
      </w:r>
      <w:r w:rsidRPr="001D7962">
        <w:rPr>
          <w:rFonts w:ascii="Times New Roman" w:eastAsia="Times New Roman" w:hAnsi="Times New Roman" w:cs="Times New Roman"/>
          <w:i/>
          <w:iCs/>
          <w:sz w:val="24"/>
          <w:szCs w:val="24"/>
          <w14:ligatures w14:val="none"/>
        </w:rPr>
        <w:t>A. baumannii</w:t>
      </w:r>
      <w:r w:rsidRPr="00E9322C">
        <w:rPr>
          <w:rFonts w:ascii="Times New Roman" w:eastAsia="Times New Roman" w:hAnsi="Times New Roman" w:cs="Times New Roman"/>
          <w:sz w:val="24"/>
          <w:szCs w:val="24"/>
          <w14:ligatures w14:val="none"/>
        </w:rPr>
        <w:t xml:space="preserve"> belong to several families of transporters. The most clinically important are transporters from the RND superfamily of proteins</w:t>
      </w:r>
      <w:r w:rsidR="002F0E9A">
        <w:rPr>
          <w:rFonts w:ascii="Times New Roman" w:eastAsia="Times New Roman" w:hAnsi="Times New Roman" w:cs="Times New Roman"/>
          <w:sz w:val="24"/>
          <w:szCs w:val="24"/>
          <w14:ligatures w14:val="none"/>
        </w:rPr>
        <w:t>.</w:t>
      </w:r>
      <w:r w:rsidR="002F0E9A">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{"citationID":"DH6qtvKc","properties":{"formattedCitation":"\\super 114,130,131\\nosupersub{}","plainCitation":"114,130,131","noteIndex":0},"citationItems":[{"id":1647,"uris":["http://zotero.org/users/1918630/items/UJ7UIVIF"],"itemData":{"id":1647,"type":"article-journal","abstract":"Acinetobacter baumannii is a Gram-negative ESKAPE microorganism that poses a threat to public health by causing severe and invasive (mostly nosocomial) infections linked with high mortality rates. During the last years, this pathogen displayed multidrug resistance (MDR), mainly due to extensive antibiotic abuse and poor stewardship. MDR isolates are associated with medical history of long hospitalization stays, presence of catheters, and mechanical ventilation, while immunocompromised and severely ill hosts predispose to invasive infections. Next-generation sequencing techniques have revolutionized diagnosis of severe A. baumannii infections, contributing to timely diagnosis and personalized therapeutic regimens according to the identification of the respective resistance genes. The aim of this review is to describe in detail all current knowledge on the genetic background of A. baumannii resistance mechanisms in humans as regards beta-lactams (penicillins, cephalosporins, carbapenems, monobactams, and beta-lactamase inhibitors), aminoglycosides, tetracyclines, fluoroquinolones, macrolides, lincosamides, streptogramin antibiotics, polymyxins, and others (amphenicols, oxazolidinones, rifamycins, fosfomycin, diaminopyrimidines, sulfonamides, glycopeptide, and lipopeptide antibiotics). Mechanisms of antimicrobial resistance refer mainly to regulation of antibiotic transportation through bacterial membranes, alteration of the antibiotic target site, and enzymatic modifications resulting in antibiotic neutralization. Virulence factors that may affect antibiotic susceptibility profiles and confer drug resistance are also being discussed. Reports from cases of A. baumannii coinfection with SARS-CoV-2 during the COVID-19 pandemic in terms of resistance profiles and MDR genes have been investigated.","container-title":"Pathogens","DOI":"10.3390/pathogens10030373","ISSN":"2076-0817","issue":"3","journalAbbreviation":"Pathogens","note":"PMID: 33808905\nPMCID: PMC8003822","page":"373","source":"PubMed Central","title":"Acinetobacter baumannii Antibiotic Resistance Mechanisms","volume":"10","author":[{"family":"Kyriakidis","given":"Ioannis"},{"family":"Vasileiou","given":"Eleni"},{"family":"Pana","given":"Zoi Dorothea"},{"family":"Tragiannidis","given":"Athanasios"}],"issued":{"date-parts":[["2021",3,19]]}}},{"id":1847,"uris":["http://zotero.org/users/1918630/items/RA6MIIWJ"],"itemData":{"id":1847,"type":"article-journal","abstract":"Acinetobacter baumannii has emerged as an important nosocomial pathogen, particularly for patients in intensive care units and with invasive indwelling devices. The most recent clinical isolates are resistant to several classes of clinically important antibiotics, greatly restricting the ability to effectively treat critically ill patients. The bacterial envelope is an important driver of A. baumannii disease, both at the level of battling against antibiotic therapy and at the level of protecting from host innate immune function. This review provides a comprehensive overview of key features of the envelope that interface with both the host and antimicrobial therapies. Carbohydrate structures that contribute to protecting from the host are detailed, and mutations that alter these structures, resulting in increased antimicrobial resistance, are explored. In addition, protein complexes involved in both intermicrobial and host-microbe interactions are described. Finally we discuss regulatory mechanisms that control the nature of the cell envelope and its impact on host innate immune function.","container-title":"Annual Review of Microbiology","DOI":"10.1146/annurev-micro-020518-115714","ISSN":"1545-3251","journalAbbreviation":"Annu Rev Microbiol","language":"eng","note":"PMID: 31206345","page":"481-506","source":"PubMed","title":"Acinetobacter baumannii: Envelope Determinants That Control Drug Resistance, Virulence, and Surface Variability","title-short":"Acinetobacter baumannii","volume":"73","author":[{"family":"Geisinger","given":"Edward"},{"family":"Huo","given":"Wenwen"},{"family":"Hernandez-Bird","given":"Juan"},{"family":"Isberg","given":"Ralph R."}],"issued":{"date-parts":[["2019",9,8]]}}},{"id":1456,"uris":["http://zotero.org/users/1918630/items/RYZMXSQ2"],"itemData":{"id":1456,"type":"article-journal","abstract":"ABSTRACT\n            \n              Increased expression of chromosomal genes for resistance-nodulation-cell division (RND)-type efflux systems plays a major role in the multidrug resistance (MDR) of\n              Acinetobacter baumannii\n              . However, the relative contributions of the three most prevalent pumps, AdeABC, AdeFGH, and AdeIJK, have not been evaluated in clinical settings. We have screened 14 MDR clinical isolates shown to be distinct on the basis of multilocus sequence typing (MLST) and pulsed-field gel electrophoresis (PFGE) for the presence and overexpression of the three Ade efflux systems and analyzed the sequences of the regulators AdeRS, a two-component system, for AdeABC and AdeL, a LysR-type regulator, for AdeFGH. Gene\n              adeB\n              was detected in 13 of 14 isolates, and\n              adeG\n              and the intrinsic\n              adeJ\n              gene were detected in all strains. Significant overexpression of\n              adeB\n              was observed in 10 strains, whereas only 7 had moderately increased levels of expression of AdeFGH, and none overexpressed AdeIJK. Thirteen strains had reduced susceptibility to tigecycline, but there was no correlation between tigecycline MICs and the levels of AdeABC expression, suggesting the presence of other mechanisms for tigecycline resistance. No mutations were found in the highly conserved LysR regulator of the nine strains expressing AdeFGH. In contrast, functional mutations were found in conserved domains of AdeRS in all the strains that overexpressed AdeABC with two mutational hot spots, one in AdeS near histidine 149 suggesting convergent evolution and the other in the DNA binding domain of AdeR compatible with horizontal gene transfer. This report outlines the high incidence of AdeABC efflux pump overexpression in MDR\n              A. baumannii\n              as a result of a variety of single mutations in the corresponding two-component regulatory system.","container-title":"Antimicrobial Agents and Chemotherapy","DOI":"10.1128/AAC.02556-12","ISSN":"0066-4804, 1098-6596","issue":"7","journalAbbreviation":"Antimicrob Agents Chemother","language":"en","page":"2989-2995","source":"DOI.org (Crossref)","title":"RND-Type Efflux Pumps in Multidrug-Resistant Clinical Isolates of Acinetobacter baumannii: Major Role for AdeABC Overexpression and AdeRS Mutations","title-short":"RND-Type Efflux Pumps in Multidrug-Resistant Clinical Isolates of Acinetobacter baumannii","volume":"57","author":[{"family":"Yoon","given":"Eun-Jeong"},{"family":"Courvalin","given":"Patrice"},{"family":"Grillot-Courvalin","given":"Catherine"}],"issued":{"date-parts":[["2013",7]]}}}],"schema":"https://github.com/citation-style-language/schema/raw/master/csl-citation.json"} </w:instrText>
      </w:r>
      <w:r w:rsidR="002F0E9A">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114,130,131</w:t>
      </w:r>
      <w:r w:rsidR="002F0E9A">
        <w:rPr>
          <w:rFonts w:ascii="Times New Roman" w:eastAsia="Times New Roman" w:hAnsi="Times New Roman" w:cs="Times New Roman"/>
          <w:sz w:val="24"/>
          <w:szCs w:val="24"/>
          <w14:ligatures w14:val="none"/>
        </w:rPr>
        <w:fldChar w:fldCharType="end"/>
      </w:r>
      <w:r w:rsidRPr="00E9322C">
        <w:rPr>
          <w:rFonts w:ascii="Times New Roman" w:eastAsia="Times New Roman" w:hAnsi="Times New Roman" w:cs="Times New Roman"/>
          <w:sz w:val="24"/>
          <w:szCs w:val="24"/>
          <w14:ligatures w14:val="none"/>
        </w:rPr>
        <w:t xml:space="preserve"> We previously found that the inactivation of major RND efflux pumps </w:t>
      </w:r>
      <w:proofErr w:type="spellStart"/>
      <w:r w:rsidRPr="00E9322C">
        <w:rPr>
          <w:rFonts w:ascii="Times New Roman" w:eastAsia="Times New Roman" w:hAnsi="Times New Roman" w:cs="Times New Roman"/>
          <w:sz w:val="24"/>
          <w:szCs w:val="24"/>
          <w14:ligatures w14:val="none"/>
        </w:rPr>
        <w:t>AdeABC</w:t>
      </w:r>
      <w:proofErr w:type="spellEnd"/>
      <w:r w:rsidRPr="00E9322C">
        <w:rPr>
          <w:rFonts w:ascii="Times New Roman" w:eastAsia="Times New Roman" w:hAnsi="Times New Roman" w:cs="Times New Roman"/>
          <w:sz w:val="24"/>
          <w:szCs w:val="24"/>
          <w14:ligatures w14:val="none"/>
        </w:rPr>
        <w:t xml:space="preserve"> and </w:t>
      </w:r>
      <w:proofErr w:type="spellStart"/>
      <w:r w:rsidRPr="00E9322C">
        <w:rPr>
          <w:rFonts w:ascii="Times New Roman" w:eastAsia="Times New Roman" w:hAnsi="Times New Roman" w:cs="Times New Roman"/>
          <w:sz w:val="24"/>
          <w:szCs w:val="24"/>
          <w14:ligatures w14:val="none"/>
        </w:rPr>
        <w:t>AdeIJK</w:t>
      </w:r>
      <w:proofErr w:type="spellEnd"/>
      <w:r w:rsidRPr="00E9322C">
        <w:rPr>
          <w:rFonts w:ascii="Times New Roman" w:eastAsia="Times New Roman" w:hAnsi="Times New Roman" w:cs="Times New Roman"/>
          <w:sz w:val="24"/>
          <w:szCs w:val="24"/>
          <w14:ligatures w14:val="none"/>
        </w:rPr>
        <w:t xml:space="preserve"> in</w:t>
      </w:r>
      <w:r w:rsidR="00012CE6">
        <w:rPr>
          <w:rFonts w:ascii="Times New Roman" w:eastAsia="Times New Roman" w:hAnsi="Times New Roman" w:cs="Times New Roman"/>
          <w:sz w:val="24"/>
          <w:szCs w:val="24"/>
          <w14:ligatures w14:val="none"/>
        </w:rPr>
        <w:t xml:space="preserve"> MDR</w:t>
      </w:r>
      <w:r w:rsidRPr="00E9322C">
        <w:rPr>
          <w:rFonts w:ascii="Times New Roman" w:eastAsia="Times New Roman" w:hAnsi="Times New Roman" w:cs="Times New Roman"/>
          <w:sz w:val="24"/>
          <w:szCs w:val="24"/>
          <w14:ligatures w14:val="none"/>
        </w:rPr>
        <w:t xml:space="preserve"> </w:t>
      </w:r>
      <w:r w:rsidRPr="00012CE6">
        <w:rPr>
          <w:rFonts w:ascii="Times New Roman" w:eastAsia="Times New Roman" w:hAnsi="Times New Roman" w:cs="Times New Roman"/>
          <w:i/>
          <w:iCs/>
          <w:sz w:val="24"/>
          <w:szCs w:val="24"/>
          <w14:ligatures w14:val="none"/>
        </w:rPr>
        <w:t>A. baumannii</w:t>
      </w:r>
      <w:r w:rsidRPr="00E9322C">
        <w:rPr>
          <w:rFonts w:ascii="Times New Roman" w:eastAsia="Times New Roman" w:hAnsi="Times New Roman" w:cs="Times New Roman"/>
          <w:sz w:val="24"/>
          <w:szCs w:val="24"/>
          <w14:ligatures w14:val="none"/>
        </w:rPr>
        <w:t xml:space="preserve"> AB5075 strain leads to changes in antibiotic susceptibilities and to pump-specific changes in transcriptomes and growth phenotypes</w:t>
      </w:r>
      <w:r w:rsidR="007376B5">
        <w:rPr>
          <w:rFonts w:ascii="Times New Roman" w:eastAsia="Times New Roman" w:hAnsi="Times New Roman" w:cs="Times New Roman"/>
          <w:sz w:val="24"/>
          <w:szCs w:val="24"/>
          <w14:ligatures w14:val="none"/>
        </w:rPr>
        <w:t>.</w:t>
      </w:r>
      <w:r w:rsidR="007376B5">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{"citationID":"bldYMzfw","properties":{"formattedCitation":"\\super 52,64\\nosupersub{}","plainCitation":"52,64","noteIndex":0},"citationItems":[{"id":1165,"uris":["http://zotero.org/users/1918630/items/HJJI4U4R"],"itemData":{"id":1165,"type":"article-journal","abstract":"Multidrug resistant (MDR) strains of Acinetobacter baumannii present a serious clinical challenge. The development of antibiotic resistance in this species is enabled by efflux pumps of the Resistance-Nodulation-Division (RND) superfamily of proteins creating an efficient permeability barrier for antibiotics. At least three RND pumps, AdeABC, AdeIJK, and AdeFGH are encoded in the A. baumannii genome and are reported to contribute to antibiotic resistance in clinical isolates. In this study, we analyzed the contributions of AdeABC and AdeIJK in antibiotic resistance and growth physiology of the two MDR strains, AYE and AB5075. We found that not only the two pumps have nonoverlapping substrate specificities, their inactivation leads to specific nonoverlapping changes in gene expression as determined by RNA sequencing and confirmed by gene knockouts and growth phenotypes. Our results suggest that inactivation of AdeIJK elicits broader changes in the abundances of mRNAs and this response is modified in the absence of AdeB. In contrast, inactivation of AdeB leads to a focused cellular response, which is not sensitive to the activity of AdeIJK. We identified additional efflux pumps and transcriptional regulators that contribute to MDR phenotype of clinical A. baumannii isolates.","container-title":"Molecular Microbiology","DOI":"10.1111/mmi.14594","ISSN":"1365-2958","issue":"6","journalAbbreviation":"Mol Microbiol","language":"eng","note":"PMID: 32858760","page":"1049-1065","source":"PubMed","title":"Inactivation of AdeABC and AdeIJK efflux pumps elicits specific nonoverlapping transcriptional and phenotypic responses in Acinetobacter baumannii","volume":"114","author":[{"family":"Leus","given":"Inga V."},{"family":"Adamiak","given":"Justyna"},{"family":"Trinh","given":"Anhthu N."},{"family":"Smith","given":"Richard D."},{"family":"Smith","given":"Lauren"},{"family":"Richardson","given":"Sophie"},{"family":"Ernst","given":"Robert K."},{"family":"Zgurskaya","given":"Helen I."}],"issued":{"date-parts":[["2020",12]]}}},{"id":1173,"uris":["http://zotero.org/users/1918630/items/UM9GT5BB"],"itemData":{"id":1173,"type":"article-journal","abstract":"Antibiotic-resistant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sidR="007376B5">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52,64</w:t>
      </w:r>
      <w:r w:rsidR="007376B5">
        <w:rPr>
          <w:rFonts w:ascii="Times New Roman" w:eastAsia="Times New Roman" w:hAnsi="Times New Roman" w:cs="Times New Roman"/>
          <w:sz w:val="24"/>
          <w:szCs w:val="24"/>
          <w14:ligatures w14:val="none"/>
        </w:rPr>
        <w:fldChar w:fldCharType="end"/>
      </w:r>
      <w:r w:rsidRPr="00E9322C">
        <w:rPr>
          <w:rFonts w:ascii="Times New Roman" w:eastAsia="Times New Roman" w:hAnsi="Times New Roman" w:cs="Times New Roman"/>
          <w:sz w:val="24"/>
          <w:szCs w:val="24"/>
          <w14:ligatures w14:val="none"/>
        </w:rPr>
        <w:t xml:space="preserve"> Among others, the putative efflux pumps from the MFS superfamily ABUW_1930/ABUW_1931 </w:t>
      </w:r>
      <w:r w:rsidR="00012CE6">
        <w:rPr>
          <w:rFonts w:ascii="Times New Roman" w:eastAsia="Times New Roman" w:hAnsi="Times New Roman" w:cs="Times New Roman"/>
          <w:sz w:val="24"/>
          <w:szCs w:val="24"/>
          <w14:ligatures w14:val="none"/>
        </w:rPr>
        <w:t xml:space="preserve">(now named </w:t>
      </w:r>
      <w:proofErr w:type="spellStart"/>
      <w:r w:rsidR="00012CE6">
        <w:rPr>
          <w:rFonts w:ascii="Times New Roman" w:eastAsia="Times New Roman" w:hAnsi="Times New Roman" w:cs="Times New Roman"/>
          <w:sz w:val="24"/>
          <w:szCs w:val="24"/>
          <w14:ligatures w14:val="none"/>
        </w:rPr>
        <w:t>AmfCD</w:t>
      </w:r>
      <w:proofErr w:type="spellEnd"/>
      <w:r w:rsidR="00012CE6">
        <w:rPr>
          <w:rFonts w:ascii="Times New Roman" w:eastAsia="Times New Roman" w:hAnsi="Times New Roman" w:cs="Times New Roman"/>
          <w:sz w:val="24"/>
          <w:szCs w:val="24"/>
          <w14:ligatures w14:val="none"/>
        </w:rPr>
        <w:t xml:space="preserve">) </w:t>
      </w:r>
      <w:r w:rsidRPr="00E9322C">
        <w:rPr>
          <w:rFonts w:ascii="Times New Roman" w:eastAsia="Times New Roman" w:hAnsi="Times New Roman" w:cs="Times New Roman"/>
          <w:sz w:val="24"/>
          <w:szCs w:val="24"/>
          <w14:ligatures w14:val="none"/>
        </w:rPr>
        <w:t>and ABUW_1949/ABUW_1950</w:t>
      </w:r>
      <w:r w:rsidR="00012CE6">
        <w:rPr>
          <w:rFonts w:ascii="Times New Roman" w:eastAsia="Times New Roman" w:hAnsi="Times New Roman" w:cs="Times New Roman"/>
          <w:sz w:val="24"/>
          <w:szCs w:val="24"/>
          <w14:ligatures w14:val="none"/>
        </w:rPr>
        <w:t xml:space="preserve"> (now named </w:t>
      </w:r>
      <w:proofErr w:type="spellStart"/>
      <w:r w:rsidR="00012CE6">
        <w:rPr>
          <w:rFonts w:ascii="Times New Roman" w:eastAsia="Times New Roman" w:hAnsi="Times New Roman" w:cs="Times New Roman"/>
          <w:sz w:val="24"/>
          <w:szCs w:val="24"/>
          <w14:ligatures w14:val="none"/>
        </w:rPr>
        <w:t>AmfAB</w:t>
      </w:r>
      <w:proofErr w:type="spellEnd"/>
      <w:r w:rsidR="00012CE6">
        <w:rPr>
          <w:rFonts w:ascii="Times New Roman" w:eastAsia="Times New Roman" w:hAnsi="Times New Roman" w:cs="Times New Roman"/>
          <w:sz w:val="24"/>
          <w:szCs w:val="24"/>
          <w14:ligatures w14:val="none"/>
        </w:rPr>
        <w:t xml:space="preserve">) </w:t>
      </w:r>
      <w:r w:rsidRPr="00E9322C">
        <w:rPr>
          <w:rFonts w:ascii="Times New Roman" w:eastAsia="Times New Roman" w:hAnsi="Times New Roman" w:cs="Times New Roman"/>
          <w:sz w:val="24"/>
          <w:szCs w:val="24"/>
          <w14:ligatures w14:val="none"/>
        </w:rPr>
        <w:t>were significantly overproduced in RND-deficient cells</w:t>
      </w:r>
      <w:r w:rsidR="007376B5">
        <w:rPr>
          <w:rFonts w:ascii="Times New Roman" w:eastAsia="Times New Roman" w:hAnsi="Times New Roman" w:cs="Times New Roman"/>
          <w:sz w:val="24"/>
          <w:szCs w:val="24"/>
          <w14:ligatures w14:val="none"/>
        </w:rPr>
        <w:t>.</w:t>
      </w:r>
      <w:r w:rsidR="007376B5">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{"citationID":"MCJXraC5","properties":{"formattedCitation":"\\super 64\\nosupersub{}","plainCitation":"64","noteIndex":0},"citationItems":[{"id":1165,"uris":["http://zotero.org/users/1918630/items/HJJI4U4R"],"itemData":{"id":1165,"type":"article-journal","abstract":"Multidrug resistant (MDR) strains of Acinetobacter baumannii present a serious clinical challenge. The development of antibiotic resistance in this species is enabled by efflux pumps of the Resistance-Nodulation-Division (RND) superfamily of proteins creating an efficient permeability barrier for antibiotics. At least three RND pumps, AdeABC, AdeIJK, and AdeFGH are encoded in the A. baumannii genome and are reported to contribute to antibiotic resistance in clinical isolates. In this study, we analyzed the contributions of AdeABC and AdeIJK in antibiotic resistance and growth physiology of the two MDR strains, AYE and AB5075. We found that not only the two pumps have nonoverlapping substrate specificities, their inactivation leads to specific nonoverlapping changes in gene expression as determined by RNA sequencing and confirmed by gene knockouts and growth phenotypes. Our results suggest that inactivation of AdeIJK elicits broader changes in the abundances of mRNAs and this response is modified in the absence of AdeB. In contrast, inactivation of AdeB leads to a focused cellular response, which is not sensitive to the activity of AdeIJK. We identified additional efflux pumps and transcriptional regulators that contribute to MDR phenotype of clinical A. baumannii isolates.","container-title":"Molecular Microbiology","DOI":"10.1111/mmi.14594","ISSN":"1365-2958","issue":"6","journalAbbreviation":"Mol Microbiol","language":"eng","note":"PMID: 32858760","page":"1049-1065","source":"PubMed","title":"Inactivation of AdeABC and AdeIJK efflux pumps elicits specific nonoverlapping transcriptional and phenotypic responses in Acinetobacter baumannii","volume":"114","author":[{"family":"Leus","given":"Inga V."},{"family":"Adamiak","given":"Justyna"},{"family":"Trinh","given":"Anhthu N."},{"family":"Smith","given":"Richard D."},{"family":"Smith","given":"Lauren"},{"family":"Richardson","given":"Sophie"},{"family":"Ernst","given":"Robert K."},{"family":"Zgurskaya","given":"Helen I."}],"issued":{"date-parts":[["2020",12]]}}}],"schema":"https://github.com/citation-style-language/schema/raw/master/csl-citation.json"} </w:instrText>
      </w:r>
      <w:r w:rsidR="007376B5">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64</w:t>
      </w:r>
      <w:r w:rsidR="007376B5">
        <w:rPr>
          <w:rFonts w:ascii="Times New Roman" w:eastAsia="Times New Roman" w:hAnsi="Times New Roman" w:cs="Times New Roman"/>
          <w:sz w:val="24"/>
          <w:szCs w:val="24"/>
          <w14:ligatures w14:val="none"/>
        </w:rPr>
        <w:fldChar w:fldCharType="end"/>
      </w:r>
      <w:r w:rsidRPr="00E9322C">
        <w:rPr>
          <w:rFonts w:ascii="Times New Roman" w:eastAsia="Times New Roman" w:hAnsi="Times New Roman" w:cs="Times New Roman"/>
          <w:sz w:val="24"/>
          <w:szCs w:val="24"/>
          <w14:ligatures w14:val="none"/>
        </w:rPr>
        <w:t xml:space="preserve"> Based on the previous study’s results, we anticipated that, similar </w:t>
      </w:r>
      <w:r w:rsidRPr="00E9322C">
        <w:rPr>
          <w:rFonts w:ascii="Times New Roman" w:eastAsia="Times New Roman" w:hAnsi="Times New Roman" w:cs="Times New Roman"/>
          <w:sz w:val="24"/>
          <w:szCs w:val="24"/>
          <w14:ligatures w14:val="none"/>
        </w:rPr>
        <w:lastRenderedPageBreak/>
        <w:t xml:space="preserve">to RND pumps, these putative </w:t>
      </w:r>
      <w:proofErr w:type="spellStart"/>
      <w:r w:rsidRPr="00E9322C">
        <w:rPr>
          <w:rFonts w:ascii="Times New Roman" w:eastAsia="Times New Roman" w:hAnsi="Times New Roman" w:cs="Times New Roman"/>
          <w:sz w:val="24"/>
          <w:szCs w:val="24"/>
          <w14:ligatures w14:val="none"/>
        </w:rPr>
        <w:t>EmrAB</w:t>
      </w:r>
      <w:proofErr w:type="spellEnd"/>
      <w:r w:rsidRPr="00E9322C">
        <w:rPr>
          <w:rFonts w:ascii="Times New Roman" w:eastAsia="Times New Roman" w:hAnsi="Times New Roman" w:cs="Times New Roman"/>
          <w:sz w:val="24"/>
          <w:szCs w:val="24"/>
          <w14:ligatures w14:val="none"/>
        </w:rPr>
        <w:t xml:space="preserve">-like pumps would have substrate specificities and some involvement in </w:t>
      </w:r>
      <w:r w:rsidRPr="00012CE6">
        <w:rPr>
          <w:rFonts w:ascii="Times New Roman" w:eastAsia="Times New Roman" w:hAnsi="Times New Roman" w:cs="Times New Roman"/>
          <w:i/>
          <w:iCs/>
          <w:sz w:val="24"/>
          <w:szCs w:val="24"/>
          <w14:ligatures w14:val="none"/>
        </w:rPr>
        <w:t xml:space="preserve">A. </w:t>
      </w:r>
      <w:proofErr w:type="spellStart"/>
      <w:r w:rsidRPr="00012CE6">
        <w:rPr>
          <w:rFonts w:ascii="Times New Roman" w:eastAsia="Times New Roman" w:hAnsi="Times New Roman" w:cs="Times New Roman"/>
          <w:i/>
          <w:iCs/>
          <w:sz w:val="24"/>
          <w:szCs w:val="24"/>
          <w14:ligatures w14:val="none"/>
        </w:rPr>
        <w:t>baumannii</w:t>
      </w:r>
      <w:r w:rsidR="00012CE6">
        <w:rPr>
          <w:rFonts w:ascii="Times New Roman" w:eastAsia="Times New Roman" w:hAnsi="Times New Roman" w:cs="Times New Roman"/>
          <w:sz w:val="24"/>
          <w:szCs w:val="24"/>
          <w14:ligatures w14:val="none"/>
        </w:rPr>
        <w:t>’s</w:t>
      </w:r>
      <w:proofErr w:type="spellEnd"/>
      <w:r w:rsidRPr="00E9322C">
        <w:rPr>
          <w:rFonts w:ascii="Times New Roman" w:eastAsia="Times New Roman" w:hAnsi="Times New Roman" w:cs="Times New Roman"/>
          <w:sz w:val="24"/>
          <w:szCs w:val="24"/>
          <w14:ligatures w14:val="none"/>
        </w:rPr>
        <w:t xml:space="preserve"> antimicrobial non-susceptibility, perhaps as alternative exporters to make up for the loss of RND efflux. </w:t>
      </w:r>
    </w:p>
    <w:p w14:paraId="15C57CE1" w14:textId="7BD96DAA" w:rsidR="00012CE6" w:rsidRPr="004F705E" w:rsidRDefault="00012CE6" w:rsidP="004F705E">
      <w:pPr>
        <w:spacing w:line="360" w:lineRule="auto"/>
        <w:ind w:firstLine="720"/>
        <w:rPr>
          <w:rFonts w:asciiTheme="majorHAnsi" w:hAnsiTheme="majorHAnsi" w:cstheme="majorHAnsi"/>
          <w:sz w:val="24"/>
          <w:szCs w:val="24"/>
        </w:rPr>
      </w:pPr>
      <w:r>
        <w:rPr>
          <w:rFonts w:asciiTheme="majorHAnsi" w:hAnsiTheme="majorHAnsi" w:cstheme="majorHAnsi"/>
          <w:sz w:val="24"/>
          <w:szCs w:val="24"/>
        </w:rPr>
        <w:t>A study published by Lin et al. in 2017 demonstrated that A1S_1772 and A1S_1773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were </w:t>
      </w:r>
      <w:r>
        <w:rPr>
          <w:rFonts w:asciiTheme="majorHAnsi" w:hAnsiTheme="majorHAnsi" w:cstheme="majorHAnsi"/>
          <w:i/>
          <w:iCs/>
          <w:sz w:val="24"/>
          <w:szCs w:val="24"/>
        </w:rPr>
        <w:t>A</w:t>
      </w:r>
      <w:r w:rsidR="004620AF">
        <w:rPr>
          <w:rFonts w:asciiTheme="majorHAnsi" w:hAnsiTheme="majorHAnsi" w:cstheme="majorHAnsi"/>
          <w:i/>
          <w:iCs/>
          <w:sz w:val="24"/>
          <w:szCs w:val="24"/>
        </w:rPr>
        <w:t>.</w:t>
      </w:r>
      <w:r>
        <w:rPr>
          <w:rFonts w:asciiTheme="majorHAnsi" w:hAnsiTheme="majorHAnsi" w:cstheme="majorHAnsi"/>
          <w:i/>
          <w:iCs/>
          <w:sz w:val="24"/>
          <w:szCs w:val="24"/>
        </w:rPr>
        <w:t xml:space="preserve"> baumannii</w:t>
      </w:r>
      <w:r>
        <w:rPr>
          <w:rFonts w:asciiTheme="majorHAnsi" w:hAnsiTheme="majorHAnsi" w:cstheme="majorHAnsi"/>
          <w:sz w:val="24"/>
          <w:szCs w:val="24"/>
        </w:rPr>
        <w:t xml:space="preserve"> homologues of EmrA and </w:t>
      </w:r>
      <w:proofErr w:type="spellStart"/>
      <w:r>
        <w:rPr>
          <w:rFonts w:asciiTheme="majorHAnsi" w:hAnsiTheme="majorHAnsi" w:cstheme="majorHAnsi"/>
          <w:sz w:val="24"/>
          <w:szCs w:val="24"/>
        </w:rPr>
        <w:t>EmrB</w:t>
      </w:r>
      <w:proofErr w:type="spellEnd"/>
      <w:r>
        <w:rPr>
          <w:rFonts w:asciiTheme="majorHAnsi" w:hAnsiTheme="majorHAnsi" w:cstheme="majorHAnsi"/>
          <w:sz w:val="24"/>
          <w:szCs w:val="24"/>
        </w:rPr>
        <w:t>, respectively, by in silico analysis, expression analysis, and efflux assay.</w:t>
      </w:r>
      <w:r>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{"citationID":"6STGlysM","properties":{"formattedCitation":"\\super 132\\nosupersub{}","plainCitation":"132","noteIndex":0},"citationItems":[{"id":1693,"uris":["http://zotero.org/users/1918630/items/V2WBU5K2"],"itemData":{"id":1693,"type":"article-journal","abstract":"Efflux pumps play an important role in antimicrobial resistance for Acinetobacter baumannii. However, the function of the Emr pump system and the relationship between Emr and drug resistance has not been characterized in A. baumannii. In this study, four possible groups of emr-like genes were found by searching a genome database. Among them, A1S_1772 (emrB) and A1S_1773 (emrA) were demonstrated to be co-transcribed as a single operon. Moreover, during osmotic stress, A1S_1772 showed the largest change in gene expression compared to the other emrB-like genes, and deletion of A1S_1772 (AB ΔemrB) significantly slowed cell growth in 20% sucrose. Using a phenotypic microarray analysis, the AB ΔemrB mutant was more susceptible to colistin and nafcillin, paromomycin, spiramycin, and D,L-serine hydroxmate than the wild type. The spot assay, time kill assay and minimal inhibition concentration determination also indicated that the wild type could tolerate colistin better than the AB ΔemrB mutant. Finally, the increased expression levels of all emrB-like genes, including A1S_0775, A1S_0909, A1S_1772, and A1S_1799, in colistin resistance-induced A. baumannii further supported the possible involvement of the emrB genes in A. baumannii colistin resistance. Together, the Emr pump systems in A. baumannii contribute to adaptation to osmotic stress and resistance to colistin.","container-title":"Journal of Microbiology (Seoul, Korea)","DOI":"10.1007/s12275-017-6408-5","ISSN":"1976-3794","issue":"2","journalAbbreviation":"J Microbiol","language":"eng","note":"PMID: 28120193","page":"130-136","source":"PubMed","title":"Contribution of EmrAB efflux pumps to colistin resistance in Acinetobacter baumannii","volume":"55","author":[{"family":"Lin","given":"Ming-Feng"},{"family":"Lin","given":"Yun-You"},{"family":"Lan","given":"Chung-Yu"}],"issued":{"date-parts":[["2017",2]]}}}],"schema":"https://github.com/citation-style-language/schema/raw/master/csl-citation.json"} </w:instrText>
      </w:r>
      <w:r>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132</w:t>
      </w:r>
      <w:r>
        <w:rPr>
          <w:rFonts w:asciiTheme="majorHAnsi" w:hAnsiTheme="majorHAnsi" w:cstheme="majorHAnsi"/>
          <w:sz w:val="24"/>
          <w:szCs w:val="24"/>
        </w:rPr>
        <w:fldChar w:fldCharType="end"/>
      </w:r>
      <w:r>
        <w:rPr>
          <w:rFonts w:asciiTheme="majorHAnsi" w:hAnsiTheme="majorHAnsi" w:cstheme="majorHAnsi"/>
          <w:sz w:val="24"/>
          <w:szCs w:val="24"/>
        </w:rPr>
        <w:t xml:space="preserve"> The study identified a link between this efflux pump system and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’s</w:t>
      </w:r>
      <w:proofErr w:type="spellEnd"/>
      <w:r>
        <w:rPr>
          <w:rFonts w:asciiTheme="majorHAnsi" w:hAnsiTheme="majorHAnsi" w:cstheme="majorHAnsi"/>
          <w:sz w:val="24"/>
          <w:szCs w:val="24"/>
        </w:rPr>
        <w:t xml:space="preserve"> response to osmotic stress and the bacterium’s ability to resist several compounds. Going into our study we anticipated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to have a noticeable impact on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’s</w:t>
      </w:r>
      <w:proofErr w:type="spellEnd"/>
      <w:r>
        <w:rPr>
          <w:rFonts w:asciiTheme="majorHAnsi" w:hAnsiTheme="majorHAnsi" w:cstheme="majorHAnsi"/>
          <w:sz w:val="24"/>
          <w:szCs w:val="24"/>
        </w:rPr>
        <w:t xml:space="preserve"> ability to survive under antibiotic stress and/or under osmotic stress. </w:t>
      </w:r>
    </w:p>
    <w:p w14:paraId="07840629" w14:textId="3932B140" w:rsidR="00E9322C" w:rsidRPr="00E9322C" w:rsidRDefault="00E9322C" w:rsidP="00012CE6">
      <w:pPr>
        <w:spacing w:after="0" w:line="360" w:lineRule="auto"/>
        <w:ind w:firstLine="720"/>
        <w:rPr>
          <w:rFonts w:ascii="Times New Roman" w:eastAsia="Times New Roman" w:hAnsi="Times New Roman" w:cs="Times New Roman"/>
          <w:sz w:val="24"/>
          <w:szCs w:val="24"/>
          <w14:ligatures w14:val="none"/>
        </w:rPr>
      </w:pPr>
      <w:r w:rsidRPr="00E9322C">
        <w:rPr>
          <w:rFonts w:ascii="Times New Roman" w:eastAsia="Times New Roman" w:hAnsi="Times New Roman" w:cs="Times New Roman"/>
          <w:sz w:val="24"/>
          <w:szCs w:val="24"/>
          <w14:ligatures w14:val="none"/>
        </w:rPr>
        <w:t xml:space="preserve">Like RND efflux pumps, these </w:t>
      </w:r>
      <w:r w:rsidR="00012CE6">
        <w:rPr>
          <w:rFonts w:ascii="Times New Roman" w:eastAsia="Times New Roman" w:hAnsi="Times New Roman" w:cs="Times New Roman"/>
          <w:sz w:val="24"/>
          <w:szCs w:val="24"/>
          <w14:ligatures w14:val="none"/>
        </w:rPr>
        <w:t xml:space="preserve">MFS </w:t>
      </w:r>
      <w:r w:rsidRPr="00E9322C">
        <w:rPr>
          <w:rFonts w:ascii="Times New Roman" w:eastAsia="Times New Roman" w:hAnsi="Times New Roman" w:cs="Times New Roman"/>
          <w:sz w:val="24"/>
          <w:szCs w:val="24"/>
          <w14:ligatures w14:val="none"/>
        </w:rPr>
        <w:t xml:space="preserve">transporters function as tripartite complexes. The first genes in the ABUW_1930/ABUW_1931 </w:t>
      </w:r>
      <w:r w:rsidR="00012CE6">
        <w:rPr>
          <w:rFonts w:ascii="Times New Roman" w:eastAsia="Times New Roman" w:hAnsi="Times New Roman" w:cs="Times New Roman"/>
          <w:sz w:val="24"/>
          <w:szCs w:val="24"/>
          <w14:ligatures w14:val="none"/>
        </w:rPr>
        <w:t>(</w:t>
      </w:r>
      <w:proofErr w:type="spellStart"/>
      <w:r w:rsidR="00012CE6">
        <w:rPr>
          <w:rFonts w:ascii="Times New Roman" w:eastAsia="Times New Roman" w:hAnsi="Times New Roman" w:cs="Times New Roman"/>
          <w:sz w:val="24"/>
          <w:szCs w:val="24"/>
          <w14:ligatures w14:val="none"/>
        </w:rPr>
        <w:t>AmfCD</w:t>
      </w:r>
      <w:proofErr w:type="spellEnd"/>
      <w:r w:rsidR="00012CE6">
        <w:rPr>
          <w:rFonts w:ascii="Times New Roman" w:eastAsia="Times New Roman" w:hAnsi="Times New Roman" w:cs="Times New Roman"/>
          <w:sz w:val="24"/>
          <w:szCs w:val="24"/>
          <w14:ligatures w14:val="none"/>
        </w:rPr>
        <w:t xml:space="preserve">) </w:t>
      </w:r>
      <w:r w:rsidRPr="00E9322C">
        <w:rPr>
          <w:rFonts w:ascii="Times New Roman" w:eastAsia="Times New Roman" w:hAnsi="Times New Roman" w:cs="Times New Roman"/>
          <w:sz w:val="24"/>
          <w:szCs w:val="24"/>
          <w14:ligatures w14:val="none"/>
        </w:rPr>
        <w:t xml:space="preserve">and ABUW_1949/ABUW_1950 </w:t>
      </w:r>
      <w:r w:rsidR="00012CE6">
        <w:rPr>
          <w:rFonts w:ascii="Times New Roman" w:eastAsia="Times New Roman" w:hAnsi="Times New Roman" w:cs="Times New Roman"/>
          <w:sz w:val="24"/>
          <w:szCs w:val="24"/>
          <w14:ligatures w14:val="none"/>
        </w:rPr>
        <w:t>(</w:t>
      </w:r>
      <w:proofErr w:type="spellStart"/>
      <w:r w:rsidR="00012CE6">
        <w:rPr>
          <w:rFonts w:ascii="Times New Roman" w:eastAsia="Times New Roman" w:hAnsi="Times New Roman" w:cs="Times New Roman"/>
          <w:sz w:val="24"/>
          <w:szCs w:val="24"/>
          <w14:ligatures w14:val="none"/>
        </w:rPr>
        <w:t>AmfAB</w:t>
      </w:r>
      <w:proofErr w:type="spellEnd"/>
      <w:r w:rsidR="00012CE6">
        <w:rPr>
          <w:rFonts w:ascii="Times New Roman" w:eastAsia="Times New Roman" w:hAnsi="Times New Roman" w:cs="Times New Roman"/>
          <w:sz w:val="24"/>
          <w:szCs w:val="24"/>
          <w14:ligatures w14:val="none"/>
        </w:rPr>
        <w:t xml:space="preserve">) </w:t>
      </w:r>
      <w:r w:rsidRPr="00E9322C">
        <w:rPr>
          <w:rFonts w:ascii="Times New Roman" w:eastAsia="Times New Roman" w:hAnsi="Times New Roman" w:cs="Times New Roman"/>
          <w:sz w:val="24"/>
          <w:szCs w:val="24"/>
          <w14:ligatures w14:val="none"/>
        </w:rPr>
        <w:t xml:space="preserve">operons encode the periplasmic membrane fusion proteins followed by the MFS transporters. However, genes encoding the OMP components are not present in the operons and are likely encoded somewhere else on the chromosome. </w:t>
      </w:r>
      <w:proofErr w:type="spellStart"/>
      <w:r w:rsidRPr="00E9322C">
        <w:rPr>
          <w:rFonts w:ascii="Times New Roman" w:eastAsia="Times New Roman" w:hAnsi="Times New Roman" w:cs="Times New Roman"/>
          <w:sz w:val="24"/>
          <w:szCs w:val="24"/>
          <w14:ligatures w14:val="none"/>
        </w:rPr>
        <w:t>EmrAB</w:t>
      </w:r>
      <w:proofErr w:type="spellEnd"/>
      <w:r w:rsidRPr="00E9322C">
        <w:rPr>
          <w:rFonts w:ascii="Times New Roman" w:eastAsia="Times New Roman" w:hAnsi="Times New Roman" w:cs="Times New Roman"/>
          <w:sz w:val="24"/>
          <w:szCs w:val="24"/>
          <w14:ligatures w14:val="none"/>
        </w:rPr>
        <w:t xml:space="preserve"> is known to confer resistance to hydrophobic compounds like nalidixic acid and thiolactomycin in </w:t>
      </w:r>
      <w:r w:rsidRPr="00012CE6">
        <w:rPr>
          <w:rFonts w:ascii="Times New Roman" w:eastAsia="Times New Roman" w:hAnsi="Times New Roman" w:cs="Times New Roman"/>
          <w:i/>
          <w:iCs/>
          <w:sz w:val="24"/>
          <w:szCs w:val="24"/>
          <w14:ligatures w14:val="none"/>
        </w:rPr>
        <w:t>E. coli</w:t>
      </w:r>
      <w:r w:rsidR="00012CE6">
        <w:rPr>
          <w:rFonts w:ascii="Times New Roman" w:eastAsia="Times New Roman" w:hAnsi="Times New Roman" w:cs="Times New Roman"/>
          <w:sz w:val="24"/>
          <w:szCs w:val="24"/>
          <w14:ligatures w14:val="none"/>
        </w:rPr>
        <w:t xml:space="preserve"> </w:t>
      </w:r>
      <w:r w:rsidR="008A5422">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{"citationID":"iedbAxe0","properties":{"formattedCitation":"\\super 60\\nosupersub{}","plainCitation":"60","noteIndex":0},"citationItems":[{"id":1600,"uris":["http://zotero.org/users/1918630/items/JFGBI78C"],"itemData":{"id":1600,"type":"article-journal","abstract":"An Escherichia coli chromosomal DNA fragment cloned on a multicopy plasmid conferred resistance to carbonylcyanide m-chlorophenylhydrazone, nalidixic acid, and a number of other toxic compounds. The sequence of the cloned emr locus located at minute 57.5 of the chromosome revealed two open reading frames, emrA and emrB. emrB encodes a highly hydrophobic 56.2-kDa peptide, with 14 potential alpha-helices to span the inner membrane. The peptide is homologous to QacA, a multidrug-resistant pump from Staphylococcus aureus, and belongs to a gene family that includes tetracycline-resistant pumps of Gram-positive bacteria and the galactose/H+ symporter of E. coli. emrA encodes a putative 42.7-kDa peptide containing a single hydrophobic domain and a large C-terminal hydrophilic domain. An active pho-fusion to the C domain suggested that EmrA is a membrane protein. Disruption of emrB significantly increased sensitivity of cells to uncouplers. The cellular content of uncoupler increased in the order: overexpressed emrB cells greater than wild type greater than emrB-.","container-title":"Proceedings of the National Academy of Sciences of the United States of America","DOI":"10.1073/pnas.89.19.8938","ISSN":"0027-8424","issue":"19","journalAbbreviation":"Proc Natl Acad Sci U S A","language":"eng","note":"PMID: 1409590\nPMCID: PMC50039","page":"8938-8942","source":"PubMed","title":"Emr, an Escherichia coli locus for multidrug resistance","volume":"89","author":[{"family":"Lomovskaya","given":"O."},{"family":"Lewis","given":"K."}],"issued":{"date-parts":[["1992",10,1]]}}}],"schema":"https://github.com/citation-style-language/schema/raw/master/csl-citation.json"} </w:instrText>
      </w:r>
      <w:r w:rsidR="008A5422">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60</w:t>
      </w:r>
      <w:r w:rsidR="008A5422">
        <w:rPr>
          <w:rFonts w:ascii="Times New Roman" w:eastAsia="Times New Roman" w:hAnsi="Times New Roman" w:cs="Times New Roman"/>
          <w:sz w:val="24"/>
          <w:szCs w:val="24"/>
          <w14:ligatures w14:val="none"/>
        </w:rPr>
        <w:fldChar w:fldCharType="end"/>
      </w:r>
      <w:r w:rsidRPr="00E9322C">
        <w:rPr>
          <w:rFonts w:ascii="Times New Roman" w:eastAsia="Times New Roman" w:hAnsi="Times New Roman" w:cs="Times New Roman"/>
          <w:sz w:val="24"/>
          <w:szCs w:val="24"/>
          <w14:ligatures w14:val="none"/>
        </w:rPr>
        <w:t xml:space="preserve">, but the substrate specificities of MFS efflux pumps and their potential functions in the drug resistance and physiology of </w:t>
      </w:r>
      <w:r w:rsidRPr="00012CE6">
        <w:rPr>
          <w:rFonts w:ascii="Times New Roman" w:eastAsia="Times New Roman" w:hAnsi="Times New Roman" w:cs="Times New Roman"/>
          <w:i/>
          <w:iCs/>
          <w:sz w:val="24"/>
          <w:szCs w:val="24"/>
          <w14:ligatures w14:val="none"/>
        </w:rPr>
        <w:t>A. baumannii</w:t>
      </w:r>
      <w:r w:rsidRPr="00E9322C">
        <w:rPr>
          <w:rFonts w:ascii="Times New Roman" w:eastAsia="Times New Roman" w:hAnsi="Times New Roman" w:cs="Times New Roman"/>
          <w:sz w:val="24"/>
          <w:szCs w:val="24"/>
          <w14:ligatures w14:val="none"/>
        </w:rPr>
        <w:t xml:space="preserve"> remain unknown.</w:t>
      </w:r>
    </w:p>
    <w:p w14:paraId="6EED1428" w14:textId="585A4680" w:rsidR="00E9322C" w:rsidRPr="00E9322C" w:rsidRDefault="00E9322C" w:rsidP="00951892">
      <w:pPr>
        <w:spacing w:after="0" w:line="360" w:lineRule="auto"/>
        <w:ind w:firstLine="720"/>
        <w:rPr>
          <w:rFonts w:ascii="Times New Roman" w:eastAsia="Times New Roman" w:hAnsi="Times New Roman" w:cs="Times New Roman"/>
          <w:sz w:val="24"/>
          <w:szCs w:val="24"/>
          <w14:ligatures w14:val="none"/>
        </w:rPr>
      </w:pPr>
      <w:r w:rsidRPr="00E9322C">
        <w:rPr>
          <w:rFonts w:ascii="Times New Roman" w:eastAsia="Times New Roman" w:hAnsi="Times New Roman" w:cs="Times New Roman"/>
          <w:sz w:val="24"/>
          <w:szCs w:val="24"/>
          <w14:ligatures w14:val="none"/>
        </w:rPr>
        <w:t>In this study,</w:t>
      </w:r>
      <w:r w:rsidR="001D4242">
        <w:rPr>
          <w:rFonts w:ascii="Times New Roman" w:eastAsia="Times New Roman" w:hAnsi="Times New Roman" w:cs="Times New Roman"/>
          <w:sz w:val="24"/>
          <w:szCs w:val="24"/>
          <w14:ligatures w14:val="none"/>
        </w:rPr>
        <w:t xml:space="preserve"> Dr. Inga Leus</w:t>
      </w:r>
      <w:r w:rsidRPr="00E9322C">
        <w:rPr>
          <w:rFonts w:ascii="Times New Roman" w:eastAsia="Times New Roman" w:hAnsi="Times New Roman" w:cs="Times New Roman"/>
          <w:sz w:val="24"/>
          <w:szCs w:val="24"/>
          <w14:ligatures w14:val="none"/>
        </w:rPr>
        <w:t xml:space="preserve"> generated deletions of genes encoding the putative </w:t>
      </w:r>
      <w:proofErr w:type="spellStart"/>
      <w:r w:rsidRPr="00E9322C">
        <w:rPr>
          <w:rFonts w:ascii="Times New Roman" w:eastAsia="Times New Roman" w:hAnsi="Times New Roman" w:cs="Times New Roman"/>
          <w:sz w:val="24"/>
          <w:szCs w:val="24"/>
          <w14:ligatures w14:val="none"/>
        </w:rPr>
        <w:t>EmrAB</w:t>
      </w:r>
      <w:proofErr w:type="spellEnd"/>
      <w:r w:rsidRPr="00E9322C">
        <w:rPr>
          <w:rFonts w:ascii="Times New Roman" w:eastAsia="Times New Roman" w:hAnsi="Times New Roman" w:cs="Times New Roman"/>
          <w:sz w:val="24"/>
          <w:szCs w:val="24"/>
          <w14:ligatures w14:val="none"/>
        </w:rPr>
        <w:t xml:space="preserve">-like multidrug efflux pumps of </w:t>
      </w:r>
      <w:r w:rsidRPr="001D4242">
        <w:rPr>
          <w:rFonts w:ascii="Times New Roman" w:eastAsia="Times New Roman" w:hAnsi="Times New Roman" w:cs="Times New Roman"/>
          <w:i/>
          <w:iCs/>
          <w:sz w:val="24"/>
          <w:szCs w:val="24"/>
          <w14:ligatures w14:val="none"/>
        </w:rPr>
        <w:t>A. baumannii</w:t>
      </w:r>
      <w:r w:rsidRPr="00E9322C">
        <w:rPr>
          <w:rFonts w:ascii="Times New Roman" w:eastAsia="Times New Roman" w:hAnsi="Times New Roman" w:cs="Times New Roman"/>
          <w:sz w:val="24"/>
          <w:szCs w:val="24"/>
          <w14:ligatures w14:val="none"/>
        </w:rPr>
        <w:t xml:space="preserve"> and</w:t>
      </w:r>
      <w:r w:rsidR="00951892">
        <w:rPr>
          <w:rFonts w:ascii="Times New Roman" w:eastAsia="Times New Roman" w:hAnsi="Times New Roman" w:cs="Times New Roman"/>
          <w:sz w:val="24"/>
          <w:szCs w:val="24"/>
          <w14:ligatures w14:val="none"/>
        </w:rPr>
        <w:t xml:space="preserve"> I</w:t>
      </w:r>
      <w:r w:rsidR="001D4242">
        <w:rPr>
          <w:rFonts w:ascii="Times New Roman" w:eastAsia="Times New Roman" w:hAnsi="Times New Roman" w:cs="Times New Roman"/>
          <w:sz w:val="24"/>
          <w:szCs w:val="24"/>
          <w14:ligatures w14:val="none"/>
        </w:rPr>
        <w:t xml:space="preserve"> </w:t>
      </w:r>
      <w:r w:rsidRPr="00E9322C">
        <w:rPr>
          <w:rFonts w:ascii="Times New Roman" w:eastAsia="Times New Roman" w:hAnsi="Times New Roman" w:cs="Times New Roman"/>
          <w:sz w:val="24"/>
          <w:szCs w:val="24"/>
          <w14:ligatures w14:val="none"/>
        </w:rPr>
        <w:t xml:space="preserve">constructed strains overproducing these transporters in the cells with the wild-type repertoire of RND efflux pumps </w:t>
      </w:r>
      <w:r w:rsidR="00D13E53">
        <w:rPr>
          <w:rFonts w:ascii="Times New Roman" w:eastAsia="Times New Roman" w:hAnsi="Times New Roman" w:cs="Times New Roman"/>
          <w:sz w:val="24"/>
          <w:szCs w:val="24"/>
          <w14:ligatures w14:val="none"/>
        </w:rPr>
        <w:t xml:space="preserve">(derivatives of </w:t>
      </w:r>
      <w:r w:rsidR="00D13E53">
        <w:rPr>
          <w:rFonts w:ascii="Times New Roman" w:eastAsia="Times New Roman" w:hAnsi="Times New Roman" w:cs="Times New Roman"/>
          <w:i/>
          <w:iCs/>
          <w:sz w:val="24"/>
          <w:szCs w:val="24"/>
          <w14:ligatures w14:val="none"/>
        </w:rPr>
        <w:t xml:space="preserve">A. </w:t>
      </w:r>
      <w:r w:rsidR="00D13E53">
        <w:rPr>
          <w:i/>
          <w:iCs/>
        </w:rPr>
        <w:t xml:space="preserve">baumannii </w:t>
      </w:r>
      <w:r w:rsidR="00D13E53">
        <w:t xml:space="preserve">ATCC17978), </w:t>
      </w:r>
      <w:r w:rsidRPr="00E9322C">
        <w:rPr>
          <w:rFonts w:ascii="Times New Roman" w:eastAsia="Times New Roman" w:hAnsi="Times New Roman" w:cs="Times New Roman"/>
          <w:sz w:val="24"/>
          <w:szCs w:val="24"/>
          <w14:ligatures w14:val="none"/>
        </w:rPr>
        <w:t xml:space="preserve">cells lacking </w:t>
      </w:r>
      <w:r w:rsidR="00D13E53">
        <w:rPr>
          <w:rFonts w:ascii="Times New Roman" w:eastAsia="Times New Roman" w:hAnsi="Times New Roman" w:cs="Times New Roman"/>
          <w:sz w:val="24"/>
          <w:szCs w:val="24"/>
          <w14:ligatures w14:val="none"/>
        </w:rPr>
        <w:t xml:space="preserve">the </w:t>
      </w:r>
      <w:proofErr w:type="spellStart"/>
      <w:r w:rsidR="00D13E53">
        <w:rPr>
          <w:rFonts w:ascii="Times New Roman" w:eastAsia="Times New Roman" w:hAnsi="Times New Roman" w:cs="Times New Roman"/>
          <w:sz w:val="24"/>
          <w:szCs w:val="24"/>
          <w14:ligatures w14:val="none"/>
        </w:rPr>
        <w:t>EmrAB</w:t>
      </w:r>
      <w:proofErr w:type="spellEnd"/>
      <w:r w:rsidR="00D13E53">
        <w:rPr>
          <w:rFonts w:ascii="Times New Roman" w:eastAsia="Times New Roman" w:hAnsi="Times New Roman" w:cs="Times New Roman"/>
          <w:sz w:val="24"/>
          <w:szCs w:val="24"/>
          <w14:ligatures w14:val="none"/>
        </w:rPr>
        <w:t>-like</w:t>
      </w:r>
      <w:r w:rsidRPr="00E9322C">
        <w:rPr>
          <w:rFonts w:ascii="Times New Roman" w:eastAsia="Times New Roman" w:hAnsi="Times New Roman" w:cs="Times New Roman"/>
          <w:sz w:val="24"/>
          <w:szCs w:val="24"/>
          <w14:ligatures w14:val="none"/>
        </w:rPr>
        <w:t xml:space="preserve"> transporters</w:t>
      </w:r>
      <w:r w:rsidR="00D13E53">
        <w:rPr>
          <w:rFonts w:ascii="Times New Roman" w:eastAsia="Times New Roman" w:hAnsi="Times New Roman" w:cs="Times New Roman"/>
          <w:sz w:val="24"/>
          <w:szCs w:val="24"/>
          <w14:ligatures w14:val="none"/>
        </w:rPr>
        <w:t>, and cells lacking the RND pumps.</w:t>
      </w:r>
      <w:r w:rsidR="00951892">
        <w:rPr>
          <w:rFonts w:ascii="Times New Roman" w:eastAsia="Times New Roman" w:hAnsi="Times New Roman" w:cs="Times New Roman"/>
          <w:sz w:val="24"/>
          <w:szCs w:val="24"/>
          <w14:ligatures w14:val="none"/>
        </w:rPr>
        <w:fldChar w:fldCharType="begin"/>
      </w:r>
      <w:r w:rsidR="00F1534D">
        <w:rPr>
          <w:rFonts w:ascii="Times New Roman" w:eastAsia="Times New Roman" w:hAnsi="Times New Roman" w:cs="Times New Roman"/>
          <w:sz w:val="24"/>
          <w:szCs w:val="24"/>
          <w14:ligatures w14:val="none"/>
        </w:rPr>
        <w:instrText xml:space="preserve"> ADDIN ZOTERO_ITEM CSL_CITATION {"citationID":"a8pvvn9ie3","properties":{"formattedCitation":"\\super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sidR="00951892">
        <w:rPr>
          <w:rFonts w:ascii="Times New Roman" w:eastAsia="Times New Roman" w:hAnsi="Times New Roman" w:cs="Times New Roman"/>
          <w:sz w:val="24"/>
          <w:szCs w:val="24"/>
          <w14:ligatures w14:val="none"/>
        </w:rPr>
        <w:fldChar w:fldCharType="separate"/>
      </w:r>
      <w:r w:rsidR="00F1534D" w:rsidRPr="00F1534D">
        <w:rPr>
          <w:rFonts w:ascii="Times New Roman" w:hAnsi="Times New Roman" w:cs="Times New Roman"/>
          <w:sz w:val="24"/>
          <w:szCs w:val="24"/>
          <w:vertAlign w:val="superscript"/>
        </w:rPr>
        <w:t>20</w:t>
      </w:r>
      <w:r w:rsidR="00951892">
        <w:rPr>
          <w:rFonts w:ascii="Times New Roman" w:eastAsia="Times New Roman" w:hAnsi="Times New Roman" w:cs="Times New Roman"/>
          <w:sz w:val="24"/>
          <w:szCs w:val="24"/>
          <w14:ligatures w14:val="none"/>
        </w:rPr>
        <w:fldChar w:fldCharType="end"/>
      </w:r>
      <w:r w:rsidRPr="00E9322C">
        <w:rPr>
          <w:rFonts w:ascii="Times New Roman" w:eastAsia="Times New Roman" w:hAnsi="Times New Roman" w:cs="Times New Roman"/>
          <w:sz w:val="24"/>
          <w:szCs w:val="24"/>
          <w14:ligatures w14:val="none"/>
        </w:rPr>
        <w:t xml:space="preserve"> The constructed</w:t>
      </w:r>
      <w:r w:rsidR="00D13E53">
        <w:rPr>
          <w:rFonts w:ascii="Times New Roman" w:eastAsia="Times New Roman" w:hAnsi="Times New Roman" w:cs="Times New Roman"/>
          <w:sz w:val="24"/>
          <w:szCs w:val="24"/>
          <w14:ligatures w14:val="none"/>
        </w:rPr>
        <w:t xml:space="preserve"> strains</w:t>
      </w:r>
      <w:r w:rsidRPr="00E9322C">
        <w:rPr>
          <w:rFonts w:ascii="Times New Roman" w:eastAsia="Times New Roman" w:hAnsi="Times New Roman" w:cs="Times New Roman"/>
          <w:sz w:val="24"/>
          <w:szCs w:val="24"/>
          <w14:ligatures w14:val="none"/>
        </w:rPr>
        <w:t xml:space="preserve"> were characterized for their susceptibilities to representative antibiotics and their abilities to grow under stress conditions associated with human infections. We found that </w:t>
      </w:r>
      <w:proofErr w:type="spellStart"/>
      <w:r w:rsidRPr="00E9322C">
        <w:rPr>
          <w:rFonts w:ascii="Times New Roman" w:eastAsia="Times New Roman" w:hAnsi="Times New Roman" w:cs="Times New Roman"/>
          <w:sz w:val="24"/>
          <w:szCs w:val="24"/>
          <w14:ligatures w14:val="none"/>
        </w:rPr>
        <w:t>EmrAB</w:t>
      </w:r>
      <w:proofErr w:type="spellEnd"/>
      <w:r w:rsidRPr="00E9322C">
        <w:rPr>
          <w:rFonts w:ascii="Times New Roman" w:eastAsia="Times New Roman" w:hAnsi="Times New Roman" w:cs="Times New Roman"/>
          <w:sz w:val="24"/>
          <w:szCs w:val="24"/>
          <w14:ligatures w14:val="none"/>
        </w:rPr>
        <w:t xml:space="preserve"> homologs have non-complementary functions, but both contribute to the survival of </w:t>
      </w:r>
      <w:r w:rsidRPr="001D4242">
        <w:rPr>
          <w:rFonts w:ascii="Times New Roman" w:eastAsia="Times New Roman" w:hAnsi="Times New Roman" w:cs="Times New Roman"/>
          <w:i/>
          <w:iCs/>
          <w:sz w:val="24"/>
          <w:szCs w:val="24"/>
          <w14:ligatures w14:val="none"/>
        </w:rPr>
        <w:t>A. baumannii</w:t>
      </w:r>
      <w:r w:rsidRPr="00E9322C">
        <w:rPr>
          <w:rFonts w:ascii="Times New Roman" w:eastAsia="Times New Roman" w:hAnsi="Times New Roman" w:cs="Times New Roman"/>
          <w:sz w:val="24"/>
          <w:szCs w:val="24"/>
          <w14:ligatures w14:val="none"/>
        </w:rPr>
        <w:t xml:space="preserve"> under acidic stress.</w:t>
      </w:r>
    </w:p>
    <w:p w14:paraId="45AB30F3" w14:textId="5E7AC359" w:rsidR="00A4656F" w:rsidRDefault="00D13E53" w:rsidP="0071582F">
      <w:pPr>
        <w:spacing w:line="360" w:lineRule="auto"/>
        <w:rPr>
          <w:rFonts w:asciiTheme="majorHAnsi" w:hAnsiTheme="majorHAnsi" w:cstheme="majorHAnsi"/>
          <w:sz w:val="24"/>
          <w:szCs w:val="24"/>
          <w:u w:val="single"/>
        </w:rPr>
      </w:pPr>
      <w:r w:rsidRPr="00D13E53">
        <w:rPr>
          <w:rFonts w:asciiTheme="majorHAnsi" w:hAnsiTheme="majorHAnsi" w:cstheme="majorHAnsi"/>
          <w:sz w:val="24"/>
          <w:szCs w:val="24"/>
          <w:u w:val="single"/>
        </w:rPr>
        <w:t>3.3.</w:t>
      </w:r>
      <w:r>
        <w:rPr>
          <w:rFonts w:asciiTheme="majorHAnsi" w:hAnsiTheme="majorHAnsi" w:cstheme="majorHAnsi"/>
          <w:sz w:val="24"/>
          <w:szCs w:val="24"/>
          <w:u w:val="single"/>
        </w:rPr>
        <w:t xml:space="preserve"> </w:t>
      </w:r>
      <w:r w:rsidR="00156CBA" w:rsidRPr="00734E96">
        <w:rPr>
          <w:rFonts w:asciiTheme="majorHAnsi" w:hAnsiTheme="majorHAnsi" w:cstheme="majorHAnsi"/>
          <w:sz w:val="24"/>
          <w:szCs w:val="24"/>
          <w:u w:val="single"/>
        </w:rPr>
        <w:t>Results</w:t>
      </w:r>
    </w:p>
    <w:p w14:paraId="704D3CF5" w14:textId="5CF3153C" w:rsidR="00527841" w:rsidRDefault="00527841" w:rsidP="0071582F">
      <w:pPr>
        <w:spacing w:line="360" w:lineRule="auto"/>
        <w:rPr>
          <w:rFonts w:asciiTheme="majorHAnsi" w:hAnsiTheme="majorHAnsi" w:cstheme="majorHAnsi"/>
          <w:sz w:val="24"/>
          <w:szCs w:val="24"/>
          <w:u w:val="single"/>
        </w:rPr>
      </w:pPr>
      <w:r>
        <w:rPr>
          <w:rFonts w:asciiTheme="majorHAnsi" w:hAnsiTheme="majorHAnsi" w:cstheme="majorHAnsi"/>
          <w:sz w:val="24"/>
          <w:szCs w:val="24"/>
          <w:u w:val="single"/>
        </w:rPr>
        <w:t>3.3.1. Genomic Context</w:t>
      </w:r>
    </w:p>
    <w:p w14:paraId="5C5D1300" w14:textId="42588DF3"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Analyzing the genomic context of a gene of interest provides insights into the gene’s function and its interactions with other genes. In bacterial chromosomes, genes that are physiologically linked are often closely clustered together</w:t>
      </w:r>
      <w:r w:rsidR="007F38FB">
        <w:rPr>
          <w:rFonts w:ascii="Times New Roman" w:hAnsi="Times New Roman" w:cs="Times New Roman"/>
          <w:color w:val="000000" w:themeColor="text1"/>
          <w:sz w:val="24"/>
          <w:szCs w:val="24"/>
        </w:rPr>
        <w:t xml:space="preserve"> and</w:t>
      </w:r>
      <w:r>
        <w:rPr>
          <w:rFonts w:ascii="Times New Roman" w:hAnsi="Times New Roman" w:cs="Times New Roman"/>
          <w:color w:val="000000" w:themeColor="text1"/>
          <w:sz w:val="24"/>
          <w:szCs w:val="24"/>
        </w:rPr>
        <w:t xml:space="preserve"> adjacent to their regulatory elements. This arrangement facilitates coordinated gene regulation and function. In most bacteria, genes within the same operon are usually separated by 20 nucleotides bases or fewer.</w:t>
      </w:r>
      <w:r w:rsidR="00041F22">
        <w:rPr>
          <w:rFonts w:ascii="Times New Roman" w:hAnsi="Times New Roman" w:cs="Times New Roman"/>
          <w:color w:val="000000" w:themeColor="text1"/>
          <w:sz w:val="24"/>
          <w:szCs w:val="24"/>
        </w:rPr>
        <w:fldChar w:fldCharType="begin"/>
      </w:r>
      <w:r w:rsidR="00625D97">
        <w:rPr>
          <w:rFonts w:ascii="Times New Roman" w:hAnsi="Times New Roman" w:cs="Times New Roman"/>
          <w:color w:val="000000" w:themeColor="text1"/>
          <w:sz w:val="24"/>
          <w:szCs w:val="24"/>
        </w:rPr>
        <w:instrText xml:space="preserve"> ADDIN ZOTERO_ITEM CSL_CITATION {"citationID":"a190462lhv6","properties":{"formattedCitation":"\\super 133\\nosupersub{}","plainCitation":"133","noteIndex":0},"citationItems":[{"id":2130,"uris":["http://zotero.org/users/1918630/items/J8KYJC7L"],"itemData":{"id":2130,"type":"article-journal","abstract":"MOTIVATION: The prediction of the transcription unit organization of genomes is an important clue in the inference of functional relationships of genes, the interpretation and evaluation of transcriptome experiments, and the overall inference of the regulatory networks governing the expression of genes in response to the environment. Though several methods have been devised to predict operons, most need a high characterization of the genome analysed. Log-likelihoods derived from inter-genic distance distributions work surprisingly well to predict operons in Escherichia coli and are available for any genome as soon as the gene sets are predicted.\nRESULTS: Here we provide evidence that the very same method is applicable to any prokaryotic genome. First, the method has the same efficiency when evaluated using a collection of experimentally known operons of Bacillus subtilis. Second, operons among most if not all prokaryotes seem to have the same tendencies to keep short distances between their genes, the most frequent distances being the overlaps of four and one base pairs. The universality of this structural feature allows us to predict the organization of transcription units in all prokaryotes. Third, predicted operons contain a higher proportion of genes with related phylogenetic profiles and conservation of adjacency than predicted borders of transcription units.","container-title":"Bioinformatics (Oxford, England)","DOI":"10.1093/bioinformatics/18.suppl_1.s329","ISSN":"1367-4803","journalAbbreviation":"Bioinformatics","language":"eng","note":"PMID: 12169563","page":"S329-336","source":"PubMed","title":"A powerful non-homology method for the prediction of operons in prokaryotes","volume":"18 Suppl 1","author":[{"family":"Moreno-Hagelsieb","given":"Gabriel"},{"family":"Collado-Vides","given":"Julio"}],"issued":{"date-parts":[["2002"]]}}}],"schema":"https://github.com/citation-style-language/schema/raw/master/csl-citation.json"} </w:instrText>
      </w:r>
      <w:r w:rsidR="00041F22">
        <w:rPr>
          <w:rFonts w:ascii="Times New Roman" w:hAnsi="Times New Roman" w:cs="Times New Roman"/>
          <w:color w:val="000000" w:themeColor="text1"/>
          <w:sz w:val="24"/>
          <w:szCs w:val="24"/>
        </w:rPr>
        <w:fldChar w:fldCharType="separate"/>
      </w:r>
      <w:r w:rsidR="00625D97" w:rsidRPr="00625D97">
        <w:rPr>
          <w:rFonts w:ascii="Times New Roman" w:hAnsi="Times New Roman" w:cs="Times New Roman"/>
          <w:sz w:val="24"/>
          <w:vertAlign w:val="superscript"/>
        </w:rPr>
        <w:t>133</w:t>
      </w:r>
      <w:r w:rsidR="00041F22">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p>
    <w:p w14:paraId="4A3BD069" w14:textId="3BE47D6C" w:rsidR="00240F71" w:rsidRPr="00240F71" w:rsidRDefault="00240F71" w:rsidP="00240F71">
      <w:pPr>
        <w:spacing w:before="120" w:after="120" w:line="360" w:lineRule="auto"/>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3.3.1.1 Genomic Context of </w:t>
      </w:r>
      <w:proofErr w:type="spellStart"/>
      <w:r>
        <w:rPr>
          <w:rFonts w:ascii="Times New Roman" w:hAnsi="Times New Roman" w:cs="Times New Roman"/>
          <w:color w:val="000000" w:themeColor="text1"/>
          <w:sz w:val="24"/>
          <w:szCs w:val="24"/>
          <w:u w:val="single"/>
        </w:rPr>
        <w:t>AmfAB</w:t>
      </w:r>
      <w:proofErr w:type="spellEnd"/>
    </w:p>
    <w:p w14:paraId="79AED96A" w14:textId="7442B8DD"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First, looking at ABUW_1949/1950 within the AB5075 chromosome we can see that the two genes follow the efflux pump naming convention where the first gene in the two gene operon is the membrane fusion protein </w:t>
      </w:r>
      <w:proofErr w:type="spellStart"/>
      <w:r>
        <w:rPr>
          <w:rFonts w:ascii="Times New Roman" w:hAnsi="Times New Roman" w:cs="Times New Roman"/>
          <w:i/>
          <w:iCs/>
          <w:color w:val="000000" w:themeColor="text1"/>
          <w:sz w:val="24"/>
          <w:szCs w:val="24"/>
        </w:rPr>
        <w:t>amfA</w:t>
      </w:r>
      <w:proofErr w:type="spellEnd"/>
      <w:r>
        <w:rPr>
          <w:rFonts w:ascii="Times New Roman" w:hAnsi="Times New Roman" w:cs="Times New Roman"/>
          <w:color w:val="000000" w:themeColor="text1"/>
          <w:sz w:val="24"/>
          <w:szCs w:val="24"/>
        </w:rPr>
        <w:t xml:space="preserve"> followed by the inner membrane protein transporter </w:t>
      </w:r>
      <w:proofErr w:type="spellStart"/>
      <w:r>
        <w:rPr>
          <w:rFonts w:ascii="Times New Roman" w:hAnsi="Times New Roman" w:cs="Times New Roman"/>
          <w:i/>
          <w:iCs/>
          <w:color w:val="000000" w:themeColor="text1"/>
          <w:sz w:val="24"/>
          <w:szCs w:val="24"/>
        </w:rPr>
        <w:t>amfB</w:t>
      </w:r>
      <w:proofErr w:type="spellEnd"/>
      <w:r>
        <w:rPr>
          <w:rFonts w:ascii="Times New Roman" w:hAnsi="Times New Roman" w:cs="Times New Roman"/>
          <w:color w:val="000000" w:themeColor="text1"/>
          <w:sz w:val="24"/>
          <w:szCs w:val="24"/>
        </w:rPr>
        <w:t xml:space="preserve">. There is a 23 nucleotide intergenic region between </w:t>
      </w:r>
      <w:proofErr w:type="spellStart"/>
      <w:r>
        <w:rPr>
          <w:rFonts w:ascii="Times New Roman" w:hAnsi="Times New Roman" w:cs="Times New Roman"/>
          <w:i/>
          <w:iCs/>
          <w:color w:val="000000" w:themeColor="text1"/>
          <w:sz w:val="24"/>
          <w:szCs w:val="24"/>
        </w:rPr>
        <w:t>amfA</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i/>
          <w:iCs/>
          <w:color w:val="000000" w:themeColor="text1"/>
          <w:sz w:val="24"/>
          <w:szCs w:val="24"/>
        </w:rPr>
        <w:t>amfB</w:t>
      </w:r>
      <w:proofErr w:type="spellEnd"/>
      <w:r>
        <w:rPr>
          <w:rFonts w:ascii="Times New Roman" w:hAnsi="Times New Roman" w:cs="Times New Roman"/>
          <w:color w:val="000000" w:themeColor="text1"/>
          <w:sz w:val="24"/>
          <w:szCs w:val="24"/>
        </w:rPr>
        <w:t xml:space="preserve">. This region was conserved during the cloning process. </w:t>
      </w:r>
    </w:p>
    <w:p w14:paraId="258C224B" w14:textId="6556ED42" w:rsidR="00041F22" w:rsidRDefault="00482C66" w:rsidP="00041F22">
      <w:pPr>
        <w:spacing w:before="120" w:after="120" w:line="360" w:lineRule="auto"/>
        <w:jc w:val="both"/>
        <w:rPr>
          <w:rFonts w:ascii="Times New Roman" w:hAnsi="Times New Roman" w:cs="Times New Roman"/>
          <w:b/>
          <w:bCs/>
          <w:i/>
          <w:iCs/>
          <w:color w:val="000000" w:themeColor="text1"/>
          <w:sz w:val="24"/>
          <w:szCs w:val="24"/>
        </w:rPr>
      </w:pPr>
      <w:r w:rsidRPr="00482C66">
        <w:rPr>
          <w:rFonts w:ascii="Times New Roman" w:hAnsi="Times New Roman" w:cs="Times New Roman"/>
          <w:b/>
          <w:bCs/>
          <w:noProof/>
          <w:color w:val="000000" w:themeColor="text1"/>
          <w:sz w:val="24"/>
          <w:szCs w:val="24"/>
        </w:rPr>
        <w:drawing>
          <wp:inline distT="0" distB="0" distL="0" distR="0" wp14:anchorId="7AC72A7A" wp14:editId="78F28BDD">
            <wp:extent cx="5486400" cy="582930"/>
            <wp:effectExtent l="0" t="0" r="0" b="7620"/>
            <wp:docPr id="7" name="Picture 6">
              <a:extLst xmlns:a="http://schemas.openxmlformats.org/drawingml/2006/main">
                <a:ext uri="{FF2B5EF4-FFF2-40B4-BE49-F238E27FC236}">
                  <a16:creationId xmlns:a16="http://schemas.microsoft.com/office/drawing/2014/main" id="{87A19FE9-CFF3-7B06-6974-EB065427C6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7A19FE9-CFF3-7B06-6974-EB065427C6C3}"/>
                        </a:ext>
                      </a:extLst>
                    </pic:cNvPr>
                    <pic:cNvPicPr>
                      <a:picLocks noChangeAspect="1"/>
                    </pic:cNvPicPr>
                  </pic:nvPicPr>
                  <pic:blipFill>
                    <a:blip r:embed="rId24"/>
                    <a:stretch>
                      <a:fillRect/>
                    </a:stretch>
                  </pic:blipFill>
                  <pic:spPr>
                    <a:xfrm>
                      <a:off x="0" y="0"/>
                      <a:ext cx="5486400" cy="582930"/>
                    </a:xfrm>
                    <a:prstGeom prst="rect">
                      <a:avLst/>
                    </a:prstGeom>
                  </pic:spPr>
                </pic:pic>
              </a:graphicData>
            </a:graphic>
          </wp:inline>
        </w:drawing>
      </w:r>
      <w:r w:rsidR="00041F22">
        <w:rPr>
          <w:rFonts w:ascii="Times New Roman" w:hAnsi="Times New Roman" w:cs="Times New Roman"/>
          <w:b/>
          <w:bCs/>
          <w:color w:val="000000" w:themeColor="text1"/>
          <w:sz w:val="24"/>
          <w:szCs w:val="24"/>
        </w:rPr>
        <w:t xml:space="preserve">Figure </w:t>
      </w:r>
      <w:r w:rsidR="00B03B7E">
        <w:rPr>
          <w:rFonts w:ascii="Times New Roman" w:hAnsi="Times New Roman" w:cs="Times New Roman"/>
          <w:b/>
          <w:bCs/>
          <w:color w:val="000000" w:themeColor="text1"/>
          <w:sz w:val="24"/>
          <w:szCs w:val="24"/>
        </w:rPr>
        <w:t>3</w:t>
      </w:r>
      <w:r w:rsidR="00041F22">
        <w:rPr>
          <w:rFonts w:ascii="Times New Roman" w:hAnsi="Times New Roman" w:cs="Times New Roman"/>
          <w:b/>
          <w:bCs/>
          <w:color w:val="000000" w:themeColor="text1"/>
          <w:sz w:val="24"/>
          <w:szCs w:val="24"/>
        </w:rPr>
        <w:t>.</w:t>
      </w:r>
      <w:r w:rsidR="00B03B7E">
        <w:rPr>
          <w:rFonts w:ascii="Times New Roman" w:hAnsi="Times New Roman" w:cs="Times New Roman"/>
          <w:b/>
          <w:bCs/>
          <w:color w:val="000000" w:themeColor="text1"/>
          <w:sz w:val="24"/>
          <w:szCs w:val="24"/>
        </w:rPr>
        <w:t>1</w:t>
      </w:r>
      <w:r w:rsidR="00041F22">
        <w:rPr>
          <w:rFonts w:ascii="Times New Roman" w:hAnsi="Times New Roman" w:cs="Times New Roman"/>
          <w:b/>
          <w:bCs/>
          <w:color w:val="000000" w:themeColor="text1"/>
          <w:sz w:val="24"/>
          <w:szCs w:val="24"/>
        </w:rPr>
        <w:t xml:space="preserve"> </w:t>
      </w:r>
      <w:r w:rsidR="00B03B7E">
        <w:rPr>
          <w:rFonts w:ascii="Times New Roman" w:hAnsi="Times New Roman" w:cs="Times New Roman"/>
          <w:b/>
          <w:bCs/>
          <w:color w:val="000000" w:themeColor="text1"/>
          <w:sz w:val="24"/>
          <w:szCs w:val="24"/>
        </w:rPr>
        <w:t xml:space="preserve">Genomic locus of </w:t>
      </w:r>
      <w:proofErr w:type="spellStart"/>
      <w:r w:rsidR="00B03B7E">
        <w:rPr>
          <w:rFonts w:ascii="Times New Roman" w:hAnsi="Times New Roman" w:cs="Times New Roman"/>
          <w:b/>
          <w:bCs/>
          <w:i/>
          <w:iCs/>
          <w:color w:val="000000" w:themeColor="text1"/>
          <w:sz w:val="24"/>
          <w:szCs w:val="24"/>
        </w:rPr>
        <w:t>amfAB</w:t>
      </w:r>
      <w:proofErr w:type="spellEnd"/>
    </w:p>
    <w:p w14:paraId="6AD25B03" w14:textId="1D56AFF5" w:rsidR="00041F22" w:rsidRPr="00041F22" w:rsidRDefault="00482C66" w:rsidP="0068593A">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Schematic of the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gene locus within the Ab5075 chromosome. The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genes are shown in green. ABUW genes upstream of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are shown in orange. ABUW genes downstream of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are shown in blue. The black arrows indicate the direction of transcription. Created in BioRender.com</w:t>
      </w:r>
      <w:r w:rsidR="00B71091">
        <w:rPr>
          <w:rFonts w:ascii="Times New Roman" w:hAnsi="Times New Roman" w:cs="Times New Roman"/>
          <w:color w:val="000000" w:themeColor="text1"/>
          <w:sz w:val="24"/>
          <w:szCs w:val="24"/>
        </w:rPr>
        <w:t>.</w:t>
      </w:r>
    </w:p>
    <w:p w14:paraId="43D79F5C" w14:textId="51497640"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Upstream of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the next closest annotated gene in the ABUW genome is 683 nucleotides away</w:t>
      </w:r>
      <w:r w:rsidR="0001052C">
        <w:rPr>
          <w:rFonts w:ascii="Times New Roman" w:hAnsi="Times New Roman" w:cs="Times New Roman"/>
          <w:color w:val="000000" w:themeColor="text1"/>
          <w:sz w:val="24"/>
          <w:szCs w:val="24"/>
        </w:rPr>
        <w:t xml:space="preserve"> (</w:t>
      </w:r>
      <w:r w:rsidR="0001052C">
        <w:rPr>
          <w:rFonts w:ascii="Times New Roman" w:hAnsi="Times New Roman" w:cs="Times New Roman"/>
          <w:b/>
          <w:bCs/>
          <w:color w:val="000000" w:themeColor="text1"/>
          <w:sz w:val="24"/>
          <w:szCs w:val="24"/>
        </w:rPr>
        <w:t>Figure 3.1</w:t>
      </w:r>
      <w:r w:rsidR="0001052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upstream genes are annotated to be an </w:t>
      </w:r>
      <w:proofErr w:type="spellStart"/>
      <w:r>
        <w:rPr>
          <w:rFonts w:ascii="Times New Roman" w:hAnsi="Times New Roman" w:cs="Times New Roman"/>
          <w:color w:val="000000" w:themeColor="text1"/>
          <w:sz w:val="24"/>
          <w:szCs w:val="24"/>
        </w:rPr>
        <w:t>indoleacetamide</w:t>
      </w:r>
      <w:proofErr w:type="spellEnd"/>
      <w:r>
        <w:rPr>
          <w:rFonts w:ascii="Times New Roman" w:hAnsi="Times New Roman" w:cs="Times New Roman"/>
          <w:color w:val="000000" w:themeColor="text1"/>
          <w:sz w:val="24"/>
          <w:szCs w:val="24"/>
        </w:rPr>
        <w:t xml:space="preserve"> hydrolase (ABUW_1948), a </w:t>
      </w:r>
      <w:proofErr w:type="spellStart"/>
      <w:r>
        <w:rPr>
          <w:rFonts w:ascii="Times New Roman" w:hAnsi="Times New Roman" w:cs="Times New Roman"/>
          <w:color w:val="000000" w:themeColor="text1"/>
          <w:sz w:val="24"/>
          <w:szCs w:val="24"/>
        </w:rPr>
        <w:t>LuxR</w:t>
      </w:r>
      <w:proofErr w:type="spellEnd"/>
      <w:r>
        <w:rPr>
          <w:rFonts w:ascii="Times New Roman" w:hAnsi="Times New Roman" w:cs="Times New Roman"/>
          <w:color w:val="000000" w:themeColor="text1"/>
          <w:sz w:val="24"/>
          <w:szCs w:val="24"/>
        </w:rPr>
        <w:t xml:space="preserve"> family transcriptional regulator (ABUW_1947), a hypothetical protein (ABUW_1946), and a </w:t>
      </w:r>
      <w:proofErr w:type="spellStart"/>
      <w:r>
        <w:rPr>
          <w:rFonts w:ascii="Times New Roman" w:hAnsi="Times New Roman" w:cs="Times New Roman"/>
          <w:color w:val="000000" w:themeColor="text1"/>
          <w:sz w:val="24"/>
          <w:szCs w:val="24"/>
        </w:rPr>
        <w:t>methlenetetrahydrofolate</w:t>
      </w:r>
      <w:proofErr w:type="spellEnd"/>
      <w:r>
        <w:rPr>
          <w:rFonts w:ascii="Times New Roman" w:hAnsi="Times New Roman" w:cs="Times New Roman"/>
          <w:color w:val="000000" w:themeColor="text1"/>
          <w:sz w:val="24"/>
          <w:szCs w:val="24"/>
        </w:rPr>
        <w:t xml:space="preserve"> reductase domain (ABUW_1945). It is possible that </w:t>
      </w:r>
      <w:proofErr w:type="spellStart"/>
      <w:r>
        <w:rPr>
          <w:rFonts w:ascii="Times New Roman" w:hAnsi="Times New Roman" w:cs="Times New Roman"/>
          <w:color w:val="000000" w:themeColor="text1"/>
          <w:sz w:val="24"/>
          <w:szCs w:val="24"/>
        </w:rPr>
        <w:t>AmfAB</w:t>
      </w:r>
      <w:proofErr w:type="spellEnd"/>
      <w:r>
        <w:rPr>
          <w:rFonts w:ascii="Times New Roman" w:hAnsi="Times New Roman" w:cs="Times New Roman"/>
          <w:color w:val="000000" w:themeColor="text1"/>
          <w:sz w:val="24"/>
          <w:szCs w:val="24"/>
        </w:rPr>
        <w:t xml:space="preserve"> is involved in quorum sensing</w:t>
      </w:r>
      <w:r w:rsidR="00B416FA">
        <w:rPr>
          <w:rFonts w:ascii="Times New Roman" w:hAnsi="Times New Roman" w:cs="Times New Roman"/>
          <w:color w:val="000000" w:themeColor="text1"/>
          <w:sz w:val="24"/>
          <w:szCs w:val="24"/>
        </w:rPr>
        <w:t xml:space="preserve"> due to its proximity to the </w:t>
      </w:r>
      <w:proofErr w:type="spellStart"/>
      <w:r w:rsidR="00B416FA">
        <w:rPr>
          <w:rFonts w:ascii="Times New Roman" w:hAnsi="Times New Roman" w:cs="Times New Roman"/>
          <w:color w:val="000000" w:themeColor="text1"/>
          <w:sz w:val="24"/>
          <w:szCs w:val="24"/>
        </w:rPr>
        <w:t>LuxR</w:t>
      </w:r>
      <w:proofErr w:type="spellEnd"/>
      <w:r w:rsidR="00B416FA">
        <w:rPr>
          <w:rFonts w:ascii="Times New Roman" w:hAnsi="Times New Roman" w:cs="Times New Roman"/>
          <w:color w:val="000000" w:themeColor="text1"/>
          <w:sz w:val="24"/>
          <w:szCs w:val="24"/>
        </w:rPr>
        <w:t xml:space="preserve"> gene</w:t>
      </w:r>
      <w:r>
        <w:rPr>
          <w:rFonts w:ascii="Times New Roman" w:hAnsi="Times New Roman" w:cs="Times New Roman"/>
          <w:color w:val="000000" w:themeColor="text1"/>
          <w:sz w:val="24"/>
          <w:szCs w:val="24"/>
        </w:rPr>
        <w:t xml:space="preserve">, but the genes in this area are unlikely to interact with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due to its distance away from the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operon. </w:t>
      </w:r>
    </w:p>
    <w:p w14:paraId="42095CF8" w14:textId="77777777" w:rsidR="00527841" w:rsidRPr="0016468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Downstream of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the next closest annotated gene is 154 nucleotides away. The downstream genes are annotated to be a hypothetical protein (ABUW_1951), an auxin-responsive GH3-related protein (ABUW_1952), an outer membrane efflux protein (ABUW_1953), a putative acid phosphatase (ABUW_1955), another hypothetical protein </w:t>
      </w:r>
      <w:r>
        <w:rPr>
          <w:rFonts w:ascii="Times New Roman" w:hAnsi="Times New Roman" w:cs="Times New Roman"/>
          <w:color w:val="000000" w:themeColor="text1"/>
          <w:sz w:val="24"/>
          <w:szCs w:val="24"/>
        </w:rPr>
        <w:lastRenderedPageBreak/>
        <w:t>(ABUW_1956), and a guanosine 3’,5’-bis(diphosphate) 3’-pyrophosphohydrolase (</w:t>
      </w:r>
      <w:proofErr w:type="spellStart"/>
      <w:r>
        <w:rPr>
          <w:rFonts w:ascii="Times New Roman" w:hAnsi="Times New Roman" w:cs="Times New Roman"/>
          <w:color w:val="000000" w:themeColor="text1"/>
          <w:sz w:val="24"/>
          <w:szCs w:val="24"/>
        </w:rPr>
        <w:t>ppGppase</w:t>
      </w:r>
      <w:proofErr w:type="spellEnd"/>
      <w:r>
        <w:rPr>
          <w:rFonts w:ascii="Times New Roman" w:hAnsi="Times New Roman" w:cs="Times New Roman"/>
          <w:color w:val="000000" w:themeColor="text1"/>
          <w:sz w:val="24"/>
          <w:szCs w:val="24"/>
        </w:rPr>
        <w:t xml:space="preserve">) (ABUW_1957). From this group of genes, it is possible that </w:t>
      </w:r>
      <w:proofErr w:type="spellStart"/>
      <w:r>
        <w:rPr>
          <w:rFonts w:ascii="Times New Roman" w:hAnsi="Times New Roman" w:cs="Times New Roman"/>
          <w:color w:val="000000" w:themeColor="text1"/>
          <w:sz w:val="24"/>
          <w:szCs w:val="24"/>
        </w:rPr>
        <w:t>AmfAB</w:t>
      </w:r>
      <w:proofErr w:type="spellEnd"/>
      <w:r>
        <w:rPr>
          <w:rFonts w:ascii="Times New Roman" w:hAnsi="Times New Roman" w:cs="Times New Roman"/>
          <w:color w:val="000000" w:themeColor="text1"/>
          <w:sz w:val="24"/>
          <w:szCs w:val="24"/>
        </w:rPr>
        <w:t xml:space="preserve"> interacts with ABUW_1953, the outer membrane efflux protein. The amino acid sequence of ABUW_1953 aligns with A1S_1769 (99% ID, 93% coverage), which is annotated as a putative RND transporter in the </w:t>
      </w:r>
      <w:r>
        <w:rPr>
          <w:rFonts w:ascii="Times New Roman" w:hAnsi="Times New Roman" w:cs="Times New Roman"/>
          <w:i/>
          <w:iCs/>
          <w:color w:val="000000" w:themeColor="text1"/>
          <w:sz w:val="24"/>
          <w:szCs w:val="24"/>
        </w:rPr>
        <w:t>A. baumannii</w:t>
      </w:r>
      <w:r>
        <w:rPr>
          <w:rFonts w:ascii="Times New Roman" w:hAnsi="Times New Roman" w:cs="Times New Roman"/>
          <w:color w:val="000000" w:themeColor="text1"/>
          <w:sz w:val="24"/>
          <w:szCs w:val="24"/>
        </w:rPr>
        <w:t xml:space="preserve"> ATTC 17978 genome.  </w:t>
      </w:r>
    </w:p>
    <w:p w14:paraId="7C407A0B" w14:textId="7F3EDAB1"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 alignment of the amino acid sequence of ABUW_1953 showed it is likely to be an outer membrane channel. When aligned with the ABUW genes </w:t>
      </w:r>
      <w:proofErr w:type="spellStart"/>
      <w:r>
        <w:rPr>
          <w:rFonts w:ascii="Times New Roman" w:hAnsi="Times New Roman" w:cs="Times New Roman"/>
          <w:i/>
          <w:iCs/>
          <w:color w:val="000000" w:themeColor="text1"/>
          <w:sz w:val="24"/>
          <w:szCs w:val="24"/>
        </w:rPr>
        <w:t>adeABC</w:t>
      </w:r>
      <w:proofErr w:type="spellEnd"/>
      <w:r>
        <w:rPr>
          <w:rFonts w:ascii="Times New Roman" w:hAnsi="Times New Roman" w:cs="Times New Roman"/>
          <w:i/>
          <w:iCs/>
          <w:color w:val="000000" w:themeColor="text1"/>
          <w:sz w:val="24"/>
          <w:szCs w:val="24"/>
        </w:rPr>
        <w:t xml:space="preserve">, </w:t>
      </w:r>
      <w:proofErr w:type="spellStart"/>
      <w:r>
        <w:rPr>
          <w:rFonts w:ascii="Times New Roman" w:hAnsi="Times New Roman" w:cs="Times New Roman"/>
          <w:i/>
          <w:iCs/>
          <w:color w:val="000000" w:themeColor="text1"/>
          <w:sz w:val="24"/>
          <w:szCs w:val="24"/>
        </w:rPr>
        <w:t>adeFGH</w:t>
      </w:r>
      <w:proofErr w:type="spellEnd"/>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 xml:space="preserve">and </w:t>
      </w:r>
      <w:proofErr w:type="spellStart"/>
      <w:r>
        <w:rPr>
          <w:rFonts w:ascii="Times New Roman" w:hAnsi="Times New Roman" w:cs="Times New Roman"/>
          <w:i/>
          <w:iCs/>
          <w:color w:val="000000" w:themeColor="text1"/>
          <w:sz w:val="24"/>
          <w:szCs w:val="24"/>
        </w:rPr>
        <w:t>adeIJK</w:t>
      </w:r>
      <w:proofErr w:type="spellEnd"/>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ABUW_1953 only had significant alignment with the outer membrane proteins (</w:t>
      </w:r>
      <w:r>
        <w:rPr>
          <w:rFonts w:ascii="Times New Roman" w:hAnsi="Times New Roman" w:cs="Times New Roman"/>
          <w:b/>
          <w:bCs/>
          <w:color w:val="000000" w:themeColor="text1"/>
          <w:sz w:val="24"/>
          <w:szCs w:val="24"/>
        </w:rPr>
        <w:t>Table 3.</w:t>
      </w:r>
      <w:r w:rsidR="0001052C">
        <w:rPr>
          <w:rFonts w:ascii="Times New Roman" w:hAnsi="Times New Roman" w:cs="Times New Roman"/>
          <w:b/>
          <w:bCs/>
          <w:color w:val="000000" w:themeColor="text1"/>
          <w:sz w:val="24"/>
          <w:szCs w:val="24"/>
        </w:rPr>
        <w:t>1</w:t>
      </w:r>
      <w:r>
        <w:rPr>
          <w:rFonts w:ascii="Times New Roman" w:hAnsi="Times New Roman" w:cs="Times New Roman"/>
          <w:color w:val="000000" w:themeColor="text1"/>
          <w:sz w:val="24"/>
          <w:szCs w:val="24"/>
        </w:rPr>
        <w:t xml:space="preserve">). ABUW_1953 also showed some similarity to the promiscuous outer membrane channel </w:t>
      </w:r>
      <w:proofErr w:type="spellStart"/>
      <w:r>
        <w:rPr>
          <w:rFonts w:ascii="Times New Roman" w:hAnsi="Times New Roman" w:cs="Times New Roman"/>
          <w:color w:val="000000" w:themeColor="text1"/>
          <w:sz w:val="24"/>
          <w:szCs w:val="24"/>
        </w:rPr>
        <w:t>TolC</w:t>
      </w:r>
      <w:proofErr w:type="spellEnd"/>
      <w:r>
        <w:rPr>
          <w:rFonts w:ascii="Times New Roman" w:hAnsi="Times New Roman" w:cs="Times New Roman"/>
          <w:color w:val="000000" w:themeColor="text1"/>
          <w:sz w:val="24"/>
          <w:szCs w:val="24"/>
        </w:rPr>
        <w:t xml:space="preserve"> from </w:t>
      </w:r>
      <w:r>
        <w:rPr>
          <w:rFonts w:ascii="Times New Roman" w:hAnsi="Times New Roman" w:cs="Times New Roman"/>
          <w:i/>
          <w:iCs/>
          <w:color w:val="000000" w:themeColor="text1"/>
          <w:sz w:val="24"/>
          <w:szCs w:val="24"/>
        </w:rPr>
        <w:t xml:space="preserve">E. coli </w:t>
      </w:r>
      <w:r>
        <w:rPr>
          <w:rFonts w:ascii="Times New Roman" w:hAnsi="Times New Roman" w:cs="Times New Roman"/>
          <w:color w:val="000000" w:themeColor="text1"/>
          <w:sz w:val="24"/>
          <w:szCs w:val="24"/>
        </w:rPr>
        <w:t>K-12.</w:t>
      </w:r>
      <w:r>
        <w:rPr>
          <w:rFonts w:ascii="Times New Roman" w:hAnsi="Times New Roman" w:cs="Times New Roman"/>
          <w:color w:val="000000" w:themeColor="text1"/>
          <w:sz w:val="24"/>
          <w:szCs w:val="24"/>
        </w:rPr>
        <w:fldChar w:fldCharType="begin"/>
      </w:r>
      <w:r w:rsidR="00625D97">
        <w:rPr>
          <w:rFonts w:ascii="Times New Roman" w:hAnsi="Times New Roman" w:cs="Times New Roman"/>
          <w:color w:val="000000" w:themeColor="text1"/>
          <w:sz w:val="24"/>
          <w:szCs w:val="24"/>
        </w:rPr>
        <w:instrText xml:space="preserve"> ADDIN ZOTERO_ITEM CSL_CITATION {"citationID":"67MGW5Hy","properties":{"formattedCitation":"\\super 134\\nosupersub{}","plainCitation":"134","noteIndex":0},"citationItems":[{"id":1689,"uris":["http://zotero.org/users/1918630/items/VSPPEJ9V"],"itemData":{"id":1689,"type":"webpage","title":"tolC - Outer membrane protein TolC - Escherichia coli (strain K12) | UniProtKB | UniProt","URL":"https://www.uniprot.org/uniprotkb/P02930/entry#sequences","accessed":{"date-parts":[["2023",11,23]]}}}],"schema":"https://github.com/citation-style-language/schema/raw/master/csl-citation.json"} </w:instrText>
      </w:r>
      <w:r>
        <w:rPr>
          <w:rFonts w:ascii="Times New Roman" w:hAnsi="Times New Roman" w:cs="Times New Roman"/>
          <w:color w:val="000000" w:themeColor="text1"/>
          <w:sz w:val="24"/>
          <w:szCs w:val="24"/>
        </w:rPr>
        <w:fldChar w:fldCharType="separate"/>
      </w:r>
      <w:r w:rsidR="00625D97" w:rsidRPr="00625D97">
        <w:rPr>
          <w:rFonts w:ascii="Times New Roman" w:hAnsi="Times New Roman" w:cs="Times New Roman"/>
          <w:sz w:val="24"/>
          <w:vertAlign w:val="superscript"/>
        </w:rPr>
        <w:t>134</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It is possible, due to its proximity to the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i/>
          <w:iCs/>
          <w:color w:val="000000" w:themeColor="text1"/>
          <w:sz w:val="24"/>
          <w:szCs w:val="24"/>
        </w:rPr>
        <w:t>/CD</w:t>
      </w:r>
      <w:r>
        <w:rPr>
          <w:rFonts w:ascii="Times New Roman" w:hAnsi="Times New Roman" w:cs="Times New Roman"/>
          <w:color w:val="000000" w:themeColor="text1"/>
          <w:sz w:val="24"/>
          <w:szCs w:val="24"/>
        </w:rPr>
        <w:t xml:space="preserve"> operons, that ABUW_1953 could be the outer membrane protein the </w:t>
      </w:r>
      <w:proofErr w:type="spellStart"/>
      <w:r>
        <w:rPr>
          <w:rFonts w:ascii="Times New Roman" w:hAnsi="Times New Roman" w:cs="Times New Roman"/>
          <w:color w:val="000000" w:themeColor="text1"/>
          <w:sz w:val="24"/>
          <w:szCs w:val="24"/>
        </w:rPr>
        <w:t>Amf</w:t>
      </w:r>
      <w:proofErr w:type="spellEnd"/>
      <w:r>
        <w:rPr>
          <w:rFonts w:ascii="Times New Roman" w:hAnsi="Times New Roman" w:cs="Times New Roman"/>
          <w:color w:val="000000" w:themeColor="text1"/>
          <w:sz w:val="24"/>
          <w:szCs w:val="24"/>
        </w:rPr>
        <w:t xml:space="preserve"> efflux pumps </w:t>
      </w:r>
      <w:r w:rsidR="009F5E96">
        <w:rPr>
          <w:rFonts w:ascii="Times New Roman" w:hAnsi="Times New Roman" w:cs="Times New Roman"/>
          <w:color w:val="000000" w:themeColor="text1"/>
          <w:sz w:val="24"/>
          <w:szCs w:val="24"/>
        </w:rPr>
        <w:t xml:space="preserve">form </w:t>
      </w:r>
      <w:r>
        <w:rPr>
          <w:rFonts w:ascii="Times New Roman" w:hAnsi="Times New Roman" w:cs="Times New Roman"/>
          <w:color w:val="000000" w:themeColor="text1"/>
          <w:sz w:val="24"/>
          <w:szCs w:val="24"/>
        </w:rPr>
        <w:t>complex</w:t>
      </w:r>
      <w:r w:rsidR="009F5E96">
        <w:rPr>
          <w:rFonts w:ascii="Times New Roman" w:hAnsi="Times New Roman" w:cs="Times New Roman"/>
          <w:color w:val="000000" w:themeColor="text1"/>
          <w:sz w:val="24"/>
          <w:szCs w:val="24"/>
        </w:rPr>
        <w:t>es</w:t>
      </w:r>
      <w:r>
        <w:rPr>
          <w:rFonts w:ascii="Times New Roman" w:hAnsi="Times New Roman" w:cs="Times New Roman"/>
          <w:color w:val="000000" w:themeColor="text1"/>
          <w:sz w:val="24"/>
          <w:szCs w:val="24"/>
        </w:rPr>
        <w:t xml:space="preserve"> with to extrude substrates outside the cell. </w:t>
      </w:r>
    </w:p>
    <w:p w14:paraId="3BB86A8F" w14:textId="59A53052" w:rsidR="00240F71" w:rsidRPr="00240F71" w:rsidRDefault="00240F71" w:rsidP="00240F71">
      <w:pPr>
        <w:spacing w:before="120" w:after="120" w:line="360" w:lineRule="auto"/>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3.3.1.2. Genomic Context of </w:t>
      </w:r>
      <w:proofErr w:type="spellStart"/>
      <w:r>
        <w:rPr>
          <w:rFonts w:ascii="Times New Roman" w:hAnsi="Times New Roman" w:cs="Times New Roman"/>
          <w:color w:val="000000" w:themeColor="text1"/>
          <w:sz w:val="24"/>
          <w:szCs w:val="24"/>
          <w:u w:val="single"/>
        </w:rPr>
        <w:t>AmfCD</w:t>
      </w:r>
      <w:proofErr w:type="spellEnd"/>
    </w:p>
    <w:p w14:paraId="50970409" w14:textId="0B8FDEC4" w:rsidR="00527841" w:rsidRDefault="00527841" w:rsidP="00240F7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Next, looking at the ABUW_1930/1931 </w:t>
      </w:r>
      <w:r w:rsidR="00240F71">
        <w:rPr>
          <w:rFonts w:ascii="Times New Roman" w:hAnsi="Times New Roman" w:cs="Times New Roman"/>
          <w:color w:val="000000" w:themeColor="text1"/>
          <w:sz w:val="24"/>
          <w:szCs w:val="24"/>
        </w:rPr>
        <w:t xml:space="preserve">I found </w:t>
      </w:r>
      <w:r>
        <w:rPr>
          <w:rFonts w:ascii="Times New Roman" w:hAnsi="Times New Roman" w:cs="Times New Roman"/>
          <w:color w:val="000000" w:themeColor="text1"/>
          <w:sz w:val="24"/>
          <w:szCs w:val="24"/>
        </w:rPr>
        <w:t xml:space="preserve">that </w:t>
      </w:r>
      <w:r w:rsidR="00240F71">
        <w:rPr>
          <w:rFonts w:ascii="Times New Roman" w:hAnsi="Times New Roman" w:cs="Times New Roman"/>
          <w:color w:val="000000" w:themeColor="text1"/>
          <w:sz w:val="24"/>
          <w:szCs w:val="24"/>
        </w:rPr>
        <w:t xml:space="preserve">in this operon the first gene is for the transporter </w:t>
      </w:r>
      <w:proofErr w:type="spellStart"/>
      <w:r w:rsidR="00240F71">
        <w:rPr>
          <w:rFonts w:ascii="Times New Roman" w:hAnsi="Times New Roman" w:cs="Times New Roman"/>
          <w:color w:val="000000" w:themeColor="text1"/>
          <w:sz w:val="24"/>
          <w:szCs w:val="24"/>
        </w:rPr>
        <w:t>AmfD</w:t>
      </w:r>
      <w:proofErr w:type="spellEnd"/>
      <w:r w:rsidR="00240F71">
        <w:rPr>
          <w:rFonts w:ascii="Times New Roman" w:hAnsi="Times New Roman" w:cs="Times New Roman"/>
          <w:color w:val="000000" w:themeColor="text1"/>
          <w:sz w:val="24"/>
          <w:szCs w:val="24"/>
        </w:rPr>
        <w:t xml:space="preserve"> followed by the membrane fusion protein </w:t>
      </w:r>
      <w:proofErr w:type="spellStart"/>
      <w:r w:rsidR="00240F71">
        <w:rPr>
          <w:rFonts w:ascii="Times New Roman" w:hAnsi="Times New Roman" w:cs="Times New Roman"/>
          <w:color w:val="000000" w:themeColor="text1"/>
          <w:sz w:val="24"/>
          <w:szCs w:val="24"/>
        </w:rPr>
        <w:t>AmfC</w:t>
      </w:r>
      <w:proofErr w:type="spellEnd"/>
      <w:r w:rsidR="00240F71">
        <w:rPr>
          <w:rFonts w:ascii="Times New Roman" w:hAnsi="Times New Roman" w:cs="Times New Roman"/>
          <w:color w:val="000000" w:themeColor="text1"/>
          <w:sz w:val="24"/>
          <w:szCs w:val="24"/>
        </w:rPr>
        <w:t>. This arrangement is unusual because typical efflux pump operons have the membrane fusion protein as the first gene, followed by the transporter gene.</w:t>
      </w:r>
      <w:r w:rsidR="00041F22">
        <w:rPr>
          <w:rFonts w:ascii="Times New Roman" w:hAnsi="Times New Roman" w:cs="Times New Roman"/>
          <w:color w:val="000000" w:themeColor="text1"/>
          <w:sz w:val="24"/>
          <w:szCs w:val="24"/>
        </w:rPr>
        <w:fldChar w:fldCharType="begin"/>
      </w:r>
      <w:r w:rsidR="00625D97">
        <w:rPr>
          <w:rFonts w:ascii="Times New Roman" w:hAnsi="Times New Roman" w:cs="Times New Roman"/>
          <w:color w:val="000000" w:themeColor="text1"/>
          <w:sz w:val="24"/>
          <w:szCs w:val="24"/>
        </w:rPr>
        <w:instrText xml:space="preserve"> ADDIN ZOTERO_ITEM CSL_CITATION {"citationID":"a6boid59fn","properties":{"formattedCitation":"\\super 135,136\\nosupersub{}","plainCitation":"135,136","noteIndex":0},"citationItems":[{"id":2132,"uris":["http://zotero.org/users/1918630/items/VJCMIXPD"],"itemData":{"id":2132,"type":"article-journal","abstract":"Background\nBurkholderia cenocepacia are opportunistic Gram-negative bacteria that can cause chronic pulmonary infections in patients with cystic fibrosis. These bacteria demonstrate a high-level of intrinsic antibiotic resistance to most clinically useful antibiotics complicating treatment. We previously identified 14 genes encoding putative Resistance-Nodulation-Cell Division (RND) efflux pumps in the genome of B. cenocepacia J2315, but the contribution of these pumps to the intrinsic drug resistance of this bacterium remains unclear.\n\nResults\nTo investigate the contribution of efflux pumps to intrinsic drug resistance of B. cenocepacia J2315, we deleted 3 operons encoding the putative RND transporters RND-1, RND-3, and RND-4 containing the genes BCAS0591-BCAS0593, BCAL1674-BCAL1676, and BCAL2822-BCAL2820. Each deletion included the genes encoding the RND transporter itself and those encoding predicted periplasmic proteins and outer membrane pores. In addition, the deletion of rnd-3 also included BCAL1672, encoding a putative TetR regulator. The B. cenocepacia rnd-3 and rnd-4 mutants demonstrated increased sensitivity to inhibitory compounds, suggesting an involvement of these proteins in drug resistance. Moreover, the rnd-3 and rnd-4 mutants demonstrated reduced accumulation of N-acyl homoserine lactones in the growth medium. In contrast, deletion of the rnd-1 operon had no detectable phenotypes under the conditions assayed.\n\nConclusion\nTwo of the three inactivated RND efflux pumps in B. cenocepacia J2315 contribute to the high level of intrinsic resistance of this strain to some antibiotics and other inhibitory compounds. Furthermore, these efflux systems also mediate accumulation in the growth medium of quorum sensing molecules that have been shown to contribute to infection. A systematic study of RND efflux systems in B. cenocepacia is required to provide a full picture of intrinsic antibiotic resistance in this opportunistic bacterium.","container-title":"BMC Microbiology","DOI":"10.1186/1471-2180-9-200","ISSN":"1471-2180","journalAbbreviation":"BMC Microbiol","note":"PMID: 19761586\nPMCID: PMC2753365","page":"200","source":"PubMed Central","title":"Assessment of three Resistance-Nodulation-Cell Division drug efflux transporters of Burkholderia cenocepacia in intrinsic antibiotic resistance","volume":"9","author":[{"family":"Buroni","given":"Silvia"},{"family":"Pasca","given":"Maria R"},{"family":"Flannagan","given":"Ronald S"},{"family":"Bazzini","given":"Silvia"},{"family":"Milano","given":"Anna"},{"family":"Bertani","given":"Iris"},{"family":"Venturi","given":"Vittorio"},{"family":"Valvano","given":"Miguel A"},{"family":"Riccardi","given":"Giovanna"}],"issued":{"date-parts":[["2009",9,17]]}}},{"id":2135,"uris":["http://zotero.org/users/1918630/items/DYCKK4VG"],"itemData":{"id":2135,"type":"article-journal","abstract":"The aim of this study was to determine the antimicrobial resistance rates and the resistance genes associated with efflux pumps of Pseudomonas aeruginosa strains isolated from the patients who acquired lower respiratory tract infection (LRTI) in intensive care unit (ICU). Fifty P. aeruginosa strains isolated from the lower respiratory tract specimens of the patients who acquired LRTIs in ICU were included in this study. P. aeruginosa strains were isolated from tracheal aspirate (27), bronchoalveolar lavage (14) and sputum (9). The susceptibilities of the isolates were investigated by the disk diffusion method. Multiplex PCR assay was carried out for the detection of 13 antibiotic-resistance genes. Antimicrobial resistance rates of the isolates were found high and the highest resistance rate of the isolates studied was determined against to mezlocillin (50%) followed by norfloxacin (48%), ciprofloxacin (46%), meropenem (40%). Fourty-three isolates (86%) were determined to carry one and more resistance genes. NfxB gene was most often determined in the genes that were investigated. The significant relation between the resistance to cefepime, piperacilline/tazobactam and the mexC gene, that between the resistance to mezlocillin, piperacilline/tazobactam, ceftazidime, cefepime and ampC genes, and that between the resistance to ciprofloxacin, norfloxacin and oprJ, oprN and nfxB genes was identified. Resistance caused by genes for carbapenemases, aminoglycoside-modifying enzymes and other mechanisms were not identified in this study. Understanding the prevalence and mechanism of antimicrobial resistance in P. aeruginosa may help to select empirical therapy for nosocomial LRTIs due to P. aeruginosa in our ICU.","container-title":"The Journal of Antibiotics","DOI":"10.1038/ja.2011.102","ISSN":"1881-1469","issue":"1","journalAbbreviation":"J Antibiot","language":"en","license":"2012 Japan Antibiotics Research Association","note":"number: 1\npublisher: Nature Publishing Group","page":"9-13","source":"www.nature.com","title":"Efflux pump genes and antimicrobial resistance of Pseudomonas aeruginosa strains isolated from lower respiratory tract infections acquired in an intensive care unit","volume":"65","author":[{"family":"Ozer","given":"Burcin"},{"family":"Duran","given":"Nizami"},{"family":"Onlen","given":"Yusuf"},{"family":"Savas","given":"Lutfu"}],"issued":{"date-parts":[["2012",1]]}}}],"schema":"https://github.com/citation-style-language/schema/raw/master/csl-citation.json"} </w:instrText>
      </w:r>
      <w:r w:rsidR="00041F22">
        <w:rPr>
          <w:rFonts w:ascii="Times New Roman" w:hAnsi="Times New Roman" w:cs="Times New Roman"/>
          <w:color w:val="000000" w:themeColor="text1"/>
          <w:sz w:val="24"/>
          <w:szCs w:val="24"/>
        </w:rPr>
        <w:fldChar w:fldCharType="separate"/>
      </w:r>
      <w:r w:rsidR="00625D97" w:rsidRPr="00625D97">
        <w:rPr>
          <w:rFonts w:ascii="Times New Roman" w:hAnsi="Times New Roman" w:cs="Times New Roman"/>
          <w:sz w:val="24"/>
          <w:vertAlign w:val="superscript"/>
        </w:rPr>
        <w:t>135,136</w:t>
      </w:r>
      <w:r w:rsidR="00041F22">
        <w:rPr>
          <w:rFonts w:ascii="Times New Roman" w:hAnsi="Times New Roman" w:cs="Times New Roman"/>
          <w:color w:val="000000" w:themeColor="text1"/>
          <w:sz w:val="24"/>
          <w:szCs w:val="24"/>
        </w:rPr>
        <w:fldChar w:fldCharType="end"/>
      </w:r>
      <w:r w:rsidR="00240F7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There is no gap between </w:t>
      </w:r>
      <w:proofErr w:type="spellStart"/>
      <w:r>
        <w:rPr>
          <w:rFonts w:ascii="Times New Roman" w:hAnsi="Times New Roman" w:cs="Times New Roman"/>
          <w:i/>
          <w:iCs/>
          <w:color w:val="000000" w:themeColor="text1"/>
          <w:sz w:val="24"/>
          <w:szCs w:val="24"/>
        </w:rPr>
        <w:t>amfC</w:t>
      </w:r>
      <w:proofErr w:type="spellEnd"/>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 xml:space="preserve">and </w:t>
      </w:r>
      <w:proofErr w:type="spellStart"/>
      <w:r>
        <w:rPr>
          <w:rFonts w:ascii="Times New Roman" w:hAnsi="Times New Roman" w:cs="Times New Roman"/>
          <w:i/>
          <w:iCs/>
          <w:color w:val="000000" w:themeColor="text1"/>
          <w:sz w:val="24"/>
          <w:szCs w:val="24"/>
        </w:rPr>
        <w:t>amfD</w:t>
      </w:r>
      <w:proofErr w:type="spellEnd"/>
      <w:r>
        <w:rPr>
          <w:rFonts w:ascii="Times New Roman" w:hAnsi="Times New Roman" w:cs="Times New Roman"/>
          <w:color w:val="000000" w:themeColor="text1"/>
          <w:sz w:val="24"/>
          <w:szCs w:val="24"/>
        </w:rPr>
        <w:t xml:space="preserve"> as the stop codon for </w:t>
      </w:r>
      <w:proofErr w:type="spellStart"/>
      <w:r>
        <w:rPr>
          <w:rFonts w:ascii="Times New Roman" w:hAnsi="Times New Roman" w:cs="Times New Roman"/>
          <w:i/>
          <w:iCs/>
          <w:color w:val="000000" w:themeColor="text1"/>
          <w:sz w:val="24"/>
          <w:szCs w:val="24"/>
        </w:rPr>
        <w:t>amfD</w:t>
      </w:r>
      <w:proofErr w:type="spellEnd"/>
      <w:r>
        <w:rPr>
          <w:rFonts w:ascii="Times New Roman" w:hAnsi="Times New Roman" w:cs="Times New Roman"/>
          <w:color w:val="000000" w:themeColor="text1"/>
          <w:sz w:val="24"/>
          <w:szCs w:val="24"/>
        </w:rPr>
        <w:t xml:space="preserve"> overlaps with the start codon of </w:t>
      </w:r>
      <w:proofErr w:type="spellStart"/>
      <w:r>
        <w:rPr>
          <w:rFonts w:ascii="Times New Roman" w:hAnsi="Times New Roman" w:cs="Times New Roman"/>
          <w:i/>
          <w:iCs/>
          <w:color w:val="000000" w:themeColor="text1"/>
          <w:sz w:val="24"/>
          <w:szCs w:val="24"/>
        </w:rPr>
        <w:t>amfC</w:t>
      </w:r>
      <w:proofErr w:type="spellEnd"/>
      <w:r>
        <w:rPr>
          <w:rFonts w:ascii="Times New Roman" w:hAnsi="Times New Roman" w:cs="Times New Roman"/>
          <w:color w:val="000000" w:themeColor="text1"/>
          <w:sz w:val="24"/>
          <w:szCs w:val="24"/>
        </w:rPr>
        <w:t xml:space="preserve">. </w:t>
      </w:r>
    </w:p>
    <w:p w14:paraId="17E859A9" w14:textId="37028CAC" w:rsidR="00482C66" w:rsidRDefault="00482C66" w:rsidP="00041F22">
      <w:pPr>
        <w:spacing w:before="120" w:after="120" w:line="360" w:lineRule="auto"/>
        <w:jc w:val="both"/>
        <w:rPr>
          <w:rFonts w:ascii="Times New Roman" w:hAnsi="Times New Roman" w:cs="Times New Roman"/>
          <w:b/>
          <w:bCs/>
          <w:color w:val="000000" w:themeColor="text1"/>
          <w:sz w:val="24"/>
          <w:szCs w:val="24"/>
        </w:rPr>
      </w:pPr>
      <w:r w:rsidRPr="00482C66">
        <w:rPr>
          <w:rFonts w:ascii="Times New Roman" w:hAnsi="Times New Roman" w:cs="Times New Roman"/>
          <w:b/>
          <w:bCs/>
          <w:noProof/>
          <w:color w:val="000000" w:themeColor="text1"/>
          <w:sz w:val="24"/>
          <w:szCs w:val="24"/>
        </w:rPr>
        <w:drawing>
          <wp:inline distT="0" distB="0" distL="0" distR="0" wp14:anchorId="77DB70EE" wp14:editId="3FF8AA96">
            <wp:extent cx="5486400" cy="716280"/>
            <wp:effectExtent l="0" t="0" r="0" b="7620"/>
            <wp:docPr id="5" name="Picture 4" descr="A diagram of a diagram&#10;&#10;Description automatically generated">
              <a:extLst xmlns:a="http://schemas.openxmlformats.org/drawingml/2006/main">
                <a:ext uri="{FF2B5EF4-FFF2-40B4-BE49-F238E27FC236}">
                  <a16:creationId xmlns:a16="http://schemas.microsoft.com/office/drawing/2014/main" id="{3BA7C765-ED45-BF2D-96AE-184902642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diagram of a diagram&#10;&#10;Description automatically generated">
                      <a:extLst>
                        <a:ext uri="{FF2B5EF4-FFF2-40B4-BE49-F238E27FC236}">
                          <a16:creationId xmlns:a16="http://schemas.microsoft.com/office/drawing/2014/main" id="{3BA7C765-ED45-BF2D-96AE-18490264275E}"/>
                        </a:ext>
                      </a:extLst>
                    </pic:cNvPr>
                    <pic:cNvPicPr>
                      <a:picLocks noChangeAspect="1"/>
                    </pic:cNvPicPr>
                  </pic:nvPicPr>
                  <pic:blipFill>
                    <a:blip r:embed="rId25"/>
                    <a:stretch>
                      <a:fillRect/>
                    </a:stretch>
                  </pic:blipFill>
                  <pic:spPr>
                    <a:xfrm>
                      <a:off x="0" y="0"/>
                      <a:ext cx="5486400" cy="716280"/>
                    </a:xfrm>
                    <a:prstGeom prst="rect">
                      <a:avLst/>
                    </a:prstGeom>
                  </pic:spPr>
                </pic:pic>
              </a:graphicData>
            </a:graphic>
          </wp:inline>
        </w:drawing>
      </w:r>
    </w:p>
    <w:p w14:paraId="32A12B02" w14:textId="2448CCDF" w:rsidR="00041F22" w:rsidRPr="00B03B7E" w:rsidRDefault="00041F22" w:rsidP="00041F22">
      <w:pPr>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Figure </w:t>
      </w:r>
      <w:r w:rsidR="00B03B7E">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rPr>
        <w:t>.</w:t>
      </w:r>
      <w:r w:rsidR="00B03B7E">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 xml:space="preserve"> </w:t>
      </w:r>
      <w:r w:rsidR="00B03B7E">
        <w:rPr>
          <w:rFonts w:ascii="Times New Roman" w:hAnsi="Times New Roman" w:cs="Times New Roman"/>
          <w:b/>
          <w:bCs/>
          <w:color w:val="000000" w:themeColor="text1"/>
          <w:sz w:val="24"/>
          <w:szCs w:val="24"/>
        </w:rPr>
        <w:t xml:space="preserve">Genomic locus of </w:t>
      </w:r>
      <w:proofErr w:type="spellStart"/>
      <w:r w:rsidR="00B03B7E">
        <w:rPr>
          <w:rFonts w:ascii="Times New Roman" w:hAnsi="Times New Roman" w:cs="Times New Roman"/>
          <w:b/>
          <w:bCs/>
          <w:i/>
          <w:iCs/>
          <w:color w:val="000000" w:themeColor="text1"/>
          <w:sz w:val="24"/>
          <w:szCs w:val="24"/>
        </w:rPr>
        <w:t>amfCD</w:t>
      </w:r>
      <w:proofErr w:type="spellEnd"/>
    </w:p>
    <w:p w14:paraId="7E059C6F" w14:textId="1D8C3898" w:rsidR="00482C66" w:rsidRPr="00041F22" w:rsidRDefault="00482C66" w:rsidP="0068593A">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Schematic of the </w:t>
      </w:r>
      <w:proofErr w:type="spellStart"/>
      <w:r>
        <w:rPr>
          <w:rFonts w:ascii="Times New Roman" w:hAnsi="Times New Roman" w:cs="Times New Roman"/>
          <w:i/>
          <w:iCs/>
          <w:color w:val="000000" w:themeColor="text1"/>
          <w:sz w:val="24"/>
          <w:szCs w:val="24"/>
        </w:rPr>
        <w:t>amfCD</w:t>
      </w:r>
      <w:proofErr w:type="spellEnd"/>
      <w:r>
        <w:rPr>
          <w:rFonts w:ascii="Times New Roman" w:hAnsi="Times New Roman" w:cs="Times New Roman"/>
          <w:color w:val="000000" w:themeColor="text1"/>
          <w:sz w:val="24"/>
          <w:szCs w:val="24"/>
        </w:rPr>
        <w:t xml:space="preserve"> gene locus within the Ab5075 chromosome. The </w:t>
      </w:r>
      <w:proofErr w:type="spellStart"/>
      <w:r>
        <w:rPr>
          <w:rFonts w:ascii="Times New Roman" w:hAnsi="Times New Roman" w:cs="Times New Roman"/>
          <w:i/>
          <w:iCs/>
          <w:color w:val="000000" w:themeColor="text1"/>
          <w:sz w:val="24"/>
          <w:szCs w:val="24"/>
        </w:rPr>
        <w:t>amfCD</w:t>
      </w:r>
      <w:proofErr w:type="spellEnd"/>
      <w:r>
        <w:rPr>
          <w:rFonts w:ascii="Times New Roman" w:hAnsi="Times New Roman" w:cs="Times New Roman"/>
          <w:color w:val="000000" w:themeColor="text1"/>
          <w:sz w:val="24"/>
          <w:szCs w:val="24"/>
        </w:rPr>
        <w:t xml:space="preserve"> genes are shown in green. ABUW genes upstream of </w:t>
      </w:r>
      <w:proofErr w:type="spellStart"/>
      <w:r>
        <w:rPr>
          <w:rFonts w:ascii="Times New Roman" w:hAnsi="Times New Roman" w:cs="Times New Roman"/>
          <w:i/>
          <w:iCs/>
          <w:color w:val="000000" w:themeColor="text1"/>
          <w:sz w:val="24"/>
          <w:szCs w:val="24"/>
        </w:rPr>
        <w:t>amfCD</w:t>
      </w:r>
      <w:proofErr w:type="spellEnd"/>
      <w:r>
        <w:rPr>
          <w:rFonts w:ascii="Times New Roman" w:hAnsi="Times New Roman" w:cs="Times New Roman"/>
          <w:color w:val="000000" w:themeColor="text1"/>
          <w:sz w:val="24"/>
          <w:szCs w:val="24"/>
        </w:rPr>
        <w:t xml:space="preserve"> are shown in orange. ABUW genes downstream of </w:t>
      </w:r>
      <w:proofErr w:type="spellStart"/>
      <w:r>
        <w:rPr>
          <w:rFonts w:ascii="Times New Roman" w:hAnsi="Times New Roman" w:cs="Times New Roman"/>
          <w:i/>
          <w:iCs/>
          <w:color w:val="000000" w:themeColor="text1"/>
          <w:sz w:val="24"/>
          <w:szCs w:val="24"/>
        </w:rPr>
        <w:t>amfCD</w:t>
      </w:r>
      <w:proofErr w:type="spellEnd"/>
      <w:r>
        <w:rPr>
          <w:rFonts w:ascii="Times New Roman" w:hAnsi="Times New Roman" w:cs="Times New Roman"/>
          <w:color w:val="000000" w:themeColor="text1"/>
          <w:sz w:val="24"/>
          <w:szCs w:val="24"/>
        </w:rPr>
        <w:t xml:space="preserve"> are shown in blue. The black arrows indicate the direction of transcription. Created in BioRender.com</w:t>
      </w:r>
    </w:p>
    <w:p w14:paraId="4C82B9D7" w14:textId="5AAA1D39" w:rsidR="00527841" w:rsidRPr="00954BAD"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Upstream of ABUW_1930/1931, the next closest annotated gene is 100 nucleotides away</w:t>
      </w:r>
      <w:r w:rsidR="0001052C">
        <w:rPr>
          <w:rFonts w:ascii="Times New Roman" w:hAnsi="Times New Roman" w:cs="Times New Roman"/>
          <w:color w:val="000000" w:themeColor="text1"/>
          <w:sz w:val="24"/>
          <w:szCs w:val="24"/>
        </w:rPr>
        <w:t xml:space="preserve"> (</w:t>
      </w:r>
      <w:r w:rsidR="0001052C">
        <w:rPr>
          <w:rFonts w:ascii="Times New Roman" w:hAnsi="Times New Roman" w:cs="Times New Roman"/>
          <w:b/>
          <w:bCs/>
          <w:color w:val="000000" w:themeColor="text1"/>
          <w:sz w:val="24"/>
          <w:szCs w:val="24"/>
        </w:rPr>
        <w:t>Figure 3.2</w:t>
      </w:r>
      <w:r w:rsidR="0001052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upstream genes are annotated to be an MFS transporter (ABUW_1926), a </w:t>
      </w:r>
      <w:proofErr w:type="spellStart"/>
      <w:r>
        <w:rPr>
          <w:rFonts w:ascii="Times New Roman" w:hAnsi="Times New Roman" w:cs="Times New Roman"/>
          <w:color w:val="000000" w:themeColor="text1"/>
          <w:sz w:val="24"/>
          <w:szCs w:val="24"/>
        </w:rPr>
        <w:t>LysR</w:t>
      </w:r>
      <w:proofErr w:type="spellEnd"/>
      <w:r>
        <w:rPr>
          <w:rFonts w:ascii="Times New Roman" w:hAnsi="Times New Roman" w:cs="Times New Roman"/>
          <w:color w:val="000000" w:themeColor="text1"/>
          <w:sz w:val="24"/>
          <w:szCs w:val="24"/>
        </w:rPr>
        <w:t xml:space="preserve"> family transcriptional regulator similar to </w:t>
      </w:r>
      <w:proofErr w:type="spellStart"/>
      <w:r>
        <w:rPr>
          <w:rFonts w:ascii="Times New Roman" w:hAnsi="Times New Roman" w:cs="Times New Roman"/>
          <w:color w:val="000000" w:themeColor="text1"/>
          <w:sz w:val="24"/>
          <w:szCs w:val="24"/>
        </w:rPr>
        <w:t>adeL</w:t>
      </w:r>
      <w:proofErr w:type="spellEnd"/>
      <w:r>
        <w:rPr>
          <w:rFonts w:ascii="Times New Roman" w:hAnsi="Times New Roman" w:cs="Times New Roman"/>
          <w:color w:val="000000" w:themeColor="text1"/>
          <w:sz w:val="24"/>
          <w:szCs w:val="24"/>
        </w:rPr>
        <w:t xml:space="preserve"> (ABUW_1927), and two hypothetical proteins (ABUW_1928 and ABUW_1929). The MFS transporter </w:t>
      </w:r>
      <w:r>
        <w:rPr>
          <w:rFonts w:ascii="Times New Roman" w:hAnsi="Times New Roman" w:cs="Times New Roman"/>
          <w:color w:val="000000" w:themeColor="text1"/>
          <w:sz w:val="24"/>
          <w:szCs w:val="24"/>
        </w:rPr>
        <w:lastRenderedPageBreak/>
        <w:t xml:space="preserve">ABUW_1926 appears to have a homologue in </w:t>
      </w:r>
      <w:r>
        <w:rPr>
          <w:rFonts w:ascii="Times New Roman" w:hAnsi="Times New Roman" w:cs="Times New Roman"/>
          <w:i/>
          <w:iCs/>
          <w:color w:val="000000" w:themeColor="text1"/>
          <w:sz w:val="24"/>
          <w:szCs w:val="24"/>
        </w:rPr>
        <w:t>A. baumannii</w:t>
      </w:r>
      <w:r>
        <w:rPr>
          <w:rFonts w:ascii="Times New Roman" w:hAnsi="Times New Roman" w:cs="Times New Roman"/>
          <w:color w:val="000000" w:themeColor="text1"/>
          <w:sz w:val="24"/>
          <w:szCs w:val="24"/>
        </w:rPr>
        <w:t xml:space="preserve"> 17978 in A1S_1805 with a 100% identity and 92% coverage when aligning their protein sequences. The gene A1S_1805 is annotated as a general substrate transporter.</w:t>
      </w:r>
    </w:p>
    <w:p w14:paraId="4E204E83" w14:textId="77777777"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w:t>
      </w:r>
      <w:proofErr w:type="spellStart"/>
      <w:r>
        <w:rPr>
          <w:rFonts w:ascii="Times New Roman" w:hAnsi="Times New Roman" w:cs="Times New Roman"/>
          <w:color w:val="000000" w:themeColor="text1"/>
          <w:sz w:val="24"/>
          <w:szCs w:val="24"/>
        </w:rPr>
        <w:t>BLASTing</w:t>
      </w:r>
      <w:proofErr w:type="spellEnd"/>
      <w:r>
        <w:rPr>
          <w:rFonts w:ascii="Times New Roman" w:hAnsi="Times New Roman" w:cs="Times New Roman"/>
          <w:color w:val="000000" w:themeColor="text1"/>
          <w:sz w:val="24"/>
          <w:szCs w:val="24"/>
        </w:rPr>
        <w:t xml:space="preserve"> the amino acid sequence for ABUW_1928, the top alignment result with 28% identity and 84% coverage was LMOf2365_1219 from </w:t>
      </w:r>
      <w:r>
        <w:rPr>
          <w:rFonts w:ascii="Times New Roman" w:hAnsi="Times New Roman" w:cs="Times New Roman"/>
          <w:i/>
          <w:iCs/>
          <w:color w:val="000000" w:themeColor="text1"/>
          <w:sz w:val="24"/>
          <w:szCs w:val="24"/>
        </w:rPr>
        <w:t xml:space="preserve">Listeria </w:t>
      </w:r>
      <w:proofErr w:type="spellStart"/>
      <w:r>
        <w:rPr>
          <w:rFonts w:ascii="Times New Roman" w:hAnsi="Times New Roman" w:cs="Times New Roman"/>
          <w:i/>
          <w:iCs/>
          <w:color w:val="000000" w:themeColor="text1"/>
          <w:sz w:val="24"/>
          <w:szCs w:val="24"/>
        </w:rPr>
        <w:t>monoctyogenes</w:t>
      </w:r>
      <w:proofErr w:type="spellEnd"/>
      <w:r>
        <w:rPr>
          <w:rFonts w:ascii="Times New Roman" w:hAnsi="Times New Roman" w:cs="Times New Roman"/>
          <w:color w:val="000000" w:themeColor="text1"/>
          <w:sz w:val="24"/>
          <w:szCs w:val="24"/>
        </w:rPr>
        <w:t xml:space="preserve"> </w:t>
      </w:r>
      <w:r>
        <w:rPr>
          <w:rFonts w:ascii="Times New Roman" w:hAnsi="Times New Roman" w:cs="Times New Roman"/>
          <w:i/>
          <w:iCs/>
          <w:color w:val="000000" w:themeColor="text1"/>
          <w:sz w:val="24"/>
          <w:szCs w:val="24"/>
        </w:rPr>
        <w:t>str.</w:t>
      </w:r>
      <w:r>
        <w:rPr>
          <w:rFonts w:ascii="Times New Roman" w:hAnsi="Times New Roman" w:cs="Times New Roman"/>
          <w:color w:val="000000" w:themeColor="text1"/>
          <w:sz w:val="24"/>
          <w:szCs w:val="24"/>
        </w:rPr>
        <w:t xml:space="preserve"> 4bF2365. This </w:t>
      </w:r>
      <w:r>
        <w:rPr>
          <w:rFonts w:ascii="Times New Roman" w:hAnsi="Times New Roman" w:cs="Times New Roman"/>
          <w:i/>
          <w:iCs/>
          <w:color w:val="000000" w:themeColor="text1"/>
          <w:sz w:val="24"/>
          <w:szCs w:val="24"/>
        </w:rPr>
        <w:t>L. monocytogenes</w:t>
      </w:r>
      <w:r>
        <w:rPr>
          <w:rFonts w:ascii="Times New Roman" w:hAnsi="Times New Roman" w:cs="Times New Roman"/>
          <w:color w:val="000000" w:themeColor="text1"/>
          <w:sz w:val="24"/>
          <w:szCs w:val="24"/>
        </w:rPr>
        <w:t xml:space="preserve"> gene is annotated as a putative membrane protein. Chakravarty, et al. found the gene LMOf2365_1219 to be upregulated in response to bile stress at acidic pH under anaerobic conditions. </w:t>
      </w:r>
      <w:proofErr w:type="spellStart"/>
      <w:r>
        <w:rPr>
          <w:rFonts w:ascii="Times New Roman" w:hAnsi="Times New Roman" w:cs="Times New Roman"/>
          <w:color w:val="000000" w:themeColor="text1"/>
          <w:sz w:val="24"/>
          <w:szCs w:val="24"/>
        </w:rPr>
        <w:t>BLASTing</w:t>
      </w:r>
      <w:proofErr w:type="spellEnd"/>
      <w:r>
        <w:rPr>
          <w:rFonts w:ascii="Times New Roman" w:hAnsi="Times New Roman" w:cs="Times New Roman"/>
          <w:color w:val="000000" w:themeColor="text1"/>
          <w:sz w:val="24"/>
          <w:szCs w:val="24"/>
        </w:rPr>
        <w:t xml:space="preserve"> the amino acid sequence for ABUW_1929 revealed a somewhat similar alignment to gene G8E09_17135 from </w:t>
      </w:r>
      <w:r>
        <w:rPr>
          <w:rFonts w:ascii="Times New Roman" w:hAnsi="Times New Roman" w:cs="Times New Roman"/>
          <w:i/>
          <w:iCs/>
          <w:color w:val="000000" w:themeColor="text1"/>
          <w:sz w:val="24"/>
          <w:szCs w:val="24"/>
        </w:rPr>
        <w:t xml:space="preserve">Acinetobacter </w:t>
      </w:r>
      <w:proofErr w:type="spellStart"/>
      <w:r>
        <w:rPr>
          <w:rFonts w:ascii="Times New Roman" w:hAnsi="Times New Roman" w:cs="Times New Roman"/>
          <w:i/>
          <w:iCs/>
          <w:color w:val="000000" w:themeColor="text1"/>
          <w:sz w:val="24"/>
          <w:szCs w:val="24"/>
        </w:rPr>
        <w:t>pittii</w:t>
      </w:r>
      <w:proofErr w:type="spellEnd"/>
      <w:r>
        <w:rPr>
          <w:rFonts w:ascii="Times New Roman" w:hAnsi="Times New Roman" w:cs="Times New Roman"/>
          <w:color w:val="000000" w:themeColor="text1"/>
          <w:sz w:val="24"/>
          <w:szCs w:val="24"/>
        </w:rPr>
        <w:t xml:space="preserve"> with 31% identity and 88% coverage. The gene G8E09_17135 is annotated as the putative inner membrane exporter </w:t>
      </w:r>
      <w:proofErr w:type="spellStart"/>
      <w:r>
        <w:rPr>
          <w:rFonts w:ascii="Times New Roman" w:hAnsi="Times New Roman" w:cs="Times New Roman"/>
          <w:color w:val="000000" w:themeColor="text1"/>
          <w:sz w:val="24"/>
          <w:szCs w:val="24"/>
        </w:rPr>
        <w:t>YdcZ</w:t>
      </w:r>
      <w:proofErr w:type="spellEnd"/>
      <w:r>
        <w:rPr>
          <w:rFonts w:ascii="Times New Roman" w:hAnsi="Times New Roman" w:cs="Times New Roman"/>
          <w:color w:val="000000" w:themeColor="text1"/>
          <w:sz w:val="24"/>
          <w:szCs w:val="24"/>
        </w:rPr>
        <w:t xml:space="preserve"> of the drug/metabolite transporter (DMT) family. </w:t>
      </w:r>
    </w:p>
    <w:p w14:paraId="4870D686" w14:textId="77777777"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Downstream of </w:t>
      </w:r>
      <w:proofErr w:type="spellStart"/>
      <w:r>
        <w:rPr>
          <w:rFonts w:ascii="Times New Roman" w:hAnsi="Times New Roman" w:cs="Times New Roman"/>
          <w:i/>
          <w:iCs/>
          <w:color w:val="000000" w:themeColor="text1"/>
          <w:sz w:val="24"/>
          <w:szCs w:val="24"/>
        </w:rPr>
        <w:t>amfCD</w:t>
      </w:r>
      <w:proofErr w:type="spellEnd"/>
      <w:r>
        <w:rPr>
          <w:rFonts w:ascii="Times New Roman" w:hAnsi="Times New Roman" w:cs="Times New Roman"/>
          <w:color w:val="000000" w:themeColor="text1"/>
          <w:sz w:val="24"/>
          <w:szCs w:val="24"/>
        </w:rPr>
        <w:t xml:space="preserve"> the next closest gene is 166 nucleotides away. The downstream genes are annotated as a </w:t>
      </w:r>
      <w:proofErr w:type="spellStart"/>
      <w:r>
        <w:rPr>
          <w:rFonts w:ascii="Times New Roman" w:hAnsi="Times New Roman" w:cs="Times New Roman"/>
          <w:color w:val="000000" w:themeColor="text1"/>
          <w:sz w:val="24"/>
          <w:szCs w:val="24"/>
        </w:rPr>
        <w:t>TetR</w:t>
      </w:r>
      <w:proofErr w:type="spellEnd"/>
      <w:r>
        <w:rPr>
          <w:rFonts w:ascii="Times New Roman" w:hAnsi="Times New Roman" w:cs="Times New Roman"/>
          <w:color w:val="000000" w:themeColor="text1"/>
          <w:sz w:val="24"/>
          <w:szCs w:val="24"/>
        </w:rPr>
        <w:t xml:space="preserve"> family transcriptional regulator (ABUW_1932), an NADP-dependent fatty acid dehydrogenase (ABUW_1933), a dihydroxy-acid dehydratase (ABUW_1934), a fumarylacetoacetate hydrolase (ABUW_1935), a </w:t>
      </w:r>
      <w:proofErr w:type="spellStart"/>
      <w:r>
        <w:rPr>
          <w:rFonts w:ascii="Times New Roman" w:hAnsi="Times New Roman" w:cs="Times New Roman"/>
          <w:color w:val="000000" w:themeColor="text1"/>
          <w:sz w:val="24"/>
          <w:szCs w:val="24"/>
        </w:rPr>
        <w:t>LysR</w:t>
      </w:r>
      <w:proofErr w:type="spellEnd"/>
      <w:r>
        <w:rPr>
          <w:rFonts w:ascii="Times New Roman" w:hAnsi="Times New Roman" w:cs="Times New Roman"/>
          <w:color w:val="000000" w:themeColor="text1"/>
          <w:sz w:val="24"/>
          <w:szCs w:val="24"/>
        </w:rPr>
        <w:t xml:space="preserve"> family transcriptional regulator (ABUW_1936), a nucleoside-diphosphate-sugar epimerase (ABUW_1937), and a transporter from the anion/cation symporter family (ABUW_1938). The dihydroxy-acid dehydratase ABUW_1934 appears to have a homologue in </w:t>
      </w:r>
      <w:r>
        <w:rPr>
          <w:rFonts w:ascii="Times New Roman" w:hAnsi="Times New Roman" w:cs="Times New Roman"/>
          <w:i/>
          <w:iCs/>
          <w:color w:val="000000" w:themeColor="text1"/>
          <w:sz w:val="24"/>
          <w:szCs w:val="24"/>
        </w:rPr>
        <w:t>A. baumannii</w:t>
      </w:r>
      <w:r>
        <w:rPr>
          <w:rFonts w:ascii="Times New Roman" w:hAnsi="Times New Roman" w:cs="Times New Roman"/>
          <w:color w:val="000000" w:themeColor="text1"/>
          <w:sz w:val="24"/>
          <w:szCs w:val="24"/>
        </w:rPr>
        <w:t xml:space="preserve"> 17978: A1S_1795 with 99% identity and 100% coverage.</w:t>
      </w:r>
    </w:p>
    <w:p w14:paraId="2BE2B1D7" w14:textId="77777777" w:rsidR="00527841"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transporter ABUW_1938 has a homologue in </w:t>
      </w:r>
      <w:r>
        <w:rPr>
          <w:rFonts w:ascii="Times New Roman" w:hAnsi="Times New Roman" w:cs="Times New Roman"/>
          <w:i/>
          <w:iCs/>
          <w:color w:val="000000" w:themeColor="text1"/>
          <w:sz w:val="24"/>
          <w:szCs w:val="24"/>
        </w:rPr>
        <w:t>A. baumannii</w:t>
      </w:r>
      <w:r>
        <w:rPr>
          <w:rFonts w:ascii="Times New Roman" w:hAnsi="Times New Roman" w:cs="Times New Roman"/>
          <w:color w:val="000000" w:themeColor="text1"/>
          <w:sz w:val="24"/>
          <w:szCs w:val="24"/>
        </w:rPr>
        <w:t xml:space="preserve"> 17978: A1S_1791 with 99% identity and 93% coverage in their amino acid sequences, which is annotated as a putative tartrate symporter protein from the MFS superfamily. A protein BLAST of ABUW_1938 results in many MFS proteins, including the quinolone resistance transporter </w:t>
      </w:r>
      <w:proofErr w:type="spellStart"/>
      <w:r>
        <w:rPr>
          <w:rFonts w:ascii="Times New Roman" w:hAnsi="Times New Roman" w:cs="Times New Roman"/>
          <w:color w:val="000000" w:themeColor="text1"/>
          <w:sz w:val="24"/>
          <w:szCs w:val="24"/>
        </w:rPr>
        <w:t>AbaQ</w:t>
      </w:r>
      <w:proofErr w:type="spellEnd"/>
      <w:r>
        <w:rPr>
          <w:rFonts w:ascii="Times New Roman" w:hAnsi="Times New Roman" w:cs="Times New Roman"/>
          <w:color w:val="000000" w:themeColor="text1"/>
          <w:sz w:val="24"/>
          <w:szCs w:val="24"/>
        </w:rPr>
        <w:t xml:space="preserve"> with 39% identity and 88% coverage. </w:t>
      </w:r>
    </w:p>
    <w:p w14:paraId="32CD52CF" w14:textId="77777777" w:rsidR="00527841" w:rsidRPr="003D02BF" w:rsidRDefault="00527841" w:rsidP="00527841">
      <w:pPr>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closest RND operon to the </w:t>
      </w:r>
      <w:proofErr w:type="spellStart"/>
      <w:r>
        <w:rPr>
          <w:rFonts w:ascii="Times New Roman" w:hAnsi="Times New Roman" w:cs="Times New Roman"/>
          <w:i/>
          <w:iCs/>
          <w:color w:val="000000" w:themeColor="text1"/>
          <w:sz w:val="24"/>
          <w:szCs w:val="24"/>
        </w:rPr>
        <w:t>amf</w:t>
      </w:r>
      <w:proofErr w:type="spellEnd"/>
      <w:r>
        <w:rPr>
          <w:rFonts w:ascii="Times New Roman" w:hAnsi="Times New Roman" w:cs="Times New Roman"/>
          <w:color w:val="000000" w:themeColor="text1"/>
          <w:sz w:val="24"/>
          <w:szCs w:val="24"/>
        </w:rPr>
        <w:t xml:space="preserve"> genes is </w:t>
      </w:r>
      <w:proofErr w:type="spellStart"/>
      <w:r>
        <w:rPr>
          <w:rFonts w:ascii="Times New Roman" w:hAnsi="Times New Roman" w:cs="Times New Roman"/>
          <w:i/>
          <w:iCs/>
          <w:color w:val="000000" w:themeColor="text1"/>
          <w:sz w:val="24"/>
          <w:szCs w:val="24"/>
        </w:rPr>
        <w:t>adeABC</w:t>
      </w:r>
      <w:proofErr w:type="spellEnd"/>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 xml:space="preserve">which is located about 23.6 </w:t>
      </w:r>
      <w:proofErr w:type="spellStart"/>
      <w:r>
        <w:rPr>
          <w:rFonts w:ascii="Times New Roman" w:hAnsi="Times New Roman" w:cs="Times New Roman"/>
          <w:color w:val="000000" w:themeColor="text1"/>
          <w:sz w:val="24"/>
          <w:szCs w:val="24"/>
        </w:rPr>
        <w:t>kbp</w:t>
      </w:r>
      <w:proofErr w:type="spellEnd"/>
      <w:r>
        <w:rPr>
          <w:rFonts w:ascii="Times New Roman" w:hAnsi="Times New Roman" w:cs="Times New Roman"/>
          <w:color w:val="000000" w:themeColor="text1"/>
          <w:sz w:val="24"/>
          <w:szCs w:val="24"/>
        </w:rPr>
        <w:t xml:space="preserve"> away from </w:t>
      </w:r>
      <w:proofErr w:type="spellStart"/>
      <w:r>
        <w:rPr>
          <w:rFonts w:ascii="Times New Roman" w:hAnsi="Times New Roman" w:cs="Times New Roman"/>
          <w:i/>
          <w:iCs/>
          <w:color w:val="000000" w:themeColor="text1"/>
          <w:sz w:val="24"/>
          <w:szCs w:val="24"/>
        </w:rPr>
        <w:t>amfAB</w:t>
      </w:r>
      <w:proofErr w:type="spellEnd"/>
      <w:r>
        <w:rPr>
          <w:rFonts w:ascii="Times New Roman" w:hAnsi="Times New Roman" w:cs="Times New Roman"/>
          <w:color w:val="000000" w:themeColor="text1"/>
          <w:sz w:val="24"/>
          <w:szCs w:val="24"/>
        </w:rPr>
        <w:t xml:space="preserve">. Unlike in </w:t>
      </w:r>
      <w:r>
        <w:rPr>
          <w:rFonts w:ascii="Times New Roman" w:hAnsi="Times New Roman" w:cs="Times New Roman"/>
          <w:i/>
          <w:iCs/>
          <w:color w:val="000000" w:themeColor="text1"/>
          <w:sz w:val="24"/>
          <w:szCs w:val="24"/>
        </w:rPr>
        <w:t>A. baumannii</w:t>
      </w:r>
      <w:r>
        <w:rPr>
          <w:rFonts w:ascii="Times New Roman" w:hAnsi="Times New Roman" w:cs="Times New Roman"/>
          <w:color w:val="000000" w:themeColor="text1"/>
          <w:sz w:val="24"/>
          <w:szCs w:val="24"/>
        </w:rPr>
        <w:t xml:space="preserve"> 17978, AB5075 has only one copy of </w:t>
      </w:r>
      <w:proofErr w:type="spellStart"/>
      <w:r>
        <w:rPr>
          <w:rFonts w:ascii="Times New Roman" w:hAnsi="Times New Roman" w:cs="Times New Roman"/>
          <w:i/>
          <w:iCs/>
          <w:color w:val="000000" w:themeColor="text1"/>
          <w:sz w:val="24"/>
          <w:szCs w:val="24"/>
        </w:rPr>
        <w:t>adeA</w:t>
      </w:r>
      <w:proofErr w:type="spellEnd"/>
      <w:r>
        <w:rPr>
          <w:rFonts w:ascii="Times New Roman" w:hAnsi="Times New Roman" w:cs="Times New Roman"/>
          <w:color w:val="000000" w:themeColor="text1"/>
          <w:sz w:val="24"/>
          <w:szCs w:val="24"/>
        </w:rPr>
        <w:t xml:space="preserve"> plus a copy of </w:t>
      </w:r>
      <w:proofErr w:type="spellStart"/>
      <w:r>
        <w:rPr>
          <w:rFonts w:ascii="Times New Roman" w:hAnsi="Times New Roman" w:cs="Times New Roman"/>
          <w:i/>
          <w:iCs/>
          <w:color w:val="000000" w:themeColor="text1"/>
          <w:sz w:val="24"/>
          <w:szCs w:val="24"/>
        </w:rPr>
        <w:t>adeC</w:t>
      </w:r>
      <w:proofErr w:type="spellEnd"/>
      <w:r>
        <w:rPr>
          <w:rFonts w:ascii="Times New Roman" w:hAnsi="Times New Roman" w:cs="Times New Roman"/>
          <w:color w:val="000000" w:themeColor="text1"/>
          <w:sz w:val="24"/>
          <w:szCs w:val="24"/>
          <w:u w:val="single"/>
        </w:rPr>
        <w:t>,</w:t>
      </w:r>
      <w:r>
        <w:rPr>
          <w:rFonts w:ascii="Times New Roman" w:hAnsi="Times New Roman" w:cs="Times New Roman"/>
          <w:color w:val="000000" w:themeColor="text1"/>
          <w:sz w:val="24"/>
          <w:szCs w:val="24"/>
        </w:rPr>
        <w:t xml:space="preserve"> which AB17978 does not have. It is possible that one or both of the </w:t>
      </w:r>
      <w:proofErr w:type="spellStart"/>
      <w:r>
        <w:rPr>
          <w:rFonts w:ascii="Times New Roman" w:hAnsi="Times New Roman" w:cs="Times New Roman"/>
          <w:color w:val="000000" w:themeColor="text1"/>
          <w:sz w:val="24"/>
          <w:szCs w:val="24"/>
        </w:rPr>
        <w:t>Amf</w:t>
      </w:r>
      <w:proofErr w:type="spellEnd"/>
      <w:r>
        <w:rPr>
          <w:rFonts w:ascii="Times New Roman" w:hAnsi="Times New Roman" w:cs="Times New Roman"/>
          <w:color w:val="000000" w:themeColor="text1"/>
          <w:sz w:val="24"/>
          <w:szCs w:val="24"/>
        </w:rPr>
        <w:t xml:space="preserve"> pumps utilize </w:t>
      </w:r>
      <w:proofErr w:type="spellStart"/>
      <w:r>
        <w:rPr>
          <w:rFonts w:ascii="Times New Roman" w:hAnsi="Times New Roman" w:cs="Times New Roman"/>
          <w:color w:val="000000" w:themeColor="text1"/>
          <w:sz w:val="24"/>
          <w:szCs w:val="24"/>
        </w:rPr>
        <w:t>AdeC</w:t>
      </w:r>
      <w:proofErr w:type="spellEnd"/>
      <w:r>
        <w:rPr>
          <w:rFonts w:ascii="Times New Roman" w:hAnsi="Times New Roman" w:cs="Times New Roman"/>
          <w:color w:val="000000" w:themeColor="text1"/>
          <w:sz w:val="24"/>
          <w:szCs w:val="24"/>
        </w:rPr>
        <w:t xml:space="preserve"> to complete their efflux complex, and because the drug susceptible strain </w:t>
      </w:r>
      <w:r>
        <w:rPr>
          <w:rFonts w:ascii="Times New Roman" w:hAnsi="Times New Roman" w:cs="Times New Roman"/>
          <w:i/>
          <w:iCs/>
          <w:color w:val="000000" w:themeColor="text1"/>
          <w:sz w:val="24"/>
          <w:szCs w:val="24"/>
        </w:rPr>
        <w:t>A. baumannii</w:t>
      </w:r>
      <w:r>
        <w:rPr>
          <w:rFonts w:ascii="Times New Roman" w:hAnsi="Times New Roman" w:cs="Times New Roman"/>
          <w:color w:val="000000" w:themeColor="text1"/>
          <w:sz w:val="24"/>
          <w:szCs w:val="24"/>
        </w:rPr>
        <w:t xml:space="preserve"> 17978 does not encode a copy of </w:t>
      </w:r>
      <w:proofErr w:type="spellStart"/>
      <w:r>
        <w:rPr>
          <w:rFonts w:ascii="Times New Roman" w:hAnsi="Times New Roman" w:cs="Times New Roman"/>
          <w:i/>
          <w:iCs/>
          <w:color w:val="000000" w:themeColor="text1"/>
          <w:sz w:val="24"/>
          <w:szCs w:val="24"/>
        </w:rPr>
        <w:t>adeC</w:t>
      </w:r>
      <w:proofErr w:type="spellEnd"/>
      <w:r>
        <w:rPr>
          <w:rFonts w:ascii="Times New Roman" w:hAnsi="Times New Roman" w:cs="Times New Roman"/>
          <w:color w:val="000000" w:themeColor="text1"/>
          <w:sz w:val="24"/>
          <w:szCs w:val="24"/>
        </w:rPr>
        <w:t xml:space="preserve"> this could be why </w:t>
      </w:r>
      <w:r>
        <w:rPr>
          <w:rFonts w:ascii="Times New Roman" w:hAnsi="Times New Roman" w:cs="Times New Roman"/>
          <w:color w:val="000000" w:themeColor="text1"/>
          <w:sz w:val="24"/>
          <w:szCs w:val="24"/>
        </w:rPr>
        <w:lastRenderedPageBreak/>
        <w:t xml:space="preserve">overexpression of the </w:t>
      </w:r>
      <w:proofErr w:type="spellStart"/>
      <w:r>
        <w:rPr>
          <w:rFonts w:ascii="Times New Roman" w:hAnsi="Times New Roman" w:cs="Times New Roman"/>
          <w:color w:val="000000" w:themeColor="text1"/>
          <w:sz w:val="24"/>
          <w:szCs w:val="24"/>
        </w:rPr>
        <w:t>Amf</w:t>
      </w:r>
      <w:proofErr w:type="spellEnd"/>
      <w:r>
        <w:rPr>
          <w:rFonts w:ascii="Times New Roman" w:hAnsi="Times New Roman" w:cs="Times New Roman"/>
          <w:color w:val="000000" w:themeColor="text1"/>
          <w:sz w:val="24"/>
          <w:szCs w:val="24"/>
        </w:rPr>
        <w:t xml:space="preserve"> pumps did not show a significant difference in antibiotic susceptibility.</w:t>
      </w:r>
    </w:p>
    <w:p w14:paraId="09EE908A" w14:textId="692C080D" w:rsidR="00527841" w:rsidRPr="00C62596" w:rsidRDefault="00527841" w:rsidP="00527841">
      <w:pPr>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3.</w:t>
      </w:r>
      <w:r w:rsidR="00B03B7E">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 xml:space="preserve"> Aligning ABUW_1953 </w:t>
      </w:r>
      <w:r w:rsidR="00B03B7E">
        <w:rPr>
          <w:rFonts w:ascii="Times New Roman" w:hAnsi="Times New Roman" w:cs="Times New Roman"/>
          <w:b/>
          <w:bCs/>
          <w:color w:val="000000" w:themeColor="text1"/>
          <w:sz w:val="24"/>
          <w:szCs w:val="24"/>
        </w:rPr>
        <w:t>a</w:t>
      </w:r>
      <w:r>
        <w:rPr>
          <w:rFonts w:ascii="Times New Roman" w:hAnsi="Times New Roman" w:cs="Times New Roman"/>
          <w:b/>
          <w:bCs/>
          <w:color w:val="000000" w:themeColor="text1"/>
          <w:sz w:val="24"/>
          <w:szCs w:val="24"/>
        </w:rPr>
        <w:t xml:space="preserve">gainst </w:t>
      </w:r>
      <w:r w:rsidR="00B03B7E">
        <w:rPr>
          <w:rFonts w:ascii="Times New Roman" w:hAnsi="Times New Roman" w:cs="Times New Roman"/>
          <w:b/>
          <w:bCs/>
          <w:color w:val="000000" w:themeColor="text1"/>
          <w:sz w:val="24"/>
          <w:szCs w:val="24"/>
        </w:rPr>
        <w:t>o</w:t>
      </w:r>
      <w:r>
        <w:rPr>
          <w:rFonts w:ascii="Times New Roman" w:hAnsi="Times New Roman" w:cs="Times New Roman"/>
          <w:b/>
          <w:bCs/>
          <w:color w:val="000000" w:themeColor="text1"/>
          <w:sz w:val="24"/>
          <w:szCs w:val="24"/>
        </w:rPr>
        <w:t xml:space="preserve">uter </w:t>
      </w:r>
      <w:r w:rsidR="00B03B7E">
        <w:rPr>
          <w:rFonts w:ascii="Times New Roman" w:hAnsi="Times New Roman" w:cs="Times New Roman"/>
          <w:b/>
          <w:bCs/>
          <w:color w:val="000000" w:themeColor="text1"/>
          <w:sz w:val="24"/>
          <w:szCs w:val="24"/>
        </w:rPr>
        <w:t>m</w:t>
      </w:r>
      <w:r>
        <w:rPr>
          <w:rFonts w:ascii="Times New Roman" w:hAnsi="Times New Roman" w:cs="Times New Roman"/>
          <w:b/>
          <w:bCs/>
          <w:color w:val="000000" w:themeColor="text1"/>
          <w:sz w:val="24"/>
          <w:szCs w:val="24"/>
        </w:rPr>
        <w:t xml:space="preserve">embrane </w:t>
      </w:r>
      <w:proofErr w:type="gramStart"/>
      <w:r w:rsidR="00B03B7E">
        <w:rPr>
          <w:rFonts w:ascii="Times New Roman" w:hAnsi="Times New Roman" w:cs="Times New Roman"/>
          <w:b/>
          <w:bCs/>
          <w:color w:val="000000" w:themeColor="text1"/>
          <w:sz w:val="24"/>
          <w:szCs w:val="24"/>
        </w:rPr>
        <w:t>p</w:t>
      </w:r>
      <w:r>
        <w:rPr>
          <w:rFonts w:ascii="Times New Roman" w:hAnsi="Times New Roman" w:cs="Times New Roman"/>
          <w:b/>
          <w:bCs/>
          <w:color w:val="000000" w:themeColor="text1"/>
          <w:sz w:val="24"/>
          <w:szCs w:val="24"/>
        </w:rPr>
        <w:t>roteins</w:t>
      </w:r>
      <w:proofErr w:type="gramEnd"/>
    </w:p>
    <w:tbl>
      <w:tblPr>
        <w:tblStyle w:val="PlainTable3"/>
        <w:tblW w:w="0" w:type="auto"/>
        <w:tblLook w:val="04A0" w:firstRow="1" w:lastRow="0" w:firstColumn="1" w:lastColumn="0" w:noHBand="0" w:noVBand="1"/>
      </w:tblPr>
      <w:tblGrid>
        <w:gridCol w:w="1728"/>
        <w:gridCol w:w="2012"/>
      </w:tblGrid>
      <w:tr w:rsidR="00527841" w14:paraId="10A9E67E" w14:textId="77777777" w:rsidTr="004A75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28" w:type="dxa"/>
            <w:vAlign w:val="center"/>
          </w:tcPr>
          <w:p w14:paraId="202BC099" w14:textId="77777777" w:rsidR="00527841" w:rsidRDefault="00527841" w:rsidP="004A7526"/>
        </w:tc>
        <w:tc>
          <w:tcPr>
            <w:tcW w:w="2012" w:type="dxa"/>
          </w:tcPr>
          <w:p w14:paraId="4988657A" w14:textId="77777777" w:rsidR="00527841" w:rsidRPr="001055BB" w:rsidRDefault="00527841" w:rsidP="004A7526">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caps w:val="0"/>
              </w:rPr>
              <w:t>(N/P %ID)</w:t>
            </w:r>
          </w:p>
        </w:tc>
      </w:tr>
      <w:tr w:rsidR="00527841" w14:paraId="202A37B8"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60FC3C33" w14:textId="77777777" w:rsidR="00527841" w:rsidRDefault="00527841" w:rsidP="004A7526">
            <w:proofErr w:type="spellStart"/>
            <w:r>
              <w:t>A</w:t>
            </w:r>
            <w:r>
              <w:rPr>
                <w:caps w:val="0"/>
              </w:rPr>
              <w:t>de</w:t>
            </w:r>
            <w:r>
              <w:t>c</w:t>
            </w:r>
            <w:proofErr w:type="spellEnd"/>
          </w:p>
        </w:tc>
        <w:tc>
          <w:tcPr>
            <w:tcW w:w="2012" w:type="dxa"/>
          </w:tcPr>
          <w:p w14:paraId="479E54DB" w14:textId="146F04B8"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23%</w:t>
            </w:r>
          </w:p>
        </w:tc>
      </w:tr>
      <w:tr w:rsidR="00527841" w14:paraId="33309F1A" w14:textId="77777777" w:rsidTr="004A7526">
        <w:tc>
          <w:tcPr>
            <w:cnfStyle w:val="001000000000" w:firstRow="0" w:lastRow="0" w:firstColumn="1" w:lastColumn="0" w:oddVBand="0" w:evenVBand="0" w:oddHBand="0" w:evenHBand="0" w:firstRowFirstColumn="0" w:firstRowLastColumn="0" w:lastRowFirstColumn="0" w:lastRowLastColumn="0"/>
            <w:tcW w:w="1728" w:type="dxa"/>
          </w:tcPr>
          <w:p w14:paraId="0EA83F60" w14:textId="77777777" w:rsidR="00527841" w:rsidRDefault="00527841" w:rsidP="004A7526">
            <w:proofErr w:type="spellStart"/>
            <w:r>
              <w:t>a</w:t>
            </w:r>
            <w:r>
              <w:rPr>
                <w:caps w:val="0"/>
              </w:rPr>
              <w:t>de</w:t>
            </w:r>
            <w:r>
              <w:t>h</w:t>
            </w:r>
            <w:proofErr w:type="spellEnd"/>
          </w:p>
        </w:tc>
        <w:tc>
          <w:tcPr>
            <w:tcW w:w="2012" w:type="dxa"/>
          </w:tcPr>
          <w:p w14:paraId="6793FBD2" w14:textId="1F926391"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1</w:t>
            </w:r>
            <w:r w:rsidR="00680727">
              <w:t>9</w:t>
            </w:r>
            <w:r>
              <w:t>%</w:t>
            </w:r>
          </w:p>
        </w:tc>
      </w:tr>
      <w:tr w:rsidR="00527841" w14:paraId="5C71DA6D"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6B546CED" w14:textId="77777777" w:rsidR="00527841" w:rsidRDefault="00527841" w:rsidP="004A7526">
            <w:r>
              <w:t>a</w:t>
            </w:r>
            <w:r>
              <w:rPr>
                <w:caps w:val="0"/>
              </w:rPr>
              <w:t>de</w:t>
            </w:r>
            <w:r>
              <w:t>K</w:t>
            </w:r>
          </w:p>
        </w:tc>
        <w:tc>
          <w:tcPr>
            <w:tcW w:w="2012" w:type="dxa"/>
          </w:tcPr>
          <w:p w14:paraId="20E3C10D" w14:textId="2AA6CA6A"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30%</w:t>
            </w:r>
          </w:p>
        </w:tc>
      </w:tr>
      <w:tr w:rsidR="00527841" w14:paraId="4A580274" w14:textId="77777777" w:rsidTr="004A7526">
        <w:tc>
          <w:tcPr>
            <w:cnfStyle w:val="001000000000" w:firstRow="0" w:lastRow="0" w:firstColumn="1" w:lastColumn="0" w:oddVBand="0" w:evenVBand="0" w:oddHBand="0" w:evenHBand="0" w:firstRowFirstColumn="0" w:firstRowLastColumn="0" w:lastRowFirstColumn="0" w:lastRowLastColumn="0"/>
            <w:tcW w:w="1728" w:type="dxa"/>
          </w:tcPr>
          <w:p w14:paraId="16D5651C" w14:textId="77777777" w:rsidR="00527841" w:rsidRPr="002F1808" w:rsidRDefault="00527841" w:rsidP="004A7526">
            <w:proofErr w:type="spellStart"/>
            <w:r>
              <w:t>T</w:t>
            </w:r>
            <w:r>
              <w:rPr>
                <w:caps w:val="0"/>
              </w:rPr>
              <w:t>ol</w:t>
            </w:r>
            <w:r>
              <w:t>C</w:t>
            </w:r>
            <w:proofErr w:type="spellEnd"/>
            <w:r>
              <w:t xml:space="preserve"> </w:t>
            </w:r>
          </w:p>
        </w:tc>
        <w:tc>
          <w:tcPr>
            <w:tcW w:w="2012" w:type="dxa"/>
          </w:tcPr>
          <w:p w14:paraId="1394B107" w14:textId="4E233026"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2</w:t>
            </w:r>
            <w:r w:rsidR="00680727">
              <w:t>4</w:t>
            </w:r>
            <w:r>
              <w:t>%</w:t>
            </w:r>
          </w:p>
        </w:tc>
      </w:tr>
    </w:tbl>
    <w:p w14:paraId="49862437" w14:textId="23D748E2" w:rsidR="00527841" w:rsidRDefault="00527841" w:rsidP="0068593A">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shows values of nucleotide % identity / protein % identity as determined by NBCI’s nucleotide and protein BLAST. (-) symbolizes no significant alignment.</w:t>
      </w:r>
    </w:p>
    <w:p w14:paraId="3A28381C" w14:textId="0394B9F1" w:rsidR="00527841" w:rsidRPr="00A4656F" w:rsidRDefault="00527841" w:rsidP="00527841">
      <w:pPr>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3.</w:t>
      </w:r>
      <w:r w:rsidR="00B03B7E">
        <w:rPr>
          <w:rFonts w:ascii="Times New Roman" w:hAnsi="Times New Roman" w:cs="Times New Roman"/>
          <w:b/>
          <w:bCs/>
          <w:color w:val="000000" w:themeColor="text1"/>
          <w:sz w:val="24"/>
          <w:szCs w:val="24"/>
        </w:rPr>
        <w:t>2</w:t>
      </w:r>
      <w:r>
        <w:rPr>
          <w:rFonts w:ascii="Times New Roman" w:hAnsi="Times New Roman" w:cs="Times New Roman"/>
          <w:b/>
          <w:bCs/>
          <w:color w:val="000000" w:themeColor="text1"/>
          <w:sz w:val="24"/>
          <w:szCs w:val="24"/>
        </w:rPr>
        <w:t xml:space="preserve"> Aligning ABUW </w:t>
      </w:r>
      <w:proofErr w:type="spellStart"/>
      <w:r>
        <w:rPr>
          <w:rFonts w:ascii="Times New Roman" w:hAnsi="Times New Roman" w:cs="Times New Roman"/>
          <w:b/>
          <w:bCs/>
          <w:i/>
          <w:iCs/>
          <w:color w:val="000000" w:themeColor="text1"/>
          <w:sz w:val="24"/>
          <w:szCs w:val="24"/>
        </w:rPr>
        <w:t>amf</w:t>
      </w:r>
      <w:proofErr w:type="spellEnd"/>
      <w:r>
        <w:rPr>
          <w:rFonts w:ascii="Times New Roman" w:hAnsi="Times New Roman" w:cs="Times New Roman"/>
          <w:b/>
          <w:bCs/>
          <w:color w:val="000000" w:themeColor="text1"/>
          <w:sz w:val="24"/>
          <w:szCs w:val="24"/>
        </w:rPr>
        <w:t xml:space="preserve"> </w:t>
      </w:r>
      <w:r w:rsidR="00B03B7E">
        <w:rPr>
          <w:rFonts w:ascii="Times New Roman" w:hAnsi="Times New Roman" w:cs="Times New Roman"/>
          <w:b/>
          <w:bCs/>
          <w:color w:val="000000" w:themeColor="text1"/>
          <w:sz w:val="24"/>
          <w:szCs w:val="24"/>
        </w:rPr>
        <w:t>g</w:t>
      </w:r>
      <w:r>
        <w:rPr>
          <w:rFonts w:ascii="Times New Roman" w:hAnsi="Times New Roman" w:cs="Times New Roman"/>
          <w:b/>
          <w:bCs/>
          <w:color w:val="000000" w:themeColor="text1"/>
          <w:sz w:val="24"/>
          <w:szCs w:val="24"/>
        </w:rPr>
        <w:t xml:space="preserve">enes </w:t>
      </w:r>
      <w:r w:rsidR="00B03B7E">
        <w:rPr>
          <w:rFonts w:ascii="Times New Roman" w:hAnsi="Times New Roman" w:cs="Times New Roman"/>
          <w:b/>
          <w:bCs/>
          <w:color w:val="000000" w:themeColor="text1"/>
          <w:sz w:val="24"/>
          <w:szCs w:val="24"/>
        </w:rPr>
        <w:t>a</w:t>
      </w:r>
      <w:r>
        <w:rPr>
          <w:rFonts w:ascii="Times New Roman" w:hAnsi="Times New Roman" w:cs="Times New Roman"/>
          <w:b/>
          <w:bCs/>
          <w:color w:val="000000" w:themeColor="text1"/>
          <w:sz w:val="24"/>
          <w:szCs w:val="24"/>
        </w:rPr>
        <w:t xml:space="preserve">gainst </w:t>
      </w:r>
      <w:r>
        <w:rPr>
          <w:rFonts w:ascii="Times New Roman" w:hAnsi="Times New Roman" w:cs="Times New Roman"/>
          <w:b/>
          <w:bCs/>
          <w:i/>
          <w:iCs/>
          <w:color w:val="000000" w:themeColor="text1"/>
          <w:sz w:val="24"/>
          <w:szCs w:val="24"/>
        </w:rPr>
        <w:t>A. baumannii</w:t>
      </w:r>
      <w:r>
        <w:rPr>
          <w:rFonts w:ascii="Times New Roman" w:hAnsi="Times New Roman" w:cs="Times New Roman"/>
          <w:b/>
          <w:bCs/>
          <w:color w:val="000000" w:themeColor="text1"/>
          <w:sz w:val="24"/>
          <w:szCs w:val="24"/>
        </w:rPr>
        <w:t xml:space="preserve"> AT</w:t>
      </w:r>
      <w:r w:rsidR="00204DBF">
        <w:rPr>
          <w:rFonts w:ascii="Times New Roman" w:hAnsi="Times New Roman" w:cs="Times New Roman"/>
          <w:b/>
          <w:bCs/>
          <w:color w:val="000000" w:themeColor="text1"/>
          <w:sz w:val="24"/>
          <w:szCs w:val="24"/>
        </w:rPr>
        <w:t>CC</w:t>
      </w:r>
      <w:r>
        <w:rPr>
          <w:rFonts w:ascii="Times New Roman" w:hAnsi="Times New Roman" w:cs="Times New Roman"/>
          <w:b/>
          <w:bCs/>
          <w:color w:val="000000" w:themeColor="text1"/>
          <w:sz w:val="24"/>
          <w:szCs w:val="24"/>
        </w:rPr>
        <w:t xml:space="preserve"> 17978 MFS </w:t>
      </w:r>
      <w:proofErr w:type="gramStart"/>
      <w:r w:rsidR="00B03B7E">
        <w:rPr>
          <w:rFonts w:ascii="Times New Roman" w:hAnsi="Times New Roman" w:cs="Times New Roman"/>
          <w:b/>
          <w:bCs/>
          <w:color w:val="000000" w:themeColor="text1"/>
          <w:sz w:val="24"/>
          <w:szCs w:val="24"/>
        </w:rPr>
        <w:t>p</w:t>
      </w:r>
      <w:r>
        <w:rPr>
          <w:rFonts w:ascii="Times New Roman" w:hAnsi="Times New Roman" w:cs="Times New Roman"/>
          <w:b/>
          <w:bCs/>
          <w:color w:val="000000" w:themeColor="text1"/>
          <w:sz w:val="24"/>
          <w:szCs w:val="24"/>
        </w:rPr>
        <w:t>umps</w:t>
      </w:r>
      <w:proofErr w:type="gramEnd"/>
    </w:p>
    <w:tbl>
      <w:tblPr>
        <w:tblStyle w:val="PlainTable3"/>
        <w:tblW w:w="0" w:type="auto"/>
        <w:tblLook w:val="04A0" w:firstRow="1" w:lastRow="0" w:firstColumn="1" w:lastColumn="0" w:noHBand="0" w:noVBand="1"/>
      </w:tblPr>
      <w:tblGrid>
        <w:gridCol w:w="1734"/>
        <w:gridCol w:w="1727"/>
        <w:gridCol w:w="1726"/>
        <w:gridCol w:w="1726"/>
        <w:gridCol w:w="1727"/>
      </w:tblGrid>
      <w:tr w:rsidR="00527841" w14:paraId="72C1E8F4" w14:textId="77777777" w:rsidTr="004A75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70" w:type="dxa"/>
          </w:tcPr>
          <w:p w14:paraId="33FD53C1" w14:textId="77777777" w:rsidR="00527841" w:rsidRDefault="00527841" w:rsidP="004A7526"/>
        </w:tc>
        <w:tc>
          <w:tcPr>
            <w:tcW w:w="1870" w:type="dxa"/>
          </w:tcPr>
          <w:p w14:paraId="1882D4D4" w14:textId="77777777" w:rsidR="00527841" w:rsidRPr="001055BB" w:rsidRDefault="00527841" w:rsidP="004A7526">
            <w:pPr>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Pr>
                <w:b w:val="0"/>
                <w:bCs w:val="0"/>
                <w:caps w:val="0"/>
              </w:rPr>
              <w:t>A</w:t>
            </w:r>
            <w:r w:rsidRPr="001055BB">
              <w:rPr>
                <w:b w:val="0"/>
                <w:bCs w:val="0"/>
                <w:caps w:val="0"/>
              </w:rPr>
              <w:t>mf</w:t>
            </w:r>
            <w:r>
              <w:rPr>
                <w:b w:val="0"/>
                <w:bCs w:val="0"/>
                <w:caps w:val="0"/>
              </w:rPr>
              <w:t>A</w:t>
            </w:r>
            <w:proofErr w:type="spellEnd"/>
          </w:p>
        </w:tc>
        <w:tc>
          <w:tcPr>
            <w:tcW w:w="1870" w:type="dxa"/>
          </w:tcPr>
          <w:p w14:paraId="6E2B87F4" w14:textId="77777777" w:rsidR="00527841" w:rsidRPr="001055BB" w:rsidRDefault="00527841" w:rsidP="004A7526">
            <w:pPr>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Pr>
                <w:b w:val="0"/>
                <w:bCs w:val="0"/>
                <w:caps w:val="0"/>
              </w:rPr>
              <w:t>A</w:t>
            </w:r>
            <w:r w:rsidRPr="001055BB">
              <w:rPr>
                <w:b w:val="0"/>
                <w:bCs w:val="0"/>
                <w:caps w:val="0"/>
              </w:rPr>
              <w:t>mf</w:t>
            </w:r>
            <w:r>
              <w:rPr>
                <w:b w:val="0"/>
                <w:bCs w:val="0"/>
                <w:caps w:val="0"/>
              </w:rPr>
              <w:t>B</w:t>
            </w:r>
            <w:proofErr w:type="spellEnd"/>
          </w:p>
        </w:tc>
        <w:tc>
          <w:tcPr>
            <w:tcW w:w="1870" w:type="dxa"/>
          </w:tcPr>
          <w:p w14:paraId="170B8BA9" w14:textId="77777777" w:rsidR="00527841" w:rsidRPr="001055BB" w:rsidRDefault="00527841" w:rsidP="004A7526">
            <w:pPr>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Pr>
                <w:b w:val="0"/>
                <w:bCs w:val="0"/>
                <w:caps w:val="0"/>
              </w:rPr>
              <w:t>A</w:t>
            </w:r>
            <w:r w:rsidRPr="001055BB">
              <w:rPr>
                <w:b w:val="0"/>
                <w:bCs w:val="0"/>
                <w:caps w:val="0"/>
              </w:rPr>
              <w:t>mf</w:t>
            </w:r>
            <w:r>
              <w:rPr>
                <w:b w:val="0"/>
                <w:bCs w:val="0"/>
                <w:caps w:val="0"/>
              </w:rPr>
              <w:t>C</w:t>
            </w:r>
            <w:proofErr w:type="spellEnd"/>
          </w:p>
        </w:tc>
        <w:tc>
          <w:tcPr>
            <w:tcW w:w="1870" w:type="dxa"/>
          </w:tcPr>
          <w:p w14:paraId="30F99B27" w14:textId="77777777" w:rsidR="00527841" w:rsidRPr="001055BB" w:rsidRDefault="00527841" w:rsidP="004A7526">
            <w:pPr>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Pr>
                <w:b w:val="0"/>
                <w:bCs w:val="0"/>
                <w:caps w:val="0"/>
              </w:rPr>
              <w:t>A</w:t>
            </w:r>
            <w:r w:rsidRPr="001055BB">
              <w:rPr>
                <w:b w:val="0"/>
                <w:bCs w:val="0"/>
                <w:caps w:val="0"/>
              </w:rPr>
              <w:t>mf</w:t>
            </w:r>
            <w:r>
              <w:rPr>
                <w:b w:val="0"/>
                <w:bCs w:val="0"/>
                <w:caps w:val="0"/>
              </w:rPr>
              <w:t>D</w:t>
            </w:r>
            <w:proofErr w:type="spellEnd"/>
          </w:p>
        </w:tc>
      </w:tr>
      <w:tr w:rsidR="00527841" w14:paraId="513F8719"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1412C4EA" w14:textId="77777777" w:rsidR="00527841" w:rsidRPr="001055BB" w:rsidRDefault="00527841" w:rsidP="004A7526">
            <w:proofErr w:type="spellStart"/>
            <w:r>
              <w:t>a</w:t>
            </w:r>
            <w:r>
              <w:rPr>
                <w:caps w:val="0"/>
              </w:rPr>
              <w:t>mf</w:t>
            </w:r>
            <w:r>
              <w:t>B</w:t>
            </w:r>
            <w:proofErr w:type="spellEnd"/>
            <w:r>
              <w:t xml:space="preserve"> (1772)</w:t>
            </w:r>
          </w:p>
        </w:tc>
        <w:tc>
          <w:tcPr>
            <w:tcW w:w="1870" w:type="dxa"/>
          </w:tcPr>
          <w:p w14:paraId="2F190A9E"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6EB91F6B" w14:textId="2F66916E"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9</w:t>
            </w:r>
            <w:r w:rsidR="00680727">
              <w:t>6</w:t>
            </w:r>
            <w:r>
              <w:t xml:space="preserve">% / </w:t>
            </w:r>
            <w:r w:rsidR="00680727">
              <w:t>100</w:t>
            </w:r>
            <w:r>
              <w:t>%</w:t>
            </w:r>
          </w:p>
        </w:tc>
        <w:tc>
          <w:tcPr>
            <w:tcW w:w="1870" w:type="dxa"/>
          </w:tcPr>
          <w:p w14:paraId="4EF74BC6"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0022C72C" w14:textId="16D9CB65"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27%</w:t>
            </w:r>
          </w:p>
        </w:tc>
      </w:tr>
      <w:tr w:rsidR="00527841" w14:paraId="619A57F2" w14:textId="77777777" w:rsidTr="004A7526">
        <w:tc>
          <w:tcPr>
            <w:cnfStyle w:val="001000000000" w:firstRow="0" w:lastRow="0" w:firstColumn="1" w:lastColumn="0" w:oddVBand="0" w:evenVBand="0" w:oddHBand="0" w:evenHBand="0" w:firstRowFirstColumn="0" w:firstRowLastColumn="0" w:lastRowFirstColumn="0" w:lastRowLastColumn="0"/>
            <w:tcW w:w="1870" w:type="dxa"/>
          </w:tcPr>
          <w:p w14:paraId="0D2EB90E" w14:textId="77777777" w:rsidR="00527841" w:rsidRDefault="00527841" w:rsidP="004A7526">
            <w:proofErr w:type="spellStart"/>
            <w:r>
              <w:t>a</w:t>
            </w:r>
            <w:r>
              <w:rPr>
                <w:caps w:val="0"/>
              </w:rPr>
              <w:t>mf</w:t>
            </w:r>
            <w:r>
              <w:t>A</w:t>
            </w:r>
            <w:proofErr w:type="spellEnd"/>
            <w:r>
              <w:t xml:space="preserve"> (1773)</w:t>
            </w:r>
          </w:p>
        </w:tc>
        <w:tc>
          <w:tcPr>
            <w:tcW w:w="1870" w:type="dxa"/>
          </w:tcPr>
          <w:p w14:paraId="547E1052" w14:textId="37E7B29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9</w:t>
            </w:r>
            <w:r w:rsidR="00680727">
              <w:t>7</w:t>
            </w:r>
            <w:r>
              <w:t>% / 9</w:t>
            </w:r>
            <w:r w:rsidR="00680727">
              <w:t>9</w:t>
            </w:r>
            <w:r>
              <w:t>%</w:t>
            </w:r>
          </w:p>
        </w:tc>
        <w:tc>
          <w:tcPr>
            <w:tcW w:w="1870" w:type="dxa"/>
          </w:tcPr>
          <w:p w14:paraId="03450983"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0A8A9367" w14:textId="015B1565"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3</w:t>
            </w:r>
            <w:r w:rsidR="00680727">
              <w:t>5</w:t>
            </w:r>
            <w:r>
              <w:t>%</w:t>
            </w:r>
          </w:p>
        </w:tc>
        <w:tc>
          <w:tcPr>
            <w:tcW w:w="1870" w:type="dxa"/>
          </w:tcPr>
          <w:p w14:paraId="01457B5D"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r>
      <w:tr w:rsidR="00527841" w14:paraId="4C921716"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92CC032" w14:textId="77777777" w:rsidR="00527841" w:rsidRDefault="00527841" w:rsidP="004A7526">
            <w:proofErr w:type="spellStart"/>
            <w:r>
              <w:t>a</w:t>
            </w:r>
            <w:r>
              <w:rPr>
                <w:caps w:val="0"/>
              </w:rPr>
              <w:t>mf</w:t>
            </w:r>
            <w:r>
              <w:t>D</w:t>
            </w:r>
            <w:proofErr w:type="spellEnd"/>
            <w:r>
              <w:t xml:space="preserve"> (1799)</w:t>
            </w:r>
          </w:p>
        </w:tc>
        <w:tc>
          <w:tcPr>
            <w:tcW w:w="1870" w:type="dxa"/>
          </w:tcPr>
          <w:p w14:paraId="44D64868"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6BA49C90" w14:textId="162050C3"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27%</w:t>
            </w:r>
          </w:p>
        </w:tc>
        <w:tc>
          <w:tcPr>
            <w:tcW w:w="1870" w:type="dxa"/>
          </w:tcPr>
          <w:p w14:paraId="251737E6"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06C84880" w14:textId="588057FD"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xml:space="preserve">99% / </w:t>
            </w:r>
            <w:r w:rsidR="00680727">
              <w:t>100</w:t>
            </w:r>
            <w:r>
              <w:t>%</w:t>
            </w:r>
          </w:p>
        </w:tc>
      </w:tr>
      <w:tr w:rsidR="00527841" w14:paraId="4688E695" w14:textId="77777777" w:rsidTr="004A7526">
        <w:tc>
          <w:tcPr>
            <w:cnfStyle w:val="001000000000" w:firstRow="0" w:lastRow="0" w:firstColumn="1" w:lastColumn="0" w:oddVBand="0" w:evenVBand="0" w:oddHBand="0" w:evenHBand="0" w:firstRowFirstColumn="0" w:firstRowLastColumn="0" w:lastRowFirstColumn="0" w:lastRowLastColumn="0"/>
            <w:tcW w:w="1870" w:type="dxa"/>
          </w:tcPr>
          <w:p w14:paraId="1B8C96DD" w14:textId="77777777" w:rsidR="00527841" w:rsidRDefault="00527841" w:rsidP="004A7526">
            <w:proofErr w:type="spellStart"/>
            <w:r>
              <w:t>a</w:t>
            </w:r>
            <w:r>
              <w:rPr>
                <w:caps w:val="0"/>
              </w:rPr>
              <w:t>mf</w:t>
            </w:r>
            <w:r>
              <w:t>C</w:t>
            </w:r>
            <w:proofErr w:type="spellEnd"/>
            <w:r>
              <w:t xml:space="preserve"> (1800)</w:t>
            </w:r>
          </w:p>
        </w:tc>
        <w:tc>
          <w:tcPr>
            <w:tcW w:w="1870" w:type="dxa"/>
          </w:tcPr>
          <w:p w14:paraId="7B845707" w14:textId="7EB4261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31%</w:t>
            </w:r>
          </w:p>
        </w:tc>
        <w:tc>
          <w:tcPr>
            <w:tcW w:w="1870" w:type="dxa"/>
          </w:tcPr>
          <w:p w14:paraId="1F0B90F8"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19C54374" w14:textId="00178C36"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9</w:t>
            </w:r>
            <w:r w:rsidR="00680727">
              <w:t>8</w:t>
            </w:r>
            <w:r>
              <w:t>% / 97%</w:t>
            </w:r>
          </w:p>
        </w:tc>
        <w:tc>
          <w:tcPr>
            <w:tcW w:w="1870" w:type="dxa"/>
          </w:tcPr>
          <w:p w14:paraId="3FB965F3"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r>
      <w:tr w:rsidR="00527841" w14:paraId="5137BA36"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D02AAAA" w14:textId="77777777" w:rsidR="00527841" w:rsidRDefault="00527841" w:rsidP="004A7526">
            <w:proofErr w:type="spellStart"/>
            <w:r>
              <w:t>A</w:t>
            </w:r>
            <w:r>
              <w:rPr>
                <w:caps w:val="0"/>
              </w:rPr>
              <w:t>ba</w:t>
            </w:r>
            <w:r>
              <w:t>F</w:t>
            </w:r>
            <w:proofErr w:type="spellEnd"/>
          </w:p>
        </w:tc>
        <w:tc>
          <w:tcPr>
            <w:tcW w:w="1870" w:type="dxa"/>
          </w:tcPr>
          <w:p w14:paraId="3A59E8A4"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263EADDA" w14:textId="06533201"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26%</w:t>
            </w:r>
          </w:p>
        </w:tc>
        <w:tc>
          <w:tcPr>
            <w:tcW w:w="1870" w:type="dxa"/>
          </w:tcPr>
          <w:p w14:paraId="4DA0489B"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190E35EE"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r>
      <w:tr w:rsidR="00527841" w14:paraId="1F95C5E8" w14:textId="77777777" w:rsidTr="004A7526">
        <w:tc>
          <w:tcPr>
            <w:cnfStyle w:val="001000000000" w:firstRow="0" w:lastRow="0" w:firstColumn="1" w:lastColumn="0" w:oddVBand="0" w:evenVBand="0" w:oddHBand="0" w:evenHBand="0" w:firstRowFirstColumn="0" w:firstRowLastColumn="0" w:lastRowFirstColumn="0" w:lastRowLastColumn="0"/>
            <w:tcW w:w="1870" w:type="dxa"/>
          </w:tcPr>
          <w:p w14:paraId="61EF7FC8" w14:textId="77777777" w:rsidR="00527841" w:rsidRDefault="00527841" w:rsidP="004A7526">
            <w:proofErr w:type="spellStart"/>
            <w:r>
              <w:t>a</w:t>
            </w:r>
            <w:r>
              <w:rPr>
                <w:caps w:val="0"/>
              </w:rPr>
              <w:t>ba</w:t>
            </w:r>
            <w:r>
              <w:t>Q</w:t>
            </w:r>
            <w:proofErr w:type="spellEnd"/>
          </w:p>
        </w:tc>
        <w:tc>
          <w:tcPr>
            <w:tcW w:w="1870" w:type="dxa"/>
          </w:tcPr>
          <w:p w14:paraId="3C061783"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50C0E018" w14:textId="44D92F0C" w:rsidR="00527841" w:rsidRDefault="00527841" w:rsidP="004A7526">
            <w:pPr>
              <w:spacing w:line="360" w:lineRule="auto"/>
              <w:jc w:val="center"/>
              <w:cnfStyle w:val="000000000000" w:firstRow="0" w:lastRow="0" w:firstColumn="0" w:lastColumn="0" w:oddVBand="0" w:evenVBand="0" w:oddHBand="0" w:evenHBand="0" w:firstRowFirstColumn="0" w:firstRowLastColumn="0" w:lastRowFirstColumn="0" w:lastRowLastColumn="0"/>
            </w:pPr>
            <w:r>
              <w:t>- / 2</w:t>
            </w:r>
            <w:r w:rsidR="00680727">
              <w:t>2</w:t>
            </w:r>
            <w:r>
              <w:t>%</w:t>
            </w:r>
          </w:p>
        </w:tc>
        <w:tc>
          <w:tcPr>
            <w:tcW w:w="1870" w:type="dxa"/>
          </w:tcPr>
          <w:p w14:paraId="1261DAF4"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4F197B23"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r>
      <w:tr w:rsidR="00527841" w14:paraId="349461B7"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FD6271A" w14:textId="77777777" w:rsidR="00527841" w:rsidRDefault="00527841" w:rsidP="004A7526">
            <w:proofErr w:type="spellStart"/>
            <w:r>
              <w:t>a</w:t>
            </w:r>
            <w:r>
              <w:rPr>
                <w:caps w:val="0"/>
              </w:rPr>
              <w:t>mv</w:t>
            </w:r>
            <w:r>
              <w:t>A</w:t>
            </w:r>
            <w:proofErr w:type="spellEnd"/>
          </w:p>
        </w:tc>
        <w:tc>
          <w:tcPr>
            <w:tcW w:w="1870" w:type="dxa"/>
          </w:tcPr>
          <w:p w14:paraId="65A6F7C5"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517C2CE9" w14:textId="4FBB2FB5"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w:t>
            </w:r>
            <w:r w:rsidR="00680727">
              <w:t>1</w:t>
            </w:r>
            <w:r>
              <w:t>%</w:t>
            </w:r>
          </w:p>
        </w:tc>
        <w:tc>
          <w:tcPr>
            <w:tcW w:w="1870" w:type="dxa"/>
          </w:tcPr>
          <w:p w14:paraId="23D3D983"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114C3B87" w14:textId="5A2D94F0"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w:t>
            </w:r>
            <w:r w:rsidR="00680727">
              <w:t>2</w:t>
            </w:r>
            <w:r>
              <w:t>%</w:t>
            </w:r>
          </w:p>
        </w:tc>
      </w:tr>
      <w:tr w:rsidR="00527841" w14:paraId="58EF42E2" w14:textId="77777777" w:rsidTr="004A7526">
        <w:tc>
          <w:tcPr>
            <w:cnfStyle w:val="001000000000" w:firstRow="0" w:lastRow="0" w:firstColumn="1" w:lastColumn="0" w:oddVBand="0" w:evenVBand="0" w:oddHBand="0" w:evenHBand="0" w:firstRowFirstColumn="0" w:firstRowLastColumn="0" w:lastRowFirstColumn="0" w:lastRowLastColumn="0"/>
            <w:tcW w:w="1870" w:type="dxa"/>
          </w:tcPr>
          <w:p w14:paraId="3B7581BF" w14:textId="77777777" w:rsidR="00527841" w:rsidRDefault="00527841" w:rsidP="004A7526">
            <w:proofErr w:type="spellStart"/>
            <w:r>
              <w:t>C</w:t>
            </w:r>
            <w:r>
              <w:rPr>
                <w:caps w:val="0"/>
              </w:rPr>
              <w:t>ra</w:t>
            </w:r>
            <w:r>
              <w:t>A</w:t>
            </w:r>
            <w:proofErr w:type="spellEnd"/>
          </w:p>
        </w:tc>
        <w:tc>
          <w:tcPr>
            <w:tcW w:w="1870" w:type="dxa"/>
          </w:tcPr>
          <w:p w14:paraId="25FF552E"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4F73828D" w14:textId="5E8033F4"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2</w:t>
            </w:r>
            <w:r w:rsidR="00680727">
              <w:t>7</w:t>
            </w:r>
            <w:r>
              <w:t>%</w:t>
            </w:r>
          </w:p>
        </w:tc>
        <w:tc>
          <w:tcPr>
            <w:tcW w:w="1870" w:type="dxa"/>
          </w:tcPr>
          <w:p w14:paraId="1D6447F2"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2B28D7E5" w14:textId="237D0D02"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31%</w:t>
            </w:r>
          </w:p>
        </w:tc>
      </w:tr>
      <w:tr w:rsidR="00527841" w14:paraId="582428D1"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DE5B802" w14:textId="77777777" w:rsidR="00527841" w:rsidRDefault="00527841" w:rsidP="004A7526">
            <w:proofErr w:type="spellStart"/>
            <w:r>
              <w:t>T</w:t>
            </w:r>
            <w:r>
              <w:rPr>
                <w:caps w:val="0"/>
              </w:rPr>
              <w:t>et</w:t>
            </w:r>
            <w:r>
              <w:t>A</w:t>
            </w:r>
            <w:proofErr w:type="spellEnd"/>
          </w:p>
        </w:tc>
        <w:tc>
          <w:tcPr>
            <w:tcW w:w="1870" w:type="dxa"/>
          </w:tcPr>
          <w:p w14:paraId="20D111C0"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0FA2B152" w14:textId="1C93161D"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26%</w:t>
            </w:r>
          </w:p>
        </w:tc>
        <w:tc>
          <w:tcPr>
            <w:tcW w:w="1870" w:type="dxa"/>
          </w:tcPr>
          <w:p w14:paraId="6F793D99"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c>
          <w:tcPr>
            <w:tcW w:w="1870" w:type="dxa"/>
          </w:tcPr>
          <w:p w14:paraId="193D1A3C" w14:textId="77777777"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 / -</w:t>
            </w:r>
          </w:p>
        </w:tc>
      </w:tr>
      <w:tr w:rsidR="00527841" w14:paraId="56AD35B7" w14:textId="77777777" w:rsidTr="004A7526">
        <w:tc>
          <w:tcPr>
            <w:cnfStyle w:val="001000000000" w:firstRow="0" w:lastRow="0" w:firstColumn="1" w:lastColumn="0" w:oddVBand="0" w:evenVBand="0" w:oddHBand="0" w:evenHBand="0" w:firstRowFirstColumn="0" w:firstRowLastColumn="0" w:lastRowFirstColumn="0" w:lastRowLastColumn="0"/>
            <w:tcW w:w="1870" w:type="dxa"/>
          </w:tcPr>
          <w:p w14:paraId="7E3EBC87" w14:textId="77777777" w:rsidR="00527841" w:rsidRDefault="00527841" w:rsidP="004A7526">
            <w:r>
              <w:t>a</w:t>
            </w:r>
            <w:r>
              <w:rPr>
                <w:caps w:val="0"/>
              </w:rPr>
              <w:t>ed</w:t>
            </w:r>
            <w:r>
              <w:t>d</w:t>
            </w:r>
          </w:p>
        </w:tc>
        <w:tc>
          <w:tcPr>
            <w:tcW w:w="1870" w:type="dxa"/>
          </w:tcPr>
          <w:p w14:paraId="47D388BE"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1931CB0D" w14:textId="1C71012A"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2</w:t>
            </w:r>
            <w:r w:rsidR="00680727">
              <w:t>2</w:t>
            </w:r>
            <w:r>
              <w:t>%</w:t>
            </w:r>
          </w:p>
        </w:tc>
        <w:tc>
          <w:tcPr>
            <w:tcW w:w="1870" w:type="dxa"/>
          </w:tcPr>
          <w:p w14:paraId="26476606" w14:textId="77777777"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w:t>
            </w:r>
          </w:p>
        </w:tc>
        <w:tc>
          <w:tcPr>
            <w:tcW w:w="1870" w:type="dxa"/>
          </w:tcPr>
          <w:p w14:paraId="1C21C5C7" w14:textId="3DA6330E"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 2</w:t>
            </w:r>
            <w:r w:rsidR="00680727">
              <w:t>5</w:t>
            </w:r>
            <w:r>
              <w:t>%</w:t>
            </w:r>
          </w:p>
        </w:tc>
      </w:tr>
    </w:tbl>
    <w:p w14:paraId="4DF27FD3" w14:textId="77777777" w:rsidR="00527841" w:rsidRDefault="00527841" w:rsidP="0068593A">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shows values of nucleotide % identity / protein % identity as determined by NBCI’s nucleotide and protein BLAST. (-) symbolizes no significant alignment.</w:t>
      </w:r>
    </w:p>
    <w:p w14:paraId="6B1EB364" w14:textId="6D69323A" w:rsidR="00527841" w:rsidRPr="00A4656F" w:rsidRDefault="00527841" w:rsidP="00527841">
      <w:pPr>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3.</w:t>
      </w:r>
      <w:r w:rsidR="00B03B7E">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rPr>
        <w:t xml:space="preserve"> Aligning ABUW and A1S MFS </w:t>
      </w:r>
      <w:proofErr w:type="gramStart"/>
      <w:r w:rsidR="00B03B7E">
        <w:rPr>
          <w:rFonts w:ascii="Times New Roman" w:hAnsi="Times New Roman" w:cs="Times New Roman"/>
          <w:b/>
          <w:bCs/>
          <w:color w:val="000000" w:themeColor="text1"/>
          <w:sz w:val="24"/>
          <w:szCs w:val="24"/>
        </w:rPr>
        <w:t>g</w:t>
      </w:r>
      <w:r>
        <w:rPr>
          <w:rFonts w:ascii="Times New Roman" w:hAnsi="Times New Roman" w:cs="Times New Roman"/>
          <w:b/>
          <w:bCs/>
          <w:color w:val="000000" w:themeColor="text1"/>
          <w:sz w:val="24"/>
          <w:szCs w:val="24"/>
        </w:rPr>
        <w:t>enes</w:t>
      </w:r>
      <w:proofErr w:type="gramEnd"/>
    </w:p>
    <w:tbl>
      <w:tblPr>
        <w:tblStyle w:val="PlainTable3"/>
        <w:tblW w:w="0" w:type="auto"/>
        <w:tblLook w:val="04A0" w:firstRow="1" w:lastRow="0" w:firstColumn="1" w:lastColumn="0" w:noHBand="0" w:noVBand="1"/>
      </w:tblPr>
      <w:tblGrid>
        <w:gridCol w:w="1530"/>
        <w:gridCol w:w="2210"/>
      </w:tblGrid>
      <w:tr w:rsidR="00527841" w14:paraId="0435859E" w14:textId="77777777" w:rsidTr="004A75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30" w:type="dxa"/>
          </w:tcPr>
          <w:p w14:paraId="13D4F931" w14:textId="77777777" w:rsidR="00527841" w:rsidRDefault="00527841" w:rsidP="004A7526">
            <w:r>
              <w:t>MFS gene</w:t>
            </w:r>
          </w:p>
        </w:tc>
        <w:tc>
          <w:tcPr>
            <w:tcW w:w="2210" w:type="dxa"/>
          </w:tcPr>
          <w:p w14:paraId="6C689BFF" w14:textId="77777777" w:rsidR="00527841" w:rsidRPr="001055BB" w:rsidRDefault="00527841" w:rsidP="004A7526">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caps w:val="0"/>
              </w:rPr>
              <w:t>(N/P % ID)</w:t>
            </w:r>
          </w:p>
        </w:tc>
      </w:tr>
      <w:tr w:rsidR="00527841" w14:paraId="1618E032"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1453BB2B" w14:textId="77777777" w:rsidR="00527841" w:rsidRDefault="00527841" w:rsidP="004A7526">
            <w:proofErr w:type="spellStart"/>
            <w:r>
              <w:t>A</w:t>
            </w:r>
            <w:r>
              <w:rPr>
                <w:caps w:val="0"/>
              </w:rPr>
              <w:t>ba</w:t>
            </w:r>
            <w:r>
              <w:t>F</w:t>
            </w:r>
            <w:proofErr w:type="spellEnd"/>
          </w:p>
        </w:tc>
        <w:tc>
          <w:tcPr>
            <w:tcW w:w="2210" w:type="dxa"/>
          </w:tcPr>
          <w:p w14:paraId="6B402002" w14:textId="73E5AE96"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9</w:t>
            </w:r>
            <w:r w:rsidR="00680727">
              <w:t>8</w:t>
            </w:r>
            <w:r>
              <w:t xml:space="preserve">% / </w:t>
            </w:r>
            <w:r w:rsidR="00680727">
              <w:t>100</w:t>
            </w:r>
            <w:r>
              <w:t>%</w:t>
            </w:r>
          </w:p>
        </w:tc>
      </w:tr>
      <w:tr w:rsidR="00527841" w14:paraId="6B86F3AB" w14:textId="77777777" w:rsidTr="004A7526">
        <w:tc>
          <w:tcPr>
            <w:cnfStyle w:val="001000000000" w:firstRow="0" w:lastRow="0" w:firstColumn="1" w:lastColumn="0" w:oddVBand="0" w:evenVBand="0" w:oddHBand="0" w:evenHBand="0" w:firstRowFirstColumn="0" w:firstRowLastColumn="0" w:lastRowFirstColumn="0" w:lastRowLastColumn="0"/>
            <w:tcW w:w="1530" w:type="dxa"/>
          </w:tcPr>
          <w:p w14:paraId="535D8E31" w14:textId="77777777" w:rsidR="00527841" w:rsidRDefault="00527841" w:rsidP="004A7526">
            <w:proofErr w:type="spellStart"/>
            <w:r>
              <w:t>a</w:t>
            </w:r>
            <w:r>
              <w:rPr>
                <w:caps w:val="0"/>
              </w:rPr>
              <w:t>ba</w:t>
            </w:r>
            <w:r>
              <w:t>Q</w:t>
            </w:r>
            <w:proofErr w:type="spellEnd"/>
          </w:p>
        </w:tc>
        <w:tc>
          <w:tcPr>
            <w:tcW w:w="2210" w:type="dxa"/>
          </w:tcPr>
          <w:p w14:paraId="4724D833" w14:textId="3F704878"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9</w:t>
            </w:r>
            <w:r w:rsidR="00680727">
              <w:t>6</w:t>
            </w:r>
            <w:r>
              <w:t>% / 99%</w:t>
            </w:r>
          </w:p>
        </w:tc>
      </w:tr>
      <w:tr w:rsidR="00527841" w14:paraId="610DF3E0"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333ECA7A" w14:textId="77777777" w:rsidR="00527841" w:rsidRDefault="00527841" w:rsidP="004A7526">
            <w:proofErr w:type="spellStart"/>
            <w:r>
              <w:t>a</w:t>
            </w:r>
            <w:r>
              <w:rPr>
                <w:caps w:val="0"/>
              </w:rPr>
              <w:t>mv</w:t>
            </w:r>
            <w:r>
              <w:t>A</w:t>
            </w:r>
            <w:proofErr w:type="spellEnd"/>
          </w:p>
        </w:tc>
        <w:tc>
          <w:tcPr>
            <w:tcW w:w="2210" w:type="dxa"/>
          </w:tcPr>
          <w:p w14:paraId="0AEA7EC5" w14:textId="30E9826D"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9</w:t>
            </w:r>
            <w:r w:rsidR="00680727">
              <w:t>8</w:t>
            </w:r>
            <w:r>
              <w:t>% / 9</w:t>
            </w:r>
            <w:r w:rsidR="00680727">
              <w:t>9</w:t>
            </w:r>
            <w:r>
              <w:t>%</w:t>
            </w:r>
          </w:p>
        </w:tc>
      </w:tr>
      <w:tr w:rsidR="00527841" w14:paraId="795A209A" w14:textId="77777777" w:rsidTr="004A7526">
        <w:tc>
          <w:tcPr>
            <w:cnfStyle w:val="001000000000" w:firstRow="0" w:lastRow="0" w:firstColumn="1" w:lastColumn="0" w:oddVBand="0" w:evenVBand="0" w:oddHBand="0" w:evenHBand="0" w:firstRowFirstColumn="0" w:firstRowLastColumn="0" w:lastRowFirstColumn="0" w:lastRowLastColumn="0"/>
            <w:tcW w:w="1530" w:type="dxa"/>
          </w:tcPr>
          <w:p w14:paraId="6F51CDEF" w14:textId="77777777" w:rsidR="00527841" w:rsidRDefault="00527841" w:rsidP="004A7526">
            <w:proofErr w:type="spellStart"/>
            <w:r>
              <w:t>C</w:t>
            </w:r>
            <w:r>
              <w:rPr>
                <w:caps w:val="0"/>
              </w:rPr>
              <w:t>ra</w:t>
            </w:r>
            <w:r>
              <w:t>A</w:t>
            </w:r>
            <w:proofErr w:type="spellEnd"/>
          </w:p>
        </w:tc>
        <w:tc>
          <w:tcPr>
            <w:tcW w:w="2210" w:type="dxa"/>
          </w:tcPr>
          <w:p w14:paraId="305649CE" w14:textId="41BDDF56"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9</w:t>
            </w:r>
            <w:r w:rsidR="00680727">
              <w:t>9</w:t>
            </w:r>
            <w:r>
              <w:t>% / 100%</w:t>
            </w:r>
          </w:p>
        </w:tc>
      </w:tr>
      <w:tr w:rsidR="00527841" w14:paraId="2712C90D" w14:textId="77777777" w:rsidTr="004A7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11A199B3" w14:textId="77777777" w:rsidR="00527841" w:rsidRDefault="00527841" w:rsidP="004A7526">
            <w:proofErr w:type="spellStart"/>
            <w:r>
              <w:t>T</w:t>
            </w:r>
            <w:r>
              <w:rPr>
                <w:caps w:val="0"/>
              </w:rPr>
              <w:t>et</w:t>
            </w:r>
            <w:r>
              <w:t>A</w:t>
            </w:r>
            <w:proofErr w:type="spellEnd"/>
          </w:p>
        </w:tc>
        <w:tc>
          <w:tcPr>
            <w:tcW w:w="2210" w:type="dxa"/>
          </w:tcPr>
          <w:p w14:paraId="7F923546" w14:textId="766E350D" w:rsidR="00527841" w:rsidRDefault="00527841" w:rsidP="004A7526">
            <w:pPr>
              <w:jc w:val="center"/>
              <w:cnfStyle w:val="000000100000" w:firstRow="0" w:lastRow="0" w:firstColumn="0" w:lastColumn="0" w:oddVBand="0" w:evenVBand="0" w:oddHBand="1" w:evenHBand="0" w:firstRowFirstColumn="0" w:firstRowLastColumn="0" w:lastRowFirstColumn="0" w:lastRowLastColumn="0"/>
            </w:pPr>
            <w:r>
              <w:t>9</w:t>
            </w:r>
            <w:r w:rsidR="00680727">
              <w:t>5</w:t>
            </w:r>
            <w:r>
              <w:t>% / 95%</w:t>
            </w:r>
          </w:p>
        </w:tc>
      </w:tr>
      <w:tr w:rsidR="00527841" w14:paraId="1CFBE4BC" w14:textId="77777777" w:rsidTr="004A7526">
        <w:tc>
          <w:tcPr>
            <w:cnfStyle w:val="001000000000" w:firstRow="0" w:lastRow="0" w:firstColumn="1" w:lastColumn="0" w:oddVBand="0" w:evenVBand="0" w:oddHBand="0" w:evenHBand="0" w:firstRowFirstColumn="0" w:firstRowLastColumn="0" w:lastRowFirstColumn="0" w:lastRowLastColumn="0"/>
            <w:tcW w:w="1530" w:type="dxa"/>
          </w:tcPr>
          <w:p w14:paraId="16B7ACB3" w14:textId="77777777" w:rsidR="00527841" w:rsidRDefault="00527841" w:rsidP="004A7526">
            <w:r>
              <w:t>a</w:t>
            </w:r>
            <w:r>
              <w:rPr>
                <w:caps w:val="0"/>
              </w:rPr>
              <w:t>ed</w:t>
            </w:r>
            <w:r>
              <w:t>d</w:t>
            </w:r>
          </w:p>
        </w:tc>
        <w:tc>
          <w:tcPr>
            <w:tcW w:w="2210" w:type="dxa"/>
          </w:tcPr>
          <w:p w14:paraId="1F69129D" w14:textId="7207BC41" w:rsidR="00527841" w:rsidRDefault="00527841" w:rsidP="004A7526">
            <w:pPr>
              <w:jc w:val="center"/>
              <w:cnfStyle w:val="000000000000" w:firstRow="0" w:lastRow="0" w:firstColumn="0" w:lastColumn="0" w:oddVBand="0" w:evenVBand="0" w:oddHBand="0" w:evenHBand="0" w:firstRowFirstColumn="0" w:firstRowLastColumn="0" w:lastRowFirstColumn="0" w:lastRowLastColumn="0"/>
            </w:pPr>
            <w:r>
              <w:t xml:space="preserve">99% / </w:t>
            </w:r>
            <w:r w:rsidR="00680727">
              <w:t>100</w:t>
            </w:r>
            <w:r>
              <w:t>%</w:t>
            </w:r>
          </w:p>
        </w:tc>
      </w:tr>
    </w:tbl>
    <w:p w14:paraId="0682AFA8" w14:textId="77777777" w:rsidR="00527841" w:rsidRDefault="00527841" w:rsidP="0068593A">
      <w:pPr>
        <w:spacing w:before="120" w:after="12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Table shows values of nucleotide % identity / protein % identity as determined by NBCI’s nucleotide and protein </w:t>
      </w:r>
      <w:proofErr w:type="gramStart"/>
      <w:r>
        <w:rPr>
          <w:rFonts w:ascii="Times New Roman" w:hAnsi="Times New Roman" w:cs="Times New Roman"/>
          <w:color w:val="000000" w:themeColor="text1"/>
          <w:sz w:val="24"/>
          <w:szCs w:val="24"/>
        </w:rPr>
        <w:t>BLAST</w:t>
      </w:r>
      <w:proofErr w:type="gramEnd"/>
    </w:p>
    <w:p w14:paraId="2379FE37" w14:textId="77777777" w:rsidR="0068593A" w:rsidRDefault="0068593A" w:rsidP="0068593A">
      <w:pPr>
        <w:spacing w:before="120" w:after="120" w:line="240" w:lineRule="auto"/>
        <w:jc w:val="both"/>
        <w:rPr>
          <w:rFonts w:ascii="Times New Roman" w:hAnsi="Times New Roman" w:cs="Times New Roman"/>
          <w:color w:val="000000" w:themeColor="text1"/>
          <w:sz w:val="24"/>
          <w:szCs w:val="24"/>
        </w:rPr>
      </w:pPr>
    </w:p>
    <w:p w14:paraId="7DCAF2C6" w14:textId="77777777" w:rsidR="0068593A" w:rsidRDefault="0068593A" w:rsidP="0068593A">
      <w:pPr>
        <w:spacing w:before="120" w:after="120" w:line="240" w:lineRule="auto"/>
        <w:jc w:val="both"/>
        <w:rPr>
          <w:rFonts w:ascii="Times New Roman" w:hAnsi="Times New Roman" w:cs="Times New Roman"/>
          <w:color w:val="000000" w:themeColor="text1"/>
          <w:sz w:val="24"/>
          <w:szCs w:val="24"/>
        </w:rPr>
      </w:pPr>
    </w:p>
    <w:p w14:paraId="414DB7B7" w14:textId="08D65F02" w:rsidR="00B71091" w:rsidRPr="00B71091" w:rsidRDefault="00B71091" w:rsidP="00527841">
      <w:pPr>
        <w:spacing w:before="120" w:after="120" w:line="360" w:lineRule="auto"/>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3.3.1.3. MFS transporters of </w:t>
      </w:r>
      <w:r>
        <w:rPr>
          <w:rFonts w:ascii="Times New Roman" w:hAnsi="Times New Roman" w:cs="Times New Roman"/>
          <w:i/>
          <w:iCs/>
          <w:color w:val="000000" w:themeColor="text1"/>
          <w:sz w:val="24"/>
          <w:szCs w:val="24"/>
          <w:u w:val="single"/>
        </w:rPr>
        <w:t>A. baumannii</w:t>
      </w:r>
      <w:r>
        <w:rPr>
          <w:rFonts w:ascii="Times New Roman" w:hAnsi="Times New Roman" w:cs="Times New Roman"/>
          <w:color w:val="000000" w:themeColor="text1"/>
          <w:sz w:val="24"/>
          <w:szCs w:val="24"/>
          <w:u w:val="single"/>
        </w:rPr>
        <w:t xml:space="preserve"> homologous to </w:t>
      </w:r>
      <w:proofErr w:type="spellStart"/>
      <w:r>
        <w:rPr>
          <w:rFonts w:ascii="Times New Roman" w:hAnsi="Times New Roman" w:cs="Times New Roman"/>
          <w:color w:val="000000" w:themeColor="text1"/>
          <w:sz w:val="24"/>
          <w:szCs w:val="24"/>
          <w:u w:val="single"/>
        </w:rPr>
        <w:t>AmfAB</w:t>
      </w:r>
      <w:proofErr w:type="spellEnd"/>
      <w:r>
        <w:rPr>
          <w:rFonts w:ascii="Times New Roman" w:hAnsi="Times New Roman" w:cs="Times New Roman"/>
          <w:color w:val="000000" w:themeColor="text1"/>
          <w:sz w:val="24"/>
          <w:szCs w:val="24"/>
          <w:u w:val="single"/>
        </w:rPr>
        <w:t xml:space="preserve"> and </w:t>
      </w:r>
      <w:proofErr w:type="spellStart"/>
      <w:r>
        <w:rPr>
          <w:rFonts w:ascii="Times New Roman" w:hAnsi="Times New Roman" w:cs="Times New Roman"/>
          <w:color w:val="000000" w:themeColor="text1"/>
          <w:sz w:val="24"/>
          <w:szCs w:val="24"/>
          <w:u w:val="single"/>
        </w:rPr>
        <w:t>AmfCD</w:t>
      </w:r>
      <w:proofErr w:type="spellEnd"/>
    </w:p>
    <w:p w14:paraId="5E996BB7" w14:textId="71BDDD98" w:rsidR="00527841" w:rsidRDefault="00527841" w:rsidP="00527841">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In another effort to help decipher the function of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and </w:t>
      </w:r>
      <w:proofErr w:type="spellStart"/>
      <w:r>
        <w:rPr>
          <w:rFonts w:asciiTheme="majorHAnsi" w:hAnsiTheme="majorHAnsi" w:cstheme="majorHAnsi"/>
          <w:sz w:val="24"/>
          <w:szCs w:val="24"/>
        </w:rPr>
        <w:t>AmfCD</w:t>
      </w:r>
      <w:proofErr w:type="spellEnd"/>
      <w:r>
        <w:rPr>
          <w:rFonts w:asciiTheme="majorHAnsi" w:hAnsiTheme="majorHAnsi" w:cstheme="majorHAnsi"/>
          <w:sz w:val="24"/>
          <w:szCs w:val="24"/>
        </w:rPr>
        <w:t xml:space="preserve">, their nucleotide and protein sequences were aligned against other </w:t>
      </w:r>
      <w:proofErr w:type="spellStart"/>
      <w:r>
        <w:rPr>
          <w:rFonts w:asciiTheme="majorHAnsi" w:hAnsiTheme="majorHAnsi" w:cstheme="majorHAnsi"/>
          <w:i/>
          <w:iCs/>
          <w:sz w:val="24"/>
          <w:szCs w:val="24"/>
        </w:rPr>
        <w:t>A.baumannii</w:t>
      </w:r>
      <w:proofErr w:type="spellEnd"/>
      <w:r>
        <w:rPr>
          <w:rFonts w:asciiTheme="majorHAnsi" w:hAnsiTheme="majorHAnsi" w:cstheme="majorHAnsi"/>
          <w:sz w:val="24"/>
          <w:szCs w:val="24"/>
        </w:rPr>
        <w:t xml:space="preserve">  MFS pumps </w:t>
      </w:r>
      <w:r>
        <w:rPr>
          <w:rFonts w:asciiTheme="majorHAnsi" w:hAnsiTheme="majorHAnsi" w:cstheme="majorHAnsi"/>
          <w:sz w:val="24"/>
          <w:szCs w:val="24"/>
        </w:rPr>
        <w:lastRenderedPageBreak/>
        <w:t>(</w:t>
      </w:r>
      <w:r w:rsidRPr="00AE1ED4">
        <w:rPr>
          <w:rFonts w:asciiTheme="majorHAnsi" w:hAnsiTheme="majorHAnsi" w:cstheme="majorHAnsi"/>
          <w:b/>
          <w:bCs/>
          <w:sz w:val="24"/>
          <w:szCs w:val="24"/>
        </w:rPr>
        <w:t>Table 3.</w:t>
      </w:r>
      <w:r w:rsidR="0001052C">
        <w:rPr>
          <w:rFonts w:asciiTheme="majorHAnsi" w:hAnsiTheme="majorHAnsi" w:cstheme="majorHAnsi"/>
          <w:b/>
          <w:bCs/>
          <w:sz w:val="24"/>
          <w:szCs w:val="24"/>
        </w:rPr>
        <w:t>2</w:t>
      </w:r>
      <w:r>
        <w:rPr>
          <w:rFonts w:asciiTheme="majorHAnsi" w:hAnsiTheme="majorHAnsi" w:cstheme="majorHAnsi"/>
          <w:sz w:val="24"/>
          <w:szCs w:val="24"/>
        </w:rPr>
        <w:t xml:space="preserve">). As expected, the membrane fusion proteins </w:t>
      </w:r>
      <w:proofErr w:type="spellStart"/>
      <w:r>
        <w:rPr>
          <w:rFonts w:asciiTheme="majorHAnsi" w:hAnsiTheme="majorHAnsi" w:cstheme="majorHAnsi"/>
          <w:sz w:val="24"/>
          <w:szCs w:val="24"/>
        </w:rPr>
        <w:t>AmfA</w:t>
      </w:r>
      <w:proofErr w:type="spellEnd"/>
      <w:r>
        <w:rPr>
          <w:rFonts w:asciiTheme="majorHAnsi" w:hAnsiTheme="majorHAnsi" w:cstheme="majorHAnsi"/>
          <w:sz w:val="24"/>
          <w:szCs w:val="24"/>
        </w:rPr>
        <w:t xml:space="preserve"> and </w:t>
      </w:r>
      <w:proofErr w:type="spellStart"/>
      <w:r>
        <w:rPr>
          <w:rFonts w:asciiTheme="majorHAnsi" w:hAnsiTheme="majorHAnsi" w:cstheme="majorHAnsi"/>
          <w:sz w:val="24"/>
          <w:szCs w:val="24"/>
        </w:rPr>
        <w:t>AmfC</w:t>
      </w:r>
      <w:proofErr w:type="spellEnd"/>
      <w:r>
        <w:rPr>
          <w:rFonts w:asciiTheme="majorHAnsi" w:hAnsiTheme="majorHAnsi" w:cstheme="majorHAnsi"/>
          <w:sz w:val="24"/>
          <w:szCs w:val="24"/>
        </w:rPr>
        <w:t xml:space="preserve"> had no significant similarity with the MFS transporters. The transporter </w:t>
      </w:r>
      <w:proofErr w:type="spellStart"/>
      <w:r>
        <w:rPr>
          <w:rFonts w:asciiTheme="majorHAnsi" w:hAnsiTheme="majorHAnsi" w:cstheme="majorHAnsi"/>
          <w:sz w:val="24"/>
          <w:szCs w:val="24"/>
        </w:rPr>
        <w:t>AmfB</w:t>
      </w:r>
      <w:proofErr w:type="spellEnd"/>
      <w:r>
        <w:rPr>
          <w:rFonts w:asciiTheme="majorHAnsi" w:hAnsiTheme="majorHAnsi" w:cstheme="majorHAnsi"/>
          <w:sz w:val="24"/>
          <w:szCs w:val="24"/>
        </w:rPr>
        <w:t xml:space="preserve"> had the highest protein ID similarity to </w:t>
      </w:r>
      <w:proofErr w:type="spellStart"/>
      <w:r>
        <w:rPr>
          <w:rFonts w:asciiTheme="majorHAnsi" w:hAnsiTheme="majorHAnsi" w:cstheme="majorHAnsi"/>
          <w:sz w:val="24"/>
          <w:szCs w:val="24"/>
        </w:rPr>
        <w:t>AmfD</w:t>
      </w:r>
      <w:proofErr w:type="spellEnd"/>
      <w:r>
        <w:rPr>
          <w:rFonts w:asciiTheme="majorHAnsi" w:hAnsiTheme="majorHAnsi" w:cstheme="majorHAnsi"/>
          <w:sz w:val="24"/>
          <w:szCs w:val="24"/>
        </w:rPr>
        <w:t xml:space="preserve"> (27%), followed by </w:t>
      </w:r>
      <w:proofErr w:type="spellStart"/>
      <w:r>
        <w:rPr>
          <w:rFonts w:asciiTheme="majorHAnsi" w:hAnsiTheme="majorHAnsi" w:cstheme="majorHAnsi"/>
          <w:sz w:val="24"/>
          <w:szCs w:val="24"/>
        </w:rPr>
        <w:t>CraA</w:t>
      </w:r>
      <w:proofErr w:type="spellEnd"/>
      <w:r>
        <w:rPr>
          <w:rFonts w:asciiTheme="majorHAnsi" w:hAnsiTheme="majorHAnsi" w:cstheme="majorHAnsi"/>
          <w:sz w:val="24"/>
          <w:szCs w:val="24"/>
        </w:rPr>
        <w:t xml:space="preserve"> (2</w:t>
      </w:r>
      <w:r w:rsidR="003C6BD3">
        <w:rPr>
          <w:rFonts w:asciiTheme="majorHAnsi" w:hAnsiTheme="majorHAnsi" w:cstheme="majorHAnsi"/>
          <w:sz w:val="24"/>
          <w:szCs w:val="24"/>
        </w:rPr>
        <w:t>7</w:t>
      </w:r>
      <w:r>
        <w:rPr>
          <w:rFonts w:asciiTheme="majorHAnsi" w:hAnsiTheme="majorHAnsi" w:cstheme="majorHAnsi"/>
          <w:sz w:val="24"/>
          <w:szCs w:val="24"/>
        </w:rPr>
        <w:t xml:space="preserve">%), </w:t>
      </w:r>
      <w:proofErr w:type="spellStart"/>
      <w:r>
        <w:rPr>
          <w:rFonts w:asciiTheme="majorHAnsi" w:hAnsiTheme="majorHAnsi" w:cstheme="majorHAnsi"/>
          <w:sz w:val="24"/>
          <w:szCs w:val="24"/>
        </w:rPr>
        <w:t>AbaF</w:t>
      </w:r>
      <w:proofErr w:type="spellEnd"/>
      <w:r>
        <w:rPr>
          <w:rFonts w:asciiTheme="majorHAnsi" w:hAnsiTheme="majorHAnsi" w:cstheme="majorHAnsi"/>
          <w:sz w:val="24"/>
          <w:szCs w:val="24"/>
        </w:rPr>
        <w:t xml:space="preserve"> (26%) and </w:t>
      </w:r>
      <w:proofErr w:type="spellStart"/>
      <w:r>
        <w:rPr>
          <w:rFonts w:asciiTheme="majorHAnsi" w:hAnsiTheme="majorHAnsi" w:cstheme="majorHAnsi"/>
          <w:sz w:val="24"/>
          <w:szCs w:val="24"/>
        </w:rPr>
        <w:t>TetA</w:t>
      </w:r>
      <w:proofErr w:type="spellEnd"/>
      <w:r>
        <w:rPr>
          <w:rFonts w:asciiTheme="majorHAnsi" w:hAnsiTheme="majorHAnsi" w:cstheme="majorHAnsi"/>
          <w:sz w:val="24"/>
          <w:szCs w:val="24"/>
        </w:rPr>
        <w:t xml:space="preserve"> (26%). These similarity scores are not very high and indicate marginal similarity between protein sequences. </w:t>
      </w:r>
      <w:proofErr w:type="spellStart"/>
      <w:r>
        <w:rPr>
          <w:rFonts w:asciiTheme="majorHAnsi" w:hAnsiTheme="majorHAnsi" w:cstheme="majorHAnsi"/>
          <w:sz w:val="24"/>
          <w:szCs w:val="24"/>
        </w:rPr>
        <w:t>AmfB</w:t>
      </w:r>
      <w:proofErr w:type="spellEnd"/>
      <w:r>
        <w:rPr>
          <w:rFonts w:asciiTheme="majorHAnsi" w:hAnsiTheme="majorHAnsi" w:cstheme="majorHAnsi"/>
          <w:sz w:val="24"/>
          <w:szCs w:val="24"/>
        </w:rPr>
        <w:t xml:space="preserve"> showed similar protein identities with all MFS transporters it was aligned against, but </w:t>
      </w:r>
      <w:proofErr w:type="spellStart"/>
      <w:r>
        <w:rPr>
          <w:rFonts w:asciiTheme="majorHAnsi" w:hAnsiTheme="majorHAnsi" w:cstheme="majorHAnsi"/>
          <w:sz w:val="24"/>
          <w:szCs w:val="24"/>
        </w:rPr>
        <w:t>AmfD</w:t>
      </w:r>
      <w:proofErr w:type="spellEnd"/>
      <w:r>
        <w:rPr>
          <w:rFonts w:asciiTheme="majorHAnsi" w:hAnsiTheme="majorHAnsi" w:cstheme="majorHAnsi"/>
          <w:sz w:val="24"/>
          <w:szCs w:val="24"/>
        </w:rPr>
        <w:t xml:space="preserve"> only showed significant similarity when aligned against </w:t>
      </w:r>
      <w:proofErr w:type="spellStart"/>
      <w:r>
        <w:rPr>
          <w:rFonts w:asciiTheme="majorHAnsi" w:hAnsiTheme="majorHAnsi" w:cstheme="majorHAnsi"/>
          <w:sz w:val="24"/>
          <w:szCs w:val="24"/>
        </w:rPr>
        <w:t>CraA</w:t>
      </w:r>
      <w:proofErr w:type="spellEnd"/>
      <w:r>
        <w:rPr>
          <w:rFonts w:asciiTheme="majorHAnsi" w:hAnsiTheme="majorHAnsi" w:cstheme="majorHAnsi"/>
          <w:sz w:val="24"/>
          <w:szCs w:val="24"/>
        </w:rPr>
        <w:t xml:space="preserve"> (31%), </w:t>
      </w:r>
      <w:proofErr w:type="spellStart"/>
      <w:r>
        <w:rPr>
          <w:rFonts w:asciiTheme="majorHAnsi" w:hAnsiTheme="majorHAnsi" w:cstheme="majorHAnsi"/>
          <w:sz w:val="24"/>
          <w:szCs w:val="24"/>
        </w:rPr>
        <w:t>AmfB</w:t>
      </w:r>
      <w:proofErr w:type="spellEnd"/>
      <w:r>
        <w:rPr>
          <w:rFonts w:asciiTheme="majorHAnsi" w:hAnsiTheme="majorHAnsi" w:cstheme="majorHAnsi"/>
          <w:sz w:val="24"/>
          <w:szCs w:val="24"/>
        </w:rPr>
        <w:t xml:space="preserve"> (27%), AedD (2</w:t>
      </w:r>
      <w:r w:rsidR="003C6BD3">
        <w:rPr>
          <w:rFonts w:asciiTheme="majorHAnsi" w:hAnsiTheme="majorHAnsi" w:cstheme="majorHAnsi"/>
          <w:sz w:val="24"/>
          <w:szCs w:val="24"/>
        </w:rPr>
        <w:t>5</w:t>
      </w:r>
      <w:r>
        <w:rPr>
          <w:rFonts w:asciiTheme="majorHAnsi" w:hAnsiTheme="majorHAnsi" w:cstheme="majorHAnsi"/>
          <w:sz w:val="24"/>
          <w:szCs w:val="24"/>
        </w:rPr>
        <w:t xml:space="preserve">%), and </w:t>
      </w:r>
      <w:proofErr w:type="spellStart"/>
      <w:r>
        <w:rPr>
          <w:rFonts w:asciiTheme="majorHAnsi" w:hAnsiTheme="majorHAnsi" w:cstheme="majorHAnsi"/>
          <w:sz w:val="24"/>
          <w:szCs w:val="24"/>
        </w:rPr>
        <w:t>AmvA</w:t>
      </w:r>
      <w:proofErr w:type="spellEnd"/>
      <w:r>
        <w:rPr>
          <w:rFonts w:asciiTheme="majorHAnsi" w:hAnsiTheme="majorHAnsi" w:cstheme="majorHAnsi"/>
          <w:sz w:val="24"/>
          <w:szCs w:val="24"/>
        </w:rPr>
        <w:t xml:space="preserve"> (2</w:t>
      </w:r>
      <w:r w:rsidR="003C6BD3">
        <w:rPr>
          <w:rFonts w:asciiTheme="majorHAnsi" w:hAnsiTheme="majorHAnsi" w:cstheme="majorHAnsi"/>
          <w:sz w:val="24"/>
          <w:szCs w:val="24"/>
        </w:rPr>
        <w:t>2</w:t>
      </w:r>
      <w:r>
        <w:rPr>
          <w:rFonts w:asciiTheme="majorHAnsi" w:hAnsiTheme="majorHAnsi" w:cstheme="majorHAnsi"/>
          <w:sz w:val="24"/>
          <w:szCs w:val="24"/>
        </w:rPr>
        <w:t xml:space="preserve">%). </w:t>
      </w:r>
    </w:p>
    <w:p w14:paraId="01A87C27" w14:textId="66C3F154" w:rsidR="00041F22" w:rsidRPr="006C0774" w:rsidRDefault="00041F22" w:rsidP="00527841">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No other close homologues were identified. A putative </w:t>
      </w:r>
      <w:r w:rsidR="00B416FA">
        <w:rPr>
          <w:rFonts w:asciiTheme="majorHAnsi" w:hAnsiTheme="majorHAnsi" w:cstheme="majorHAnsi"/>
          <w:sz w:val="24"/>
          <w:szCs w:val="24"/>
        </w:rPr>
        <w:t xml:space="preserve">outer membrane </w:t>
      </w:r>
      <w:r w:rsidR="00CB18B5">
        <w:rPr>
          <w:rFonts w:asciiTheme="majorHAnsi" w:hAnsiTheme="majorHAnsi" w:cstheme="majorHAnsi"/>
          <w:sz w:val="24"/>
          <w:szCs w:val="24"/>
        </w:rPr>
        <w:t xml:space="preserve">efflux </w:t>
      </w:r>
      <w:r w:rsidR="00B416FA">
        <w:rPr>
          <w:rFonts w:asciiTheme="majorHAnsi" w:hAnsiTheme="majorHAnsi" w:cstheme="majorHAnsi"/>
          <w:sz w:val="24"/>
          <w:szCs w:val="24"/>
        </w:rPr>
        <w:t>protein ABUW_19</w:t>
      </w:r>
      <w:r w:rsidR="00CB18B5">
        <w:rPr>
          <w:rFonts w:asciiTheme="majorHAnsi" w:hAnsiTheme="majorHAnsi" w:cstheme="majorHAnsi"/>
          <w:sz w:val="24"/>
          <w:szCs w:val="24"/>
        </w:rPr>
        <w:t>53</w:t>
      </w:r>
      <w:r w:rsidR="00B416FA">
        <w:rPr>
          <w:rFonts w:asciiTheme="majorHAnsi" w:hAnsiTheme="majorHAnsi" w:cstheme="majorHAnsi"/>
          <w:sz w:val="24"/>
          <w:szCs w:val="24"/>
        </w:rPr>
        <w:t xml:space="preserve"> and A1S_1763 identified here could function in complex with </w:t>
      </w:r>
      <w:proofErr w:type="spellStart"/>
      <w:r w:rsidR="00B416FA">
        <w:rPr>
          <w:rFonts w:asciiTheme="majorHAnsi" w:hAnsiTheme="majorHAnsi" w:cstheme="majorHAnsi"/>
          <w:sz w:val="24"/>
          <w:szCs w:val="24"/>
        </w:rPr>
        <w:t>AmfAB</w:t>
      </w:r>
      <w:proofErr w:type="spellEnd"/>
      <w:r w:rsidR="00B416FA">
        <w:rPr>
          <w:rFonts w:asciiTheme="majorHAnsi" w:hAnsiTheme="majorHAnsi" w:cstheme="majorHAnsi"/>
          <w:sz w:val="24"/>
          <w:szCs w:val="24"/>
        </w:rPr>
        <w:t xml:space="preserve"> and/or </w:t>
      </w:r>
      <w:proofErr w:type="spellStart"/>
      <w:r w:rsidR="00B416FA">
        <w:rPr>
          <w:rFonts w:asciiTheme="majorHAnsi" w:hAnsiTheme="majorHAnsi" w:cstheme="majorHAnsi"/>
          <w:sz w:val="24"/>
          <w:szCs w:val="24"/>
        </w:rPr>
        <w:t>AmfCD</w:t>
      </w:r>
      <w:proofErr w:type="spellEnd"/>
      <w:r w:rsidR="00B416FA">
        <w:rPr>
          <w:rFonts w:asciiTheme="majorHAnsi" w:hAnsiTheme="majorHAnsi" w:cstheme="majorHAnsi"/>
          <w:sz w:val="24"/>
          <w:szCs w:val="24"/>
        </w:rPr>
        <w:t>. The genomic context revealed</w:t>
      </w:r>
      <w:r w:rsidR="00CB18B5">
        <w:rPr>
          <w:rFonts w:asciiTheme="majorHAnsi" w:hAnsiTheme="majorHAnsi" w:cstheme="majorHAnsi"/>
          <w:sz w:val="24"/>
          <w:szCs w:val="24"/>
        </w:rPr>
        <w:t xml:space="preserve"> three possible transcriptional regulators of these pumps: a </w:t>
      </w:r>
      <w:proofErr w:type="spellStart"/>
      <w:r w:rsidR="00CB18B5">
        <w:rPr>
          <w:rFonts w:asciiTheme="majorHAnsi" w:hAnsiTheme="majorHAnsi" w:cstheme="majorHAnsi"/>
          <w:sz w:val="24"/>
          <w:szCs w:val="24"/>
        </w:rPr>
        <w:t>LuxR</w:t>
      </w:r>
      <w:proofErr w:type="spellEnd"/>
      <w:r w:rsidR="00CB18B5">
        <w:rPr>
          <w:rFonts w:asciiTheme="majorHAnsi" w:hAnsiTheme="majorHAnsi" w:cstheme="majorHAnsi"/>
          <w:sz w:val="24"/>
          <w:szCs w:val="24"/>
        </w:rPr>
        <w:t xml:space="preserve"> family (ABUW_1947) regulator involved in quorum sensing upstream of </w:t>
      </w:r>
      <w:proofErr w:type="spellStart"/>
      <w:r w:rsidR="00CB18B5">
        <w:rPr>
          <w:rFonts w:asciiTheme="majorHAnsi" w:hAnsiTheme="majorHAnsi" w:cstheme="majorHAnsi"/>
          <w:i/>
          <w:iCs/>
          <w:sz w:val="24"/>
          <w:szCs w:val="24"/>
        </w:rPr>
        <w:t>amfAB</w:t>
      </w:r>
      <w:proofErr w:type="spellEnd"/>
      <w:r w:rsidR="00CB18B5">
        <w:rPr>
          <w:rFonts w:asciiTheme="majorHAnsi" w:hAnsiTheme="majorHAnsi" w:cstheme="majorHAnsi"/>
          <w:sz w:val="24"/>
          <w:szCs w:val="24"/>
        </w:rPr>
        <w:t xml:space="preserve"> and two </w:t>
      </w:r>
      <w:proofErr w:type="spellStart"/>
      <w:r w:rsidR="00CB18B5">
        <w:rPr>
          <w:rFonts w:asciiTheme="majorHAnsi" w:hAnsiTheme="majorHAnsi" w:cstheme="majorHAnsi"/>
          <w:sz w:val="24"/>
          <w:szCs w:val="24"/>
        </w:rPr>
        <w:t>LysR</w:t>
      </w:r>
      <w:proofErr w:type="spellEnd"/>
      <w:r w:rsidR="00CB18B5">
        <w:rPr>
          <w:rFonts w:asciiTheme="majorHAnsi" w:hAnsiTheme="majorHAnsi" w:cstheme="majorHAnsi"/>
          <w:sz w:val="24"/>
          <w:szCs w:val="24"/>
        </w:rPr>
        <w:t xml:space="preserve"> family regulators </w:t>
      </w:r>
      <w:r w:rsidR="006C0774">
        <w:rPr>
          <w:rFonts w:asciiTheme="majorHAnsi" w:hAnsiTheme="majorHAnsi" w:cstheme="majorHAnsi"/>
          <w:sz w:val="24"/>
          <w:szCs w:val="24"/>
        </w:rPr>
        <w:t>near</w:t>
      </w:r>
      <w:r w:rsidR="00CB18B5">
        <w:rPr>
          <w:rFonts w:asciiTheme="majorHAnsi" w:hAnsiTheme="majorHAnsi" w:cstheme="majorHAnsi"/>
          <w:sz w:val="24"/>
          <w:szCs w:val="24"/>
        </w:rPr>
        <w:t xml:space="preserve"> </w:t>
      </w:r>
      <w:proofErr w:type="spellStart"/>
      <w:r w:rsidR="00CB18B5">
        <w:rPr>
          <w:rFonts w:asciiTheme="majorHAnsi" w:hAnsiTheme="majorHAnsi" w:cstheme="majorHAnsi"/>
          <w:i/>
          <w:iCs/>
          <w:sz w:val="24"/>
          <w:szCs w:val="24"/>
        </w:rPr>
        <w:t>amfCD</w:t>
      </w:r>
      <w:proofErr w:type="spellEnd"/>
      <w:r w:rsidR="006C0774">
        <w:rPr>
          <w:rFonts w:asciiTheme="majorHAnsi" w:hAnsiTheme="majorHAnsi" w:cstheme="majorHAnsi"/>
          <w:i/>
          <w:iCs/>
          <w:sz w:val="24"/>
          <w:szCs w:val="24"/>
        </w:rPr>
        <w:t xml:space="preserve">. </w:t>
      </w:r>
      <w:r w:rsidR="006C0774">
        <w:rPr>
          <w:rFonts w:asciiTheme="majorHAnsi" w:hAnsiTheme="majorHAnsi" w:cstheme="majorHAnsi"/>
          <w:sz w:val="24"/>
          <w:szCs w:val="24"/>
        </w:rPr>
        <w:t xml:space="preserve">The </w:t>
      </w:r>
      <w:proofErr w:type="spellStart"/>
      <w:r w:rsidR="006C0774">
        <w:rPr>
          <w:rFonts w:asciiTheme="majorHAnsi" w:hAnsiTheme="majorHAnsi" w:cstheme="majorHAnsi"/>
          <w:sz w:val="24"/>
          <w:szCs w:val="24"/>
        </w:rPr>
        <w:t>LysR</w:t>
      </w:r>
      <w:proofErr w:type="spellEnd"/>
      <w:r w:rsidR="006C0774">
        <w:rPr>
          <w:rFonts w:asciiTheme="majorHAnsi" w:hAnsiTheme="majorHAnsi" w:cstheme="majorHAnsi"/>
          <w:sz w:val="24"/>
          <w:szCs w:val="24"/>
        </w:rPr>
        <w:t xml:space="preserve"> gene upstream of </w:t>
      </w:r>
      <w:proofErr w:type="spellStart"/>
      <w:r w:rsidR="006C0774" w:rsidRPr="006C0774">
        <w:rPr>
          <w:rFonts w:asciiTheme="majorHAnsi" w:hAnsiTheme="majorHAnsi" w:cstheme="majorHAnsi"/>
          <w:i/>
          <w:iCs/>
          <w:sz w:val="24"/>
          <w:szCs w:val="24"/>
        </w:rPr>
        <w:t>amfCD</w:t>
      </w:r>
      <w:proofErr w:type="spellEnd"/>
      <w:r w:rsidR="006C0774">
        <w:rPr>
          <w:rFonts w:asciiTheme="majorHAnsi" w:hAnsiTheme="majorHAnsi" w:cstheme="majorHAnsi"/>
          <w:sz w:val="24"/>
          <w:szCs w:val="24"/>
        </w:rPr>
        <w:t xml:space="preserve"> (</w:t>
      </w:r>
      <w:r w:rsidR="00CB18B5" w:rsidRPr="006C0774">
        <w:rPr>
          <w:rFonts w:asciiTheme="majorHAnsi" w:hAnsiTheme="majorHAnsi" w:cstheme="majorHAnsi"/>
          <w:sz w:val="24"/>
          <w:szCs w:val="24"/>
        </w:rPr>
        <w:t>ABUW</w:t>
      </w:r>
      <w:r w:rsidR="00CB18B5">
        <w:rPr>
          <w:rFonts w:asciiTheme="majorHAnsi" w:hAnsiTheme="majorHAnsi" w:cstheme="majorHAnsi"/>
          <w:sz w:val="24"/>
          <w:szCs w:val="24"/>
        </w:rPr>
        <w:t>_</w:t>
      </w:r>
      <w:r w:rsidR="006C0774">
        <w:rPr>
          <w:rFonts w:asciiTheme="majorHAnsi" w:hAnsiTheme="majorHAnsi" w:cstheme="majorHAnsi"/>
          <w:sz w:val="24"/>
          <w:szCs w:val="24"/>
        </w:rPr>
        <w:t xml:space="preserve">1927) was found to be similar to </w:t>
      </w:r>
      <w:proofErr w:type="spellStart"/>
      <w:r w:rsidR="006C0774">
        <w:rPr>
          <w:rFonts w:asciiTheme="majorHAnsi" w:hAnsiTheme="majorHAnsi" w:cstheme="majorHAnsi"/>
          <w:i/>
          <w:iCs/>
          <w:sz w:val="24"/>
          <w:szCs w:val="24"/>
        </w:rPr>
        <w:t>adeL</w:t>
      </w:r>
      <w:proofErr w:type="spellEnd"/>
      <w:r w:rsidR="006C0774">
        <w:rPr>
          <w:rFonts w:asciiTheme="majorHAnsi" w:hAnsiTheme="majorHAnsi" w:cstheme="majorHAnsi"/>
          <w:sz w:val="24"/>
          <w:szCs w:val="24"/>
        </w:rPr>
        <w:t xml:space="preserve">, a gene encoding a regulator of </w:t>
      </w:r>
      <w:proofErr w:type="spellStart"/>
      <w:r w:rsidR="006C0774">
        <w:rPr>
          <w:rFonts w:asciiTheme="majorHAnsi" w:hAnsiTheme="majorHAnsi" w:cstheme="majorHAnsi"/>
          <w:i/>
          <w:iCs/>
          <w:sz w:val="24"/>
          <w:szCs w:val="24"/>
        </w:rPr>
        <w:t>adeFGH</w:t>
      </w:r>
      <w:proofErr w:type="spellEnd"/>
      <w:r w:rsidR="006C0774">
        <w:rPr>
          <w:rFonts w:asciiTheme="majorHAnsi" w:hAnsiTheme="majorHAnsi" w:cstheme="majorHAnsi"/>
          <w:sz w:val="24"/>
          <w:szCs w:val="24"/>
        </w:rPr>
        <w:t xml:space="preserve">. The other </w:t>
      </w:r>
      <w:proofErr w:type="spellStart"/>
      <w:r w:rsidR="006C0774">
        <w:rPr>
          <w:rFonts w:asciiTheme="majorHAnsi" w:hAnsiTheme="majorHAnsi" w:cstheme="majorHAnsi"/>
          <w:sz w:val="24"/>
          <w:szCs w:val="24"/>
        </w:rPr>
        <w:t>LysR</w:t>
      </w:r>
      <w:proofErr w:type="spellEnd"/>
      <w:r w:rsidR="006C0774">
        <w:rPr>
          <w:rFonts w:asciiTheme="majorHAnsi" w:hAnsiTheme="majorHAnsi" w:cstheme="majorHAnsi"/>
          <w:sz w:val="24"/>
          <w:szCs w:val="24"/>
        </w:rPr>
        <w:t xml:space="preserve"> gene (ABUW_1936) was found downstream of </w:t>
      </w:r>
      <w:proofErr w:type="spellStart"/>
      <w:r w:rsidR="006C0774">
        <w:rPr>
          <w:rFonts w:asciiTheme="majorHAnsi" w:hAnsiTheme="majorHAnsi" w:cstheme="majorHAnsi"/>
          <w:i/>
          <w:iCs/>
          <w:sz w:val="24"/>
          <w:szCs w:val="24"/>
        </w:rPr>
        <w:t>amfCD</w:t>
      </w:r>
      <w:proofErr w:type="spellEnd"/>
      <w:r w:rsidR="006C0774">
        <w:rPr>
          <w:rFonts w:asciiTheme="majorHAnsi" w:hAnsiTheme="majorHAnsi" w:cstheme="majorHAnsi"/>
          <w:i/>
          <w:iCs/>
          <w:sz w:val="24"/>
          <w:szCs w:val="24"/>
        </w:rPr>
        <w:t>.</w:t>
      </w:r>
      <w:r w:rsidR="006C0774">
        <w:rPr>
          <w:rFonts w:asciiTheme="majorHAnsi" w:hAnsiTheme="majorHAnsi" w:cstheme="majorHAnsi"/>
          <w:sz w:val="24"/>
          <w:szCs w:val="24"/>
        </w:rPr>
        <w:t xml:space="preserve"> More genetic work is needed to further investigate the regulation of the MFS pumps. </w:t>
      </w:r>
    </w:p>
    <w:p w14:paraId="465D57D6" w14:textId="0C688356" w:rsidR="00240F71" w:rsidRPr="00240F71" w:rsidRDefault="00240F71" w:rsidP="00240F71">
      <w:pPr>
        <w:spacing w:line="360" w:lineRule="auto"/>
        <w:rPr>
          <w:rFonts w:asciiTheme="majorHAnsi" w:hAnsiTheme="majorHAnsi" w:cstheme="majorHAnsi"/>
          <w:sz w:val="24"/>
          <w:szCs w:val="24"/>
          <w:u w:val="single"/>
        </w:rPr>
      </w:pPr>
      <w:r>
        <w:rPr>
          <w:rFonts w:asciiTheme="majorHAnsi" w:hAnsiTheme="majorHAnsi" w:cstheme="majorHAnsi"/>
          <w:sz w:val="24"/>
          <w:szCs w:val="24"/>
          <w:u w:val="single"/>
        </w:rPr>
        <w:t>3.3.2 Structure predictions of MFS transporters</w:t>
      </w:r>
    </w:p>
    <w:p w14:paraId="3EC62159" w14:textId="32B1AE3F" w:rsidR="00527841" w:rsidRDefault="00527841" w:rsidP="00527841">
      <w:pPr>
        <w:spacing w:line="360" w:lineRule="auto"/>
        <w:rPr>
          <w:rFonts w:asciiTheme="majorHAnsi" w:hAnsiTheme="majorHAnsi" w:cstheme="majorHAnsi"/>
          <w:sz w:val="24"/>
          <w:szCs w:val="24"/>
        </w:rPr>
      </w:pPr>
      <w:r>
        <w:rPr>
          <w:rFonts w:asciiTheme="majorHAnsi" w:hAnsiTheme="majorHAnsi" w:cstheme="majorHAnsi"/>
          <w:sz w:val="24"/>
          <w:szCs w:val="24"/>
        </w:rPr>
        <w:tab/>
        <w:t xml:space="preserve">To get a better idea about the structures of these newly characterized MFS pumps, their amino acid sequences were submitted to the I-TASSER server for structure prediction because no solved structures exist for these pumps.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and </w:t>
      </w:r>
      <w:proofErr w:type="spellStart"/>
      <w:r>
        <w:rPr>
          <w:rFonts w:asciiTheme="majorHAnsi" w:hAnsiTheme="majorHAnsi" w:cstheme="majorHAnsi"/>
          <w:sz w:val="24"/>
          <w:szCs w:val="24"/>
        </w:rPr>
        <w:t>AmfCD</w:t>
      </w:r>
      <w:proofErr w:type="spellEnd"/>
      <w:r>
        <w:rPr>
          <w:rFonts w:asciiTheme="majorHAnsi" w:hAnsiTheme="majorHAnsi" w:cstheme="majorHAnsi"/>
          <w:sz w:val="24"/>
          <w:szCs w:val="24"/>
        </w:rPr>
        <w:t xml:space="preserve"> are homologues of the MFS pump </w:t>
      </w:r>
      <w:proofErr w:type="spellStart"/>
      <w:r>
        <w:rPr>
          <w:rFonts w:asciiTheme="majorHAnsi" w:hAnsiTheme="majorHAnsi" w:cstheme="majorHAnsi"/>
          <w:sz w:val="24"/>
          <w:szCs w:val="24"/>
        </w:rPr>
        <w:t>EmrAB</w:t>
      </w:r>
      <w:proofErr w:type="spellEnd"/>
      <w:r>
        <w:rPr>
          <w:rFonts w:asciiTheme="majorHAnsi" w:hAnsiTheme="majorHAnsi" w:cstheme="majorHAnsi"/>
          <w:sz w:val="24"/>
          <w:szCs w:val="24"/>
        </w:rPr>
        <w:t xml:space="preserve"> from </w:t>
      </w:r>
      <w:r>
        <w:rPr>
          <w:rFonts w:asciiTheme="majorHAnsi" w:hAnsiTheme="majorHAnsi" w:cstheme="majorHAnsi"/>
          <w:i/>
          <w:iCs/>
          <w:sz w:val="24"/>
          <w:szCs w:val="24"/>
        </w:rPr>
        <w:t xml:space="preserve">E. coli </w:t>
      </w:r>
      <w:r>
        <w:rPr>
          <w:rFonts w:asciiTheme="majorHAnsi" w:hAnsiTheme="majorHAnsi" w:cstheme="majorHAnsi"/>
          <w:sz w:val="24"/>
          <w:szCs w:val="24"/>
        </w:rPr>
        <w:t xml:space="preserve">, so the </w:t>
      </w:r>
      <w:proofErr w:type="spellStart"/>
      <w:r>
        <w:rPr>
          <w:rFonts w:asciiTheme="majorHAnsi" w:hAnsiTheme="majorHAnsi" w:cstheme="majorHAnsi"/>
          <w:sz w:val="24"/>
          <w:szCs w:val="24"/>
        </w:rPr>
        <w:t>Amf</w:t>
      </w:r>
      <w:proofErr w:type="spellEnd"/>
      <w:r>
        <w:rPr>
          <w:rFonts w:asciiTheme="majorHAnsi" w:hAnsiTheme="majorHAnsi" w:cstheme="majorHAnsi"/>
          <w:sz w:val="24"/>
          <w:szCs w:val="24"/>
        </w:rPr>
        <w:t xml:space="preserve"> models are shown with their </w:t>
      </w:r>
      <w:proofErr w:type="spellStart"/>
      <w:r>
        <w:rPr>
          <w:rFonts w:asciiTheme="majorHAnsi" w:hAnsiTheme="majorHAnsi" w:cstheme="majorHAnsi"/>
          <w:sz w:val="24"/>
          <w:szCs w:val="24"/>
        </w:rPr>
        <w:t>EmrAB</w:t>
      </w:r>
      <w:proofErr w:type="spellEnd"/>
      <w:r>
        <w:rPr>
          <w:rFonts w:asciiTheme="majorHAnsi" w:hAnsiTheme="majorHAnsi" w:cstheme="majorHAnsi"/>
          <w:sz w:val="24"/>
          <w:szCs w:val="24"/>
        </w:rPr>
        <w:t xml:space="preserve"> counterparts (</w:t>
      </w:r>
      <w:r>
        <w:rPr>
          <w:rFonts w:asciiTheme="majorHAnsi" w:hAnsiTheme="majorHAnsi" w:cstheme="majorHAnsi"/>
          <w:b/>
          <w:bCs/>
          <w:sz w:val="24"/>
          <w:szCs w:val="24"/>
        </w:rPr>
        <w:t>Figures 3.</w:t>
      </w:r>
      <w:r w:rsidR="00A9426D">
        <w:rPr>
          <w:rFonts w:asciiTheme="majorHAnsi" w:hAnsiTheme="majorHAnsi" w:cstheme="majorHAnsi"/>
          <w:b/>
          <w:bCs/>
          <w:sz w:val="24"/>
          <w:szCs w:val="24"/>
        </w:rPr>
        <w:t>3</w:t>
      </w:r>
      <w:r>
        <w:rPr>
          <w:rFonts w:asciiTheme="majorHAnsi" w:hAnsiTheme="majorHAnsi" w:cstheme="majorHAnsi"/>
          <w:b/>
          <w:bCs/>
          <w:sz w:val="24"/>
          <w:szCs w:val="24"/>
        </w:rPr>
        <w:t xml:space="preserve"> </w:t>
      </w:r>
      <w:r>
        <w:rPr>
          <w:rFonts w:asciiTheme="majorHAnsi" w:hAnsiTheme="majorHAnsi" w:cstheme="majorHAnsi"/>
          <w:sz w:val="24"/>
          <w:szCs w:val="24"/>
        </w:rPr>
        <w:t xml:space="preserve">and </w:t>
      </w:r>
      <w:r>
        <w:rPr>
          <w:rFonts w:asciiTheme="majorHAnsi" w:hAnsiTheme="majorHAnsi" w:cstheme="majorHAnsi"/>
          <w:b/>
          <w:bCs/>
          <w:sz w:val="24"/>
          <w:szCs w:val="24"/>
        </w:rPr>
        <w:t>3.</w:t>
      </w:r>
      <w:r w:rsidR="00A9426D">
        <w:rPr>
          <w:rFonts w:asciiTheme="majorHAnsi" w:hAnsiTheme="majorHAnsi" w:cstheme="majorHAnsi"/>
          <w:b/>
          <w:bCs/>
          <w:sz w:val="24"/>
          <w:szCs w:val="24"/>
        </w:rPr>
        <w:t>4</w:t>
      </w:r>
      <w:r>
        <w:rPr>
          <w:rFonts w:asciiTheme="majorHAnsi" w:hAnsiTheme="majorHAnsi" w:cstheme="majorHAnsi"/>
          <w:sz w:val="24"/>
          <w:szCs w:val="24"/>
        </w:rPr>
        <w:t xml:space="preserve">) for comparison. </w:t>
      </w:r>
      <w:r w:rsidR="006F5CE7">
        <w:rPr>
          <w:rFonts w:asciiTheme="majorHAnsi" w:hAnsiTheme="majorHAnsi" w:cstheme="majorHAnsi"/>
          <w:sz w:val="24"/>
          <w:szCs w:val="24"/>
        </w:rPr>
        <w:t xml:space="preserve">Due to crystallization complications, an engineered version of EmrA lacking the transmembrane helix domain was used and the final model includes EmrA residues 27-321 and 343-373. </w:t>
      </w:r>
      <w:r>
        <w:rPr>
          <w:rFonts w:asciiTheme="majorHAnsi" w:hAnsiTheme="majorHAnsi" w:cstheme="majorHAnsi"/>
          <w:sz w:val="24"/>
          <w:szCs w:val="24"/>
        </w:rPr>
        <w:t xml:space="preserve">The structure of </w:t>
      </w:r>
      <w:r w:rsidR="006F5CE7">
        <w:rPr>
          <w:rFonts w:asciiTheme="majorHAnsi" w:hAnsiTheme="majorHAnsi" w:cstheme="majorHAnsi"/>
          <w:sz w:val="24"/>
          <w:szCs w:val="24"/>
        </w:rPr>
        <w:t xml:space="preserve">the engineered </w:t>
      </w:r>
      <w:r>
        <w:rPr>
          <w:rFonts w:asciiTheme="majorHAnsi" w:hAnsiTheme="majorHAnsi" w:cstheme="majorHAnsi"/>
          <w:sz w:val="24"/>
          <w:szCs w:val="24"/>
        </w:rPr>
        <w:t xml:space="preserve">EmrA was obtained by X-ray diffraction to a resolution of 2.85 </w:t>
      </w:r>
      <w:r>
        <w:t>Å</w:t>
      </w:r>
      <w:r w:rsidR="006C0774">
        <w:t xml:space="preserve"> </w:t>
      </w:r>
      <w:r>
        <w:t xml:space="preserve"> (</w:t>
      </w:r>
      <w:r>
        <w:rPr>
          <w:b/>
          <w:bCs/>
        </w:rPr>
        <w:t>Figure 3.</w:t>
      </w:r>
      <w:r w:rsidR="00A9426D">
        <w:rPr>
          <w:b/>
          <w:bCs/>
        </w:rPr>
        <w:t>4</w:t>
      </w:r>
      <w:r>
        <w:rPr>
          <w:b/>
          <w:bCs/>
        </w:rPr>
        <w:t>-A</w:t>
      </w:r>
      <w:r>
        <w:t>).</w:t>
      </w:r>
      <w:r w:rsidR="00867936">
        <w:fldChar w:fldCharType="begin"/>
      </w:r>
      <w:r w:rsidR="00625D97">
        <w:instrText xml:space="preserve"> ADDIN ZOTERO_ITEM CSL_CITATION {"citationID":"a14llo6sqnc","properties":{"formattedCitation":"\\super 137\\nosupersub{}","plainCitation":"137","noteIndex":0},"citationItems":[{"id":1955,"uris":["http://zotero.org/users/1918630/items/GPC87BIB"],"itemData":{"id":1955,"type":"article-journal","abstract":"Periplasmic adaptor proteins are key components of bacterial tripartite efflux pumps. The 2.85 Å resolution structure of an MFS (major facilitator superfamily) pump adaptor, Aquifex aeolicus EmrA, shows linearly arranged α-helical coiled-coil, lipoyl, and β-barrel domains, but lacks the fourth membrane-proximal domain shown in other pumps to interact with the inner membrane transporter. The adaptor α-hairpin, which binds outer membrane TolC, is exceptionally long at 127 Å, and the β-barrel contains a conserved disordered loop. The structure extends the view of adaptors as flexible, modular components that mediate diverse pump assembly, and suggests that in MFS tripartite pumps a hexamer of adaptors could provide a periplasmic seal.","container-title":"FEBS Letters","DOI":"10.1016/j.febslet.2014.06.055","ISSN":"1873-3468","issue":"17","language":"en","license":"FEBS Letters 588 (2014) 0014-5793 ©2015 The Authors. Published by FEBS Press and John Wiley &amp; Sons Ltd.","note":"_eprint: https://onlinelibrary.wiley.com/doi/pdf/10.1016/j.febslet.2014.06.055","page":"3147-3153","source":"Wiley Online Library","title":"Structure of the periplasmic adaptor protein from a major facilitator superfamily (MFS) multidrug efflux pump","volume":"588","author":[{"family":"Hinchliffe","given":"Philip"},{"family":"Greene","given":"Nicholas P."},{"family":"Paterson","given":"Neil G."},{"family":"Crow","given":"Allister"},{"family":"Hughes","given":"Colin"},{"family":"Koronakis","given":"Vassilis"}],"issued":{"date-parts":[["2014"]]}}}],"schema":"https://github.com/citation-style-language/schema/raw/master/csl-citation.json"} </w:instrText>
      </w:r>
      <w:r w:rsidR="00867936">
        <w:fldChar w:fldCharType="separate"/>
      </w:r>
      <w:r w:rsidR="00625D97" w:rsidRPr="00625D97">
        <w:rPr>
          <w:rFonts w:ascii="Times New Roman" w:hAnsi="Times New Roman" w:cs="Times New Roman"/>
          <w:vertAlign w:val="superscript"/>
        </w:rPr>
        <w:t>137</w:t>
      </w:r>
      <w:r w:rsidR="00867936">
        <w:fldChar w:fldCharType="end"/>
      </w:r>
      <w:r>
        <w:rPr>
          <w:rFonts w:asciiTheme="majorHAnsi" w:hAnsiTheme="majorHAnsi" w:cstheme="majorHAnsi"/>
          <w:sz w:val="24"/>
          <w:szCs w:val="24"/>
        </w:rPr>
        <w:t xml:space="preserve"> There is currently no solved structure for </w:t>
      </w:r>
      <w:proofErr w:type="spellStart"/>
      <w:r>
        <w:rPr>
          <w:rFonts w:asciiTheme="majorHAnsi" w:hAnsiTheme="majorHAnsi" w:cstheme="majorHAnsi"/>
          <w:sz w:val="24"/>
          <w:szCs w:val="24"/>
        </w:rPr>
        <w:t>EmrB</w:t>
      </w:r>
      <w:proofErr w:type="spellEnd"/>
      <w:r>
        <w:rPr>
          <w:rFonts w:asciiTheme="majorHAnsi" w:hAnsiTheme="majorHAnsi" w:cstheme="majorHAnsi"/>
          <w:sz w:val="24"/>
          <w:szCs w:val="24"/>
        </w:rPr>
        <w:t xml:space="preserve">, but a model was predicted using AlphaFold available for use on the </w:t>
      </w:r>
      <w:proofErr w:type="spellStart"/>
      <w:r>
        <w:rPr>
          <w:rFonts w:asciiTheme="majorHAnsi" w:hAnsiTheme="majorHAnsi" w:cstheme="majorHAnsi"/>
          <w:sz w:val="24"/>
          <w:szCs w:val="24"/>
        </w:rPr>
        <w:t>AlphaFoldDB</w:t>
      </w:r>
      <w:proofErr w:type="spellEnd"/>
      <w:r>
        <w:rPr>
          <w:rFonts w:asciiTheme="majorHAnsi" w:hAnsiTheme="majorHAnsi" w:cstheme="majorHAnsi"/>
          <w:sz w:val="24"/>
          <w:szCs w:val="24"/>
        </w:rPr>
        <w:t xml:space="preserve"> with the </w:t>
      </w:r>
      <w:proofErr w:type="spellStart"/>
      <w:r>
        <w:rPr>
          <w:rFonts w:asciiTheme="majorHAnsi" w:hAnsiTheme="majorHAnsi" w:cstheme="majorHAnsi"/>
          <w:sz w:val="24"/>
          <w:szCs w:val="24"/>
        </w:rPr>
        <w:t>UniProt</w:t>
      </w:r>
      <w:proofErr w:type="spellEnd"/>
      <w:r>
        <w:rPr>
          <w:rFonts w:asciiTheme="majorHAnsi" w:hAnsiTheme="majorHAnsi" w:cstheme="majorHAnsi"/>
          <w:sz w:val="24"/>
          <w:szCs w:val="24"/>
        </w:rPr>
        <w:t xml:space="preserve"> accession code P0AEJ0 (</w:t>
      </w:r>
      <w:r>
        <w:rPr>
          <w:rFonts w:asciiTheme="majorHAnsi" w:hAnsiTheme="majorHAnsi" w:cstheme="majorHAnsi"/>
          <w:b/>
          <w:bCs/>
          <w:sz w:val="24"/>
          <w:szCs w:val="24"/>
        </w:rPr>
        <w:t>Figure 3.</w:t>
      </w:r>
      <w:r w:rsidR="00A9426D">
        <w:rPr>
          <w:rFonts w:asciiTheme="majorHAnsi" w:hAnsiTheme="majorHAnsi" w:cstheme="majorHAnsi"/>
          <w:b/>
          <w:bCs/>
          <w:sz w:val="24"/>
          <w:szCs w:val="24"/>
        </w:rPr>
        <w:t>3</w:t>
      </w:r>
      <w:r>
        <w:rPr>
          <w:rFonts w:asciiTheme="majorHAnsi" w:hAnsiTheme="majorHAnsi" w:cstheme="majorHAnsi"/>
          <w:b/>
          <w:bCs/>
          <w:sz w:val="24"/>
          <w:szCs w:val="24"/>
        </w:rPr>
        <w:t>-A</w:t>
      </w:r>
      <w:r>
        <w:rPr>
          <w:rFonts w:asciiTheme="majorHAnsi" w:hAnsiTheme="majorHAnsi" w:cstheme="majorHAnsi"/>
          <w:sz w:val="24"/>
          <w:szCs w:val="24"/>
        </w:rPr>
        <w:t>).</w:t>
      </w:r>
      <w:r w:rsidR="002F6F9F">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{"citationID":"a2g8glgmubb","properties":{"formattedCitation":"\\super 138\\uc0\\u8211{}140\\nosupersub{}","plainCitation":"138–140","noteIndex":0},"citationItems":[{"id":1949,"uris":["http://zotero.org/users/1918630/items/HMDYTQPA"],"itemData":{"id":1949,"type":"article-journal","abstract":"Proteins are essential to life, and understanding their structure can facilitate a mechanistic understanding of their function. Through an enormous experimental effort1–4, the structures of around 100,000 unique proteins have been determined5, but this represents a small fraction of the billions of known protein sequences6,7.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problem’8—has been an important open research problem for more than 50 years9. Despite recent progress10–14,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(CASP14)15,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algorithm.","container-title":"Nature","DOI":"10.1038/s41586-021-03819-2","ISSN":"1476-4687","issue":"7873","language":"en","license":"2021 The Author(s)","note":"number: 7873\npublisher: Nature Publishing Group","page":"583-589","source":"www.nature.com","title":"Highly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id":2302,"uris":["http://zotero.org/users/1918630/items/U6GIJDNY"],"itemData":{"id":2302,"type":"article-journal","abstract":"The AlphaFold Database Protein Structure Database (AlphaFold DB, https://alphafold.ebi.ac.uk) has significantly impacted structural biology by amassing over 214 million predicted protein structures, expanding from the initial 300k structures released in 2021. Enabled by the groundbreaking AlphaFold2 artificial intelligence (AI) system, the predictions archived in AlphaFold DB have been integrated into primary data resources such as PDB, UniProt, Ensembl, InterPro and MobiDB. Our manuscript details subsequent enhancements in data archiving, covering successive releases encompassing model organisms, global health proteomes, Swiss-Prot integration, and a host of curated protein datasets. We detail the data access mechanisms of AlphaFold DB, from direct file access via FTP to advanced queries using Google Cloud Public Datasets and the programmatic access endpoints of the database. We also discuss the improvements and services added since its initial release, including enhancements to the Predicted Aligned Error viewer, customisation options for the 3D viewer, and improvements in the search engine of AlphaFold DB.The AlphaFold Protein Structure Database (AlphaFold DB) is a massive digital library of predicted protein structures, with over 214 million entries, marking a 500-times expansion in size since its initial release in 2021. The structures are predicted using Google DeepMind's AlphaFold 2 artificial intelligence (AI) system. Our new report highlights the latest updates we have made to this database. We have added more data on specific organisms and proteins related to global health and expanded to cover almost the complete UniProt database, a primary data resource of protein sequences. We also made it easier for our users to access the data by directly downloading files or using advanced cloud-based tools. Finally, we have also improved how users view and search through these protein structures, making the user experience smoother and more informative. In short, AlphaFold DB has been growing rapidly and has become more user-friendly and robust to support the broader scientific community.","container-title":"Nucleic Acids Research","DOI":"10.1093/nar/gkad1011","ISSN":"0305-1048","issue":"D1","journalAbbreviation":"Nucleic Acids Research","page":"D368-D375","source":"Silverchair","title":"AlphaFold Protein Structure Database in 2024: providing structure coverage for over 214 million protein sequences","title-short":"AlphaFold Protein Structure Database in 2024","volume":"52","author":[{"family":"Varadi","given":"Mihaly"},{"family":"Bertoni","given":"Damian"},{"family":"Magana","given":"Paulyna"},{"family":"Paramval","given":"Urmila"},{"family":"Pidruchna","given":"Ivanna"},{"family":"Radhakrishnan","given":"Malarvizhi"},{"family":"Tsenkov","given":"Maxim"},{"family":"Nair","given":"Sreenath"},{"family":"Mirdita","given":"Milot"},{"family":"Yeo","given":"Jingi"},{"family":"Kovalevskiy","given":"Oleg"},{"family":"Tunyasuvunakool","given":"Kathryn"},{"family":"Laydon","given":"Agata"},{"family":"Žídek","given":"Augustin"},{"family":"Tomlinson","given":"Hamish"},{"family":"Hariharan","given":"Dhavanthi"},{"family":"Abrahamson","given":"Josh"},{"family":"Green","given":"Tim"},{"family":"Jumper","given":"John"},{"family":"Birney","given":"Ewan"},{"family":"Steinegger","given":"Martin"},{"family":"Hassabis","given":"Demis"},{"family":"Velankar","given":"Sameer"}],"issued":{"date-parts":[["2024",1,5]]}}},{"id":1951,"uris":["http://zotero.org/users/1918630/items/MBCH84HE"],"itemData":{"id":1951,"type":"article-journal","abstract":"The AlphaFold Protein Structure Database (AlphaFold DB, https://alphafold.ebi.ac.uk) is an openly accessible, extensive database of high-accuracy protein-structure predictions. Powered by AlphaFold v2.0 of DeepMind, it has enabled an unprecedented expansion of the structural coverage of the known protein-sequence space. AlphaFold DB provides programmatic access to and interactive visualization of predicted atomic coordinates, per-residue and pairwise model-confidence estimates and predicted aligned errors. The initial release of AlphaFold DB contains over 360,000 predicted structures across 21 model-organism proteomes, which will soon be expanded to cover most of the (over 100 million) representative sequences from the UniRef90 data set.The AlphaFold Protein Structure Database (AlphaFold DB, https://alphafold.ebi.ac.uk) is an extensive, public database of highly accurate protein structure models. The models are the products of AlphaFold2, an Artificial Intelligence algorithm developed by DeepMind. AlphaFold enabled scientists to investigate an unprecedented number of protein structures. The database we describe here provides access to these predicted models and information on their accuracy. The first version of AlphaFold DB contains over 360,000 models of 21 biologically essential species.","container-title":"Nucleic Acids Research","DOI":"10.1093/nar/gkab1061","ISSN":"0305-1048","issue":"D1","journalAbbreviation":"Nucleic Acids Research","page":"D439-D444","source":"Silverchair","title":"AlphaFold Protein Structure Database: massively expanding the structural coverage of protein-sequence space with high-accuracy models","title-short":"AlphaFold Protein Structure Database","volume":"50","author":[{"family":"Varadi","given":"Mihaly"},{"family":"Anyango","given":"Stephen"},{"family":"Deshpande","given":"Mandar"},{"family":"Nair","given":"Sreenath"},{"family":"Natassia","given":"Cindy"},{"family":"Yordanova","given":"Galabina"},{"family":"Yuan","given":"David"},{"family":"Stroe","given":"Oana"},{"family":"Wood","given":"Gemma"},{"family":"Laydon","given":"Agata"},{"family":"Žídek","given":"Augustin"},{"family":"Green","given":"Tim"},{"family":"Tunyasuvunakool","given":"Kathryn"},{"family":"Petersen","given":"Stig"},{"family":"Jumper","given":"John"},{"family":"Clancy","given":"Ellen"},{"family":"Green","given":"Richard"},{"family":"Vora","given":"Ankur"},{"family":"Lutfi","given":"Mira"},{"family":"Figurnov","given":"Michael"},{"family":"Cowie","given":"Andrew"},{"family":"Hobbs","given":"Nicole"},{"family":"Kohli","given":"Pushmeet"},{"family":"Kleywegt","given":"Gerard"},{"family":"Birney","given":"Ewan"},{"family":"Hassabis","given":"Demis"},{"family":"Velankar","given":"Sameer"}],"issued":{"date-parts":[["2022",1,7]]}}}],"schema":"https://github.com/citation-style-language/schema/raw/master/csl-citation.json"} </w:instrText>
      </w:r>
      <w:r w:rsidR="002F6F9F">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138–140</w:t>
      </w:r>
      <w:r w:rsidR="002F6F9F">
        <w:rPr>
          <w:rFonts w:asciiTheme="majorHAnsi" w:hAnsiTheme="majorHAnsi" w:cstheme="majorHAnsi"/>
          <w:sz w:val="24"/>
          <w:szCs w:val="24"/>
        </w:rPr>
        <w:fldChar w:fldCharType="end"/>
      </w:r>
      <w:r w:rsidR="00384DED">
        <w:rPr>
          <w:rFonts w:asciiTheme="majorHAnsi" w:hAnsiTheme="majorHAnsi" w:cstheme="majorHAnsi"/>
          <w:sz w:val="24"/>
          <w:szCs w:val="24"/>
        </w:rPr>
        <w:t xml:space="preserve"> </w:t>
      </w:r>
    </w:p>
    <w:p w14:paraId="51FA3350" w14:textId="30FB24A0" w:rsidR="00527841" w:rsidRPr="006744F7" w:rsidRDefault="00A0638D" w:rsidP="00527841">
      <w:pPr>
        <w:spacing w:line="360" w:lineRule="auto"/>
        <w:rPr>
          <w:rFonts w:asciiTheme="majorHAnsi" w:hAnsiTheme="majorHAnsi" w:cstheme="majorHAnsi"/>
          <w:sz w:val="24"/>
          <w:szCs w:val="24"/>
        </w:rPr>
      </w:pPr>
      <w:r w:rsidRPr="00A0638D">
        <w:rPr>
          <w:rFonts w:ascii="Times New Roman" w:hAnsi="Times New Roman" w:cs="Times New Roman"/>
          <w:noProof/>
          <w:color w:val="000000" w:themeColor="text1"/>
          <w:sz w:val="24"/>
          <w:szCs w:val="24"/>
        </w:rPr>
        <w:lastRenderedPageBreak/>
        <w:drawing>
          <wp:inline distT="0" distB="0" distL="0" distR="0" wp14:anchorId="157E8BA1" wp14:editId="4506CD34">
            <wp:extent cx="5455920" cy="5631322"/>
            <wp:effectExtent l="0" t="0" r="0" b="7620"/>
            <wp:docPr id="92035273" name="Picture 1" descr="A group of colorful molecu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5273" name="Picture 1" descr="A group of colorful molecules&#10;&#10;Description automatically generated with medium confidence"/>
                    <pic:cNvPicPr/>
                  </pic:nvPicPr>
                  <pic:blipFill>
                    <a:blip r:embed="rId26"/>
                    <a:stretch>
                      <a:fillRect/>
                    </a:stretch>
                  </pic:blipFill>
                  <pic:spPr>
                    <a:xfrm>
                      <a:off x="0" y="0"/>
                      <a:ext cx="5459049" cy="5634552"/>
                    </a:xfrm>
                    <a:prstGeom prst="rect">
                      <a:avLst/>
                    </a:prstGeom>
                  </pic:spPr>
                </pic:pic>
              </a:graphicData>
            </a:graphic>
          </wp:inline>
        </w:drawing>
      </w:r>
    </w:p>
    <w:p w14:paraId="068F780E" w14:textId="74D5E613" w:rsidR="00527841" w:rsidRDefault="00527841" w:rsidP="00527841">
      <w:pPr>
        <w:pStyle w:val="ListParagraph"/>
        <w:ind w:left="0"/>
        <w:rPr>
          <w:rFonts w:ascii="Times New Roman" w:hAnsi="Times New Roman" w:cs="Times New Roman"/>
          <w:b/>
          <w:bCs/>
          <w:sz w:val="24"/>
          <w:szCs w:val="24"/>
        </w:rPr>
      </w:pPr>
      <w:r>
        <w:rPr>
          <w:rFonts w:ascii="Times New Roman" w:hAnsi="Times New Roman" w:cs="Times New Roman"/>
          <w:b/>
          <w:bCs/>
          <w:sz w:val="24"/>
          <w:szCs w:val="24"/>
        </w:rPr>
        <w:t>Figure 3.</w:t>
      </w:r>
      <w:r w:rsidR="00B03B7E">
        <w:rPr>
          <w:rFonts w:ascii="Times New Roman" w:hAnsi="Times New Roman" w:cs="Times New Roman"/>
          <w:b/>
          <w:bCs/>
          <w:sz w:val="24"/>
          <w:szCs w:val="24"/>
        </w:rPr>
        <w:t>3</w:t>
      </w:r>
      <w:r>
        <w:rPr>
          <w:rFonts w:ascii="Times New Roman" w:hAnsi="Times New Roman" w:cs="Times New Roman"/>
          <w:b/>
          <w:bCs/>
          <w:sz w:val="24"/>
          <w:szCs w:val="24"/>
        </w:rPr>
        <w:t xml:space="preserve"> Transporter </w:t>
      </w:r>
      <w:r w:rsidR="00B03B7E">
        <w:rPr>
          <w:rFonts w:ascii="Times New Roman" w:hAnsi="Times New Roman" w:cs="Times New Roman"/>
          <w:b/>
          <w:bCs/>
          <w:sz w:val="24"/>
          <w:szCs w:val="24"/>
        </w:rPr>
        <w:t>p</w:t>
      </w:r>
      <w:r>
        <w:rPr>
          <w:rFonts w:ascii="Times New Roman" w:hAnsi="Times New Roman" w:cs="Times New Roman"/>
          <w:b/>
          <w:bCs/>
          <w:sz w:val="24"/>
          <w:szCs w:val="24"/>
        </w:rPr>
        <w:t xml:space="preserve">rotomer </w:t>
      </w:r>
      <w:r w:rsidR="00B03B7E">
        <w:rPr>
          <w:rFonts w:ascii="Times New Roman" w:hAnsi="Times New Roman" w:cs="Times New Roman"/>
          <w:b/>
          <w:bCs/>
          <w:sz w:val="24"/>
          <w:szCs w:val="24"/>
        </w:rPr>
        <w:t>s</w:t>
      </w:r>
      <w:r>
        <w:rPr>
          <w:rFonts w:ascii="Times New Roman" w:hAnsi="Times New Roman" w:cs="Times New Roman"/>
          <w:b/>
          <w:bCs/>
          <w:sz w:val="24"/>
          <w:szCs w:val="24"/>
        </w:rPr>
        <w:t xml:space="preserve">tructure </w:t>
      </w:r>
      <w:r w:rsidR="00B03B7E">
        <w:rPr>
          <w:rFonts w:ascii="Times New Roman" w:hAnsi="Times New Roman" w:cs="Times New Roman"/>
          <w:b/>
          <w:bCs/>
          <w:sz w:val="24"/>
          <w:szCs w:val="24"/>
        </w:rPr>
        <w:t>m</w:t>
      </w:r>
      <w:r>
        <w:rPr>
          <w:rFonts w:ascii="Times New Roman" w:hAnsi="Times New Roman" w:cs="Times New Roman"/>
          <w:b/>
          <w:bCs/>
          <w:sz w:val="24"/>
          <w:szCs w:val="24"/>
        </w:rPr>
        <w:t>odels</w:t>
      </w:r>
    </w:p>
    <w:p w14:paraId="48FD6B74" w14:textId="5F6FBBB4" w:rsidR="00527841" w:rsidRPr="00B77E7D" w:rsidRDefault="00527841" w:rsidP="0052784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3D Structure Models of the inner membrane transporter protomers </w:t>
      </w:r>
      <w:proofErr w:type="spellStart"/>
      <w:r>
        <w:rPr>
          <w:rFonts w:ascii="Times New Roman" w:hAnsi="Times New Roman" w:cs="Times New Roman"/>
          <w:sz w:val="24"/>
          <w:szCs w:val="24"/>
        </w:rPr>
        <w:t>EmrB</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A</w:t>
      </w:r>
      <w:r>
        <w:rPr>
          <w:rFonts w:ascii="Times New Roman" w:hAnsi="Times New Roman" w:cs="Times New Roman"/>
          <w:sz w:val="24"/>
          <w:szCs w:val="24"/>
        </w:rPr>
        <w:t xml:space="preserve">), </w:t>
      </w:r>
      <w:proofErr w:type="spellStart"/>
      <w:r>
        <w:rPr>
          <w:rFonts w:ascii="Times New Roman" w:hAnsi="Times New Roman" w:cs="Times New Roman"/>
          <w:sz w:val="24"/>
          <w:szCs w:val="24"/>
        </w:rPr>
        <w:t>AmfB</w:t>
      </w:r>
      <w:proofErr w:type="spellEnd"/>
      <w:r>
        <w:rPr>
          <w:rFonts w:ascii="Times New Roman" w:hAnsi="Times New Roman" w:cs="Times New Roman"/>
          <w:sz w:val="24"/>
          <w:szCs w:val="24"/>
        </w:rPr>
        <w:t xml:space="preserve"> </w:t>
      </w:r>
      <w:r w:rsidR="002657E6">
        <w:rPr>
          <w:rFonts w:ascii="Times New Roman" w:hAnsi="Times New Roman" w:cs="Times New Roman"/>
          <w:sz w:val="24"/>
          <w:szCs w:val="24"/>
        </w:rPr>
        <w:t>(</w:t>
      </w:r>
      <w:proofErr w:type="spellStart"/>
      <w:r w:rsidR="002657E6">
        <w:rPr>
          <w:rFonts w:ascii="Times New Roman" w:hAnsi="Times New Roman" w:cs="Times New Roman"/>
          <w:sz w:val="24"/>
          <w:szCs w:val="24"/>
        </w:rPr>
        <w:t>eTM</w:t>
      </w:r>
      <w:proofErr w:type="spellEnd"/>
      <w:r w:rsidR="002657E6">
        <w:rPr>
          <w:rFonts w:ascii="Times New Roman" w:hAnsi="Times New Roman" w:cs="Times New Roman"/>
          <w:sz w:val="24"/>
          <w:szCs w:val="24"/>
        </w:rPr>
        <w:t xml:space="preserve">=0.76) </w:t>
      </w:r>
      <w:r>
        <w:rPr>
          <w:rFonts w:ascii="Times New Roman" w:hAnsi="Times New Roman" w:cs="Times New Roman"/>
          <w:sz w:val="24"/>
          <w:szCs w:val="24"/>
        </w:rPr>
        <w:t>(</w:t>
      </w:r>
      <w:r>
        <w:rPr>
          <w:rFonts w:ascii="Times New Roman" w:hAnsi="Times New Roman" w:cs="Times New Roman"/>
          <w:b/>
          <w:bCs/>
          <w:sz w:val="24"/>
          <w:szCs w:val="24"/>
        </w:rPr>
        <w:t>B</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AmfD</w:t>
      </w:r>
      <w:proofErr w:type="spellEnd"/>
      <w:r w:rsidR="002657E6">
        <w:rPr>
          <w:rFonts w:ascii="Times New Roman" w:hAnsi="Times New Roman" w:cs="Times New Roman"/>
          <w:sz w:val="24"/>
          <w:szCs w:val="24"/>
        </w:rPr>
        <w:t xml:space="preserve"> (</w:t>
      </w:r>
      <w:proofErr w:type="spellStart"/>
      <w:r w:rsidR="002657E6">
        <w:rPr>
          <w:rFonts w:ascii="Times New Roman" w:hAnsi="Times New Roman" w:cs="Times New Roman"/>
          <w:sz w:val="24"/>
          <w:szCs w:val="24"/>
        </w:rPr>
        <w:t>eTM</w:t>
      </w:r>
      <w:proofErr w:type="spellEnd"/>
      <w:r w:rsidR="002657E6">
        <w:rPr>
          <w:rFonts w:ascii="Times New Roman" w:hAnsi="Times New Roman" w:cs="Times New Roman"/>
          <w:sz w:val="24"/>
          <w:szCs w:val="24"/>
        </w:rPr>
        <w:t>=0.60)</w:t>
      </w:r>
      <w:r>
        <w:rPr>
          <w:rFonts w:ascii="Times New Roman" w:hAnsi="Times New Roman" w:cs="Times New Roman"/>
          <w:sz w:val="24"/>
          <w:szCs w:val="24"/>
        </w:rPr>
        <w:t xml:space="preserve"> (</w:t>
      </w:r>
      <w:r>
        <w:rPr>
          <w:rFonts w:ascii="Times New Roman" w:hAnsi="Times New Roman" w:cs="Times New Roman"/>
          <w:b/>
          <w:bCs/>
          <w:sz w:val="24"/>
          <w:szCs w:val="24"/>
        </w:rPr>
        <w:t>C</w:t>
      </w:r>
      <w:proofErr w:type="gramStart"/>
      <w:r>
        <w:rPr>
          <w:rFonts w:ascii="Times New Roman" w:hAnsi="Times New Roman" w:cs="Times New Roman"/>
          <w:sz w:val="24"/>
          <w:szCs w:val="24"/>
        </w:rPr>
        <w:t>), and</w:t>
      </w:r>
      <w:proofErr w:type="gramEnd"/>
      <w:r>
        <w:rPr>
          <w:rFonts w:ascii="Times New Roman" w:hAnsi="Times New Roman" w:cs="Times New Roman"/>
          <w:sz w:val="24"/>
          <w:szCs w:val="24"/>
        </w:rPr>
        <w:t xml:space="preserve"> aligned models of</w:t>
      </w:r>
      <w:r w:rsidR="002657E6">
        <w:rPr>
          <w:rFonts w:ascii="Times New Roman" w:hAnsi="Times New Roman" w:cs="Times New Roman"/>
          <w:sz w:val="24"/>
          <w:szCs w:val="24"/>
        </w:rPr>
        <w:t xml:space="preserve"> </w:t>
      </w:r>
      <w:proofErr w:type="spellStart"/>
      <w:r w:rsidR="002657E6">
        <w:rPr>
          <w:rFonts w:ascii="Times New Roman" w:hAnsi="Times New Roman" w:cs="Times New Roman"/>
          <w:sz w:val="24"/>
          <w:szCs w:val="24"/>
        </w:rPr>
        <w:t>AmfB</w:t>
      </w:r>
      <w:proofErr w:type="spellEnd"/>
      <w:r w:rsidR="002657E6">
        <w:rPr>
          <w:rFonts w:ascii="Times New Roman" w:hAnsi="Times New Roman" w:cs="Times New Roman"/>
          <w:sz w:val="24"/>
          <w:szCs w:val="24"/>
        </w:rPr>
        <w:t xml:space="preserve"> (green) + </w:t>
      </w:r>
      <w:proofErr w:type="spellStart"/>
      <w:r w:rsidR="002657E6">
        <w:rPr>
          <w:rFonts w:ascii="Times New Roman" w:hAnsi="Times New Roman" w:cs="Times New Roman"/>
          <w:sz w:val="24"/>
          <w:szCs w:val="24"/>
        </w:rPr>
        <w:t>AmfD</w:t>
      </w:r>
      <w:proofErr w:type="spellEnd"/>
      <w:r w:rsidR="002657E6">
        <w:rPr>
          <w:rFonts w:ascii="Times New Roman" w:hAnsi="Times New Roman" w:cs="Times New Roman"/>
          <w:sz w:val="24"/>
          <w:szCs w:val="24"/>
        </w:rPr>
        <w:t xml:space="preserve"> (blue) (RMSD=1.78)</w:t>
      </w:r>
      <w:r w:rsidR="002657E6" w:rsidRPr="002657E6">
        <w:rPr>
          <w:rFonts w:ascii="Times New Roman" w:hAnsi="Times New Roman" w:cs="Times New Roman"/>
          <w:sz w:val="24"/>
          <w:szCs w:val="24"/>
        </w:rPr>
        <w:t xml:space="preserve"> </w:t>
      </w:r>
      <w:r w:rsidR="002657E6">
        <w:rPr>
          <w:rFonts w:ascii="Times New Roman" w:hAnsi="Times New Roman" w:cs="Times New Roman"/>
          <w:sz w:val="24"/>
          <w:szCs w:val="24"/>
        </w:rPr>
        <w:t>(</w:t>
      </w:r>
      <w:r w:rsidR="002657E6">
        <w:rPr>
          <w:rFonts w:ascii="Times New Roman" w:hAnsi="Times New Roman" w:cs="Times New Roman"/>
          <w:b/>
          <w:bCs/>
          <w:sz w:val="24"/>
          <w:szCs w:val="24"/>
        </w:rPr>
        <w:t>D</w:t>
      </w:r>
      <w:r w:rsidR="002657E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AmfB</w:t>
      </w:r>
      <w:proofErr w:type="spellEnd"/>
      <w:r>
        <w:rPr>
          <w:rFonts w:ascii="Times New Roman" w:hAnsi="Times New Roman" w:cs="Times New Roman"/>
          <w:sz w:val="24"/>
          <w:szCs w:val="24"/>
        </w:rPr>
        <w:t xml:space="preserve"> (green) + </w:t>
      </w:r>
      <w:proofErr w:type="spellStart"/>
      <w:r>
        <w:rPr>
          <w:rFonts w:ascii="Times New Roman" w:hAnsi="Times New Roman" w:cs="Times New Roman"/>
          <w:sz w:val="24"/>
          <w:szCs w:val="24"/>
        </w:rPr>
        <w:t>EmrB</w:t>
      </w:r>
      <w:proofErr w:type="spellEnd"/>
      <w:r>
        <w:rPr>
          <w:rFonts w:ascii="Times New Roman" w:hAnsi="Times New Roman" w:cs="Times New Roman"/>
          <w:sz w:val="24"/>
          <w:szCs w:val="24"/>
        </w:rPr>
        <w:t xml:space="preserve"> (magenta) (RMSD=</w:t>
      </w:r>
      <w:r w:rsidR="002657E6">
        <w:rPr>
          <w:rFonts w:ascii="Times New Roman" w:hAnsi="Times New Roman" w:cs="Times New Roman"/>
          <w:sz w:val="24"/>
          <w:szCs w:val="24"/>
        </w:rPr>
        <w:t>3.00</w:t>
      </w:r>
      <w:r>
        <w:rPr>
          <w:rFonts w:ascii="Times New Roman" w:hAnsi="Times New Roman" w:cs="Times New Roman"/>
          <w:sz w:val="24"/>
          <w:szCs w:val="24"/>
        </w:rPr>
        <w:t>) (</w:t>
      </w:r>
      <w:r w:rsidR="002657E6">
        <w:rPr>
          <w:rFonts w:ascii="Times New Roman" w:hAnsi="Times New Roman" w:cs="Times New Roman"/>
          <w:b/>
          <w:bCs/>
          <w:sz w:val="24"/>
          <w:szCs w:val="24"/>
        </w:rPr>
        <w:t>E</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AmfD</w:t>
      </w:r>
      <w:proofErr w:type="spellEnd"/>
      <w:r>
        <w:rPr>
          <w:rFonts w:ascii="Times New Roman" w:hAnsi="Times New Roman" w:cs="Times New Roman"/>
          <w:sz w:val="24"/>
          <w:szCs w:val="24"/>
        </w:rPr>
        <w:t xml:space="preserve"> (</w:t>
      </w:r>
      <w:r w:rsidR="002657E6">
        <w:rPr>
          <w:rFonts w:ascii="Times New Roman" w:hAnsi="Times New Roman" w:cs="Times New Roman"/>
          <w:sz w:val="24"/>
          <w:szCs w:val="24"/>
        </w:rPr>
        <w:t>blue</w:t>
      </w:r>
      <w:r>
        <w:rPr>
          <w:rFonts w:ascii="Times New Roman" w:hAnsi="Times New Roman" w:cs="Times New Roman"/>
          <w:sz w:val="24"/>
          <w:szCs w:val="24"/>
        </w:rPr>
        <w:t xml:space="preserve">) + </w:t>
      </w:r>
      <w:proofErr w:type="spellStart"/>
      <w:r>
        <w:rPr>
          <w:rFonts w:ascii="Times New Roman" w:hAnsi="Times New Roman" w:cs="Times New Roman"/>
          <w:sz w:val="24"/>
          <w:szCs w:val="24"/>
        </w:rPr>
        <w:t>EmrB</w:t>
      </w:r>
      <w:proofErr w:type="spellEnd"/>
      <w:r>
        <w:rPr>
          <w:rFonts w:ascii="Times New Roman" w:hAnsi="Times New Roman" w:cs="Times New Roman"/>
          <w:sz w:val="24"/>
          <w:szCs w:val="24"/>
        </w:rPr>
        <w:t xml:space="preserve"> (magenta) (RMSD=5.</w:t>
      </w:r>
      <w:r w:rsidR="002657E6">
        <w:rPr>
          <w:rFonts w:ascii="Times New Roman" w:hAnsi="Times New Roman" w:cs="Times New Roman"/>
          <w:sz w:val="24"/>
          <w:szCs w:val="24"/>
        </w:rPr>
        <w:t>44</w:t>
      </w:r>
      <w:r>
        <w:rPr>
          <w:rFonts w:ascii="Times New Roman" w:hAnsi="Times New Roman" w:cs="Times New Roman"/>
          <w:sz w:val="24"/>
          <w:szCs w:val="24"/>
        </w:rPr>
        <w:t>) (</w:t>
      </w:r>
      <w:r w:rsidR="002657E6">
        <w:rPr>
          <w:rFonts w:ascii="Times New Roman" w:hAnsi="Times New Roman" w:cs="Times New Roman"/>
          <w:b/>
          <w:bCs/>
          <w:sz w:val="24"/>
          <w:szCs w:val="24"/>
        </w:rPr>
        <w:t>F</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EmrB</w:t>
      </w:r>
      <w:proofErr w:type="spellEnd"/>
      <w:r>
        <w:rPr>
          <w:rFonts w:ascii="Times New Roman" w:hAnsi="Times New Roman" w:cs="Times New Roman"/>
          <w:sz w:val="24"/>
          <w:szCs w:val="24"/>
        </w:rPr>
        <w:t xml:space="preserve"> model was predicted with AlphaFold</w:t>
      </w:r>
      <w:r>
        <w:rPr>
          <w:rFonts w:ascii="Times New Roman" w:hAnsi="Times New Roman" w:cs="Times New Roman"/>
          <w:sz w:val="24"/>
          <w:szCs w:val="24"/>
        </w:rPr>
        <w:fldChar w:fldCharType="begin"/>
      </w:r>
      <w:r w:rsidR="002F6F9F">
        <w:rPr>
          <w:rFonts w:ascii="Times New Roman" w:hAnsi="Times New Roman" w:cs="Times New Roman"/>
          <w:sz w:val="24"/>
          <w:szCs w:val="24"/>
        </w:rPr>
        <w:instrText xml:space="preserve"> ADDIN ZOTERO_ITEM CSL_CITATION {"citationID":"Ub3bnWvL","properties":{"formattedCitation":"\\super 138,140\\nosupersub{}","plainCitation":"138,140","noteIndex":0},"citationItems":[{"id":1949,"uris":["http://zotero.org/users/1918630/items/HMDYTQPA"],"itemData":{"id":1949,"type":"article-journal","abstract":"Proteins are essential to life, and understanding their structure can facilitate a mechanistic understanding of their function. Through an enormous experimental effort1–4, the structures of around 100,000 unique proteins have been determined5, but this represents a small fraction of the billions of known protein sequences6,7. Structural coverage is bottlenecked by the months to years of painstaking effort required to determine a single protein structure. Accurate computational approaches are needed to address this gap and to enable large-scale structural bioinformatics. Predicting the three-dimensional structure that a protein will adopt based solely on its amino acid sequence—the structure prediction component of the ‘protein folding problem’8—has been an important open research problem for more than 50 years9. Despite recent progress10–14, existing methods fall far short of atomic accuracy, especially when no homologous structure is available. Here we provide the first computational method that can regularly predict protein structures with atomic accuracy even in cases in which no similar structure is known. We validated an entirely redesigned version of our neural network-based model, AlphaFold, in the challenging 14th Critical Assessment of protein Structure Prediction (CASP14)15, demonstrating accuracy competitive with experimental structures in a majority of cases and greatly outperforming other methods. Underpinning the latest version of AlphaFold is a novel machine learning approach that incorporates physical and biological knowledge about protein structure, leveraging multi-sequence alignments, into the design of the deep learning algorithm.","container-title":"Nature","DOI":"10.1038/s41586-021-03819-2","ISSN":"1476-4687","issue":"7873","language":"en","license":"2021 The Author(s)","note":"number: 7873\npublisher: Nature Publishing Group","page":"583-589","source":"www.nature.com","title":"Highly accurate protein structure prediction with AlphaFold","volume":"596","author":[{"family":"Jumper","given":"John"},{"family":"Evans","given":"Richard"},{"family":"Pritzel","given":"Alexander"},{"family":"Green","given":"Tim"},{"family":"Figurnov","given":"Michael"},{"family":"Ronneberger","given":"Olaf"},{"family":"Tunyasuvunakool","given":"Kathryn"},{"family":"Bates","given":"Russ"},{"family":"Žídek","given":"Augustin"},{"family":"Potapenko","given":"Anna"},{"family":"Bridgland","given":"Alex"},{"family":"Meyer","given":"Clemens"},{"family":"Kohl","given":"Simon A. A."},{"family":"Ballard","given":"Andrew J."},{"family":"Cowie","given":"Andrew"},{"family":"Romera-Paredes","given":"Bernardino"},{"family":"Nikolov","given":"Stanislav"},{"family":"Jain","given":"Rishub"},{"family":"Adler","given":"Jonas"},{"family":"Back","given":"Trevor"},{"family":"Petersen","given":"Stig"},{"family":"Reiman","given":"David"},{"family":"Clancy","given":"Ellen"},{"family":"Zielinski","given":"Michal"},{"family":"Steinegger","given":"Martin"},{"family":"Pacholska","given":"Michalina"},{"family":"Berghammer","given":"Tamas"},{"family":"Bodenstein","given":"Sebastian"},{"family":"Silver","given":"David"},{"family":"Vinyals","given":"Oriol"},{"family":"Senior","given":"Andrew W."},{"family":"Kavukcuoglu","given":"Koray"},{"family":"Kohli","given":"Pushmeet"},{"family":"Hassabis","given":"Demis"}],"issued":{"date-parts":[["2021",8]]}}},{"id":1951,"uris":["http://zotero.org/users/1918630/items/MBCH84HE"],"itemData":{"id":1951,"type":"article-journal","abstract":"The AlphaFold Protein Structure Database (AlphaFold DB, https://alphafold.ebi.ac.uk) is an openly accessible, extensive database of high-accuracy protein-structure predictions. Powered by AlphaFold v2.0 of DeepMind, it has enabled an unprecedented expansion of the structural coverage of the known protein-sequence space. AlphaFold DB provides programmatic access to and interactive visualization of predicted atomic coordinates, per-residue and pairwise model-confidence estimates and predicted aligned errors. The initial release of AlphaFold DB contains over 360,000 predicted structures across 21 model-organism proteomes, which will soon be expanded to cover most of the (over 100 million) representative sequences from the UniRef90 data set.The AlphaFold Protein Structure Database (AlphaFold DB, https://alphafold.ebi.ac.uk) is an extensive, public database of highly accurate protein structure models. The models are the products of AlphaFold2, an Artificial Intelligence algorithm developed by DeepMind. AlphaFold enabled scientists to investigate an unprecedented number of protein structures. The database we describe here provides access to these predicted models and information on their accuracy. The first version of AlphaFold DB contains over 360,000 models of 21 biologically essential species.","container-title":"Nucleic Acids Research","DOI":"10.1093/nar/gkab1061","ISSN":"0305-1048","issue":"D1","journalAbbreviation":"Nucleic Acids Research","page":"D439-D444","source":"Silverchair","title":"AlphaFold Protein Structure Database: massively expanding the structural coverage of protein-sequence space with high-accuracy models","title-short":"AlphaFold Protein Structure Database","volume":"50","author":[{"family":"Varadi","given":"Mihaly"},{"family":"Anyango","given":"Stephen"},{"family":"Deshpande","given":"Mandar"},{"family":"Nair","given":"Sreenath"},{"family":"Natassia","given":"Cindy"},{"family":"Yordanova","given":"Galabina"},{"family":"Yuan","given":"David"},{"family":"Stroe","given":"Oana"},{"family":"Wood","given":"Gemma"},{"family":"Laydon","given":"Agata"},{"family":"Žídek","given":"Augustin"},{"family":"Green","given":"Tim"},{"family":"Tunyasuvunakool","given":"Kathryn"},{"family":"Petersen","given":"Stig"},{"family":"Jumper","given":"John"},{"family":"Clancy","given":"Ellen"},{"family":"Green","given":"Richard"},{"family":"Vora","given":"Ankur"},{"family":"Lutfi","given":"Mira"},{"family":"Figurnov","given":"Michael"},{"family":"Cowie","given":"Andrew"},{"family":"Hobbs","given":"Nicole"},{"family":"Kohli","given":"Pushmeet"},{"family":"Kleywegt","given":"Gerard"},{"family":"Birney","given":"Ewan"},{"family":"Hassabis","given":"Demis"},{"family":"Velankar","given":"Sameer"}],"issued":{"date-parts":[["2022",1,7]]}}}],"schema":"https://github.com/citation-style-language/schema/raw/master/csl-citation.json"} </w:instrText>
      </w:r>
      <w:r>
        <w:rPr>
          <w:rFonts w:ascii="Times New Roman" w:hAnsi="Times New Roman" w:cs="Times New Roman"/>
          <w:sz w:val="24"/>
          <w:szCs w:val="24"/>
        </w:rPr>
        <w:fldChar w:fldCharType="separate"/>
      </w:r>
      <w:r w:rsidR="002F6F9F" w:rsidRPr="002F6F9F">
        <w:rPr>
          <w:rFonts w:ascii="Times New Roman" w:hAnsi="Times New Roman" w:cs="Times New Roman"/>
          <w:kern w:val="0"/>
          <w:sz w:val="24"/>
          <w:vertAlign w:val="superscript"/>
        </w:rPr>
        <w:t>138,140</w:t>
      </w:r>
      <w:r>
        <w:rPr>
          <w:rFonts w:ascii="Times New Roman" w:hAnsi="Times New Roman" w:cs="Times New Roman"/>
          <w:sz w:val="24"/>
          <w:szCs w:val="24"/>
        </w:rPr>
        <w:fldChar w:fldCharType="end"/>
      </w:r>
      <w:r>
        <w:rPr>
          <w:rFonts w:ascii="Times New Roman" w:hAnsi="Times New Roman" w:cs="Times New Roman"/>
          <w:sz w:val="24"/>
          <w:szCs w:val="24"/>
        </w:rPr>
        <w:t xml:space="preserve"> and the PDB file can be found in the </w:t>
      </w:r>
      <w:proofErr w:type="spellStart"/>
      <w:r>
        <w:rPr>
          <w:rFonts w:ascii="Times New Roman" w:hAnsi="Times New Roman" w:cs="Times New Roman"/>
          <w:sz w:val="24"/>
          <w:szCs w:val="24"/>
        </w:rPr>
        <w:t>AlphaFoldDB</w:t>
      </w:r>
      <w:proofErr w:type="spellEnd"/>
      <w:r>
        <w:rPr>
          <w:rFonts w:ascii="Times New Roman" w:hAnsi="Times New Roman" w:cs="Times New Roman"/>
          <w:sz w:val="24"/>
          <w:szCs w:val="24"/>
        </w:rPr>
        <w:t xml:space="preserve"> with </w:t>
      </w:r>
      <w:proofErr w:type="spellStart"/>
      <w:r>
        <w:rPr>
          <w:rFonts w:ascii="Times New Roman" w:hAnsi="Times New Roman" w:cs="Times New Roman"/>
          <w:sz w:val="24"/>
          <w:szCs w:val="24"/>
        </w:rPr>
        <w:t>UniProt</w:t>
      </w:r>
      <w:proofErr w:type="spellEnd"/>
      <w:r>
        <w:rPr>
          <w:rFonts w:ascii="Times New Roman" w:hAnsi="Times New Roman" w:cs="Times New Roman"/>
          <w:sz w:val="24"/>
          <w:szCs w:val="24"/>
        </w:rPr>
        <w:t xml:space="preserve"> Accession code: </w:t>
      </w:r>
      <w:r w:rsidRPr="00671167">
        <w:rPr>
          <w:rFonts w:ascii="Times New Roman" w:hAnsi="Times New Roman" w:cs="Times New Roman"/>
          <w:sz w:val="24"/>
          <w:szCs w:val="24"/>
        </w:rPr>
        <w:t>P0AEJ0</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AmfB</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AmfD</w:t>
      </w:r>
      <w:proofErr w:type="spellEnd"/>
      <w:r>
        <w:rPr>
          <w:rFonts w:ascii="Times New Roman" w:hAnsi="Times New Roman" w:cs="Times New Roman"/>
          <w:sz w:val="24"/>
          <w:szCs w:val="24"/>
        </w:rPr>
        <w:t xml:space="preserve"> models were predicted with I-TASSER</w:t>
      </w: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{"citationID":"cAFly3wq","properties":{"formattedCitation":"\\super 123\\uc0\\u8211{}125\\nosupersub{}","plainCitation":"123–125","noteIndex":0},"citationItems":[{"id":1838,"uris":["http://zotero.org/users/1918630/items/NIRY9Z3S"],"itemData":{"id":1838,"type":"article-journal","container-title":"Nature Methods","DOI":"10.1038/nmeth.3213","ISSN":"1548-7105","issue":"1","journalAbbreviation":"Nat Methods","language":"en","license":"2015 Springer Nature America, Inc.","note":"number: 1\npublisher: Nature Publishing Group","page":"7-8","source":"www.nature.com","title":"The I-TASSER Suite: protein structure and function prediction","title-short":"The I-TASSER Suite","volume":"12","author":[{"family":"Yang","given":"Jianyi"},{"family":"Yan","given":"Renxiang"},{"family":"Roy","given":"Ambrish"},{"family":"Xu","given":"Dong"},{"family":"Poisson","given":"Jonathan"},{"family":"Zhang","given":"Yang"}],"issued":{"date-parts":[["2015",1]]}}},{"id":1840,"uris":["http://zotero.org/users/1918630/items/JBUBGLAK"],"itemData":{"id":1840,"type":"article-journal","abstract":"The iterative threading assembly refinement (I-TASSER) server is an integrated platform for automated protein structure and function prediction based on the sequence-to-structure-to-function paradigm. Starting from an amino acid sequence, I-TASSER first generates three-dimensional (3D) atomic models from multiple threading alignments and iterative structural assembly simulations. The function of the protein is then inferred by structurally matching the 3D models with other known proteins. The output from a typical server run contains full-length secondary and tertiary structure predictions, and functional annotations on ligand-binding sites, Enzyme Commission numbers and Gene Ontology terms. An estimate of accuracy of the predictions is provided based on the confidence score of the modeling. This protocol provides new insights and guidelines for designing of online server systems for the state-of-the-art protein structure and function predictions. The server is available at http://zhanglab.ccmb.med.umich.edu/I-TASSER.","container-title":"Nature Protocols","DOI":"10.1038/nprot.2010.5","ISSN":"1750-2799","issue":"4","journalAbbreviation":"Nat Protoc","language":"en","license":"2010 Springer Nature Limited","note":"number: 4\npublisher: Nature Publishing Group","page":"725-738","source":"www.nature.com","title":"I-TASSER: a unified platform for automated protein structure and function prediction","title-short":"I-TASSER","volume":"5","author":[{"family":"Roy","given":"Ambrish"},{"family":"Kucukural","given":"Alper"},{"family":"Zhang","given":"Yang"}],"issued":{"date-parts":[["2010",4]]}}},{"id":1842,"uris":["http://zotero.org/users/1918630/items/T3F5D9VI"],"itemData":{"id":1842,"type":"article-journal","abstract":"Prediction of 3-dimensional protein structures from amino acid sequences represents one of the most important problems in computational structural biology. The community-wide Critical Assessment of Structure Prediction (CASP) experiments have been designed to obtain an objective assessment of the state-of-the-art of the field, where I-TASSER was ranked as the best method in the server section of the recent 7th CASP experiment. Our laboratory has since then received numerous requests about the public availability of the I-TASSER algorithm and the usage of the I-TASSER predictions.","container-title":"BMC Bioinformatics","DOI":"10.1186/1471-2105-9-40","ISSN":"1471-2105","issue":"1","journalAbbreviation":"BMC Bioinformatics","page":"40","source":"BioMed Central","title":"I-TASSER server for protein 3D structure prediction","volume":"9","author":[{"family":"Zhang","given":"Yang"}],"issued":{"date-parts":[["2008",1,23]]}}}],"schema":"https://github.com/citation-style-language/schema/raw/master/csl-citation.json"}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kern w:val="0"/>
          <w:sz w:val="24"/>
          <w:vertAlign w:val="superscript"/>
        </w:rPr>
        <w:t>123–125</w:t>
      </w:r>
      <w:r>
        <w:rPr>
          <w:rFonts w:ascii="Times New Roman" w:hAnsi="Times New Roman" w:cs="Times New Roman"/>
          <w:sz w:val="24"/>
          <w:szCs w:val="24"/>
        </w:rPr>
        <w:fldChar w:fldCharType="end"/>
      </w:r>
      <w:r>
        <w:rPr>
          <w:rFonts w:ascii="Times New Roman" w:hAnsi="Times New Roman" w:cs="Times New Roman"/>
          <w:sz w:val="24"/>
          <w:szCs w:val="24"/>
        </w:rPr>
        <w:t xml:space="preserve"> by inputting their AB5075 protein sequences (see appendix). The models were arranged and aligned in Pymol</w:t>
      </w:r>
      <w:r>
        <w:rPr>
          <w:rFonts w:ascii="Times New Roman" w:hAnsi="Times New Roman" w:cs="Times New Roman"/>
          <w:sz w:val="24"/>
          <w:szCs w:val="24"/>
        </w:rPr>
        <w:fldChar w:fldCharType="begin"/>
      </w:r>
      <w:r w:rsidR="002F6F9F">
        <w:rPr>
          <w:rFonts w:ascii="Times New Roman" w:hAnsi="Times New Roman" w:cs="Times New Roman"/>
          <w:sz w:val="24"/>
          <w:szCs w:val="24"/>
        </w:rPr>
        <w:instrText xml:space="preserve"> ADDIN ZOTERO_ITEM CSL_CITATION {"citationID":"FCn9XTok","properties":{"formattedCitation":"\\super 141\\nosupersub{}","plainCitation":"141","noteIndex":0},"citationItems":[{"id":1954,"uris":["http://zotero.org/users/1918630/items/3U5CGA2D"],"itemData":{"id":1954,"type":"software","publisher":"Schrödinger, LLC.","title":"The PyMOL Molecular Graphics System","version":"2.2.2"}}],"schema":"https://github.com/citation-style-language/schema/raw/master/csl-citation.json"} </w:instrText>
      </w:r>
      <w:r>
        <w:rPr>
          <w:rFonts w:ascii="Times New Roman" w:hAnsi="Times New Roman" w:cs="Times New Roman"/>
          <w:sz w:val="24"/>
          <w:szCs w:val="24"/>
        </w:rPr>
        <w:fldChar w:fldCharType="separate"/>
      </w:r>
      <w:r w:rsidR="002F6F9F" w:rsidRPr="002F6F9F">
        <w:rPr>
          <w:rFonts w:ascii="Times New Roman" w:hAnsi="Times New Roman" w:cs="Times New Roman"/>
          <w:kern w:val="0"/>
          <w:sz w:val="24"/>
          <w:vertAlign w:val="superscript"/>
        </w:rPr>
        <w:t>141</w:t>
      </w:r>
      <w:r>
        <w:rPr>
          <w:rFonts w:ascii="Times New Roman" w:hAnsi="Times New Roman" w:cs="Times New Roman"/>
          <w:sz w:val="24"/>
          <w:szCs w:val="24"/>
        </w:rPr>
        <w:fldChar w:fldCharType="end"/>
      </w:r>
      <w:r>
        <w:rPr>
          <w:rFonts w:ascii="Times New Roman" w:hAnsi="Times New Roman" w:cs="Times New Roman"/>
          <w:sz w:val="24"/>
          <w:szCs w:val="24"/>
        </w:rPr>
        <w:t>, showing the amino acid chain as a rainbow cartoon within the surface model shown in 80% transparency light grey.</w:t>
      </w:r>
    </w:p>
    <w:p w14:paraId="3D102E16" w14:textId="77777777" w:rsidR="00527841" w:rsidRDefault="00527841" w:rsidP="00527841">
      <w:pPr>
        <w:pStyle w:val="ListParagraph"/>
        <w:ind w:left="-540"/>
        <w:rPr>
          <w:rFonts w:ascii="Times New Roman" w:hAnsi="Times New Roman" w:cs="Times New Roman"/>
          <w:b/>
          <w:bCs/>
          <w:sz w:val="24"/>
          <w:szCs w:val="24"/>
        </w:rPr>
      </w:pPr>
    </w:p>
    <w:p w14:paraId="1EAC43A1" w14:textId="77777777" w:rsidR="00604D53" w:rsidRDefault="00527841" w:rsidP="00527841">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ab/>
      </w:r>
    </w:p>
    <w:p w14:paraId="11F70609" w14:textId="715985AB" w:rsidR="003D0C94" w:rsidRDefault="00604D53" w:rsidP="00D20238">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ab/>
        <w:t xml:space="preserve">The I-TASSER output results gave the top 5 final models in a PDB file format, along with an estimated TM-score, an </w:t>
      </w:r>
      <w:r w:rsidR="00DE4DFF">
        <w:rPr>
          <w:rFonts w:ascii="Times New Roman" w:hAnsi="Times New Roman" w:cs="Times New Roman"/>
          <w:sz w:val="24"/>
          <w:szCs w:val="24"/>
        </w:rPr>
        <w:t>indicator</w:t>
      </w:r>
      <w:r>
        <w:rPr>
          <w:rFonts w:ascii="Times New Roman" w:hAnsi="Times New Roman" w:cs="Times New Roman"/>
          <w:sz w:val="24"/>
          <w:szCs w:val="24"/>
        </w:rPr>
        <w:t xml:space="preserve"> of model confidence</w:t>
      </w:r>
      <w:r w:rsidR="0054565F">
        <w:rPr>
          <w:rFonts w:ascii="Times New Roman" w:hAnsi="Times New Roman" w:cs="Times New Roman"/>
          <w:sz w:val="24"/>
          <w:szCs w:val="24"/>
        </w:rPr>
        <w:t xml:space="preserve"> calculated based on significance of threading template alignments, contact map satisfaction rate, mean absolute error between distance of model and distance of </w:t>
      </w:r>
      <w:proofErr w:type="spellStart"/>
      <w:r w:rsidR="0054565F">
        <w:rPr>
          <w:rFonts w:ascii="Times New Roman" w:hAnsi="Times New Roman" w:cs="Times New Roman"/>
          <w:sz w:val="24"/>
          <w:szCs w:val="24"/>
        </w:rPr>
        <w:t>AttentionPotential</w:t>
      </w:r>
      <w:proofErr w:type="spellEnd"/>
      <w:r w:rsidR="0054565F">
        <w:rPr>
          <w:rFonts w:ascii="Times New Roman" w:hAnsi="Times New Roman" w:cs="Times New Roman"/>
          <w:sz w:val="24"/>
          <w:szCs w:val="24"/>
        </w:rPr>
        <w:t xml:space="preserve"> and convergence of I-TASSER simulations. Estimated TM scores are usually in the range of 0 to 1, with higher </w:t>
      </w:r>
      <w:proofErr w:type="spellStart"/>
      <w:r w:rsidR="0054565F">
        <w:rPr>
          <w:rFonts w:ascii="Times New Roman" w:hAnsi="Times New Roman" w:cs="Times New Roman"/>
          <w:sz w:val="24"/>
          <w:szCs w:val="24"/>
        </w:rPr>
        <w:t>eTM</w:t>
      </w:r>
      <w:proofErr w:type="spellEnd"/>
      <w:r w:rsidR="0054565F">
        <w:rPr>
          <w:rFonts w:ascii="Times New Roman" w:hAnsi="Times New Roman" w:cs="Times New Roman"/>
          <w:sz w:val="24"/>
          <w:szCs w:val="24"/>
        </w:rPr>
        <w:t xml:space="preserve"> scores signifying a higher confidence in model quality. </w:t>
      </w:r>
      <w:r w:rsidR="0088754A">
        <w:rPr>
          <w:rFonts w:ascii="Times New Roman" w:hAnsi="Times New Roman" w:cs="Times New Roman"/>
          <w:sz w:val="24"/>
          <w:szCs w:val="24"/>
        </w:rPr>
        <w:t xml:space="preserve">The predicted </w:t>
      </w:r>
      <w:proofErr w:type="spellStart"/>
      <w:r w:rsidR="0088754A">
        <w:rPr>
          <w:rFonts w:ascii="Times New Roman" w:hAnsi="Times New Roman" w:cs="Times New Roman"/>
          <w:sz w:val="24"/>
          <w:szCs w:val="24"/>
        </w:rPr>
        <w:t>Amf</w:t>
      </w:r>
      <w:proofErr w:type="spellEnd"/>
      <w:r w:rsidR="0088754A">
        <w:rPr>
          <w:rFonts w:ascii="Times New Roman" w:hAnsi="Times New Roman" w:cs="Times New Roman"/>
          <w:sz w:val="24"/>
          <w:szCs w:val="24"/>
        </w:rPr>
        <w:t xml:space="preserve"> </w:t>
      </w:r>
      <w:r w:rsidR="00F900FF">
        <w:rPr>
          <w:rFonts w:ascii="Times New Roman" w:hAnsi="Times New Roman" w:cs="Times New Roman"/>
          <w:sz w:val="24"/>
          <w:szCs w:val="24"/>
        </w:rPr>
        <w:t>transporter</w:t>
      </w:r>
      <w:r w:rsidR="0088754A">
        <w:rPr>
          <w:rFonts w:ascii="Times New Roman" w:hAnsi="Times New Roman" w:cs="Times New Roman"/>
          <w:sz w:val="24"/>
          <w:szCs w:val="24"/>
        </w:rPr>
        <w:t xml:space="preserve"> models had the following </w:t>
      </w:r>
      <w:proofErr w:type="spellStart"/>
      <w:r w:rsidR="0088754A">
        <w:rPr>
          <w:rFonts w:ascii="Times New Roman" w:hAnsi="Times New Roman" w:cs="Times New Roman"/>
          <w:sz w:val="24"/>
          <w:szCs w:val="24"/>
        </w:rPr>
        <w:t>eTM</w:t>
      </w:r>
      <w:proofErr w:type="spellEnd"/>
      <w:r w:rsidR="0088754A">
        <w:rPr>
          <w:rFonts w:ascii="Times New Roman" w:hAnsi="Times New Roman" w:cs="Times New Roman"/>
          <w:sz w:val="24"/>
          <w:szCs w:val="24"/>
        </w:rPr>
        <w:t xml:space="preserve"> scores: </w:t>
      </w:r>
      <w:proofErr w:type="spellStart"/>
      <w:r w:rsidR="0088754A">
        <w:rPr>
          <w:rFonts w:ascii="Times New Roman" w:hAnsi="Times New Roman" w:cs="Times New Roman"/>
          <w:sz w:val="24"/>
          <w:szCs w:val="24"/>
        </w:rPr>
        <w:t>AmfB</w:t>
      </w:r>
      <w:proofErr w:type="spellEnd"/>
      <w:r w:rsidR="0088754A">
        <w:rPr>
          <w:rFonts w:ascii="Times New Roman" w:hAnsi="Times New Roman" w:cs="Times New Roman"/>
          <w:sz w:val="24"/>
          <w:szCs w:val="24"/>
        </w:rPr>
        <w:t xml:space="preserve"> </w:t>
      </w:r>
      <w:proofErr w:type="spellStart"/>
      <w:r w:rsidR="0088754A">
        <w:rPr>
          <w:rFonts w:ascii="Times New Roman" w:hAnsi="Times New Roman" w:cs="Times New Roman"/>
          <w:sz w:val="24"/>
          <w:szCs w:val="24"/>
        </w:rPr>
        <w:t>eTM</w:t>
      </w:r>
      <w:proofErr w:type="spellEnd"/>
      <w:r w:rsidR="0088754A">
        <w:rPr>
          <w:rFonts w:ascii="Times New Roman" w:hAnsi="Times New Roman" w:cs="Times New Roman"/>
          <w:sz w:val="24"/>
          <w:szCs w:val="24"/>
        </w:rPr>
        <w:t xml:space="preserve"> = 0.76</w:t>
      </w:r>
      <w:r w:rsidR="00F900FF">
        <w:rPr>
          <w:rFonts w:ascii="Times New Roman" w:hAnsi="Times New Roman" w:cs="Times New Roman"/>
          <w:sz w:val="24"/>
          <w:szCs w:val="24"/>
        </w:rPr>
        <w:t>,</w:t>
      </w:r>
      <w:r w:rsidR="0088754A">
        <w:rPr>
          <w:rFonts w:ascii="Times New Roman" w:hAnsi="Times New Roman" w:cs="Times New Roman"/>
          <w:sz w:val="24"/>
          <w:szCs w:val="24"/>
        </w:rPr>
        <w:t xml:space="preserve"> </w:t>
      </w:r>
      <w:proofErr w:type="spellStart"/>
      <w:r w:rsidR="0088754A">
        <w:rPr>
          <w:rFonts w:ascii="Times New Roman" w:hAnsi="Times New Roman" w:cs="Times New Roman"/>
          <w:sz w:val="24"/>
          <w:szCs w:val="24"/>
        </w:rPr>
        <w:t>AmfD</w:t>
      </w:r>
      <w:proofErr w:type="spellEnd"/>
      <w:r w:rsidR="0088754A">
        <w:rPr>
          <w:rFonts w:ascii="Times New Roman" w:hAnsi="Times New Roman" w:cs="Times New Roman"/>
          <w:sz w:val="24"/>
          <w:szCs w:val="24"/>
        </w:rPr>
        <w:t xml:space="preserve"> </w:t>
      </w:r>
      <w:proofErr w:type="spellStart"/>
      <w:r w:rsidR="0088754A">
        <w:rPr>
          <w:rFonts w:ascii="Times New Roman" w:hAnsi="Times New Roman" w:cs="Times New Roman"/>
          <w:sz w:val="24"/>
          <w:szCs w:val="24"/>
        </w:rPr>
        <w:t>eTM</w:t>
      </w:r>
      <w:proofErr w:type="spellEnd"/>
      <w:r w:rsidR="0088754A">
        <w:rPr>
          <w:rFonts w:ascii="Times New Roman" w:hAnsi="Times New Roman" w:cs="Times New Roman"/>
          <w:sz w:val="24"/>
          <w:szCs w:val="24"/>
        </w:rPr>
        <w:t xml:space="preserve"> = 0.60. </w:t>
      </w:r>
    </w:p>
    <w:p w14:paraId="106EAB7E" w14:textId="67D8A4C2" w:rsidR="00D20238" w:rsidRDefault="003D0C94" w:rsidP="00D20238">
      <w:pPr>
        <w:pStyle w:val="ListParagraph"/>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To compare how well the two </w:t>
      </w:r>
      <w:proofErr w:type="spellStart"/>
      <w:r>
        <w:rPr>
          <w:rFonts w:ascii="Times New Roman" w:hAnsi="Times New Roman" w:cs="Times New Roman"/>
          <w:sz w:val="24"/>
          <w:szCs w:val="24"/>
        </w:rPr>
        <w:t>Amf</w:t>
      </w:r>
      <w:proofErr w:type="spellEnd"/>
      <w:r>
        <w:rPr>
          <w:rFonts w:ascii="Times New Roman" w:hAnsi="Times New Roman" w:cs="Times New Roman"/>
          <w:sz w:val="24"/>
          <w:szCs w:val="24"/>
        </w:rPr>
        <w:t xml:space="preserve"> transporters overlapped with </w:t>
      </w:r>
      <w:proofErr w:type="spellStart"/>
      <w:r>
        <w:rPr>
          <w:rFonts w:ascii="Times New Roman" w:hAnsi="Times New Roman" w:cs="Times New Roman"/>
          <w:sz w:val="24"/>
          <w:szCs w:val="24"/>
        </w:rPr>
        <w:t>EmrB</w:t>
      </w:r>
      <w:proofErr w:type="spellEnd"/>
      <w:r>
        <w:rPr>
          <w:rFonts w:ascii="Times New Roman" w:hAnsi="Times New Roman" w:cs="Times New Roman"/>
          <w:sz w:val="24"/>
          <w:szCs w:val="24"/>
        </w:rPr>
        <w:t xml:space="preserve">, they were each aligned to the </w:t>
      </w:r>
      <w:proofErr w:type="spellStart"/>
      <w:r>
        <w:rPr>
          <w:rFonts w:ascii="Times New Roman" w:hAnsi="Times New Roman" w:cs="Times New Roman"/>
          <w:sz w:val="24"/>
          <w:szCs w:val="24"/>
        </w:rPr>
        <w:t>EmrB</w:t>
      </w:r>
      <w:proofErr w:type="spellEnd"/>
      <w:r>
        <w:rPr>
          <w:rFonts w:ascii="Times New Roman" w:hAnsi="Times New Roman" w:cs="Times New Roman"/>
          <w:sz w:val="24"/>
          <w:szCs w:val="24"/>
        </w:rPr>
        <w:t xml:space="preserve"> model using the align function in </w:t>
      </w:r>
      <w:proofErr w:type="spellStart"/>
      <w:r>
        <w:rPr>
          <w:rFonts w:ascii="Times New Roman" w:hAnsi="Times New Roman" w:cs="Times New Roman"/>
          <w:sz w:val="24"/>
          <w:szCs w:val="24"/>
        </w:rPr>
        <w:t>Pymol</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Figure 3.3-D,E</w:t>
      </w:r>
      <w:r w:rsidR="00DE4DFF">
        <w:rPr>
          <w:rFonts w:ascii="Times New Roman" w:hAnsi="Times New Roman" w:cs="Times New Roman"/>
          <w:b/>
          <w:bCs/>
          <w:sz w:val="24"/>
          <w:szCs w:val="24"/>
        </w:rPr>
        <w:t>,F</w:t>
      </w:r>
      <w:r>
        <w:rPr>
          <w:rFonts w:ascii="Times New Roman" w:hAnsi="Times New Roman" w:cs="Times New Roman"/>
          <w:sz w:val="24"/>
          <w:szCs w:val="24"/>
        </w:rPr>
        <w:t xml:space="preserve">). </w:t>
      </w:r>
      <w:proofErr w:type="spellStart"/>
      <w:r w:rsidR="00527841">
        <w:rPr>
          <w:rFonts w:ascii="Times New Roman" w:hAnsi="Times New Roman" w:cs="Times New Roman"/>
          <w:sz w:val="24"/>
          <w:szCs w:val="24"/>
        </w:rPr>
        <w:t>AmfB</w:t>
      </w:r>
      <w:proofErr w:type="spellEnd"/>
      <w:r w:rsidR="00527841">
        <w:rPr>
          <w:rFonts w:ascii="Times New Roman" w:hAnsi="Times New Roman" w:cs="Times New Roman"/>
          <w:sz w:val="24"/>
          <w:szCs w:val="24"/>
        </w:rPr>
        <w:t xml:space="preserve"> and </w:t>
      </w:r>
      <w:proofErr w:type="spellStart"/>
      <w:r w:rsidR="00527841">
        <w:rPr>
          <w:rFonts w:ascii="Times New Roman" w:hAnsi="Times New Roman" w:cs="Times New Roman"/>
          <w:sz w:val="24"/>
          <w:szCs w:val="24"/>
        </w:rPr>
        <w:t>AmfD</w:t>
      </w:r>
      <w:proofErr w:type="spellEnd"/>
      <w:r w:rsidR="00527841">
        <w:rPr>
          <w:rFonts w:ascii="Times New Roman" w:hAnsi="Times New Roman" w:cs="Times New Roman"/>
          <w:sz w:val="24"/>
          <w:szCs w:val="24"/>
        </w:rPr>
        <w:t xml:space="preserve"> share the same general shape as </w:t>
      </w:r>
      <w:proofErr w:type="spellStart"/>
      <w:r w:rsidR="00527841">
        <w:rPr>
          <w:rFonts w:ascii="Times New Roman" w:hAnsi="Times New Roman" w:cs="Times New Roman"/>
          <w:sz w:val="24"/>
          <w:szCs w:val="24"/>
        </w:rPr>
        <w:t>EmrB</w:t>
      </w:r>
      <w:proofErr w:type="spellEnd"/>
      <w:r w:rsidR="00527841">
        <w:rPr>
          <w:rFonts w:ascii="Times New Roman" w:hAnsi="Times New Roman" w:cs="Times New Roman"/>
          <w:sz w:val="24"/>
          <w:szCs w:val="24"/>
        </w:rPr>
        <w:t xml:space="preserve"> (</w:t>
      </w:r>
      <w:r w:rsidR="00527841">
        <w:rPr>
          <w:rFonts w:ascii="Times New Roman" w:hAnsi="Times New Roman" w:cs="Times New Roman"/>
          <w:b/>
          <w:bCs/>
          <w:sz w:val="24"/>
          <w:szCs w:val="24"/>
        </w:rPr>
        <w:t>Figure 3.</w:t>
      </w:r>
      <w:r w:rsidR="00A9426D">
        <w:rPr>
          <w:rFonts w:ascii="Times New Roman" w:hAnsi="Times New Roman" w:cs="Times New Roman"/>
          <w:b/>
          <w:bCs/>
          <w:sz w:val="24"/>
          <w:szCs w:val="24"/>
        </w:rPr>
        <w:t>3</w:t>
      </w:r>
      <w:r w:rsidR="00527841">
        <w:rPr>
          <w:rFonts w:ascii="Times New Roman" w:hAnsi="Times New Roman" w:cs="Times New Roman"/>
          <w:b/>
          <w:bCs/>
          <w:sz w:val="24"/>
          <w:szCs w:val="24"/>
        </w:rPr>
        <w:t>-A,B,C</w:t>
      </w:r>
      <w:r w:rsidR="00527841">
        <w:rPr>
          <w:rFonts w:ascii="Times New Roman" w:hAnsi="Times New Roman" w:cs="Times New Roman"/>
          <w:sz w:val="24"/>
          <w:szCs w:val="24"/>
        </w:rPr>
        <w:t>)</w:t>
      </w:r>
      <w:r w:rsidR="006F5CE7">
        <w:rPr>
          <w:rFonts w:ascii="Times New Roman" w:hAnsi="Times New Roman" w:cs="Times New Roman"/>
          <w:sz w:val="24"/>
          <w:szCs w:val="24"/>
        </w:rPr>
        <w:t>, although a</w:t>
      </w:r>
      <w:r w:rsidR="00527841">
        <w:rPr>
          <w:rFonts w:ascii="Times New Roman" w:hAnsi="Times New Roman" w:cs="Times New Roman"/>
          <w:sz w:val="24"/>
          <w:szCs w:val="24"/>
        </w:rPr>
        <w:t xml:space="preserve">lignment of these transporter monomers </w:t>
      </w:r>
      <w:r w:rsidR="0097217C">
        <w:rPr>
          <w:rFonts w:ascii="Times New Roman" w:hAnsi="Times New Roman" w:cs="Times New Roman"/>
          <w:sz w:val="24"/>
          <w:szCs w:val="24"/>
        </w:rPr>
        <w:t xml:space="preserve">shows that the </w:t>
      </w:r>
      <w:proofErr w:type="spellStart"/>
      <w:r w:rsidR="0097217C">
        <w:rPr>
          <w:rFonts w:ascii="Times New Roman" w:hAnsi="Times New Roman" w:cs="Times New Roman"/>
          <w:sz w:val="24"/>
          <w:szCs w:val="24"/>
        </w:rPr>
        <w:t>Amf</w:t>
      </w:r>
      <w:proofErr w:type="spellEnd"/>
      <w:r w:rsidR="0097217C">
        <w:rPr>
          <w:rFonts w:ascii="Times New Roman" w:hAnsi="Times New Roman" w:cs="Times New Roman"/>
          <w:sz w:val="24"/>
          <w:szCs w:val="24"/>
        </w:rPr>
        <w:t xml:space="preserve"> transporters are more similar to each other (RMSD = 1.78) than they are to </w:t>
      </w:r>
      <w:proofErr w:type="spellStart"/>
      <w:r w:rsidR="0097217C">
        <w:rPr>
          <w:rFonts w:ascii="Times New Roman" w:hAnsi="Times New Roman" w:cs="Times New Roman"/>
          <w:sz w:val="24"/>
          <w:szCs w:val="24"/>
        </w:rPr>
        <w:t>EmrB</w:t>
      </w:r>
      <w:proofErr w:type="spellEnd"/>
      <w:r w:rsidR="0097217C">
        <w:rPr>
          <w:rFonts w:ascii="Times New Roman" w:hAnsi="Times New Roman" w:cs="Times New Roman"/>
          <w:sz w:val="24"/>
          <w:szCs w:val="24"/>
        </w:rPr>
        <w:t xml:space="preserve"> (</w:t>
      </w:r>
      <w:proofErr w:type="spellStart"/>
      <w:r w:rsidR="0097217C">
        <w:rPr>
          <w:rFonts w:ascii="Times New Roman" w:hAnsi="Times New Roman" w:cs="Times New Roman"/>
          <w:sz w:val="24"/>
          <w:szCs w:val="24"/>
        </w:rPr>
        <w:t>AmfB</w:t>
      </w:r>
      <w:proofErr w:type="spellEnd"/>
      <w:r w:rsidR="0097217C">
        <w:rPr>
          <w:rFonts w:ascii="Times New Roman" w:hAnsi="Times New Roman" w:cs="Times New Roman"/>
          <w:sz w:val="24"/>
          <w:szCs w:val="24"/>
        </w:rPr>
        <w:t xml:space="preserve"> + </w:t>
      </w:r>
      <w:proofErr w:type="spellStart"/>
      <w:r w:rsidR="0097217C">
        <w:rPr>
          <w:rFonts w:ascii="Times New Roman" w:hAnsi="Times New Roman" w:cs="Times New Roman"/>
          <w:sz w:val="24"/>
          <w:szCs w:val="24"/>
        </w:rPr>
        <w:t>EmrB</w:t>
      </w:r>
      <w:proofErr w:type="spellEnd"/>
      <w:r w:rsidR="0097217C">
        <w:rPr>
          <w:rFonts w:ascii="Times New Roman" w:hAnsi="Times New Roman" w:cs="Times New Roman"/>
          <w:sz w:val="24"/>
          <w:szCs w:val="24"/>
        </w:rPr>
        <w:t xml:space="preserve"> RMSD = 2.99, </w:t>
      </w:r>
      <w:proofErr w:type="spellStart"/>
      <w:r w:rsidR="0097217C">
        <w:rPr>
          <w:rFonts w:ascii="Times New Roman" w:hAnsi="Times New Roman" w:cs="Times New Roman"/>
          <w:sz w:val="24"/>
          <w:szCs w:val="24"/>
        </w:rPr>
        <w:t>AmfD</w:t>
      </w:r>
      <w:proofErr w:type="spellEnd"/>
      <w:r w:rsidR="0097217C">
        <w:rPr>
          <w:rFonts w:ascii="Times New Roman" w:hAnsi="Times New Roman" w:cs="Times New Roman"/>
          <w:sz w:val="24"/>
          <w:szCs w:val="24"/>
        </w:rPr>
        <w:t xml:space="preserve"> + </w:t>
      </w:r>
      <w:proofErr w:type="spellStart"/>
      <w:r w:rsidR="0097217C">
        <w:rPr>
          <w:rFonts w:ascii="Times New Roman" w:hAnsi="Times New Roman" w:cs="Times New Roman"/>
          <w:sz w:val="24"/>
          <w:szCs w:val="24"/>
        </w:rPr>
        <w:t>EmrB</w:t>
      </w:r>
      <w:proofErr w:type="spellEnd"/>
      <w:r w:rsidR="0097217C">
        <w:rPr>
          <w:rFonts w:ascii="Times New Roman" w:hAnsi="Times New Roman" w:cs="Times New Roman"/>
          <w:sz w:val="24"/>
          <w:szCs w:val="24"/>
        </w:rPr>
        <w:t xml:space="preserve"> RMSD = 5.44). </w:t>
      </w:r>
      <w:r w:rsidR="00D20238">
        <w:rPr>
          <w:rFonts w:ascii="Times New Roman" w:hAnsi="Times New Roman" w:cs="Times New Roman"/>
          <w:sz w:val="24"/>
          <w:szCs w:val="24"/>
        </w:rPr>
        <w:t xml:space="preserve">The alignment differences can be in part attributed to unstructured regions within the predicted </w:t>
      </w:r>
      <w:proofErr w:type="spellStart"/>
      <w:r w:rsidR="00D20238">
        <w:rPr>
          <w:rFonts w:ascii="Times New Roman" w:hAnsi="Times New Roman" w:cs="Times New Roman"/>
          <w:sz w:val="24"/>
          <w:szCs w:val="24"/>
        </w:rPr>
        <w:t>Amf</w:t>
      </w:r>
      <w:proofErr w:type="spellEnd"/>
      <w:r w:rsidR="00D20238">
        <w:rPr>
          <w:rFonts w:ascii="Times New Roman" w:hAnsi="Times New Roman" w:cs="Times New Roman"/>
          <w:sz w:val="24"/>
          <w:szCs w:val="24"/>
        </w:rPr>
        <w:t xml:space="preserve"> transporter models. The two longer helices in </w:t>
      </w:r>
      <w:proofErr w:type="spellStart"/>
      <w:r w:rsidR="00D20238">
        <w:rPr>
          <w:rFonts w:ascii="Times New Roman" w:hAnsi="Times New Roman" w:cs="Times New Roman"/>
          <w:sz w:val="24"/>
          <w:szCs w:val="24"/>
        </w:rPr>
        <w:t>EmrB</w:t>
      </w:r>
      <w:proofErr w:type="spellEnd"/>
      <w:r w:rsidR="00D20238">
        <w:rPr>
          <w:rFonts w:ascii="Times New Roman" w:hAnsi="Times New Roman" w:cs="Times New Roman"/>
          <w:sz w:val="24"/>
          <w:szCs w:val="24"/>
        </w:rPr>
        <w:t xml:space="preserve"> are bridged at the top by a short alpha helix while </w:t>
      </w:r>
      <w:proofErr w:type="spellStart"/>
      <w:r w:rsidR="00D20238">
        <w:rPr>
          <w:rFonts w:ascii="Times New Roman" w:hAnsi="Times New Roman" w:cs="Times New Roman"/>
          <w:sz w:val="24"/>
          <w:szCs w:val="24"/>
        </w:rPr>
        <w:t>AmfB</w:t>
      </w:r>
      <w:proofErr w:type="spellEnd"/>
      <w:r w:rsidR="00D20238">
        <w:rPr>
          <w:rFonts w:ascii="Times New Roman" w:hAnsi="Times New Roman" w:cs="Times New Roman"/>
          <w:sz w:val="24"/>
          <w:szCs w:val="24"/>
        </w:rPr>
        <w:t xml:space="preserve"> and </w:t>
      </w:r>
      <w:proofErr w:type="spellStart"/>
      <w:r w:rsidR="00D20238">
        <w:rPr>
          <w:rFonts w:ascii="Times New Roman" w:hAnsi="Times New Roman" w:cs="Times New Roman"/>
          <w:sz w:val="24"/>
          <w:szCs w:val="24"/>
        </w:rPr>
        <w:t>AmfD</w:t>
      </w:r>
      <w:proofErr w:type="spellEnd"/>
      <w:r w:rsidR="00D20238">
        <w:rPr>
          <w:rFonts w:ascii="Times New Roman" w:hAnsi="Times New Roman" w:cs="Times New Roman"/>
          <w:sz w:val="24"/>
          <w:szCs w:val="24"/>
        </w:rPr>
        <w:t xml:space="preserve"> instead have its two longer helices linked by an unstructured region. Additionally, </w:t>
      </w:r>
      <w:proofErr w:type="spellStart"/>
      <w:r w:rsidR="00D20238">
        <w:rPr>
          <w:rFonts w:ascii="Times New Roman" w:hAnsi="Times New Roman" w:cs="Times New Roman"/>
          <w:sz w:val="24"/>
          <w:szCs w:val="24"/>
        </w:rPr>
        <w:t>AmfD</w:t>
      </w:r>
      <w:proofErr w:type="spellEnd"/>
      <w:r w:rsidR="00D20238">
        <w:rPr>
          <w:rFonts w:ascii="Times New Roman" w:hAnsi="Times New Roman" w:cs="Times New Roman"/>
          <w:sz w:val="24"/>
          <w:szCs w:val="24"/>
        </w:rPr>
        <w:t xml:space="preserve"> also has an unstructured region at the proximal end of the transporter. </w:t>
      </w:r>
      <w:r w:rsidR="0097217C">
        <w:rPr>
          <w:rFonts w:ascii="Times New Roman" w:hAnsi="Times New Roman" w:cs="Times New Roman"/>
          <w:sz w:val="24"/>
          <w:szCs w:val="24"/>
        </w:rPr>
        <w:t xml:space="preserve">This difference in alignment is </w:t>
      </w:r>
      <w:r w:rsidR="00D20238">
        <w:rPr>
          <w:rFonts w:ascii="Times New Roman" w:hAnsi="Times New Roman" w:cs="Times New Roman"/>
          <w:sz w:val="24"/>
          <w:szCs w:val="24"/>
        </w:rPr>
        <w:t xml:space="preserve">also </w:t>
      </w:r>
      <w:r w:rsidR="0097217C">
        <w:rPr>
          <w:rFonts w:ascii="Times New Roman" w:hAnsi="Times New Roman" w:cs="Times New Roman"/>
          <w:sz w:val="24"/>
          <w:szCs w:val="24"/>
        </w:rPr>
        <w:t>in part due to the difference in number of transmembrane helice</w:t>
      </w:r>
      <w:r>
        <w:rPr>
          <w:rFonts w:ascii="Times New Roman" w:hAnsi="Times New Roman" w:cs="Times New Roman"/>
          <w:sz w:val="24"/>
          <w:szCs w:val="24"/>
        </w:rPr>
        <w:t xml:space="preserve">s: </w:t>
      </w:r>
      <w:r w:rsidRPr="003D0C94">
        <w:rPr>
          <w:rFonts w:ascii="Times New Roman" w:hAnsi="Times New Roman" w:cs="Times New Roman"/>
          <w:sz w:val="24"/>
          <w:szCs w:val="24"/>
        </w:rPr>
        <w:t xml:space="preserve">The I-TASSER predicted models of </w:t>
      </w:r>
      <w:proofErr w:type="spellStart"/>
      <w:r w:rsidRPr="003D0C94">
        <w:rPr>
          <w:rFonts w:ascii="Times New Roman" w:hAnsi="Times New Roman" w:cs="Times New Roman"/>
          <w:sz w:val="24"/>
          <w:szCs w:val="24"/>
        </w:rPr>
        <w:t>AmfB</w:t>
      </w:r>
      <w:proofErr w:type="spellEnd"/>
      <w:r w:rsidRPr="003D0C94">
        <w:rPr>
          <w:rFonts w:ascii="Times New Roman" w:hAnsi="Times New Roman" w:cs="Times New Roman"/>
          <w:sz w:val="24"/>
          <w:szCs w:val="24"/>
        </w:rPr>
        <w:t xml:space="preserve"> and </w:t>
      </w:r>
      <w:proofErr w:type="spellStart"/>
      <w:r w:rsidRPr="003D0C94">
        <w:rPr>
          <w:rFonts w:ascii="Times New Roman" w:hAnsi="Times New Roman" w:cs="Times New Roman"/>
          <w:sz w:val="24"/>
          <w:szCs w:val="24"/>
        </w:rPr>
        <w:t>AmfD</w:t>
      </w:r>
      <w:proofErr w:type="spellEnd"/>
      <w:r w:rsidRPr="003D0C94">
        <w:rPr>
          <w:rFonts w:ascii="Times New Roman" w:hAnsi="Times New Roman" w:cs="Times New Roman"/>
          <w:sz w:val="24"/>
          <w:szCs w:val="24"/>
        </w:rPr>
        <w:t xml:space="preserve"> both have 12 transmembrane helices, unlike the AlphaFold predicted model </w:t>
      </w:r>
      <w:proofErr w:type="spellStart"/>
      <w:r w:rsidRPr="003D0C94">
        <w:rPr>
          <w:rFonts w:ascii="Times New Roman" w:hAnsi="Times New Roman" w:cs="Times New Roman"/>
          <w:sz w:val="24"/>
          <w:szCs w:val="24"/>
        </w:rPr>
        <w:t>EmrB</w:t>
      </w:r>
      <w:proofErr w:type="spellEnd"/>
      <w:r w:rsidRPr="003D0C94">
        <w:rPr>
          <w:rFonts w:ascii="Times New Roman" w:hAnsi="Times New Roman" w:cs="Times New Roman"/>
          <w:sz w:val="24"/>
          <w:szCs w:val="24"/>
        </w:rPr>
        <w:t xml:space="preserve"> which has 14.</w:t>
      </w:r>
      <w:r>
        <w:rPr>
          <w:rFonts w:ascii="Times New Roman" w:hAnsi="Times New Roman" w:cs="Times New Roman"/>
          <w:sz w:val="24"/>
          <w:szCs w:val="24"/>
        </w:rPr>
        <w:t xml:space="preserve"> </w:t>
      </w:r>
      <w:r w:rsidR="00D20238">
        <w:rPr>
          <w:rFonts w:ascii="Times New Roman" w:hAnsi="Times New Roman" w:cs="Times New Roman"/>
          <w:sz w:val="24"/>
          <w:szCs w:val="24"/>
        </w:rPr>
        <w:t>In MFS transporters, the transmembrane domain plays an important role in proton translocation</w:t>
      </w:r>
      <w:r w:rsidR="00D20238">
        <w:rPr>
          <w:rFonts w:ascii="Times New Roman" w:hAnsi="Times New Roman" w:cs="Times New Roman"/>
          <w:sz w:val="24"/>
          <w:szCs w:val="24"/>
        </w:rPr>
        <w:fldChar w:fldCharType="begin"/>
      </w:r>
      <w:r w:rsidR="00D20238">
        <w:rPr>
          <w:rFonts w:ascii="Times New Roman" w:hAnsi="Times New Roman" w:cs="Times New Roman"/>
          <w:sz w:val="24"/>
          <w:szCs w:val="24"/>
        </w:rPr>
        <w:instrText xml:space="preserve"> ADDIN ZOTERO_ITEM CSL_CITATION {"citationID":"a1obf7m32ng","properties":{"formattedCitation":"\\super 142\\nosupersub{}","plainCitation":"142","noteIndex":0},"citationItems":[{"id":2140,"uris":["http://zotero.org/users/1918630/items/HY2SLND8"],"itemData":{"id":2140,"type":"article-journal","abstract":"Multidrug efflux pumps are major contributors to intrinsic antibiotic resistance in Gram-negative pathogens. The basic structure of these pumps comprises an inner membrane transporter, a periplasmic membrane fusion protein and an outer membrane channel. However, the architecture and composition of multidrug efflux complexes vary significantly because of the topological and functional diversity of the inner membrane transporters. This article presents the current views on architecture and assembly of multicomponent drug efflux transporters from Gram-negative bacteria.","container-title":"Future microbiology","DOI":"10.2217/fmb.09.62","ISSN":"1746-0913","journalAbbreviation":"Future Microbiol","note":"PMID: 19722844\nPMCID: PMC2763196","page":"919-932","source":"PubMed Central","title":"Multicomponent drug efflux complexes: architecture and mechanism of assembly","title-short":"Multicomponent drug efflux complexes","volume":"4","author":[{"family":"Zgurskaya","given":"Helen I"}],"issued":{"date-parts":[["2009",9]]}}}],"schema":"https://github.com/citation-style-language/schema/raw/master/csl-citation.json"} </w:instrText>
      </w:r>
      <w:r w:rsidR="00D20238">
        <w:rPr>
          <w:rFonts w:ascii="Times New Roman" w:hAnsi="Times New Roman" w:cs="Times New Roman"/>
          <w:sz w:val="24"/>
          <w:szCs w:val="24"/>
        </w:rPr>
        <w:fldChar w:fldCharType="separate"/>
      </w:r>
      <w:r w:rsidR="00D20238" w:rsidRPr="002F6F9F">
        <w:rPr>
          <w:rFonts w:ascii="Times New Roman" w:hAnsi="Times New Roman" w:cs="Times New Roman"/>
          <w:kern w:val="0"/>
          <w:sz w:val="24"/>
          <w:vertAlign w:val="superscript"/>
        </w:rPr>
        <w:t>142</w:t>
      </w:r>
      <w:r w:rsidR="00D20238">
        <w:rPr>
          <w:rFonts w:ascii="Times New Roman" w:hAnsi="Times New Roman" w:cs="Times New Roman"/>
          <w:sz w:val="24"/>
          <w:szCs w:val="24"/>
        </w:rPr>
        <w:fldChar w:fldCharType="end"/>
      </w:r>
      <w:r w:rsidR="00D20238">
        <w:rPr>
          <w:rFonts w:ascii="Times New Roman" w:hAnsi="Times New Roman" w:cs="Times New Roman"/>
          <w:sz w:val="24"/>
          <w:szCs w:val="24"/>
        </w:rPr>
        <w:t xml:space="preserve">, which provides the transporter with energy to drive substrate efflux. Perhaps the difference in number of transmembrane helices suggests that </w:t>
      </w:r>
      <w:proofErr w:type="spellStart"/>
      <w:r w:rsidR="00D20238">
        <w:rPr>
          <w:rFonts w:ascii="Times New Roman" w:hAnsi="Times New Roman" w:cs="Times New Roman"/>
          <w:sz w:val="24"/>
          <w:szCs w:val="24"/>
        </w:rPr>
        <w:t>AmfB</w:t>
      </w:r>
      <w:proofErr w:type="spellEnd"/>
      <w:r w:rsidR="00D20238">
        <w:rPr>
          <w:rFonts w:ascii="Times New Roman" w:hAnsi="Times New Roman" w:cs="Times New Roman"/>
          <w:sz w:val="24"/>
          <w:szCs w:val="24"/>
        </w:rPr>
        <w:t xml:space="preserve"> and </w:t>
      </w:r>
      <w:proofErr w:type="spellStart"/>
      <w:r w:rsidR="00D20238">
        <w:rPr>
          <w:rFonts w:ascii="Times New Roman" w:hAnsi="Times New Roman" w:cs="Times New Roman"/>
          <w:sz w:val="24"/>
          <w:szCs w:val="24"/>
        </w:rPr>
        <w:t>AmfD</w:t>
      </w:r>
      <w:proofErr w:type="spellEnd"/>
      <w:r w:rsidR="00D20238">
        <w:rPr>
          <w:rFonts w:ascii="Times New Roman" w:hAnsi="Times New Roman" w:cs="Times New Roman"/>
          <w:sz w:val="24"/>
          <w:szCs w:val="24"/>
        </w:rPr>
        <w:t xml:space="preserve"> have different export kinetics compared to </w:t>
      </w:r>
      <w:proofErr w:type="spellStart"/>
      <w:r w:rsidR="00D20238">
        <w:rPr>
          <w:rFonts w:ascii="Times New Roman" w:hAnsi="Times New Roman" w:cs="Times New Roman"/>
          <w:sz w:val="24"/>
          <w:szCs w:val="24"/>
        </w:rPr>
        <w:t>Emr</w:t>
      </w:r>
      <w:r w:rsidR="00D20238" w:rsidRPr="00D20238">
        <w:rPr>
          <w:rFonts w:ascii="Times New Roman" w:hAnsi="Times New Roman" w:cs="Times New Roman"/>
          <w:sz w:val="24"/>
          <w:szCs w:val="24"/>
        </w:rPr>
        <w:t>B</w:t>
      </w:r>
      <w:proofErr w:type="spellEnd"/>
      <w:r w:rsidR="00D20238" w:rsidRPr="00D20238">
        <w:rPr>
          <w:rFonts w:ascii="Times New Roman" w:hAnsi="Times New Roman" w:cs="Times New Roman"/>
          <w:sz w:val="24"/>
          <w:szCs w:val="24"/>
        </w:rPr>
        <w:t xml:space="preserve">. Between the two I-TASSER predicted </w:t>
      </w:r>
      <w:proofErr w:type="spellStart"/>
      <w:r w:rsidR="00D20238" w:rsidRPr="00D20238">
        <w:rPr>
          <w:rFonts w:ascii="Times New Roman" w:hAnsi="Times New Roman" w:cs="Times New Roman"/>
          <w:sz w:val="24"/>
          <w:szCs w:val="24"/>
        </w:rPr>
        <w:t>Amf</w:t>
      </w:r>
      <w:proofErr w:type="spellEnd"/>
      <w:r w:rsidR="00D20238" w:rsidRPr="00D20238">
        <w:rPr>
          <w:rFonts w:ascii="Times New Roman" w:hAnsi="Times New Roman" w:cs="Times New Roman"/>
          <w:sz w:val="24"/>
          <w:szCs w:val="24"/>
        </w:rPr>
        <w:t xml:space="preserve"> transporter proteins, </w:t>
      </w:r>
      <w:proofErr w:type="spellStart"/>
      <w:r w:rsidR="00D20238" w:rsidRPr="00D20238">
        <w:rPr>
          <w:rFonts w:ascii="Times New Roman" w:hAnsi="Times New Roman" w:cs="Times New Roman"/>
          <w:sz w:val="24"/>
          <w:szCs w:val="24"/>
        </w:rPr>
        <w:t>AmfD</w:t>
      </w:r>
      <w:proofErr w:type="spellEnd"/>
      <w:r w:rsidR="00D20238" w:rsidRPr="00D20238">
        <w:rPr>
          <w:rFonts w:ascii="Times New Roman" w:hAnsi="Times New Roman" w:cs="Times New Roman"/>
          <w:sz w:val="24"/>
          <w:szCs w:val="24"/>
        </w:rPr>
        <w:t xml:space="preserve"> had the lowest </w:t>
      </w:r>
      <w:proofErr w:type="spellStart"/>
      <w:r w:rsidR="00D20238" w:rsidRPr="00D20238">
        <w:rPr>
          <w:rFonts w:ascii="Times New Roman" w:hAnsi="Times New Roman" w:cs="Times New Roman"/>
          <w:sz w:val="24"/>
          <w:szCs w:val="24"/>
        </w:rPr>
        <w:t>eTM</w:t>
      </w:r>
      <w:proofErr w:type="spellEnd"/>
      <w:r w:rsidR="00D20238" w:rsidRPr="00D20238">
        <w:rPr>
          <w:rFonts w:ascii="Times New Roman" w:hAnsi="Times New Roman" w:cs="Times New Roman"/>
          <w:sz w:val="24"/>
          <w:szCs w:val="24"/>
        </w:rPr>
        <w:t xml:space="preserve"> score at 0.60</w:t>
      </w:r>
      <w:r w:rsidR="00F900FF">
        <w:rPr>
          <w:rFonts w:ascii="Times New Roman" w:hAnsi="Times New Roman" w:cs="Times New Roman"/>
          <w:sz w:val="24"/>
          <w:szCs w:val="24"/>
        </w:rPr>
        <w:t xml:space="preserve">, </w:t>
      </w:r>
      <w:r w:rsidR="00D20238" w:rsidRPr="00D20238">
        <w:rPr>
          <w:rFonts w:ascii="Times New Roman" w:hAnsi="Times New Roman" w:cs="Times New Roman"/>
          <w:sz w:val="24"/>
          <w:szCs w:val="24"/>
        </w:rPr>
        <w:t xml:space="preserve">which signifies a medium level of model quality confidence. This lower confidence score may account for some of the differences seen between the two predicted </w:t>
      </w:r>
      <w:proofErr w:type="spellStart"/>
      <w:r w:rsidR="00F900FF">
        <w:rPr>
          <w:rFonts w:ascii="Times New Roman" w:hAnsi="Times New Roman" w:cs="Times New Roman"/>
          <w:sz w:val="24"/>
          <w:szCs w:val="24"/>
        </w:rPr>
        <w:t>Amf</w:t>
      </w:r>
      <w:proofErr w:type="spellEnd"/>
      <w:r w:rsidR="00F900FF">
        <w:rPr>
          <w:rFonts w:ascii="Times New Roman" w:hAnsi="Times New Roman" w:cs="Times New Roman"/>
          <w:sz w:val="24"/>
          <w:szCs w:val="24"/>
        </w:rPr>
        <w:t xml:space="preserve"> </w:t>
      </w:r>
      <w:r w:rsidR="00D20238" w:rsidRPr="00D20238">
        <w:rPr>
          <w:rFonts w:ascii="Times New Roman" w:hAnsi="Times New Roman" w:cs="Times New Roman"/>
          <w:sz w:val="24"/>
          <w:szCs w:val="24"/>
        </w:rPr>
        <w:t xml:space="preserve">transporter models. </w:t>
      </w:r>
    </w:p>
    <w:p w14:paraId="213B900D" w14:textId="77777777" w:rsidR="004F705E" w:rsidRDefault="004F705E" w:rsidP="00AA1F9F">
      <w:pPr>
        <w:pStyle w:val="ListParagraph"/>
        <w:spacing w:line="360" w:lineRule="auto"/>
        <w:ind w:left="0"/>
        <w:rPr>
          <w:rFonts w:ascii="Times New Roman" w:hAnsi="Times New Roman" w:cs="Times New Roman"/>
          <w:sz w:val="24"/>
          <w:szCs w:val="24"/>
        </w:rPr>
      </w:pPr>
    </w:p>
    <w:p w14:paraId="093D5E7B" w14:textId="77777777" w:rsidR="00700675" w:rsidRDefault="00700675" w:rsidP="00AA1F9F">
      <w:pPr>
        <w:pStyle w:val="ListParagraph"/>
        <w:spacing w:line="360" w:lineRule="auto"/>
        <w:ind w:left="0"/>
        <w:rPr>
          <w:rFonts w:ascii="Times New Roman" w:hAnsi="Times New Roman" w:cs="Times New Roman"/>
          <w:sz w:val="24"/>
          <w:szCs w:val="24"/>
        </w:rPr>
      </w:pPr>
    </w:p>
    <w:p w14:paraId="43D577A8" w14:textId="77777777" w:rsidR="00700675" w:rsidRDefault="00700675" w:rsidP="00AA1F9F">
      <w:pPr>
        <w:pStyle w:val="ListParagraph"/>
        <w:spacing w:line="360" w:lineRule="auto"/>
        <w:ind w:left="0"/>
        <w:rPr>
          <w:rFonts w:ascii="Times New Roman" w:hAnsi="Times New Roman" w:cs="Times New Roman"/>
          <w:sz w:val="24"/>
          <w:szCs w:val="24"/>
        </w:rPr>
      </w:pPr>
    </w:p>
    <w:p w14:paraId="0E627DF4" w14:textId="08E21BF4" w:rsidR="00F900FF" w:rsidRPr="00700675" w:rsidRDefault="00240F71" w:rsidP="00700675">
      <w:pPr>
        <w:pStyle w:val="ListParagraph"/>
        <w:spacing w:line="360" w:lineRule="auto"/>
        <w:ind w:left="0"/>
        <w:rPr>
          <w:rFonts w:ascii="Times New Roman" w:hAnsi="Times New Roman" w:cs="Times New Roman"/>
          <w:sz w:val="24"/>
          <w:szCs w:val="24"/>
          <w:u w:val="single"/>
        </w:rPr>
      </w:pPr>
      <w:r>
        <w:rPr>
          <w:rFonts w:ascii="Times New Roman" w:hAnsi="Times New Roman" w:cs="Times New Roman"/>
          <w:sz w:val="24"/>
          <w:szCs w:val="24"/>
          <w:u w:val="single"/>
        </w:rPr>
        <w:lastRenderedPageBreak/>
        <w:t>3.3.3 Structure predictions of periplasmic MFPs</w:t>
      </w:r>
    </w:p>
    <w:p w14:paraId="4B098277" w14:textId="7F0E1FE1" w:rsidR="001F7C44" w:rsidRDefault="00527841" w:rsidP="006F0B55">
      <w:pPr>
        <w:pStyle w:val="ListParagraph"/>
        <w:spacing w:line="360" w:lineRule="auto"/>
        <w:ind w:left="0" w:firstLine="720"/>
        <w:rPr>
          <w:rStyle w:val="Emphasis"/>
          <w:i w:val="0"/>
          <w:iCs w:val="0"/>
          <w:sz w:val="24"/>
          <w:szCs w:val="24"/>
        </w:rPr>
      </w:pPr>
      <w:r>
        <w:rPr>
          <w:rFonts w:ascii="Times New Roman" w:hAnsi="Times New Roman" w:cs="Times New Roman"/>
          <w:sz w:val="24"/>
          <w:szCs w:val="24"/>
        </w:rPr>
        <w:t xml:space="preserve">Similar to the transporters, the predicted models of </w:t>
      </w:r>
      <w:proofErr w:type="spellStart"/>
      <w:r>
        <w:rPr>
          <w:rFonts w:ascii="Times New Roman" w:hAnsi="Times New Roman" w:cs="Times New Roman"/>
          <w:sz w:val="24"/>
          <w:szCs w:val="24"/>
        </w:rPr>
        <w:t>AmfA</w:t>
      </w:r>
      <w:proofErr w:type="spellEnd"/>
      <w:r>
        <w:rPr>
          <w:rFonts w:ascii="Times New Roman" w:hAnsi="Times New Roman" w:cs="Times New Roman"/>
          <w:sz w:val="24"/>
          <w:szCs w:val="24"/>
        </w:rPr>
        <w:t xml:space="preserve"> </w:t>
      </w:r>
      <w:r w:rsidR="008A6B33">
        <w:rPr>
          <w:rFonts w:ascii="Times New Roman" w:hAnsi="Times New Roman" w:cs="Times New Roman"/>
          <w:sz w:val="24"/>
          <w:szCs w:val="24"/>
        </w:rPr>
        <w:t>(</w:t>
      </w:r>
      <w:proofErr w:type="spellStart"/>
      <w:r w:rsidR="008A6B33">
        <w:rPr>
          <w:rFonts w:ascii="Times New Roman" w:hAnsi="Times New Roman" w:cs="Times New Roman"/>
          <w:sz w:val="24"/>
          <w:szCs w:val="24"/>
        </w:rPr>
        <w:t>eTM</w:t>
      </w:r>
      <w:proofErr w:type="spellEnd"/>
      <w:r w:rsidR="008A6B33">
        <w:rPr>
          <w:rFonts w:ascii="Times New Roman" w:hAnsi="Times New Roman" w:cs="Times New Roman"/>
          <w:sz w:val="24"/>
          <w:szCs w:val="24"/>
        </w:rPr>
        <w:t xml:space="preserve"> = 0.75)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AmfC</w:t>
      </w:r>
      <w:proofErr w:type="spellEnd"/>
      <w:r>
        <w:rPr>
          <w:rFonts w:ascii="Times New Roman" w:hAnsi="Times New Roman" w:cs="Times New Roman"/>
          <w:sz w:val="24"/>
          <w:szCs w:val="24"/>
        </w:rPr>
        <w:t xml:space="preserve"> </w:t>
      </w:r>
      <w:r w:rsidR="008A6B33">
        <w:rPr>
          <w:rFonts w:ascii="Times New Roman" w:hAnsi="Times New Roman" w:cs="Times New Roman"/>
          <w:sz w:val="24"/>
          <w:szCs w:val="24"/>
        </w:rPr>
        <w:t>(</w:t>
      </w:r>
      <w:proofErr w:type="spellStart"/>
      <w:r w:rsidR="008A6B33">
        <w:rPr>
          <w:rFonts w:ascii="Times New Roman" w:hAnsi="Times New Roman" w:cs="Times New Roman"/>
          <w:sz w:val="24"/>
          <w:szCs w:val="24"/>
        </w:rPr>
        <w:t>eTM</w:t>
      </w:r>
      <w:proofErr w:type="spellEnd"/>
      <w:r w:rsidR="008A6B33">
        <w:rPr>
          <w:rFonts w:ascii="Times New Roman" w:hAnsi="Times New Roman" w:cs="Times New Roman"/>
          <w:sz w:val="24"/>
          <w:szCs w:val="24"/>
        </w:rPr>
        <w:t xml:space="preserve"> = 0.73) </w:t>
      </w:r>
      <w:r>
        <w:rPr>
          <w:rFonts w:ascii="Times New Roman" w:hAnsi="Times New Roman" w:cs="Times New Roman"/>
          <w:sz w:val="24"/>
          <w:szCs w:val="24"/>
        </w:rPr>
        <w:t xml:space="preserve">share a similar shape with EmrA, since they are all </w:t>
      </w:r>
      <w:r w:rsidR="008A6B33">
        <w:rPr>
          <w:rFonts w:ascii="Times New Roman" w:hAnsi="Times New Roman" w:cs="Times New Roman"/>
          <w:sz w:val="24"/>
          <w:szCs w:val="24"/>
        </w:rPr>
        <w:t xml:space="preserve">MFS </w:t>
      </w:r>
      <w:r>
        <w:rPr>
          <w:rFonts w:ascii="Times New Roman" w:hAnsi="Times New Roman" w:cs="Times New Roman"/>
          <w:sz w:val="24"/>
          <w:szCs w:val="24"/>
        </w:rPr>
        <w:t>membrane fusion proteins, but there are also notable differences (</w:t>
      </w:r>
      <w:r>
        <w:rPr>
          <w:rFonts w:ascii="Times New Roman" w:hAnsi="Times New Roman" w:cs="Times New Roman"/>
          <w:b/>
          <w:bCs/>
          <w:sz w:val="24"/>
          <w:szCs w:val="24"/>
        </w:rPr>
        <w:t>Figure 3.</w:t>
      </w:r>
      <w:r w:rsidR="00A9426D">
        <w:rPr>
          <w:rFonts w:ascii="Times New Roman" w:hAnsi="Times New Roman" w:cs="Times New Roman"/>
          <w:b/>
          <w:bCs/>
          <w:sz w:val="24"/>
          <w:szCs w:val="24"/>
        </w:rPr>
        <w:t>4</w:t>
      </w:r>
      <w:r>
        <w:rPr>
          <w:rFonts w:ascii="Times New Roman" w:hAnsi="Times New Roman" w:cs="Times New Roman"/>
          <w:b/>
          <w:bCs/>
          <w:sz w:val="24"/>
          <w:szCs w:val="24"/>
        </w:rPr>
        <w:t>-A,B,C</w:t>
      </w:r>
      <w:r>
        <w:rPr>
          <w:rFonts w:ascii="Times New Roman" w:hAnsi="Times New Roman" w:cs="Times New Roman"/>
          <w:sz w:val="24"/>
          <w:szCs w:val="24"/>
        </w:rPr>
        <w:t xml:space="preserve">). </w:t>
      </w:r>
      <w:r w:rsidR="006F0B55">
        <w:rPr>
          <w:rFonts w:ascii="Times New Roman" w:hAnsi="Times New Roman" w:cs="Times New Roman"/>
          <w:sz w:val="24"/>
          <w:szCs w:val="24"/>
        </w:rPr>
        <w:t xml:space="preserve">To facilitate protein crystallization, an engineered version of EmrA lacking the N-terminus TM helix was used for </w:t>
      </w:r>
      <w:r w:rsidR="000A0AED">
        <w:rPr>
          <w:rFonts w:ascii="Times New Roman" w:hAnsi="Times New Roman" w:cs="Times New Roman"/>
          <w:sz w:val="24"/>
          <w:szCs w:val="24"/>
        </w:rPr>
        <w:t>structural</w:t>
      </w:r>
      <w:r w:rsidR="006F0B55">
        <w:rPr>
          <w:rFonts w:ascii="Times New Roman" w:hAnsi="Times New Roman" w:cs="Times New Roman"/>
          <w:sz w:val="24"/>
          <w:szCs w:val="24"/>
        </w:rPr>
        <w:t xml:space="preserve"> studies</w:t>
      </w:r>
      <w:r w:rsidR="00DD5351">
        <w:rPr>
          <w:rFonts w:ascii="Times New Roman" w:hAnsi="Times New Roman" w:cs="Times New Roman"/>
          <w:sz w:val="24"/>
          <w:szCs w:val="24"/>
        </w:rPr>
        <w:t>, the final model includes EmrA residues 27-321 and 343-373</w:t>
      </w:r>
      <w:r w:rsidR="006F0B55">
        <w:rPr>
          <w:rFonts w:ascii="Times New Roman" w:hAnsi="Times New Roman" w:cs="Times New Roman"/>
          <w:sz w:val="24"/>
          <w:szCs w:val="24"/>
        </w:rPr>
        <w:t>. This region of the protein is not conserved and is what anchors the adaptor protein in the inner membrane.</w:t>
      </w:r>
      <w:r w:rsidR="006F0B55">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{"citationID":"a1aho1a5vkq","properties":{"formattedCitation":"\\super 137\\nosupersub{}","plainCitation":"137","noteIndex":0},"citationItems":[{"id":1955,"uris":["http://zotero.org/users/1918630/items/GPC87BIB"],"itemData":{"id":1955,"type":"article-journal","abstract":"Periplasmic adaptor proteins are key components of bacterial tripartite efflux pumps. The 2.85 Å resolution structure of an MFS (major facilitator superfamily) pump adaptor, Aquifex aeolicus EmrA, shows linearly arranged α-helical coiled-coil, lipoyl, and β-barrel domains, but lacks the fourth membrane-proximal domain shown in other pumps to interact with the inner membrane transporter. The adaptor α-hairpin, which binds outer membrane TolC, is exceptionally long at 127 Å, and the β-barrel contains a conserved disordered loop. The structure extends the view of adaptors as flexible, modular components that mediate diverse pump assembly, and suggests that in MFS tripartite pumps a hexamer of adaptors could provide a periplasmic seal.","container-title":"FEBS Letters","DOI":"10.1016/j.febslet.2014.06.055","ISSN":"1873-3468","issue":"17","language":"en","license":"FEBS Letters 588 (2014) 0014-5793 ©2015 The Authors. Published by FEBS Press and John Wiley &amp; Sons Ltd.","note":"_eprint: https://onlinelibrary.wiley.com/doi/pdf/10.1016/j.febslet.2014.06.055","page":"3147-3153","source":"Wiley Online Library","title":"Structure of the periplasmic adaptor protein from a major facilitator superfamily (MFS) multidrug efflux pump","volume":"588","author":[{"family":"Hinchliffe","given":"Philip"},{"family":"Greene","given":"Nicholas P."},{"family":"Paterson","given":"Neil G."},{"family":"Crow","given":"Allister"},{"family":"Hughes","given":"Colin"},{"family":"Koronakis","given":"Vassilis"}],"issued":{"date-parts":[["2014"]]}}}],"schema":"https://github.com/citation-style-language/schema/raw/master/csl-citation.json"} </w:instrText>
      </w:r>
      <w:r w:rsidR="006F0B55">
        <w:rPr>
          <w:rFonts w:ascii="Times New Roman" w:hAnsi="Times New Roman" w:cs="Times New Roman"/>
          <w:sz w:val="24"/>
          <w:szCs w:val="24"/>
        </w:rPr>
        <w:fldChar w:fldCharType="separate"/>
      </w:r>
      <w:r w:rsidR="00625D97" w:rsidRPr="00625D97">
        <w:rPr>
          <w:rFonts w:ascii="Times New Roman" w:hAnsi="Times New Roman" w:cs="Times New Roman"/>
          <w:kern w:val="0"/>
          <w:sz w:val="24"/>
          <w:vertAlign w:val="superscript"/>
        </w:rPr>
        <w:t>137</w:t>
      </w:r>
      <w:r w:rsidR="006F0B55">
        <w:rPr>
          <w:rFonts w:ascii="Times New Roman" w:hAnsi="Times New Roman" w:cs="Times New Roman"/>
          <w:sz w:val="24"/>
          <w:szCs w:val="24"/>
        </w:rPr>
        <w:fldChar w:fldCharType="end"/>
      </w:r>
      <w:r w:rsidR="006F0B55">
        <w:rPr>
          <w:rFonts w:ascii="Times New Roman" w:hAnsi="Times New Roman" w:cs="Times New Roman"/>
          <w:sz w:val="24"/>
          <w:szCs w:val="24"/>
        </w:rPr>
        <w:t xml:space="preserve"> </w:t>
      </w:r>
      <w:r w:rsidR="00C53D2D">
        <w:rPr>
          <w:rFonts w:ascii="Times New Roman" w:hAnsi="Times New Roman" w:cs="Times New Roman"/>
          <w:sz w:val="24"/>
          <w:szCs w:val="24"/>
        </w:rPr>
        <w:t>D</w:t>
      </w:r>
      <w:r w:rsidR="000A0AED">
        <w:rPr>
          <w:rFonts w:ascii="Times New Roman" w:hAnsi="Times New Roman" w:cs="Times New Roman"/>
          <w:sz w:val="24"/>
          <w:szCs w:val="24"/>
        </w:rPr>
        <w:t xml:space="preserve">ifferences </w:t>
      </w:r>
      <w:r w:rsidR="00D47974">
        <w:rPr>
          <w:rFonts w:ascii="Times New Roman" w:hAnsi="Times New Roman" w:cs="Times New Roman"/>
          <w:sz w:val="24"/>
          <w:szCs w:val="24"/>
        </w:rPr>
        <w:t>between</w:t>
      </w:r>
      <w:r w:rsidR="000A0AED">
        <w:rPr>
          <w:rFonts w:ascii="Times New Roman" w:hAnsi="Times New Roman" w:cs="Times New Roman"/>
          <w:sz w:val="24"/>
          <w:szCs w:val="24"/>
        </w:rPr>
        <w:t xml:space="preserve"> the predicted </w:t>
      </w:r>
      <w:proofErr w:type="spellStart"/>
      <w:r w:rsidR="000A0AED">
        <w:rPr>
          <w:rFonts w:ascii="Times New Roman" w:hAnsi="Times New Roman" w:cs="Times New Roman"/>
          <w:sz w:val="24"/>
          <w:szCs w:val="24"/>
        </w:rPr>
        <w:t>AmfA</w:t>
      </w:r>
      <w:proofErr w:type="spellEnd"/>
      <w:r w:rsidR="000A0AED">
        <w:rPr>
          <w:rFonts w:ascii="Times New Roman" w:hAnsi="Times New Roman" w:cs="Times New Roman"/>
          <w:sz w:val="24"/>
          <w:szCs w:val="24"/>
        </w:rPr>
        <w:t xml:space="preserve"> and </w:t>
      </w:r>
      <w:proofErr w:type="spellStart"/>
      <w:r w:rsidR="000A0AED">
        <w:rPr>
          <w:rFonts w:ascii="Times New Roman" w:hAnsi="Times New Roman" w:cs="Times New Roman"/>
          <w:sz w:val="24"/>
          <w:szCs w:val="24"/>
        </w:rPr>
        <w:t>AmfC</w:t>
      </w:r>
      <w:proofErr w:type="spellEnd"/>
      <w:r w:rsidR="000A0AED">
        <w:rPr>
          <w:rFonts w:ascii="Times New Roman" w:hAnsi="Times New Roman" w:cs="Times New Roman"/>
          <w:sz w:val="24"/>
          <w:szCs w:val="24"/>
        </w:rPr>
        <w:t xml:space="preserve"> structures and the EmrA structure can in part be attributed to this lacking TM domain. </w:t>
      </w:r>
      <w:proofErr w:type="spellStart"/>
      <w:r>
        <w:rPr>
          <w:rFonts w:ascii="Times New Roman" w:hAnsi="Times New Roman" w:cs="Times New Roman"/>
          <w:sz w:val="24"/>
          <w:szCs w:val="24"/>
        </w:rPr>
        <w:t>AmfA</w:t>
      </w:r>
      <w:proofErr w:type="spellEnd"/>
      <w:r>
        <w:rPr>
          <w:rFonts w:ascii="Times New Roman" w:hAnsi="Times New Roman" w:cs="Times New Roman"/>
          <w:sz w:val="24"/>
          <w:szCs w:val="24"/>
        </w:rPr>
        <w:t xml:space="preserve"> shows an additional </w:t>
      </w:r>
      <w:r w:rsidRPr="00B4780E">
        <w:rPr>
          <w:rStyle w:val="Emphasis"/>
          <w:i w:val="0"/>
          <w:iCs w:val="0"/>
          <w:sz w:val="24"/>
          <w:szCs w:val="24"/>
        </w:rPr>
        <w:t>α</w:t>
      </w:r>
      <w:r>
        <w:rPr>
          <w:rStyle w:val="Emphasis"/>
          <w:i w:val="0"/>
          <w:iCs w:val="0"/>
          <w:sz w:val="24"/>
          <w:szCs w:val="24"/>
        </w:rPr>
        <w:t xml:space="preserve">-helix in between what appears to be the </w:t>
      </w:r>
      <w:proofErr w:type="spellStart"/>
      <w:r>
        <w:rPr>
          <w:rStyle w:val="Emphasis"/>
          <w:i w:val="0"/>
          <w:iCs w:val="0"/>
          <w:sz w:val="24"/>
          <w:szCs w:val="24"/>
        </w:rPr>
        <w:t>lipoyl</w:t>
      </w:r>
      <w:proofErr w:type="spellEnd"/>
      <w:r>
        <w:rPr>
          <w:rStyle w:val="Emphasis"/>
          <w:i w:val="0"/>
          <w:iCs w:val="0"/>
          <w:sz w:val="24"/>
          <w:szCs w:val="24"/>
        </w:rPr>
        <w:t xml:space="preserve"> domain and the </w:t>
      </w:r>
      <w:r>
        <w:rPr>
          <w:rStyle w:val="Emphasis"/>
          <w:rFonts w:cstheme="minorHAnsi"/>
          <w:i w:val="0"/>
          <w:iCs w:val="0"/>
          <w:sz w:val="24"/>
          <w:szCs w:val="24"/>
        </w:rPr>
        <w:t>β</w:t>
      </w:r>
      <w:r>
        <w:rPr>
          <w:rStyle w:val="Emphasis"/>
          <w:i w:val="0"/>
          <w:iCs w:val="0"/>
          <w:sz w:val="24"/>
          <w:szCs w:val="24"/>
        </w:rPr>
        <w:t>-barrel domain</w:t>
      </w:r>
      <w:r w:rsidR="000A0AED">
        <w:rPr>
          <w:rStyle w:val="Emphasis"/>
          <w:i w:val="0"/>
          <w:iCs w:val="0"/>
          <w:sz w:val="24"/>
          <w:szCs w:val="24"/>
        </w:rPr>
        <w:t>, which may be that TM helix missing from</w:t>
      </w:r>
      <w:r w:rsidR="00D47974">
        <w:rPr>
          <w:rStyle w:val="Emphasis"/>
          <w:i w:val="0"/>
          <w:iCs w:val="0"/>
          <w:sz w:val="24"/>
          <w:szCs w:val="24"/>
        </w:rPr>
        <w:t xml:space="preserve"> the</w:t>
      </w:r>
      <w:r w:rsidR="000A0AED">
        <w:rPr>
          <w:rStyle w:val="Emphasis"/>
          <w:i w:val="0"/>
          <w:iCs w:val="0"/>
          <w:sz w:val="24"/>
          <w:szCs w:val="24"/>
        </w:rPr>
        <w:t xml:space="preserve"> EmrA</w:t>
      </w:r>
      <w:r w:rsidR="00D47974">
        <w:rPr>
          <w:rStyle w:val="Emphasis"/>
          <w:i w:val="0"/>
          <w:iCs w:val="0"/>
          <w:sz w:val="24"/>
          <w:szCs w:val="24"/>
        </w:rPr>
        <w:t xml:space="preserve"> model</w:t>
      </w:r>
      <w:r w:rsidR="000A0AED">
        <w:rPr>
          <w:rStyle w:val="Emphasis"/>
          <w:i w:val="0"/>
          <w:iCs w:val="0"/>
          <w:sz w:val="24"/>
          <w:szCs w:val="24"/>
        </w:rPr>
        <w:t>.</w:t>
      </w:r>
      <w:r>
        <w:rPr>
          <w:rStyle w:val="Emphasis"/>
          <w:i w:val="0"/>
          <w:iCs w:val="0"/>
          <w:sz w:val="24"/>
          <w:szCs w:val="24"/>
        </w:rPr>
        <w:t xml:space="preserve"> The </w:t>
      </w:r>
      <w:proofErr w:type="spellStart"/>
      <w:r>
        <w:rPr>
          <w:rStyle w:val="Emphasis"/>
          <w:i w:val="0"/>
          <w:iCs w:val="0"/>
          <w:sz w:val="24"/>
          <w:szCs w:val="24"/>
        </w:rPr>
        <w:t>AmfA</w:t>
      </w:r>
      <w:proofErr w:type="spellEnd"/>
      <w:r>
        <w:rPr>
          <w:rStyle w:val="Emphasis"/>
          <w:i w:val="0"/>
          <w:iCs w:val="0"/>
          <w:sz w:val="24"/>
          <w:szCs w:val="24"/>
        </w:rPr>
        <w:t xml:space="preserve"> model shows two short beta sheets in the </w:t>
      </w:r>
      <w:proofErr w:type="spellStart"/>
      <w:r>
        <w:rPr>
          <w:rStyle w:val="Emphasis"/>
          <w:i w:val="0"/>
          <w:iCs w:val="0"/>
          <w:sz w:val="24"/>
          <w:szCs w:val="24"/>
        </w:rPr>
        <w:t>lipoyl</w:t>
      </w:r>
      <w:proofErr w:type="spellEnd"/>
      <w:r>
        <w:rPr>
          <w:rStyle w:val="Emphasis"/>
          <w:i w:val="0"/>
          <w:iCs w:val="0"/>
          <w:sz w:val="24"/>
          <w:szCs w:val="24"/>
        </w:rPr>
        <w:t xml:space="preserve"> domain and one short beta sheet in what could be the </w:t>
      </w:r>
      <w:proofErr w:type="spellStart"/>
      <w:r>
        <w:rPr>
          <w:rStyle w:val="Emphasis"/>
          <w:i w:val="0"/>
          <w:iCs w:val="0"/>
          <w:sz w:val="24"/>
          <w:szCs w:val="24"/>
        </w:rPr>
        <w:t>lipoyl</w:t>
      </w:r>
      <w:proofErr w:type="spellEnd"/>
      <w:r>
        <w:rPr>
          <w:rStyle w:val="Emphasis"/>
          <w:i w:val="0"/>
          <w:iCs w:val="0"/>
          <w:sz w:val="24"/>
          <w:szCs w:val="24"/>
        </w:rPr>
        <w:t xml:space="preserve"> domain and the membrane proximal domain, respectively. It is difficult to identify specific regions besides the </w:t>
      </w:r>
      <w:r w:rsidRPr="007913A3">
        <w:rPr>
          <w:rStyle w:val="Emphasis"/>
          <w:i w:val="0"/>
          <w:iCs w:val="0"/>
          <w:sz w:val="24"/>
          <w:szCs w:val="24"/>
        </w:rPr>
        <w:t>α-hairpin domain</w:t>
      </w:r>
      <w:r>
        <w:rPr>
          <w:rStyle w:val="Emphasis"/>
          <w:i w:val="0"/>
          <w:iCs w:val="0"/>
          <w:sz w:val="24"/>
          <w:szCs w:val="24"/>
        </w:rPr>
        <w:t xml:space="preserve"> due to the low number of notable secondary structures in the predicted </w:t>
      </w:r>
      <w:proofErr w:type="spellStart"/>
      <w:r>
        <w:rPr>
          <w:rStyle w:val="Emphasis"/>
          <w:i w:val="0"/>
          <w:iCs w:val="0"/>
          <w:sz w:val="24"/>
          <w:szCs w:val="24"/>
        </w:rPr>
        <w:t>AmfA</w:t>
      </w:r>
      <w:proofErr w:type="spellEnd"/>
      <w:r>
        <w:rPr>
          <w:rStyle w:val="Emphasis"/>
          <w:i w:val="0"/>
          <w:iCs w:val="0"/>
          <w:sz w:val="24"/>
          <w:szCs w:val="24"/>
        </w:rPr>
        <w:t xml:space="preserve"> and </w:t>
      </w:r>
      <w:proofErr w:type="spellStart"/>
      <w:r>
        <w:rPr>
          <w:rStyle w:val="Emphasis"/>
          <w:i w:val="0"/>
          <w:iCs w:val="0"/>
          <w:sz w:val="24"/>
          <w:szCs w:val="24"/>
        </w:rPr>
        <w:t>AmfC</w:t>
      </w:r>
      <w:proofErr w:type="spellEnd"/>
      <w:r>
        <w:rPr>
          <w:rStyle w:val="Emphasis"/>
          <w:i w:val="0"/>
          <w:iCs w:val="0"/>
          <w:sz w:val="24"/>
          <w:szCs w:val="24"/>
        </w:rPr>
        <w:t xml:space="preserve"> models. The </w:t>
      </w:r>
      <w:proofErr w:type="spellStart"/>
      <w:r>
        <w:rPr>
          <w:rStyle w:val="Emphasis"/>
          <w:i w:val="0"/>
          <w:iCs w:val="0"/>
          <w:sz w:val="24"/>
          <w:szCs w:val="24"/>
        </w:rPr>
        <w:t>AmfC</w:t>
      </w:r>
      <w:proofErr w:type="spellEnd"/>
      <w:r>
        <w:rPr>
          <w:rStyle w:val="Emphasis"/>
          <w:i w:val="0"/>
          <w:iCs w:val="0"/>
          <w:sz w:val="24"/>
          <w:szCs w:val="24"/>
        </w:rPr>
        <w:t xml:space="preserve"> model has more notable secondary structures, but it is still not fully clear what regions match up to the </w:t>
      </w:r>
      <w:proofErr w:type="spellStart"/>
      <w:r>
        <w:rPr>
          <w:rStyle w:val="Emphasis"/>
          <w:i w:val="0"/>
          <w:iCs w:val="0"/>
          <w:sz w:val="24"/>
          <w:szCs w:val="24"/>
        </w:rPr>
        <w:t>lipoyl</w:t>
      </w:r>
      <w:proofErr w:type="spellEnd"/>
      <w:r>
        <w:rPr>
          <w:rStyle w:val="Emphasis"/>
          <w:i w:val="0"/>
          <w:iCs w:val="0"/>
          <w:sz w:val="24"/>
          <w:szCs w:val="24"/>
        </w:rPr>
        <w:t xml:space="preserve"> domain, the </w:t>
      </w:r>
      <w:r>
        <w:rPr>
          <w:rStyle w:val="Emphasis"/>
          <w:rFonts w:cstheme="minorHAnsi"/>
          <w:i w:val="0"/>
          <w:iCs w:val="0"/>
          <w:sz w:val="24"/>
          <w:szCs w:val="24"/>
        </w:rPr>
        <w:t>β</w:t>
      </w:r>
      <w:r>
        <w:rPr>
          <w:rStyle w:val="Emphasis"/>
          <w:i w:val="0"/>
          <w:iCs w:val="0"/>
          <w:sz w:val="24"/>
          <w:szCs w:val="24"/>
        </w:rPr>
        <w:t>-barrel domain, and the membrane proximal domain. Perhaps these predicted models are not close enough to the actual protein structures to show these regions clearly</w:t>
      </w:r>
      <w:r w:rsidR="006F0B55">
        <w:rPr>
          <w:rStyle w:val="Emphasis"/>
          <w:i w:val="0"/>
          <w:iCs w:val="0"/>
          <w:sz w:val="24"/>
          <w:szCs w:val="24"/>
        </w:rPr>
        <w:t>.</w:t>
      </w:r>
      <w:r>
        <w:rPr>
          <w:rStyle w:val="Emphasis"/>
          <w:i w:val="0"/>
          <w:iCs w:val="0"/>
          <w:sz w:val="24"/>
          <w:szCs w:val="24"/>
        </w:rPr>
        <w:t xml:space="preserve"> </w:t>
      </w:r>
    </w:p>
    <w:p w14:paraId="013CFD7B" w14:textId="5969E28B" w:rsidR="00872330" w:rsidRDefault="00527841" w:rsidP="006F0B55">
      <w:pPr>
        <w:pStyle w:val="ListParagraph"/>
        <w:spacing w:line="36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To compare how well the two </w:t>
      </w:r>
      <w:proofErr w:type="spellStart"/>
      <w:r>
        <w:rPr>
          <w:rFonts w:ascii="Times New Roman" w:hAnsi="Times New Roman" w:cs="Times New Roman"/>
          <w:sz w:val="24"/>
          <w:szCs w:val="24"/>
        </w:rPr>
        <w:t>Amf</w:t>
      </w:r>
      <w:proofErr w:type="spellEnd"/>
      <w:r>
        <w:rPr>
          <w:rFonts w:ascii="Times New Roman" w:hAnsi="Times New Roman" w:cs="Times New Roman"/>
          <w:sz w:val="24"/>
          <w:szCs w:val="24"/>
        </w:rPr>
        <w:t xml:space="preserve"> MFPs overlapped with EmrA</w:t>
      </w:r>
      <w:r w:rsidR="002B5999">
        <w:rPr>
          <w:rFonts w:ascii="Times New Roman" w:hAnsi="Times New Roman" w:cs="Times New Roman"/>
          <w:sz w:val="24"/>
          <w:szCs w:val="24"/>
        </w:rPr>
        <w:t xml:space="preserve"> and each other</w:t>
      </w:r>
      <w:r>
        <w:rPr>
          <w:rFonts w:ascii="Times New Roman" w:hAnsi="Times New Roman" w:cs="Times New Roman"/>
          <w:sz w:val="24"/>
          <w:szCs w:val="24"/>
        </w:rPr>
        <w:t>, the</w:t>
      </w:r>
      <w:r w:rsidR="002B5999">
        <w:rPr>
          <w:rFonts w:ascii="Times New Roman" w:hAnsi="Times New Roman" w:cs="Times New Roman"/>
          <w:sz w:val="24"/>
          <w:szCs w:val="24"/>
        </w:rPr>
        <w:t>ir models</w:t>
      </w:r>
      <w:r>
        <w:rPr>
          <w:rFonts w:ascii="Times New Roman" w:hAnsi="Times New Roman" w:cs="Times New Roman"/>
          <w:sz w:val="24"/>
          <w:szCs w:val="24"/>
        </w:rPr>
        <w:t xml:space="preserve"> were </w:t>
      </w:r>
      <w:r w:rsidR="002B5999">
        <w:rPr>
          <w:rFonts w:ascii="Times New Roman" w:hAnsi="Times New Roman" w:cs="Times New Roman"/>
          <w:sz w:val="24"/>
          <w:szCs w:val="24"/>
        </w:rPr>
        <w:t xml:space="preserve">aligned </w:t>
      </w:r>
      <w:r>
        <w:rPr>
          <w:rFonts w:ascii="Times New Roman" w:hAnsi="Times New Roman" w:cs="Times New Roman"/>
          <w:sz w:val="24"/>
          <w:szCs w:val="24"/>
        </w:rPr>
        <w:t xml:space="preserve">using the align function in </w:t>
      </w:r>
      <w:proofErr w:type="spellStart"/>
      <w:r>
        <w:rPr>
          <w:rFonts w:ascii="Times New Roman" w:hAnsi="Times New Roman" w:cs="Times New Roman"/>
          <w:sz w:val="24"/>
          <w:szCs w:val="24"/>
        </w:rPr>
        <w:t>Pymol</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Figure 3.</w:t>
      </w:r>
      <w:r w:rsidR="00A9426D">
        <w:rPr>
          <w:rFonts w:ascii="Times New Roman" w:hAnsi="Times New Roman" w:cs="Times New Roman"/>
          <w:b/>
          <w:bCs/>
          <w:sz w:val="24"/>
          <w:szCs w:val="24"/>
        </w:rPr>
        <w:t>4</w:t>
      </w:r>
      <w:r>
        <w:rPr>
          <w:rFonts w:ascii="Times New Roman" w:hAnsi="Times New Roman" w:cs="Times New Roman"/>
          <w:b/>
          <w:bCs/>
          <w:sz w:val="24"/>
          <w:szCs w:val="24"/>
        </w:rPr>
        <w:t>-D,E</w:t>
      </w:r>
      <w:r w:rsidR="002B5999">
        <w:rPr>
          <w:rFonts w:ascii="Times New Roman" w:hAnsi="Times New Roman" w:cs="Times New Roman"/>
          <w:b/>
          <w:bCs/>
          <w:sz w:val="24"/>
          <w:szCs w:val="24"/>
        </w:rPr>
        <w:t>,F</w:t>
      </w:r>
      <w:r>
        <w:rPr>
          <w:rFonts w:ascii="Times New Roman" w:hAnsi="Times New Roman" w:cs="Times New Roman"/>
          <w:sz w:val="24"/>
          <w:szCs w:val="24"/>
        </w:rPr>
        <w:t xml:space="preserve">). </w:t>
      </w:r>
      <w:r w:rsidR="005A5736">
        <w:rPr>
          <w:rFonts w:ascii="Times New Roman" w:hAnsi="Times New Roman" w:cs="Times New Roman"/>
          <w:sz w:val="24"/>
          <w:szCs w:val="24"/>
        </w:rPr>
        <w:t xml:space="preserve">The two </w:t>
      </w:r>
      <w:proofErr w:type="spellStart"/>
      <w:r w:rsidR="005A5736">
        <w:rPr>
          <w:rFonts w:ascii="Times New Roman" w:hAnsi="Times New Roman" w:cs="Times New Roman"/>
          <w:sz w:val="24"/>
          <w:szCs w:val="24"/>
        </w:rPr>
        <w:t>Amf</w:t>
      </w:r>
      <w:proofErr w:type="spellEnd"/>
      <w:r w:rsidR="005A5736">
        <w:rPr>
          <w:rFonts w:ascii="Times New Roman" w:hAnsi="Times New Roman" w:cs="Times New Roman"/>
          <w:sz w:val="24"/>
          <w:szCs w:val="24"/>
        </w:rPr>
        <w:t xml:space="preserve"> membrane fusion protein models aligned more closely to EmrA than they did to each</w:t>
      </w:r>
      <w:r w:rsidR="00C53D2D">
        <w:rPr>
          <w:rFonts w:ascii="Times New Roman" w:hAnsi="Times New Roman" w:cs="Times New Roman"/>
          <w:sz w:val="24"/>
          <w:szCs w:val="24"/>
        </w:rPr>
        <w:t xml:space="preserve"> </w:t>
      </w:r>
      <w:r w:rsidR="005A5736">
        <w:rPr>
          <w:rFonts w:ascii="Times New Roman" w:hAnsi="Times New Roman" w:cs="Times New Roman"/>
          <w:sz w:val="24"/>
          <w:szCs w:val="24"/>
        </w:rPr>
        <w:t xml:space="preserve">other: </w:t>
      </w:r>
      <w:proofErr w:type="spellStart"/>
      <w:r w:rsidR="005A5736">
        <w:rPr>
          <w:rFonts w:ascii="Times New Roman" w:hAnsi="Times New Roman" w:cs="Times New Roman"/>
          <w:sz w:val="24"/>
          <w:szCs w:val="24"/>
        </w:rPr>
        <w:t>AmfA</w:t>
      </w:r>
      <w:proofErr w:type="spellEnd"/>
      <w:r w:rsidR="005A5736">
        <w:rPr>
          <w:rFonts w:ascii="Times New Roman" w:hAnsi="Times New Roman" w:cs="Times New Roman"/>
          <w:sz w:val="24"/>
          <w:szCs w:val="24"/>
        </w:rPr>
        <w:t xml:space="preserve"> + </w:t>
      </w:r>
      <w:proofErr w:type="spellStart"/>
      <w:r w:rsidR="005A5736">
        <w:rPr>
          <w:rFonts w:ascii="Times New Roman" w:hAnsi="Times New Roman" w:cs="Times New Roman"/>
          <w:sz w:val="24"/>
          <w:szCs w:val="24"/>
        </w:rPr>
        <w:t>AmfC</w:t>
      </w:r>
      <w:proofErr w:type="spellEnd"/>
      <w:r w:rsidR="005A5736">
        <w:rPr>
          <w:rFonts w:ascii="Times New Roman" w:hAnsi="Times New Roman" w:cs="Times New Roman"/>
          <w:sz w:val="24"/>
          <w:szCs w:val="24"/>
        </w:rPr>
        <w:t xml:space="preserve"> RMSD = 5.44, EmrA + </w:t>
      </w:r>
      <w:proofErr w:type="spellStart"/>
      <w:r w:rsidR="005A5736">
        <w:rPr>
          <w:rFonts w:ascii="Times New Roman" w:hAnsi="Times New Roman" w:cs="Times New Roman"/>
          <w:sz w:val="24"/>
          <w:szCs w:val="24"/>
        </w:rPr>
        <w:t>AmfA</w:t>
      </w:r>
      <w:proofErr w:type="spellEnd"/>
      <w:r w:rsidR="005A5736">
        <w:rPr>
          <w:rFonts w:ascii="Times New Roman" w:hAnsi="Times New Roman" w:cs="Times New Roman"/>
          <w:sz w:val="24"/>
          <w:szCs w:val="24"/>
        </w:rPr>
        <w:t xml:space="preserve"> RMSD = 4.69, EmrA + </w:t>
      </w:r>
      <w:proofErr w:type="spellStart"/>
      <w:r w:rsidR="005A5736">
        <w:rPr>
          <w:rFonts w:ascii="Times New Roman" w:hAnsi="Times New Roman" w:cs="Times New Roman"/>
          <w:sz w:val="24"/>
          <w:szCs w:val="24"/>
        </w:rPr>
        <w:t>AmfC</w:t>
      </w:r>
      <w:proofErr w:type="spellEnd"/>
      <w:r w:rsidR="005A5736">
        <w:rPr>
          <w:rFonts w:ascii="Times New Roman" w:hAnsi="Times New Roman" w:cs="Times New Roman"/>
          <w:sz w:val="24"/>
          <w:szCs w:val="24"/>
        </w:rPr>
        <w:t xml:space="preserve"> RMSD = 4.26.</w:t>
      </w:r>
      <w:r>
        <w:rPr>
          <w:rFonts w:ascii="Times New Roman" w:hAnsi="Times New Roman" w:cs="Times New Roman"/>
          <w:sz w:val="24"/>
          <w:szCs w:val="24"/>
        </w:rPr>
        <w:t xml:space="preserve"> </w:t>
      </w:r>
      <w:r w:rsidR="002B5999">
        <w:rPr>
          <w:rFonts w:ascii="Times New Roman" w:hAnsi="Times New Roman" w:cs="Times New Roman"/>
          <w:sz w:val="24"/>
          <w:szCs w:val="24"/>
        </w:rPr>
        <w:t xml:space="preserve">These apparent differences </w:t>
      </w:r>
      <w:r w:rsidR="00872330">
        <w:rPr>
          <w:rFonts w:ascii="Times New Roman" w:hAnsi="Times New Roman" w:cs="Times New Roman"/>
          <w:sz w:val="24"/>
          <w:szCs w:val="24"/>
        </w:rPr>
        <w:t xml:space="preserve">are at least partially attributed to limitations of the predicted models. The unstructured amino acids in the predicted </w:t>
      </w:r>
      <w:proofErr w:type="spellStart"/>
      <w:r w:rsidR="00872330">
        <w:rPr>
          <w:rFonts w:ascii="Times New Roman" w:hAnsi="Times New Roman" w:cs="Times New Roman"/>
          <w:sz w:val="24"/>
          <w:szCs w:val="24"/>
        </w:rPr>
        <w:t>AmfA</w:t>
      </w:r>
      <w:proofErr w:type="spellEnd"/>
      <w:r w:rsidR="00872330">
        <w:rPr>
          <w:rFonts w:ascii="Times New Roman" w:hAnsi="Times New Roman" w:cs="Times New Roman"/>
          <w:sz w:val="24"/>
          <w:szCs w:val="24"/>
        </w:rPr>
        <w:t xml:space="preserve"> and </w:t>
      </w:r>
      <w:proofErr w:type="spellStart"/>
      <w:r w:rsidR="00872330">
        <w:rPr>
          <w:rFonts w:ascii="Times New Roman" w:hAnsi="Times New Roman" w:cs="Times New Roman"/>
          <w:sz w:val="24"/>
          <w:szCs w:val="24"/>
        </w:rPr>
        <w:t>AmfC</w:t>
      </w:r>
      <w:proofErr w:type="spellEnd"/>
      <w:r w:rsidR="00872330">
        <w:rPr>
          <w:rFonts w:ascii="Times New Roman" w:hAnsi="Times New Roman" w:cs="Times New Roman"/>
          <w:sz w:val="24"/>
          <w:szCs w:val="24"/>
        </w:rPr>
        <w:t xml:space="preserve"> </w:t>
      </w:r>
      <w:proofErr w:type="spellStart"/>
      <w:r w:rsidR="00872330" w:rsidRPr="00872330">
        <w:rPr>
          <w:rFonts w:ascii="Times New Roman" w:hAnsi="Times New Roman" w:cs="Times New Roman"/>
          <w:sz w:val="24"/>
          <w:szCs w:val="24"/>
        </w:rPr>
        <w:t>lipoyl</w:t>
      </w:r>
      <w:proofErr w:type="spellEnd"/>
      <w:r w:rsidR="00872330" w:rsidRPr="00872330">
        <w:rPr>
          <w:rFonts w:ascii="Times New Roman" w:hAnsi="Times New Roman" w:cs="Times New Roman"/>
          <w:sz w:val="24"/>
          <w:szCs w:val="24"/>
        </w:rPr>
        <w:t>/</w:t>
      </w:r>
      <w:r w:rsidR="00872330" w:rsidRPr="00872330">
        <w:rPr>
          <w:rStyle w:val="Emphasis"/>
          <w:rFonts w:cstheme="minorHAnsi"/>
          <w:i w:val="0"/>
          <w:iCs w:val="0"/>
          <w:sz w:val="24"/>
          <w:szCs w:val="24"/>
        </w:rPr>
        <w:t>β</w:t>
      </w:r>
      <w:r w:rsidR="00872330" w:rsidRPr="00872330">
        <w:rPr>
          <w:rStyle w:val="Emphasis"/>
          <w:i w:val="0"/>
          <w:iCs w:val="0"/>
          <w:sz w:val="24"/>
          <w:szCs w:val="24"/>
        </w:rPr>
        <w:t>-barrel</w:t>
      </w:r>
      <w:r w:rsidR="00872330">
        <w:rPr>
          <w:rStyle w:val="Emphasis"/>
          <w:i w:val="0"/>
          <w:iCs w:val="0"/>
          <w:sz w:val="24"/>
          <w:szCs w:val="24"/>
        </w:rPr>
        <w:t>/TM helix</w:t>
      </w:r>
      <w:r w:rsidR="00872330" w:rsidRPr="00872330">
        <w:rPr>
          <w:rStyle w:val="Emphasis"/>
          <w:i w:val="0"/>
          <w:iCs w:val="0"/>
          <w:sz w:val="24"/>
          <w:szCs w:val="24"/>
        </w:rPr>
        <w:t xml:space="preserve"> </w:t>
      </w:r>
      <w:r w:rsidR="00872330">
        <w:rPr>
          <w:rFonts w:ascii="Times New Roman" w:hAnsi="Times New Roman" w:cs="Times New Roman"/>
          <w:sz w:val="24"/>
          <w:szCs w:val="24"/>
        </w:rPr>
        <w:t>regions make it difficult to speculate on their predicted functions compared to EmrA</w:t>
      </w:r>
      <w:r w:rsidR="00872330" w:rsidRPr="00872330">
        <w:rPr>
          <w:rFonts w:ascii="Times New Roman" w:hAnsi="Times New Roman" w:cs="Times New Roman"/>
          <w:sz w:val="24"/>
          <w:szCs w:val="24"/>
        </w:rPr>
        <w:t xml:space="preserve">. </w:t>
      </w:r>
      <w:r w:rsidR="00872330" w:rsidRPr="00872330">
        <w:rPr>
          <w:rStyle w:val="Emphasis"/>
          <w:i w:val="0"/>
          <w:iCs w:val="0"/>
          <w:sz w:val="24"/>
          <w:szCs w:val="24"/>
        </w:rPr>
        <w:t xml:space="preserve">Crystal structures of </w:t>
      </w:r>
      <w:proofErr w:type="spellStart"/>
      <w:r w:rsidR="00872330" w:rsidRPr="00872330">
        <w:rPr>
          <w:rStyle w:val="Emphasis"/>
          <w:i w:val="0"/>
          <w:iCs w:val="0"/>
          <w:sz w:val="24"/>
          <w:szCs w:val="24"/>
        </w:rPr>
        <w:t>AmfA</w:t>
      </w:r>
      <w:proofErr w:type="spellEnd"/>
      <w:r w:rsidR="00872330" w:rsidRPr="00872330">
        <w:rPr>
          <w:rStyle w:val="Emphasis"/>
          <w:i w:val="0"/>
          <w:iCs w:val="0"/>
          <w:sz w:val="24"/>
          <w:szCs w:val="24"/>
        </w:rPr>
        <w:t xml:space="preserve"> and </w:t>
      </w:r>
      <w:proofErr w:type="spellStart"/>
      <w:r w:rsidR="00872330" w:rsidRPr="00872330">
        <w:rPr>
          <w:rStyle w:val="Emphasis"/>
          <w:i w:val="0"/>
          <w:iCs w:val="0"/>
          <w:sz w:val="24"/>
          <w:szCs w:val="24"/>
        </w:rPr>
        <w:t>AmfC</w:t>
      </w:r>
      <w:proofErr w:type="spellEnd"/>
      <w:r w:rsidR="00872330" w:rsidRPr="00872330">
        <w:rPr>
          <w:rStyle w:val="Emphasis"/>
          <w:i w:val="0"/>
          <w:iCs w:val="0"/>
          <w:sz w:val="24"/>
          <w:szCs w:val="24"/>
        </w:rPr>
        <w:t xml:space="preserve"> would illuminate these dissimilarities</w:t>
      </w:r>
      <w:r w:rsidR="00872330">
        <w:rPr>
          <w:rStyle w:val="Emphasis"/>
          <w:i w:val="0"/>
          <w:iCs w:val="0"/>
          <w:sz w:val="24"/>
          <w:szCs w:val="24"/>
        </w:rPr>
        <w:t>.</w:t>
      </w:r>
    </w:p>
    <w:p w14:paraId="0BCD8512" w14:textId="39FE1688" w:rsidR="00527841" w:rsidRDefault="00E00A9B" w:rsidP="006F0B55">
      <w:pPr>
        <w:pStyle w:val="ListParagraph"/>
        <w:spacing w:line="360" w:lineRule="auto"/>
        <w:ind w:left="0" w:firstLine="720"/>
        <w:rPr>
          <w:rStyle w:val="Emphasis"/>
          <w:i w:val="0"/>
          <w:iCs w:val="0"/>
          <w:sz w:val="24"/>
          <w:szCs w:val="24"/>
        </w:rPr>
      </w:pPr>
      <w:r>
        <w:rPr>
          <w:rStyle w:val="Emphasis"/>
          <w:i w:val="0"/>
          <w:iCs w:val="0"/>
          <w:sz w:val="24"/>
          <w:szCs w:val="24"/>
        </w:rPr>
        <w:t>T</w:t>
      </w:r>
      <w:r w:rsidR="00872330">
        <w:rPr>
          <w:rStyle w:val="Emphasis"/>
          <w:i w:val="0"/>
          <w:iCs w:val="0"/>
          <w:sz w:val="24"/>
          <w:szCs w:val="24"/>
        </w:rPr>
        <w:t xml:space="preserve">he </w:t>
      </w:r>
      <w:r w:rsidR="00872330" w:rsidRPr="00E00A9B">
        <w:rPr>
          <w:rStyle w:val="Emphasis"/>
          <w:i w:val="0"/>
          <w:iCs w:val="0"/>
          <w:sz w:val="24"/>
          <w:szCs w:val="24"/>
        </w:rPr>
        <w:t xml:space="preserve">α-helical hairpin domains </w:t>
      </w:r>
      <w:r w:rsidRPr="00E00A9B">
        <w:rPr>
          <w:rStyle w:val="Emphasis"/>
          <w:i w:val="0"/>
          <w:iCs w:val="0"/>
          <w:sz w:val="24"/>
          <w:szCs w:val="24"/>
        </w:rPr>
        <w:t xml:space="preserve">of the predicted </w:t>
      </w:r>
      <w:proofErr w:type="spellStart"/>
      <w:r w:rsidRPr="00E00A9B">
        <w:rPr>
          <w:rStyle w:val="Emphasis"/>
          <w:i w:val="0"/>
          <w:iCs w:val="0"/>
          <w:sz w:val="24"/>
          <w:szCs w:val="24"/>
        </w:rPr>
        <w:t>Amf</w:t>
      </w:r>
      <w:proofErr w:type="spellEnd"/>
      <w:r w:rsidRPr="00E00A9B">
        <w:rPr>
          <w:rStyle w:val="Emphasis"/>
          <w:i w:val="0"/>
          <w:iCs w:val="0"/>
          <w:sz w:val="24"/>
          <w:szCs w:val="24"/>
        </w:rPr>
        <w:t xml:space="preserve"> MFPs were visually the most well aligned regions and both </w:t>
      </w:r>
      <w:proofErr w:type="spellStart"/>
      <w:r w:rsidRPr="00E00A9B">
        <w:rPr>
          <w:rStyle w:val="Emphasis"/>
          <w:i w:val="0"/>
          <w:iCs w:val="0"/>
          <w:sz w:val="24"/>
          <w:szCs w:val="24"/>
        </w:rPr>
        <w:t>AmfA</w:t>
      </w:r>
      <w:proofErr w:type="spellEnd"/>
      <w:r w:rsidRPr="00E00A9B">
        <w:rPr>
          <w:rStyle w:val="Emphasis"/>
          <w:i w:val="0"/>
          <w:iCs w:val="0"/>
          <w:sz w:val="24"/>
          <w:szCs w:val="24"/>
        </w:rPr>
        <w:t xml:space="preserve"> and </w:t>
      </w:r>
      <w:proofErr w:type="spellStart"/>
      <w:r w:rsidRPr="00E00A9B">
        <w:rPr>
          <w:rStyle w:val="Emphasis"/>
          <w:i w:val="0"/>
          <w:iCs w:val="0"/>
          <w:sz w:val="24"/>
          <w:szCs w:val="24"/>
        </w:rPr>
        <w:t>AmfC</w:t>
      </w:r>
      <w:proofErr w:type="spellEnd"/>
      <w:r w:rsidRPr="00E00A9B">
        <w:rPr>
          <w:rStyle w:val="Emphasis"/>
          <w:i w:val="0"/>
          <w:iCs w:val="0"/>
          <w:sz w:val="24"/>
          <w:szCs w:val="24"/>
        </w:rPr>
        <w:t xml:space="preserve"> appear to be a bit shorter than EmrA. </w:t>
      </w:r>
      <w:r w:rsidR="00527841" w:rsidRPr="00E00A9B">
        <w:rPr>
          <w:rStyle w:val="Emphasis"/>
          <w:i w:val="0"/>
          <w:iCs w:val="0"/>
          <w:sz w:val="24"/>
          <w:szCs w:val="24"/>
        </w:rPr>
        <w:t xml:space="preserve">The tip of </w:t>
      </w:r>
      <w:proofErr w:type="spellStart"/>
      <w:r w:rsidR="00527841" w:rsidRPr="00E00A9B">
        <w:rPr>
          <w:rStyle w:val="Emphasis"/>
          <w:i w:val="0"/>
          <w:iCs w:val="0"/>
          <w:sz w:val="24"/>
          <w:szCs w:val="24"/>
        </w:rPr>
        <w:t>AmfC’s</w:t>
      </w:r>
      <w:proofErr w:type="spellEnd"/>
      <w:r w:rsidR="00527841" w:rsidRPr="00E00A9B">
        <w:rPr>
          <w:rStyle w:val="Emphasis"/>
          <w:i w:val="0"/>
          <w:iCs w:val="0"/>
          <w:sz w:val="24"/>
          <w:szCs w:val="24"/>
        </w:rPr>
        <w:t xml:space="preserve"> α-helical hairpin does not extend out as far as the tip of EmrA’s α-helical </w:t>
      </w:r>
      <w:r w:rsidR="00527841" w:rsidRPr="00E00A9B">
        <w:rPr>
          <w:rStyle w:val="Emphasis"/>
          <w:i w:val="0"/>
          <w:iCs w:val="0"/>
          <w:sz w:val="24"/>
          <w:szCs w:val="24"/>
        </w:rPr>
        <w:lastRenderedPageBreak/>
        <w:t>hairpin (</w:t>
      </w:r>
      <w:r w:rsidR="00527841" w:rsidRPr="00E00A9B">
        <w:rPr>
          <w:rStyle w:val="Emphasis"/>
          <w:b/>
          <w:bCs/>
          <w:i w:val="0"/>
          <w:iCs w:val="0"/>
          <w:sz w:val="24"/>
          <w:szCs w:val="24"/>
        </w:rPr>
        <w:t>Figure 3.</w:t>
      </w:r>
      <w:r w:rsidR="00A9426D" w:rsidRPr="00E00A9B">
        <w:rPr>
          <w:rStyle w:val="Emphasis"/>
          <w:b/>
          <w:bCs/>
          <w:i w:val="0"/>
          <w:iCs w:val="0"/>
          <w:sz w:val="24"/>
          <w:szCs w:val="24"/>
        </w:rPr>
        <w:t>4</w:t>
      </w:r>
      <w:r w:rsidR="00527841" w:rsidRPr="00E00A9B">
        <w:rPr>
          <w:rStyle w:val="Emphasis"/>
          <w:b/>
          <w:bCs/>
          <w:i w:val="0"/>
          <w:iCs w:val="0"/>
          <w:sz w:val="24"/>
          <w:szCs w:val="24"/>
        </w:rPr>
        <w:t>-</w:t>
      </w:r>
      <w:r w:rsidRPr="00E00A9B">
        <w:rPr>
          <w:rStyle w:val="Emphasis"/>
          <w:b/>
          <w:bCs/>
          <w:i w:val="0"/>
          <w:iCs w:val="0"/>
          <w:sz w:val="24"/>
          <w:szCs w:val="24"/>
        </w:rPr>
        <w:t>F</w:t>
      </w:r>
      <w:r w:rsidR="00527841" w:rsidRPr="00E00A9B">
        <w:rPr>
          <w:rStyle w:val="Emphasis"/>
          <w:i w:val="0"/>
          <w:iCs w:val="0"/>
          <w:sz w:val="24"/>
          <w:szCs w:val="24"/>
        </w:rPr>
        <w:t xml:space="preserve">). This is the same for </w:t>
      </w:r>
      <w:proofErr w:type="spellStart"/>
      <w:r w:rsidR="00527841" w:rsidRPr="00E00A9B">
        <w:rPr>
          <w:rStyle w:val="Emphasis"/>
          <w:i w:val="0"/>
          <w:iCs w:val="0"/>
          <w:sz w:val="24"/>
          <w:szCs w:val="24"/>
        </w:rPr>
        <w:t>AmfA</w:t>
      </w:r>
      <w:proofErr w:type="spellEnd"/>
      <w:r w:rsidR="00527841" w:rsidRPr="00E00A9B">
        <w:rPr>
          <w:rStyle w:val="Emphasis"/>
          <w:i w:val="0"/>
          <w:iCs w:val="0"/>
          <w:sz w:val="24"/>
          <w:szCs w:val="24"/>
        </w:rPr>
        <w:t xml:space="preserve"> (</w:t>
      </w:r>
      <w:r w:rsidR="00527841" w:rsidRPr="00E00A9B">
        <w:rPr>
          <w:rStyle w:val="Emphasis"/>
          <w:b/>
          <w:bCs/>
          <w:i w:val="0"/>
          <w:iCs w:val="0"/>
          <w:sz w:val="24"/>
          <w:szCs w:val="24"/>
        </w:rPr>
        <w:t>Figure 3.</w:t>
      </w:r>
      <w:r w:rsidR="00A9426D" w:rsidRPr="00E00A9B">
        <w:rPr>
          <w:rStyle w:val="Emphasis"/>
          <w:b/>
          <w:bCs/>
          <w:i w:val="0"/>
          <w:iCs w:val="0"/>
          <w:sz w:val="24"/>
          <w:szCs w:val="24"/>
        </w:rPr>
        <w:t>4</w:t>
      </w:r>
      <w:r w:rsidR="00527841" w:rsidRPr="00E00A9B">
        <w:rPr>
          <w:rStyle w:val="Emphasis"/>
          <w:b/>
          <w:bCs/>
          <w:i w:val="0"/>
          <w:iCs w:val="0"/>
          <w:sz w:val="24"/>
          <w:szCs w:val="24"/>
        </w:rPr>
        <w:t>-</w:t>
      </w:r>
      <w:r w:rsidRPr="00E00A9B">
        <w:rPr>
          <w:rStyle w:val="Emphasis"/>
          <w:b/>
          <w:bCs/>
          <w:i w:val="0"/>
          <w:iCs w:val="0"/>
          <w:sz w:val="24"/>
          <w:szCs w:val="24"/>
        </w:rPr>
        <w:t>E</w:t>
      </w:r>
      <w:r w:rsidR="00527841" w:rsidRPr="00E00A9B">
        <w:rPr>
          <w:rStyle w:val="Emphasis"/>
          <w:i w:val="0"/>
          <w:iCs w:val="0"/>
          <w:sz w:val="24"/>
          <w:szCs w:val="24"/>
        </w:rPr>
        <w:t xml:space="preserve">). This could suggest that </w:t>
      </w:r>
      <w:r w:rsidR="00A02FFB" w:rsidRPr="00E00A9B">
        <w:rPr>
          <w:rStyle w:val="Emphasis"/>
          <w:i w:val="0"/>
          <w:iCs w:val="0"/>
          <w:sz w:val="24"/>
          <w:szCs w:val="24"/>
        </w:rPr>
        <w:t xml:space="preserve">the periplasm may be </w:t>
      </w:r>
      <w:r w:rsidR="00842D45" w:rsidRPr="00E00A9B">
        <w:rPr>
          <w:rStyle w:val="Emphasis"/>
          <w:i w:val="0"/>
          <w:iCs w:val="0"/>
          <w:sz w:val="24"/>
          <w:szCs w:val="24"/>
        </w:rPr>
        <w:t xml:space="preserve">narrower in </w:t>
      </w:r>
      <w:r w:rsidR="00842D45" w:rsidRPr="00E00A9B">
        <w:rPr>
          <w:rStyle w:val="Emphasis"/>
          <w:sz w:val="24"/>
          <w:szCs w:val="24"/>
        </w:rPr>
        <w:t>A. baumannii</w:t>
      </w:r>
      <w:r w:rsidR="00842D45" w:rsidRPr="00E00A9B">
        <w:rPr>
          <w:rStyle w:val="Emphasis"/>
          <w:i w:val="0"/>
          <w:iCs w:val="0"/>
          <w:sz w:val="24"/>
          <w:szCs w:val="24"/>
        </w:rPr>
        <w:t xml:space="preserve"> than in </w:t>
      </w:r>
      <w:r w:rsidR="00842D45" w:rsidRPr="00E00A9B">
        <w:rPr>
          <w:rStyle w:val="Emphasis"/>
          <w:sz w:val="24"/>
          <w:szCs w:val="24"/>
        </w:rPr>
        <w:t>E.coli</w:t>
      </w:r>
      <w:r w:rsidR="00842D45" w:rsidRPr="00E00A9B">
        <w:rPr>
          <w:rStyle w:val="Emphasis"/>
          <w:i w:val="0"/>
          <w:iCs w:val="0"/>
          <w:sz w:val="24"/>
          <w:szCs w:val="24"/>
        </w:rPr>
        <w:t>.</w:t>
      </w:r>
      <w:r w:rsidR="00842D45">
        <w:rPr>
          <w:rStyle w:val="Emphasis"/>
          <w:i w:val="0"/>
          <w:iCs w:val="0"/>
          <w:sz w:val="24"/>
          <w:szCs w:val="24"/>
        </w:rPr>
        <w:t xml:space="preserve"> </w:t>
      </w:r>
      <w:r w:rsidR="000A0AED">
        <w:rPr>
          <w:rStyle w:val="Emphasis"/>
          <w:i w:val="0"/>
          <w:iCs w:val="0"/>
          <w:sz w:val="24"/>
          <w:szCs w:val="24"/>
        </w:rPr>
        <w:t xml:space="preserve"> </w:t>
      </w:r>
    </w:p>
    <w:p w14:paraId="68F3EFBC" w14:textId="5DDBE5F1" w:rsidR="00E00A9B" w:rsidRPr="00E00A9B" w:rsidRDefault="00AA1F9F" w:rsidP="00527841">
      <w:pPr>
        <w:pStyle w:val="ListParagraph"/>
        <w:spacing w:line="360" w:lineRule="auto"/>
        <w:ind w:left="0"/>
        <w:rPr>
          <w:rStyle w:val="Emphasis"/>
          <w:i w:val="0"/>
          <w:iCs w:val="0"/>
          <w:sz w:val="24"/>
          <w:szCs w:val="24"/>
        </w:rPr>
      </w:pPr>
      <w:r>
        <w:rPr>
          <w:rStyle w:val="Emphasis"/>
          <w:i w:val="0"/>
          <w:iCs w:val="0"/>
          <w:sz w:val="24"/>
          <w:szCs w:val="24"/>
        </w:rPr>
        <w:tab/>
      </w:r>
      <w:r w:rsidR="00FA1CF5">
        <w:rPr>
          <w:rStyle w:val="Emphasis"/>
          <w:i w:val="0"/>
          <w:iCs w:val="0"/>
          <w:sz w:val="24"/>
          <w:szCs w:val="24"/>
        </w:rPr>
        <w:t xml:space="preserve">In conclusion, </w:t>
      </w:r>
      <w:r w:rsidR="00DE4DFF">
        <w:rPr>
          <w:rStyle w:val="Emphasis"/>
          <w:i w:val="0"/>
          <w:iCs w:val="0"/>
          <w:sz w:val="24"/>
          <w:szCs w:val="24"/>
        </w:rPr>
        <w:t xml:space="preserve">the predicted </w:t>
      </w:r>
      <w:proofErr w:type="spellStart"/>
      <w:r w:rsidR="00DE4DFF">
        <w:rPr>
          <w:rStyle w:val="Emphasis"/>
          <w:i w:val="0"/>
          <w:iCs w:val="0"/>
          <w:sz w:val="24"/>
          <w:szCs w:val="24"/>
        </w:rPr>
        <w:t>Amf</w:t>
      </w:r>
      <w:proofErr w:type="spellEnd"/>
      <w:r w:rsidR="00DE4DFF">
        <w:rPr>
          <w:rStyle w:val="Emphasis"/>
          <w:i w:val="0"/>
          <w:iCs w:val="0"/>
          <w:sz w:val="24"/>
          <w:szCs w:val="24"/>
        </w:rPr>
        <w:t xml:space="preserve"> MFP regions besides the </w:t>
      </w:r>
      <w:r w:rsidR="00DE4DFF" w:rsidRPr="007913A3">
        <w:rPr>
          <w:rStyle w:val="Emphasis"/>
          <w:i w:val="0"/>
          <w:iCs w:val="0"/>
          <w:sz w:val="24"/>
          <w:szCs w:val="24"/>
        </w:rPr>
        <w:t>α</w:t>
      </w:r>
      <w:r w:rsidR="00DE4DFF">
        <w:rPr>
          <w:rStyle w:val="Emphasis"/>
          <w:i w:val="0"/>
          <w:iCs w:val="0"/>
          <w:sz w:val="24"/>
          <w:szCs w:val="24"/>
        </w:rPr>
        <w:t xml:space="preserve">-hairpin are too unstructured to be able to compare with the truncated EmrA crystal structure. </w:t>
      </w:r>
      <w:r w:rsidR="00DE4DFF">
        <w:rPr>
          <w:sz w:val="24"/>
          <w:szCs w:val="24"/>
        </w:rPr>
        <w:t>T</w:t>
      </w:r>
      <w:r w:rsidR="00E00A9B">
        <w:rPr>
          <w:rStyle w:val="Emphasis"/>
          <w:i w:val="0"/>
          <w:iCs w:val="0"/>
          <w:sz w:val="24"/>
          <w:szCs w:val="24"/>
        </w:rPr>
        <w:t>h</w:t>
      </w:r>
      <w:r w:rsidR="00DE4DFF">
        <w:rPr>
          <w:rStyle w:val="Emphasis"/>
          <w:i w:val="0"/>
          <w:iCs w:val="0"/>
          <w:sz w:val="24"/>
          <w:szCs w:val="24"/>
        </w:rPr>
        <w:t xml:space="preserve">e </w:t>
      </w:r>
      <w:r w:rsidR="00E00A9B" w:rsidRPr="007913A3">
        <w:rPr>
          <w:rStyle w:val="Emphasis"/>
          <w:i w:val="0"/>
          <w:iCs w:val="0"/>
          <w:sz w:val="24"/>
          <w:szCs w:val="24"/>
        </w:rPr>
        <w:t>α</w:t>
      </w:r>
      <w:r w:rsidR="00DE4DFF">
        <w:rPr>
          <w:rStyle w:val="Emphasis"/>
          <w:i w:val="0"/>
          <w:iCs w:val="0"/>
          <w:sz w:val="24"/>
          <w:szCs w:val="24"/>
        </w:rPr>
        <w:t>-h</w:t>
      </w:r>
      <w:r w:rsidR="00E00A9B">
        <w:rPr>
          <w:rStyle w:val="Emphasis"/>
          <w:i w:val="0"/>
          <w:iCs w:val="0"/>
          <w:sz w:val="24"/>
          <w:szCs w:val="24"/>
        </w:rPr>
        <w:t xml:space="preserve">airpin of both </w:t>
      </w:r>
      <w:proofErr w:type="spellStart"/>
      <w:r>
        <w:rPr>
          <w:rStyle w:val="Emphasis"/>
          <w:i w:val="0"/>
          <w:iCs w:val="0"/>
          <w:sz w:val="24"/>
          <w:szCs w:val="24"/>
        </w:rPr>
        <w:t>AmfA</w:t>
      </w:r>
      <w:proofErr w:type="spellEnd"/>
      <w:r>
        <w:rPr>
          <w:rStyle w:val="Emphasis"/>
          <w:i w:val="0"/>
          <w:iCs w:val="0"/>
          <w:sz w:val="24"/>
          <w:szCs w:val="24"/>
        </w:rPr>
        <w:t xml:space="preserve"> and </w:t>
      </w:r>
      <w:proofErr w:type="spellStart"/>
      <w:r>
        <w:rPr>
          <w:rStyle w:val="Emphasis"/>
          <w:i w:val="0"/>
          <w:iCs w:val="0"/>
          <w:sz w:val="24"/>
          <w:szCs w:val="24"/>
        </w:rPr>
        <w:t>AmfC</w:t>
      </w:r>
      <w:proofErr w:type="spellEnd"/>
      <w:r>
        <w:rPr>
          <w:rStyle w:val="Emphasis"/>
          <w:i w:val="0"/>
          <w:iCs w:val="0"/>
          <w:sz w:val="24"/>
          <w:szCs w:val="24"/>
        </w:rPr>
        <w:t xml:space="preserve"> </w:t>
      </w:r>
      <w:r w:rsidR="00E00A9B">
        <w:rPr>
          <w:rStyle w:val="Emphasis"/>
          <w:i w:val="0"/>
          <w:iCs w:val="0"/>
          <w:sz w:val="24"/>
          <w:szCs w:val="24"/>
        </w:rPr>
        <w:t xml:space="preserve"> is shorter than the corresponding </w:t>
      </w:r>
      <w:r w:rsidR="00E00A9B" w:rsidRPr="007913A3">
        <w:rPr>
          <w:rStyle w:val="Emphasis"/>
          <w:i w:val="0"/>
          <w:iCs w:val="0"/>
          <w:sz w:val="24"/>
          <w:szCs w:val="24"/>
        </w:rPr>
        <w:t>α</w:t>
      </w:r>
      <w:r w:rsidR="00E00A9B">
        <w:rPr>
          <w:rStyle w:val="Emphasis"/>
          <w:i w:val="0"/>
          <w:iCs w:val="0"/>
          <w:sz w:val="24"/>
          <w:szCs w:val="24"/>
        </w:rPr>
        <w:t xml:space="preserve">-hairpin of EmrA, which suggests that </w:t>
      </w:r>
      <w:r w:rsidR="00E00A9B">
        <w:rPr>
          <w:rStyle w:val="Emphasis"/>
          <w:sz w:val="24"/>
          <w:szCs w:val="24"/>
        </w:rPr>
        <w:t>A. baumannii</w:t>
      </w:r>
      <w:r w:rsidR="00E00A9B">
        <w:rPr>
          <w:rStyle w:val="Emphasis"/>
          <w:i w:val="0"/>
          <w:iCs w:val="0"/>
          <w:sz w:val="24"/>
          <w:szCs w:val="24"/>
        </w:rPr>
        <w:t xml:space="preserve"> may have a </w:t>
      </w:r>
      <w:proofErr w:type="gramStart"/>
      <w:r w:rsidR="00E00A9B">
        <w:rPr>
          <w:rStyle w:val="Emphasis"/>
          <w:i w:val="0"/>
          <w:iCs w:val="0"/>
          <w:sz w:val="24"/>
          <w:szCs w:val="24"/>
        </w:rPr>
        <w:t>more narrow</w:t>
      </w:r>
      <w:proofErr w:type="gramEnd"/>
      <w:r w:rsidR="00E00A9B">
        <w:rPr>
          <w:rStyle w:val="Emphasis"/>
          <w:i w:val="0"/>
          <w:iCs w:val="0"/>
          <w:sz w:val="24"/>
          <w:szCs w:val="24"/>
        </w:rPr>
        <w:t xml:space="preserve"> periplasm compared to </w:t>
      </w:r>
      <w:r w:rsidR="00E00A9B">
        <w:rPr>
          <w:rStyle w:val="Emphasis"/>
          <w:sz w:val="24"/>
          <w:szCs w:val="24"/>
        </w:rPr>
        <w:t>E. coli</w:t>
      </w:r>
      <w:r w:rsidR="00E00A9B">
        <w:rPr>
          <w:rStyle w:val="Emphasis"/>
          <w:i w:val="0"/>
          <w:iCs w:val="0"/>
          <w:sz w:val="24"/>
          <w:szCs w:val="24"/>
        </w:rPr>
        <w:t xml:space="preserve">.  </w:t>
      </w:r>
    </w:p>
    <w:p w14:paraId="6676BE35" w14:textId="0BA56FAD" w:rsidR="00527841" w:rsidRDefault="00000BEC" w:rsidP="00527841">
      <w:pPr>
        <w:spacing w:before="120" w:after="120" w:line="360" w:lineRule="auto"/>
        <w:jc w:val="both"/>
        <w:rPr>
          <w:rFonts w:ascii="Times New Roman" w:hAnsi="Times New Roman" w:cs="Times New Roman"/>
          <w:color w:val="000000" w:themeColor="text1"/>
          <w:sz w:val="24"/>
          <w:szCs w:val="24"/>
        </w:rPr>
      </w:pPr>
      <w:r w:rsidRPr="00000BEC">
        <w:rPr>
          <w:rFonts w:ascii="Times New Roman" w:hAnsi="Times New Roman" w:cs="Times New Roman"/>
          <w:noProof/>
          <w:color w:val="000000" w:themeColor="text1"/>
          <w:sz w:val="24"/>
          <w:szCs w:val="24"/>
        </w:rPr>
        <w:drawing>
          <wp:inline distT="0" distB="0" distL="0" distR="0" wp14:anchorId="66FDFC00" wp14:editId="225AACD7">
            <wp:extent cx="5486400" cy="3681730"/>
            <wp:effectExtent l="0" t="0" r="0" b="0"/>
            <wp:docPr id="1020687860" name="Picture 1" descr="Several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87860" name="Picture 1" descr="Several different colored lines&#10;&#10;Description automatically generated with medium confidence"/>
                    <pic:cNvPicPr/>
                  </pic:nvPicPr>
                  <pic:blipFill>
                    <a:blip r:embed="rId27"/>
                    <a:stretch>
                      <a:fillRect/>
                    </a:stretch>
                  </pic:blipFill>
                  <pic:spPr>
                    <a:xfrm>
                      <a:off x="0" y="0"/>
                      <a:ext cx="5486400" cy="3681730"/>
                    </a:xfrm>
                    <a:prstGeom prst="rect">
                      <a:avLst/>
                    </a:prstGeom>
                  </pic:spPr>
                </pic:pic>
              </a:graphicData>
            </a:graphic>
          </wp:inline>
        </w:drawing>
      </w:r>
      <w:r w:rsidR="00527841" w:rsidRPr="001C2959">
        <w:rPr>
          <w:rFonts w:ascii="Times New Roman" w:hAnsi="Times New Roman" w:cs="Times New Roman"/>
          <w:noProof/>
          <w:color w:val="000000" w:themeColor="text1"/>
          <w:sz w:val="24"/>
          <w:szCs w:val="24"/>
        </w:rPr>
        <w:t xml:space="preserve"> </w:t>
      </w:r>
    </w:p>
    <w:p w14:paraId="746BD9B5" w14:textId="763F1866" w:rsidR="00527841" w:rsidRDefault="00527841" w:rsidP="00527841">
      <w:pPr>
        <w:pStyle w:val="ListParagraph"/>
        <w:ind w:left="0"/>
        <w:rPr>
          <w:rFonts w:ascii="Times New Roman" w:hAnsi="Times New Roman" w:cs="Times New Roman"/>
          <w:b/>
          <w:bCs/>
          <w:sz w:val="24"/>
          <w:szCs w:val="24"/>
        </w:rPr>
      </w:pPr>
      <w:r>
        <w:rPr>
          <w:rFonts w:ascii="Times New Roman" w:hAnsi="Times New Roman" w:cs="Times New Roman"/>
          <w:b/>
          <w:bCs/>
          <w:sz w:val="24"/>
          <w:szCs w:val="24"/>
        </w:rPr>
        <w:t>Figure 3.</w:t>
      </w:r>
      <w:r w:rsidR="00B03B7E">
        <w:rPr>
          <w:rFonts w:ascii="Times New Roman" w:hAnsi="Times New Roman" w:cs="Times New Roman"/>
          <w:b/>
          <w:bCs/>
          <w:sz w:val="24"/>
          <w:szCs w:val="24"/>
        </w:rPr>
        <w:t>4</w:t>
      </w:r>
      <w:r>
        <w:rPr>
          <w:rFonts w:ascii="Times New Roman" w:hAnsi="Times New Roman" w:cs="Times New Roman"/>
          <w:b/>
          <w:bCs/>
          <w:sz w:val="24"/>
          <w:szCs w:val="24"/>
        </w:rPr>
        <w:t xml:space="preserve"> – MFP </w:t>
      </w:r>
      <w:r w:rsidR="00B03B7E">
        <w:rPr>
          <w:rFonts w:ascii="Times New Roman" w:hAnsi="Times New Roman" w:cs="Times New Roman"/>
          <w:b/>
          <w:bCs/>
          <w:sz w:val="24"/>
          <w:szCs w:val="24"/>
        </w:rPr>
        <w:t>p</w:t>
      </w:r>
      <w:r>
        <w:rPr>
          <w:rFonts w:ascii="Times New Roman" w:hAnsi="Times New Roman" w:cs="Times New Roman"/>
          <w:b/>
          <w:bCs/>
          <w:sz w:val="24"/>
          <w:szCs w:val="24"/>
        </w:rPr>
        <w:t xml:space="preserve">rotomer </w:t>
      </w:r>
      <w:r w:rsidR="00B03B7E">
        <w:rPr>
          <w:rFonts w:ascii="Times New Roman" w:hAnsi="Times New Roman" w:cs="Times New Roman"/>
          <w:b/>
          <w:bCs/>
          <w:sz w:val="24"/>
          <w:szCs w:val="24"/>
        </w:rPr>
        <w:t>s</w:t>
      </w:r>
      <w:r>
        <w:rPr>
          <w:rFonts w:ascii="Times New Roman" w:hAnsi="Times New Roman" w:cs="Times New Roman"/>
          <w:b/>
          <w:bCs/>
          <w:sz w:val="24"/>
          <w:szCs w:val="24"/>
        </w:rPr>
        <w:t xml:space="preserve">tructure </w:t>
      </w:r>
      <w:r w:rsidR="00B03B7E">
        <w:rPr>
          <w:rFonts w:ascii="Times New Roman" w:hAnsi="Times New Roman" w:cs="Times New Roman"/>
          <w:b/>
          <w:bCs/>
          <w:sz w:val="24"/>
          <w:szCs w:val="24"/>
        </w:rPr>
        <w:t>m</w:t>
      </w:r>
      <w:r>
        <w:rPr>
          <w:rFonts w:ascii="Times New Roman" w:hAnsi="Times New Roman" w:cs="Times New Roman"/>
          <w:b/>
          <w:bCs/>
          <w:sz w:val="24"/>
          <w:szCs w:val="24"/>
        </w:rPr>
        <w:t>odels</w:t>
      </w:r>
    </w:p>
    <w:p w14:paraId="01AE003B" w14:textId="06BBAF5C" w:rsidR="00400C83" w:rsidRDefault="00527841" w:rsidP="004247D3">
      <w:pPr>
        <w:pStyle w:val="ListParagraph"/>
        <w:ind w:left="0"/>
        <w:rPr>
          <w:rFonts w:asciiTheme="majorHAnsi" w:hAnsiTheme="majorHAnsi" w:cstheme="majorHAnsi"/>
          <w:sz w:val="24"/>
          <w:szCs w:val="24"/>
        </w:rPr>
      </w:pPr>
      <w:r>
        <w:rPr>
          <w:rFonts w:ascii="Times New Roman" w:hAnsi="Times New Roman" w:cs="Times New Roman"/>
          <w:sz w:val="24"/>
          <w:szCs w:val="24"/>
        </w:rPr>
        <w:t xml:space="preserve">3D Structure Models of the inner membrane transporter protomers EmrA, with labeled </w:t>
      </w:r>
      <w:r w:rsidRPr="007913A3">
        <w:rPr>
          <w:rStyle w:val="Emphasis"/>
          <w:i w:val="0"/>
          <w:iCs w:val="0"/>
          <w:sz w:val="24"/>
          <w:szCs w:val="24"/>
        </w:rPr>
        <w:t>α-hairpin</w:t>
      </w:r>
      <w:r>
        <w:rPr>
          <w:rStyle w:val="Emphasis"/>
          <w:i w:val="0"/>
          <w:iCs w:val="0"/>
          <w:sz w:val="24"/>
          <w:szCs w:val="24"/>
        </w:rPr>
        <w:t xml:space="preserve">, </w:t>
      </w:r>
      <w:proofErr w:type="spellStart"/>
      <w:r>
        <w:rPr>
          <w:rStyle w:val="Emphasis"/>
          <w:i w:val="0"/>
          <w:iCs w:val="0"/>
          <w:sz w:val="24"/>
          <w:szCs w:val="24"/>
        </w:rPr>
        <w:t>lipoyl</w:t>
      </w:r>
      <w:proofErr w:type="spellEnd"/>
      <w:r>
        <w:rPr>
          <w:rStyle w:val="Emphasis"/>
          <w:i w:val="0"/>
          <w:iCs w:val="0"/>
          <w:sz w:val="24"/>
          <w:szCs w:val="24"/>
        </w:rPr>
        <w:t xml:space="preserve">, and </w:t>
      </w:r>
      <w:r>
        <w:rPr>
          <w:rStyle w:val="Emphasis"/>
          <w:rFonts w:cstheme="minorHAnsi"/>
          <w:i w:val="0"/>
          <w:iCs w:val="0"/>
          <w:sz w:val="24"/>
          <w:szCs w:val="24"/>
        </w:rPr>
        <w:t>β</w:t>
      </w:r>
      <w:r>
        <w:rPr>
          <w:rStyle w:val="Emphasis"/>
          <w:i w:val="0"/>
          <w:iCs w:val="0"/>
          <w:sz w:val="24"/>
          <w:szCs w:val="24"/>
        </w:rPr>
        <w:t>-barrel</w:t>
      </w:r>
      <w:r w:rsidRPr="007913A3">
        <w:rPr>
          <w:rStyle w:val="Emphasis"/>
          <w:i w:val="0"/>
          <w:iCs w:val="0"/>
          <w:sz w:val="24"/>
          <w:szCs w:val="24"/>
        </w:rPr>
        <w:t xml:space="preserve"> </w:t>
      </w:r>
      <w:r>
        <w:rPr>
          <w:rFonts w:ascii="Times New Roman" w:hAnsi="Times New Roman" w:cs="Times New Roman"/>
          <w:sz w:val="24"/>
          <w:szCs w:val="24"/>
        </w:rPr>
        <w:t>domains (</w:t>
      </w:r>
      <w:r>
        <w:rPr>
          <w:rFonts w:ascii="Times New Roman" w:hAnsi="Times New Roman" w:cs="Times New Roman"/>
          <w:b/>
          <w:bCs/>
          <w:sz w:val="24"/>
          <w:szCs w:val="24"/>
        </w:rPr>
        <w:t>A</w:t>
      </w:r>
      <w:r>
        <w:rPr>
          <w:rFonts w:ascii="Times New Roman" w:hAnsi="Times New Roman" w:cs="Times New Roman"/>
          <w:sz w:val="24"/>
          <w:szCs w:val="24"/>
        </w:rPr>
        <w:t xml:space="preserve">), </w:t>
      </w:r>
      <w:proofErr w:type="spellStart"/>
      <w:r>
        <w:rPr>
          <w:rFonts w:ascii="Times New Roman" w:hAnsi="Times New Roman" w:cs="Times New Roman"/>
          <w:sz w:val="24"/>
          <w:szCs w:val="24"/>
        </w:rPr>
        <w:t>AmfA</w:t>
      </w:r>
      <w:proofErr w:type="spellEnd"/>
      <w:r>
        <w:rPr>
          <w:rFonts w:ascii="Times New Roman" w:hAnsi="Times New Roman" w:cs="Times New Roman"/>
          <w:sz w:val="24"/>
          <w:szCs w:val="24"/>
        </w:rPr>
        <w:t xml:space="preserve"> </w:t>
      </w:r>
      <w:r w:rsidR="00A0638D">
        <w:rPr>
          <w:rFonts w:ascii="Times New Roman" w:hAnsi="Times New Roman" w:cs="Times New Roman"/>
          <w:sz w:val="24"/>
          <w:szCs w:val="24"/>
        </w:rPr>
        <w:t>(</w:t>
      </w:r>
      <w:proofErr w:type="spellStart"/>
      <w:r w:rsidR="00A0638D">
        <w:rPr>
          <w:rFonts w:ascii="Times New Roman" w:hAnsi="Times New Roman" w:cs="Times New Roman"/>
          <w:sz w:val="24"/>
          <w:szCs w:val="24"/>
        </w:rPr>
        <w:t>eTM</w:t>
      </w:r>
      <w:proofErr w:type="spellEnd"/>
      <w:r w:rsidR="00A0638D">
        <w:rPr>
          <w:rFonts w:ascii="Times New Roman" w:hAnsi="Times New Roman" w:cs="Times New Roman"/>
          <w:sz w:val="24"/>
          <w:szCs w:val="24"/>
        </w:rPr>
        <w:t xml:space="preserve">=0.75) </w:t>
      </w:r>
      <w:r>
        <w:rPr>
          <w:rFonts w:ascii="Times New Roman" w:hAnsi="Times New Roman" w:cs="Times New Roman"/>
          <w:sz w:val="24"/>
          <w:szCs w:val="24"/>
        </w:rPr>
        <w:t>(</w:t>
      </w:r>
      <w:r>
        <w:rPr>
          <w:rFonts w:ascii="Times New Roman" w:hAnsi="Times New Roman" w:cs="Times New Roman"/>
          <w:b/>
          <w:bCs/>
          <w:sz w:val="24"/>
          <w:szCs w:val="24"/>
        </w:rPr>
        <w:t>B</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AmfC</w:t>
      </w:r>
      <w:proofErr w:type="spellEnd"/>
      <w:r>
        <w:rPr>
          <w:rFonts w:ascii="Times New Roman" w:hAnsi="Times New Roman" w:cs="Times New Roman"/>
          <w:sz w:val="24"/>
          <w:szCs w:val="24"/>
        </w:rPr>
        <w:t xml:space="preserve"> </w:t>
      </w:r>
      <w:r w:rsidR="00A0638D">
        <w:rPr>
          <w:rFonts w:ascii="Times New Roman" w:hAnsi="Times New Roman" w:cs="Times New Roman"/>
          <w:sz w:val="24"/>
          <w:szCs w:val="24"/>
        </w:rPr>
        <w:t>(</w:t>
      </w:r>
      <w:proofErr w:type="spellStart"/>
      <w:r w:rsidR="00A0638D">
        <w:rPr>
          <w:rFonts w:ascii="Times New Roman" w:hAnsi="Times New Roman" w:cs="Times New Roman"/>
          <w:sz w:val="24"/>
          <w:szCs w:val="24"/>
        </w:rPr>
        <w:t>eTM</w:t>
      </w:r>
      <w:proofErr w:type="spellEnd"/>
      <w:r w:rsidR="00A0638D">
        <w:rPr>
          <w:rFonts w:ascii="Times New Roman" w:hAnsi="Times New Roman" w:cs="Times New Roman"/>
          <w:sz w:val="24"/>
          <w:szCs w:val="24"/>
        </w:rPr>
        <w:t xml:space="preserve">=0.73) </w:t>
      </w:r>
      <w:r>
        <w:rPr>
          <w:rFonts w:ascii="Times New Roman" w:hAnsi="Times New Roman" w:cs="Times New Roman"/>
          <w:sz w:val="24"/>
          <w:szCs w:val="24"/>
        </w:rPr>
        <w:t>(</w:t>
      </w:r>
      <w:r>
        <w:rPr>
          <w:rFonts w:ascii="Times New Roman" w:hAnsi="Times New Roman" w:cs="Times New Roman"/>
          <w:b/>
          <w:bCs/>
          <w:sz w:val="24"/>
          <w:szCs w:val="24"/>
        </w:rPr>
        <w:t>C</w:t>
      </w:r>
      <w:proofErr w:type="gramStart"/>
      <w:r>
        <w:rPr>
          <w:rFonts w:ascii="Times New Roman" w:hAnsi="Times New Roman" w:cs="Times New Roman"/>
          <w:sz w:val="24"/>
          <w:szCs w:val="24"/>
        </w:rPr>
        <w:t>), and</w:t>
      </w:r>
      <w:proofErr w:type="gramEnd"/>
      <w:r>
        <w:rPr>
          <w:rFonts w:ascii="Times New Roman" w:hAnsi="Times New Roman" w:cs="Times New Roman"/>
          <w:sz w:val="24"/>
          <w:szCs w:val="24"/>
        </w:rPr>
        <w:t xml:space="preserve"> aligned models of</w:t>
      </w:r>
      <w:r w:rsidR="00000BEC">
        <w:rPr>
          <w:rFonts w:ascii="Times New Roman" w:hAnsi="Times New Roman" w:cs="Times New Roman"/>
          <w:sz w:val="24"/>
          <w:szCs w:val="24"/>
        </w:rPr>
        <w:t xml:space="preserve"> </w:t>
      </w:r>
      <w:proofErr w:type="spellStart"/>
      <w:r w:rsidR="00000BEC">
        <w:rPr>
          <w:rFonts w:ascii="Times New Roman" w:hAnsi="Times New Roman" w:cs="Times New Roman"/>
          <w:sz w:val="24"/>
          <w:szCs w:val="24"/>
        </w:rPr>
        <w:t>AmfA</w:t>
      </w:r>
      <w:proofErr w:type="spellEnd"/>
      <w:r w:rsidR="00000BEC">
        <w:rPr>
          <w:rFonts w:ascii="Times New Roman" w:hAnsi="Times New Roman" w:cs="Times New Roman"/>
          <w:sz w:val="24"/>
          <w:szCs w:val="24"/>
        </w:rPr>
        <w:t xml:space="preserve"> (green) + </w:t>
      </w:r>
      <w:proofErr w:type="spellStart"/>
      <w:r w:rsidR="00000BEC">
        <w:rPr>
          <w:rFonts w:ascii="Times New Roman" w:hAnsi="Times New Roman" w:cs="Times New Roman"/>
          <w:sz w:val="24"/>
          <w:szCs w:val="24"/>
        </w:rPr>
        <w:t>AmfC</w:t>
      </w:r>
      <w:proofErr w:type="spellEnd"/>
      <w:r w:rsidR="00000BEC">
        <w:rPr>
          <w:rFonts w:ascii="Times New Roman" w:hAnsi="Times New Roman" w:cs="Times New Roman"/>
          <w:sz w:val="24"/>
          <w:szCs w:val="24"/>
        </w:rPr>
        <w:t xml:space="preserve"> (blue) (RMSD=5.44) (</w:t>
      </w:r>
      <w:r w:rsidR="00000BEC">
        <w:rPr>
          <w:rFonts w:ascii="Times New Roman" w:hAnsi="Times New Roman" w:cs="Times New Roman"/>
          <w:b/>
          <w:bCs/>
          <w:sz w:val="24"/>
          <w:szCs w:val="24"/>
        </w:rPr>
        <w:t>D</w:t>
      </w:r>
      <w:r w:rsidR="00000BE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AmfA</w:t>
      </w:r>
      <w:proofErr w:type="spellEnd"/>
      <w:r>
        <w:rPr>
          <w:rFonts w:ascii="Times New Roman" w:hAnsi="Times New Roman" w:cs="Times New Roman"/>
          <w:sz w:val="24"/>
          <w:szCs w:val="24"/>
        </w:rPr>
        <w:t xml:space="preserve"> (green) + EmrA (magenta) (RMSD=</w:t>
      </w:r>
      <w:r w:rsidR="00000BEC">
        <w:rPr>
          <w:rFonts w:ascii="Times New Roman" w:hAnsi="Times New Roman" w:cs="Times New Roman"/>
          <w:sz w:val="24"/>
          <w:szCs w:val="24"/>
        </w:rPr>
        <w:t>4.70</w:t>
      </w:r>
      <w:r>
        <w:rPr>
          <w:rFonts w:ascii="Times New Roman" w:hAnsi="Times New Roman" w:cs="Times New Roman"/>
          <w:sz w:val="24"/>
          <w:szCs w:val="24"/>
        </w:rPr>
        <w:t>) (</w:t>
      </w:r>
      <w:r w:rsidR="00000BEC">
        <w:rPr>
          <w:rFonts w:ascii="Times New Roman" w:hAnsi="Times New Roman" w:cs="Times New Roman"/>
          <w:b/>
          <w:bCs/>
          <w:sz w:val="24"/>
          <w:szCs w:val="24"/>
        </w:rPr>
        <w:t>E</w:t>
      </w:r>
      <w:r>
        <w:rPr>
          <w:rFonts w:ascii="Times New Roman" w:hAnsi="Times New Roman" w:cs="Times New Roman"/>
          <w:sz w:val="24"/>
          <w:szCs w:val="24"/>
        </w:rPr>
        <w:t>)</w:t>
      </w:r>
      <w:r w:rsidR="00000BEC">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AmfC</w:t>
      </w:r>
      <w:proofErr w:type="spellEnd"/>
      <w:r>
        <w:rPr>
          <w:rFonts w:ascii="Times New Roman" w:hAnsi="Times New Roman" w:cs="Times New Roman"/>
          <w:sz w:val="24"/>
          <w:szCs w:val="24"/>
        </w:rPr>
        <w:t xml:space="preserve"> (green) + </w:t>
      </w:r>
      <w:r w:rsidRPr="00000BEC">
        <w:rPr>
          <w:rFonts w:ascii="Times New Roman" w:hAnsi="Times New Roman" w:cs="Times New Roman"/>
          <w:sz w:val="24"/>
          <w:szCs w:val="24"/>
        </w:rPr>
        <w:t>EmrA (magenta) (</w:t>
      </w:r>
      <w:r w:rsidR="00000BEC" w:rsidRPr="00000BEC">
        <w:rPr>
          <w:rFonts w:ascii="Times New Roman" w:hAnsi="Times New Roman" w:cs="Times New Roman"/>
          <w:sz w:val="24"/>
          <w:szCs w:val="24"/>
        </w:rPr>
        <w:t>4.26</w:t>
      </w:r>
      <w:r w:rsidRPr="00000BEC">
        <w:rPr>
          <w:rFonts w:ascii="Times New Roman" w:hAnsi="Times New Roman" w:cs="Times New Roman"/>
          <w:sz w:val="24"/>
          <w:szCs w:val="24"/>
        </w:rPr>
        <w:t>) (</w:t>
      </w:r>
      <w:r w:rsidR="00000BEC" w:rsidRPr="00000BEC">
        <w:rPr>
          <w:rFonts w:ascii="Times New Roman" w:hAnsi="Times New Roman" w:cs="Times New Roman"/>
          <w:b/>
          <w:bCs/>
          <w:sz w:val="24"/>
          <w:szCs w:val="24"/>
        </w:rPr>
        <w:t>F</w:t>
      </w:r>
      <w:r>
        <w:rPr>
          <w:rFonts w:ascii="Times New Roman" w:hAnsi="Times New Roman" w:cs="Times New Roman"/>
          <w:sz w:val="24"/>
          <w:szCs w:val="24"/>
        </w:rPr>
        <w:t xml:space="preserve">). </w:t>
      </w:r>
      <w:r w:rsidR="00EC6A98">
        <w:rPr>
          <w:rFonts w:ascii="Times New Roman" w:hAnsi="Times New Roman" w:cs="Times New Roman"/>
          <w:sz w:val="24"/>
          <w:szCs w:val="24"/>
        </w:rPr>
        <w:t>An engineered version of EmrA lacking the TM helix was used to facilitate crystallization</w:t>
      </w:r>
      <w:r w:rsidR="005B0F0A">
        <w:rPr>
          <w:rFonts w:ascii="Times New Roman" w:hAnsi="Times New Roman" w:cs="Times New Roman"/>
          <w:sz w:val="24"/>
          <w:szCs w:val="24"/>
        </w:rPr>
        <w:t xml:space="preserve"> (final model includes EmrA residues </w:t>
      </w:r>
      <w:r w:rsidR="002F6F9F">
        <w:rPr>
          <w:rFonts w:ascii="Times New Roman" w:hAnsi="Times New Roman" w:cs="Times New Roman"/>
          <w:sz w:val="24"/>
          <w:szCs w:val="24"/>
        </w:rPr>
        <w:t>27-321 and 343-373)</w:t>
      </w:r>
      <w:r w:rsidR="00EC6A98">
        <w:rPr>
          <w:rFonts w:ascii="Times New Roman" w:hAnsi="Times New Roman" w:cs="Times New Roman"/>
          <w:sz w:val="24"/>
          <w:szCs w:val="24"/>
        </w:rPr>
        <w:t xml:space="preserve">. </w:t>
      </w:r>
      <w:r>
        <w:rPr>
          <w:rFonts w:ascii="Times New Roman" w:hAnsi="Times New Roman" w:cs="Times New Roman"/>
          <w:sz w:val="24"/>
          <w:szCs w:val="24"/>
        </w:rPr>
        <w:t>The EmrA structure was solved using X-ray crystallography by Hinchliffe et al.</w:t>
      </w: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{"citationID":"0qnyNpH8","properties":{"formattedCitation":"\\super 137\\nosupersub{}","plainCitation":"137","noteIndex":0},"citationItems":[{"id":1955,"uris":["http://zotero.org/users/1918630/items/GPC87BIB"],"itemData":{"id":1955,"type":"article-journal","abstract":"Periplasmic adaptor proteins are key components of bacterial tripartite efflux pumps. The 2.85 Å resolution structure of an MFS (major facilitator superfamily) pump adaptor, Aquifex aeolicus EmrA, shows linearly arranged α-helical coiled-coil, lipoyl, and β-barrel domains, but lacks the fourth membrane-proximal domain shown in other pumps to interact with the inner membrane transporter. The adaptor α-hairpin, which binds outer membrane TolC, is exceptionally long at 127 Å, and the β-barrel contains a conserved disordered loop. The structure extends the view of adaptors as flexible, modular components that mediate diverse pump assembly, and suggests that in MFS tripartite pumps a hexamer of adaptors could provide a periplasmic seal.","container-title":"FEBS Letters","DOI":"10.1016/j.febslet.2014.06.055","ISSN":"1873-3468","issue":"17","language":"en","license":"FEBS Letters 588 (2014) 0014-5793 ©2015 The Authors. Published by FEBS Press and John Wiley &amp; Sons Ltd.","note":"_eprint: https://onlinelibrary.wiley.com/doi/pdf/10.1016/j.febslet.2014.06.055","page":"3147-3153","source":"Wiley Online Library","title":"Structure of the periplasmic adaptor protein from a major facilitator superfamily (MFS) multidrug efflux pump","volume":"588","author":[{"family":"Hinchliffe","given":"Philip"},{"family":"Greene","given":"Nicholas P."},{"family":"Paterson","given":"Neil G."},{"family":"Crow","given":"Allister"},{"family":"Hughes","given":"Colin"},{"family":"Koronakis","given":"Vassilis"}],"issued":{"date-parts":[["2014"]]}}}],"schema":"https://github.com/citation-style-language/schema/raw/master/csl-citation.json"}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kern w:val="0"/>
          <w:sz w:val="24"/>
          <w:vertAlign w:val="superscript"/>
        </w:rPr>
        <w:t>137</w:t>
      </w:r>
      <w:r>
        <w:rPr>
          <w:rFonts w:ascii="Times New Roman" w:hAnsi="Times New Roman" w:cs="Times New Roman"/>
          <w:sz w:val="24"/>
          <w:szCs w:val="24"/>
        </w:rPr>
        <w:fldChar w:fldCharType="end"/>
      </w:r>
      <w:r w:rsidR="003E6FC5">
        <w:rPr>
          <w:rFonts w:ascii="Times New Roman" w:hAnsi="Times New Roman" w:cs="Times New Roman"/>
          <w:sz w:val="24"/>
          <w:szCs w:val="24"/>
        </w:rPr>
        <w:t xml:space="preserve"> </w:t>
      </w:r>
      <w:r>
        <w:rPr>
          <w:rFonts w:ascii="Times New Roman" w:hAnsi="Times New Roman" w:cs="Times New Roman"/>
          <w:sz w:val="24"/>
          <w:szCs w:val="24"/>
        </w:rPr>
        <w:t xml:space="preserve">and the PDB file can be found in the Protein Data Base (PDB) with PDB code: 4TKO. The </w:t>
      </w:r>
      <w:proofErr w:type="spellStart"/>
      <w:r>
        <w:rPr>
          <w:rFonts w:ascii="Times New Roman" w:hAnsi="Times New Roman" w:cs="Times New Roman"/>
          <w:sz w:val="24"/>
          <w:szCs w:val="24"/>
        </w:rPr>
        <w:t>AmfA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AmfC</w:t>
      </w:r>
      <w:proofErr w:type="spellEnd"/>
      <w:r>
        <w:rPr>
          <w:rFonts w:ascii="Times New Roman" w:hAnsi="Times New Roman" w:cs="Times New Roman"/>
          <w:sz w:val="24"/>
          <w:szCs w:val="24"/>
        </w:rPr>
        <w:t xml:space="preserve"> models were predicted with I-TASSER</w:t>
      </w:r>
      <w:r>
        <w:rPr>
          <w:rFonts w:ascii="Times New Roman" w:hAnsi="Times New Roman" w:cs="Times New Roman"/>
          <w:sz w:val="24"/>
          <w:szCs w:val="24"/>
        </w:rPr>
        <w:fldChar w:fldCharType="begin"/>
      </w:r>
      <w:r w:rsidR="00625D97">
        <w:rPr>
          <w:rFonts w:ascii="Times New Roman" w:hAnsi="Times New Roman" w:cs="Times New Roman"/>
          <w:sz w:val="24"/>
          <w:szCs w:val="24"/>
        </w:rPr>
        <w:instrText xml:space="preserve"> ADDIN ZOTERO_ITEM CSL_CITATION {"citationID":"dOMKtTDB","properties":{"formattedCitation":"\\super 123\\uc0\\u8211{}125\\nosupersub{}","plainCitation":"123–125","noteIndex":0},"citationItems":[{"id":1838,"uris":["http://zotero.org/users/1918630/items/NIRY9Z3S"],"itemData":{"id":1838,"type":"article-journal","container-title":"Nature Methods","DOI":"10.1038/nmeth.3213","ISSN":"1548-7105","issue":"1","journalAbbreviation":"Nat Methods","language":"en","license":"2015 Springer Nature America, Inc.","note":"number: 1\npublisher: Nature Publishing Group","page":"7-8","source":"www.nature.com","title":"The I-TASSER Suite: protein structure and function prediction","title-short":"The I-TASSER Suite","volume":"12","author":[{"family":"Yang","given":"Jianyi"},{"family":"Yan","given":"Renxiang"},{"family":"Roy","given":"Ambrish"},{"family":"Xu","given":"Dong"},{"family":"Poisson","given":"Jonathan"},{"family":"Zhang","given":"Yang"}],"issued":{"date-parts":[["2015",1]]}}},{"id":1840,"uris":["http://zotero.org/users/1918630/items/JBUBGLAK"],"itemData":{"id":1840,"type":"article-journal","abstract":"The iterative threading assembly refinement (I-TASSER) server is an integrated platform for automated protein structure and function prediction based on the sequence-to-structure-to-function paradigm. Starting from an amino acid sequence, I-TASSER first generates three-dimensional (3D) atomic models from multiple threading alignments and iterative structural assembly simulations. The function of the protein is then inferred by structurally matching the 3D models with other known proteins. The output from a typical server run contains full-length secondary and tertiary structure predictions, and functional annotations on ligand-binding sites, Enzyme Commission numbers and Gene Ontology terms. An estimate of accuracy of the predictions is provided based on the confidence score of the modeling. This protocol provides new insights and guidelines for designing of online server systems for the state-of-the-art protein structure and function predictions. The server is available at http://zhanglab.ccmb.med.umich.edu/I-TASSER.","container-title":"Nature Protocols","DOI":"10.1038/nprot.2010.5","ISSN":"1750-2799","issue":"4","journalAbbreviation":"Nat Protoc","language":"en","license":"2010 Springer Nature Limited","note":"number: 4\npublisher: Nature Publishing Group","page":"725-738","source":"www.nature.com","title":"I-TASSER: a unified platform for automated protein structure and function prediction","title-short":"I-TASSER","volume":"5","author":[{"family":"Roy","given":"Ambrish"},{"family":"Kucukural","given":"Alper"},{"family":"Zhang","given":"Yang"}],"issued":{"date-parts":[["2010",4]]}}},{"id":1842,"uris":["http://zotero.org/users/1918630/items/T3F5D9VI"],"itemData":{"id":1842,"type":"article-journal","abstract":"Prediction of 3-dimensional protein structures from amino acid sequences represents one of the most important problems in computational structural biology. The community-wide Critical Assessment of Structure Prediction (CASP) experiments have been designed to obtain an objective assessment of the state-of-the-art of the field, where I-TASSER was ranked as the best method in the server section of the recent 7th CASP experiment. Our laboratory has since then received numerous requests about the public availability of the I-TASSER algorithm and the usage of the I-TASSER predictions.","container-title":"BMC Bioinformatics","DOI":"10.1186/1471-2105-9-40","ISSN":"1471-2105","issue":"1","journalAbbreviation":"BMC Bioinformatics","page":"40","source":"BioMed Central","title":"I-TASSER server for protein 3D structure prediction","volume":"9","author":[{"family":"Zhang","given":"Yang"}],"issued":{"date-parts":[["2008",1,23]]}}}],"schema":"https://github.com/citation-style-language/schema/raw/master/csl-citation.json"} </w:instrText>
      </w:r>
      <w:r>
        <w:rPr>
          <w:rFonts w:ascii="Times New Roman" w:hAnsi="Times New Roman" w:cs="Times New Roman"/>
          <w:sz w:val="24"/>
          <w:szCs w:val="24"/>
        </w:rPr>
        <w:fldChar w:fldCharType="separate"/>
      </w:r>
      <w:r w:rsidR="00625D97" w:rsidRPr="00625D97">
        <w:rPr>
          <w:rFonts w:ascii="Times New Roman" w:hAnsi="Times New Roman" w:cs="Times New Roman"/>
          <w:kern w:val="0"/>
          <w:sz w:val="24"/>
          <w:vertAlign w:val="superscript"/>
        </w:rPr>
        <w:t>123–125</w:t>
      </w:r>
      <w:r>
        <w:rPr>
          <w:rFonts w:ascii="Times New Roman" w:hAnsi="Times New Roman" w:cs="Times New Roman"/>
          <w:sz w:val="24"/>
          <w:szCs w:val="24"/>
        </w:rPr>
        <w:fldChar w:fldCharType="end"/>
      </w:r>
      <w:r>
        <w:rPr>
          <w:rFonts w:ascii="Times New Roman" w:hAnsi="Times New Roman" w:cs="Times New Roman"/>
          <w:sz w:val="24"/>
          <w:szCs w:val="24"/>
        </w:rPr>
        <w:t xml:space="preserve"> by inputting their AB5075 protein sequences (see appendix). The models were arranged and aligned in Pymol</w:t>
      </w:r>
      <w:r>
        <w:rPr>
          <w:rFonts w:ascii="Times New Roman" w:hAnsi="Times New Roman" w:cs="Times New Roman"/>
          <w:sz w:val="24"/>
          <w:szCs w:val="24"/>
        </w:rPr>
        <w:fldChar w:fldCharType="begin"/>
      </w:r>
      <w:r w:rsidR="002F6F9F">
        <w:rPr>
          <w:rFonts w:ascii="Times New Roman" w:hAnsi="Times New Roman" w:cs="Times New Roman"/>
          <w:sz w:val="24"/>
          <w:szCs w:val="24"/>
        </w:rPr>
        <w:instrText xml:space="preserve"> ADDIN ZOTERO_ITEM CSL_CITATION {"citationID":"J9t5hVCa","properties":{"formattedCitation":"\\super 141\\nosupersub{}","plainCitation":"141","noteIndex":0},"citationItems":[{"id":1954,"uris":["http://zotero.org/users/1918630/items/3U5CGA2D"],"itemData":{"id":1954,"type":"software","publisher":"Schrödinger, LLC.","title":"The PyMOL Molecular Graphics System","version":"2.2.2"}}],"schema":"https://github.com/citation-style-language/schema/raw/master/csl-citation.json"} </w:instrText>
      </w:r>
      <w:r>
        <w:rPr>
          <w:rFonts w:ascii="Times New Roman" w:hAnsi="Times New Roman" w:cs="Times New Roman"/>
          <w:sz w:val="24"/>
          <w:szCs w:val="24"/>
        </w:rPr>
        <w:fldChar w:fldCharType="separate"/>
      </w:r>
      <w:r w:rsidR="002F6F9F" w:rsidRPr="002F6F9F">
        <w:rPr>
          <w:rFonts w:ascii="Times New Roman" w:hAnsi="Times New Roman" w:cs="Times New Roman"/>
          <w:kern w:val="0"/>
          <w:sz w:val="24"/>
          <w:vertAlign w:val="superscript"/>
        </w:rPr>
        <w:t>141</w:t>
      </w:r>
      <w:r>
        <w:rPr>
          <w:rFonts w:ascii="Times New Roman" w:hAnsi="Times New Roman" w:cs="Times New Roman"/>
          <w:sz w:val="24"/>
          <w:szCs w:val="24"/>
        </w:rPr>
        <w:fldChar w:fldCharType="end"/>
      </w:r>
      <w:r>
        <w:rPr>
          <w:rFonts w:ascii="Times New Roman" w:hAnsi="Times New Roman" w:cs="Times New Roman"/>
          <w:sz w:val="24"/>
          <w:szCs w:val="24"/>
        </w:rPr>
        <w:t xml:space="preserve">, showing </w:t>
      </w:r>
      <w:r>
        <w:rPr>
          <w:rFonts w:ascii="Times New Roman" w:hAnsi="Times New Roman" w:cs="Times New Roman"/>
          <w:sz w:val="24"/>
          <w:szCs w:val="24"/>
        </w:rPr>
        <w:lastRenderedPageBreak/>
        <w:t>the amino acid chain as a rainbow cartoon within the surface model shown in 80% transparency light grey.</w:t>
      </w:r>
    </w:p>
    <w:p w14:paraId="1B8D1DC1" w14:textId="1E2E46F0" w:rsidR="00B03B7E" w:rsidRPr="00951892" w:rsidRDefault="00B03B7E" w:rsidP="00B03B7E">
      <w:pPr>
        <w:spacing w:line="360" w:lineRule="auto"/>
        <w:rPr>
          <w:rFonts w:asciiTheme="majorHAnsi" w:hAnsiTheme="majorHAnsi" w:cstheme="majorHAnsi"/>
          <w:sz w:val="24"/>
          <w:szCs w:val="24"/>
          <w:u w:val="single"/>
        </w:rPr>
      </w:pPr>
      <w:r w:rsidRPr="00951892">
        <w:rPr>
          <w:rFonts w:asciiTheme="majorHAnsi" w:hAnsiTheme="majorHAnsi" w:cstheme="majorHAnsi"/>
          <w:sz w:val="24"/>
          <w:szCs w:val="24"/>
          <w:u w:val="single"/>
        </w:rPr>
        <w:t>3.3.</w:t>
      </w:r>
      <w:r>
        <w:rPr>
          <w:rFonts w:asciiTheme="majorHAnsi" w:hAnsiTheme="majorHAnsi" w:cstheme="majorHAnsi"/>
          <w:sz w:val="24"/>
          <w:szCs w:val="24"/>
          <w:u w:val="single"/>
        </w:rPr>
        <w:t>4</w:t>
      </w:r>
      <w:r w:rsidR="003E6FC5">
        <w:rPr>
          <w:rFonts w:asciiTheme="majorHAnsi" w:hAnsiTheme="majorHAnsi" w:cstheme="majorHAnsi"/>
          <w:sz w:val="24"/>
          <w:szCs w:val="24"/>
          <w:u w:val="single"/>
        </w:rPr>
        <w:t>.</w:t>
      </w:r>
      <w:r w:rsidRPr="00951892">
        <w:rPr>
          <w:rFonts w:asciiTheme="majorHAnsi" w:hAnsiTheme="majorHAnsi" w:cstheme="majorHAnsi"/>
          <w:sz w:val="24"/>
          <w:szCs w:val="24"/>
          <w:u w:val="single"/>
        </w:rPr>
        <w:t xml:space="preserve"> MFS pumps do not contribute to antibiotic </w:t>
      </w:r>
      <w:proofErr w:type="gramStart"/>
      <w:r w:rsidRPr="00951892">
        <w:rPr>
          <w:rFonts w:asciiTheme="majorHAnsi" w:hAnsiTheme="majorHAnsi" w:cstheme="majorHAnsi"/>
          <w:sz w:val="24"/>
          <w:szCs w:val="24"/>
          <w:u w:val="single"/>
        </w:rPr>
        <w:t>efflux</w:t>
      </w:r>
      <w:proofErr w:type="gramEnd"/>
      <w:r w:rsidRPr="00951892">
        <w:rPr>
          <w:rFonts w:asciiTheme="majorHAnsi" w:hAnsiTheme="majorHAnsi" w:cstheme="majorHAnsi"/>
          <w:sz w:val="24"/>
          <w:szCs w:val="24"/>
          <w:u w:val="single"/>
        </w:rPr>
        <w:t xml:space="preserve"> </w:t>
      </w:r>
    </w:p>
    <w:p w14:paraId="0E32C90F" w14:textId="25D065AD" w:rsidR="0071582F" w:rsidRPr="00A4656F" w:rsidRDefault="0071582F" w:rsidP="003E6FC5">
      <w:pPr>
        <w:spacing w:line="360" w:lineRule="auto"/>
        <w:jc w:val="center"/>
        <w:rPr>
          <w:rFonts w:asciiTheme="majorHAnsi" w:hAnsiTheme="majorHAnsi" w:cstheme="majorHAnsi"/>
          <w:sz w:val="24"/>
          <w:szCs w:val="24"/>
        </w:rPr>
      </w:pPr>
      <w:r>
        <w:rPr>
          <w:rFonts w:ascii="Times New Roman" w:hAnsi="Times New Roman" w:cs="Times New Roman"/>
          <w:b/>
          <w:bCs/>
          <w:noProof/>
          <w:sz w:val="24"/>
          <w:szCs w:val="24"/>
        </w:rPr>
        <w:drawing>
          <wp:inline distT="0" distB="0" distL="0" distR="0" wp14:anchorId="40E0A704" wp14:editId="057409C4">
            <wp:extent cx="1312240" cy="2491740"/>
            <wp:effectExtent l="0" t="0" r="2540" b="3810"/>
            <wp:docPr id="834554394" name="Picture 834554394"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457063" name="Picture 3" descr="A close-up of a tes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19159" cy="2504878"/>
                    </a:xfrm>
                    <a:prstGeom prst="rect">
                      <a:avLst/>
                    </a:prstGeom>
                  </pic:spPr>
                </pic:pic>
              </a:graphicData>
            </a:graphic>
          </wp:inline>
        </w:drawing>
      </w:r>
    </w:p>
    <w:p w14:paraId="3A732FCE" w14:textId="537E3B9E" w:rsidR="00156CBA" w:rsidRDefault="009D2C1A" w:rsidP="00C836F0">
      <w:pPr>
        <w:rPr>
          <w:rFonts w:ascii="Times New Roman" w:eastAsia="Times New Roman" w:hAnsi="Times New Roman" w:cs="Times New Roman"/>
          <w:b/>
          <w:bCs/>
          <w:color w:val="000000"/>
        </w:rPr>
      </w:pPr>
      <w:r>
        <w:rPr>
          <w:rFonts w:asciiTheme="majorHAnsi" w:hAnsiTheme="majorHAnsi" w:cstheme="majorHAnsi"/>
          <w:b/>
          <w:bCs/>
          <w:sz w:val="24"/>
          <w:szCs w:val="24"/>
        </w:rPr>
        <w:t xml:space="preserve">Figure </w:t>
      </w:r>
      <w:r w:rsidR="0071582F">
        <w:rPr>
          <w:rFonts w:asciiTheme="majorHAnsi" w:hAnsiTheme="majorHAnsi" w:cstheme="majorHAnsi"/>
          <w:b/>
          <w:bCs/>
          <w:sz w:val="24"/>
          <w:szCs w:val="24"/>
        </w:rPr>
        <w:t>3</w:t>
      </w:r>
      <w:r>
        <w:rPr>
          <w:rFonts w:asciiTheme="majorHAnsi" w:hAnsiTheme="majorHAnsi" w:cstheme="majorHAnsi"/>
          <w:b/>
          <w:bCs/>
          <w:sz w:val="24"/>
          <w:szCs w:val="24"/>
        </w:rPr>
        <w:t>.</w:t>
      </w:r>
      <w:r w:rsidR="00B03B7E">
        <w:rPr>
          <w:rFonts w:asciiTheme="majorHAnsi" w:hAnsiTheme="majorHAnsi" w:cstheme="majorHAnsi"/>
          <w:b/>
          <w:bCs/>
          <w:sz w:val="24"/>
          <w:szCs w:val="24"/>
        </w:rPr>
        <w:t>5</w:t>
      </w:r>
      <w:r>
        <w:rPr>
          <w:rFonts w:asciiTheme="majorHAnsi" w:hAnsiTheme="majorHAnsi" w:cstheme="majorHAnsi"/>
          <w:sz w:val="24"/>
          <w:szCs w:val="24"/>
        </w:rPr>
        <w:t xml:space="preserve"> </w:t>
      </w:r>
      <w:r w:rsidRPr="009D2C1A">
        <w:rPr>
          <w:rFonts w:asciiTheme="majorHAnsi" w:hAnsiTheme="majorHAnsi" w:cstheme="majorHAnsi"/>
          <w:b/>
          <w:bCs/>
          <w:sz w:val="24"/>
          <w:szCs w:val="24"/>
        </w:rPr>
        <w:t xml:space="preserve">Expression of </w:t>
      </w:r>
      <w:proofErr w:type="spellStart"/>
      <w:r w:rsidRPr="009D2C1A">
        <w:rPr>
          <w:rFonts w:asciiTheme="majorHAnsi" w:hAnsiTheme="majorHAnsi" w:cstheme="majorHAnsi"/>
          <w:b/>
          <w:bCs/>
          <w:sz w:val="24"/>
          <w:szCs w:val="24"/>
        </w:rPr>
        <w:t>AmfB</w:t>
      </w:r>
      <w:proofErr w:type="spellEnd"/>
      <w:r w:rsidRPr="009D2C1A">
        <w:rPr>
          <w:rFonts w:asciiTheme="majorHAnsi" w:hAnsiTheme="majorHAnsi" w:cstheme="majorHAnsi"/>
          <w:b/>
          <w:bCs/>
          <w:sz w:val="24"/>
          <w:szCs w:val="24"/>
        </w:rPr>
        <w:t xml:space="preserve"> and </w:t>
      </w:r>
      <w:proofErr w:type="spellStart"/>
      <w:r w:rsidRPr="009D2C1A">
        <w:rPr>
          <w:rFonts w:asciiTheme="majorHAnsi" w:hAnsiTheme="majorHAnsi" w:cstheme="majorHAnsi"/>
          <w:b/>
          <w:bCs/>
          <w:sz w:val="24"/>
          <w:szCs w:val="24"/>
        </w:rPr>
        <w:t>AmfC</w:t>
      </w:r>
      <w:proofErr w:type="spellEnd"/>
      <w:r w:rsidRPr="009D2C1A">
        <w:rPr>
          <w:rFonts w:asciiTheme="majorHAnsi" w:hAnsiTheme="majorHAnsi" w:cstheme="majorHAnsi"/>
          <w:b/>
          <w:bCs/>
          <w:sz w:val="24"/>
          <w:szCs w:val="24"/>
        </w:rPr>
        <w:t xml:space="preserve"> </w:t>
      </w:r>
      <w:r w:rsidR="00B03B7E">
        <w:rPr>
          <w:rFonts w:asciiTheme="majorHAnsi" w:hAnsiTheme="majorHAnsi" w:cstheme="majorHAnsi"/>
          <w:b/>
          <w:bCs/>
          <w:sz w:val="24"/>
          <w:szCs w:val="24"/>
        </w:rPr>
        <w:t>p</w:t>
      </w:r>
      <w:r w:rsidRPr="009D2C1A">
        <w:rPr>
          <w:rFonts w:asciiTheme="majorHAnsi" w:hAnsiTheme="majorHAnsi" w:cstheme="majorHAnsi"/>
          <w:b/>
          <w:bCs/>
          <w:sz w:val="24"/>
          <w:szCs w:val="24"/>
        </w:rPr>
        <w:t xml:space="preserve">roteins in </w:t>
      </w:r>
      <w:proofErr w:type="spellStart"/>
      <w:r w:rsidR="000906E1">
        <w:rPr>
          <w:rFonts w:asciiTheme="majorHAnsi" w:hAnsiTheme="majorHAnsi" w:cstheme="majorHAnsi"/>
          <w:b/>
          <w:bCs/>
          <w:sz w:val="24"/>
          <w:szCs w:val="24"/>
        </w:rPr>
        <w:t>Ab</w:t>
      </w:r>
      <w:r w:rsidRPr="009D2C1A">
        <w:rPr>
          <w:rFonts w:ascii="Times New Roman" w:hAnsi="Times New Roman" w:cs="Times New Roman"/>
          <w:b/>
          <w:bCs/>
          <w:sz w:val="24"/>
          <w:szCs w:val="24"/>
        </w:rPr>
        <w:t>WT</w:t>
      </w:r>
      <w:r w:rsidR="000906E1">
        <w:rPr>
          <w:rFonts w:ascii="Symbol" w:eastAsia="Times New Roman" w:hAnsi="Symbol" w:cs="Times New Roman"/>
          <w:b/>
          <w:bCs/>
          <w:color w:val="000000"/>
          <w:sz w:val="24"/>
          <w:szCs w:val="24"/>
        </w:rPr>
        <w:t>(</w:t>
      </w:r>
      <w:r w:rsidRPr="009D2C1A">
        <w:rPr>
          <w:rFonts w:ascii="Times New Roman" w:hAnsi="Times New Roman" w:cs="Times New Roman"/>
          <w:b/>
          <w:bCs/>
          <w:sz w:val="24"/>
          <w:szCs w:val="24"/>
        </w:rPr>
        <w:t>p</w:t>
      </w:r>
      <w:r w:rsidRPr="009D2C1A">
        <w:rPr>
          <w:rFonts w:ascii="Times New Roman" w:eastAsia="Times New Roman" w:hAnsi="Times New Roman" w:cs="Times New Roman"/>
          <w:b/>
          <w:bCs/>
          <w:color w:val="000000"/>
          <w:sz w:val="24"/>
          <w:szCs w:val="24"/>
        </w:rPr>
        <w:t>AmfAB</w:t>
      </w:r>
      <w:proofErr w:type="spellEnd"/>
      <w:r w:rsidR="000906E1">
        <w:rPr>
          <w:rFonts w:ascii="Times New Roman" w:eastAsia="Times New Roman" w:hAnsi="Times New Roman" w:cs="Times New Roman"/>
          <w:b/>
          <w:bCs/>
          <w:color w:val="000000"/>
          <w:sz w:val="24"/>
          <w:szCs w:val="24"/>
        </w:rPr>
        <w:t>)</w:t>
      </w:r>
      <w:r w:rsidRPr="009D2C1A">
        <w:rPr>
          <w:rFonts w:ascii="Times New Roman" w:eastAsia="Times New Roman" w:hAnsi="Times New Roman" w:cs="Times New Roman"/>
          <w:b/>
          <w:bCs/>
          <w:color w:val="000000"/>
          <w:sz w:val="24"/>
          <w:szCs w:val="24"/>
        </w:rPr>
        <w:t xml:space="preserve"> and </w:t>
      </w:r>
      <w:proofErr w:type="spellStart"/>
      <w:r w:rsidR="000906E1">
        <w:rPr>
          <w:rFonts w:ascii="Times New Roman" w:eastAsia="Times New Roman" w:hAnsi="Times New Roman" w:cs="Times New Roman"/>
          <w:b/>
          <w:bCs/>
          <w:color w:val="000000"/>
          <w:sz w:val="24"/>
          <w:szCs w:val="24"/>
        </w:rPr>
        <w:t>Ab</w:t>
      </w:r>
      <w:r w:rsidRPr="009D2C1A">
        <w:rPr>
          <w:rFonts w:ascii="Times New Roman" w:hAnsi="Times New Roman" w:cs="Times New Roman"/>
          <w:b/>
          <w:bCs/>
          <w:sz w:val="24"/>
          <w:szCs w:val="24"/>
        </w:rPr>
        <w:t>WT</w:t>
      </w:r>
      <w:proofErr w:type="spellEnd"/>
      <w:r w:rsidR="000906E1">
        <w:rPr>
          <w:rFonts w:ascii="Times New Roman" w:hAnsi="Times New Roman" w:cs="Times New Roman"/>
          <w:b/>
          <w:bCs/>
          <w:sz w:val="24"/>
          <w:szCs w:val="24"/>
        </w:rPr>
        <w:t>(</w:t>
      </w:r>
      <w:proofErr w:type="spellStart"/>
      <w:r w:rsidRPr="009D2C1A">
        <w:rPr>
          <w:rFonts w:ascii="Times New Roman" w:hAnsi="Times New Roman" w:cs="Times New Roman"/>
          <w:b/>
          <w:bCs/>
          <w:sz w:val="24"/>
          <w:szCs w:val="24"/>
        </w:rPr>
        <w:t>p</w:t>
      </w:r>
      <w:r w:rsidRPr="009D2C1A">
        <w:rPr>
          <w:rFonts w:ascii="Times New Roman" w:eastAsia="Times New Roman" w:hAnsi="Times New Roman" w:cs="Times New Roman"/>
          <w:b/>
          <w:bCs/>
          <w:color w:val="000000"/>
        </w:rPr>
        <w:t>AmfCD</w:t>
      </w:r>
      <w:proofErr w:type="spellEnd"/>
      <w:r w:rsidR="000906E1">
        <w:rPr>
          <w:rFonts w:ascii="Times New Roman" w:eastAsia="Times New Roman" w:hAnsi="Times New Roman" w:cs="Times New Roman"/>
          <w:b/>
          <w:bCs/>
          <w:color w:val="000000"/>
        </w:rPr>
        <w:t>)</w:t>
      </w:r>
      <w:r w:rsidRPr="009D2C1A">
        <w:rPr>
          <w:rFonts w:ascii="Times New Roman" w:eastAsia="Times New Roman" w:hAnsi="Times New Roman" w:cs="Times New Roman"/>
          <w:b/>
          <w:bCs/>
          <w:color w:val="000000"/>
        </w:rPr>
        <w:t xml:space="preserve"> </w:t>
      </w:r>
      <w:r w:rsidR="00B03B7E">
        <w:rPr>
          <w:rFonts w:ascii="Times New Roman" w:eastAsia="Times New Roman" w:hAnsi="Times New Roman" w:cs="Times New Roman"/>
          <w:b/>
          <w:bCs/>
          <w:color w:val="000000"/>
        </w:rPr>
        <w:t>c</w:t>
      </w:r>
      <w:r w:rsidRPr="009D2C1A">
        <w:rPr>
          <w:rFonts w:ascii="Times New Roman" w:eastAsia="Times New Roman" w:hAnsi="Times New Roman" w:cs="Times New Roman"/>
          <w:b/>
          <w:bCs/>
          <w:color w:val="000000"/>
        </w:rPr>
        <w:t>ells</w:t>
      </w:r>
    </w:p>
    <w:p w14:paraId="1E92E0F1" w14:textId="78C9030C" w:rsidR="00E50A7F" w:rsidRPr="0071582F" w:rsidRDefault="009D2C1A" w:rsidP="00BA78CB">
      <w:pPr>
        <w:spacing w:line="240" w:lineRule="auto"/>
        <w:rPr>
          <w:rFonts w:ascii="Times New Roman" w:hAnsi="Times New Roman" w:cs="Times New Roman"/>
          <w:sz w:val="24"/>
          <w:szCs w:val="24"/>
        </w:rPr>
      </w:pPr>
      <w:r>
        <w:rPr>
          <w:rFonts w:ascii="Times New Roman" w:hAnsi="Times New Roman" w:cs="Times New Roman"/>
          <w:sz w:val="24"/>
          <w:szCs w:val="24"/>
        </w:rPr>
        <w:t>Proteins were purified from the isolated membrane fractions, resolved on 12% SDS-PAGE and visualized by immunoblotting with monoclonal anti-6</w:t>
      </w:r>
      <w:r w:rsidR="007E2348">
        <w:rPr>
          <w:rFonts w:ascii="Times New Roman" w:hAnsi="Times New Roman" w:cs="Times New Roman"/>
          <w:sz w:val="24"/>
          <w:szCs w:val="24"/>
        </w:rPr>
        <w:t>x</w:t>
      </w:r>
      <w:r>
        <w:rPr>
          <w:rFonts w:ascii="Times New Roman" w:hAnsi="Times New Roman" w:cs="Times New Roman"/>
          <w:sz w:val="24"/>
          <w:szCs w:val="24"/>
        </w:rPr>
        <w:t xml:space="preserve">His antibody (Sigma). </w:t>
      </w:r>
      <w:r w:rsidR="002003F9">
        <w:rPr>
          <w:rFonts w:ascii="Times New Roman" w:hAnsi="Times New Roman" w:cs="Times New Roman"/>
          <w:sz w:val="24"/>
          <w:szCs w:val="24"/>
        </w:rPr>
        <w:t>This experiment was done by Dr. Inga Leus.</w:t>
      </w:r>
    </w:p>
    <w:p w14:paraId="30471A52" w14:textId="3244F22D" w:rsidR="00CF5E97" w:rsidRPr="00CF5E97" w:rsidRDefault="00CF5E97" w:rsidP="00951892">
      <w:pPr>
        <w:spacing w:line="360" w:lineRule="auto"/>
        <w:ind w:firstLine="720"/>
        <w:rPr>
          <w:rFonts w:ascii="Times New Roman" w:eastAsia="Times New Roman" w:hAnsi="Times New Roman" w:cs="Times New Roman"/>
          <w:sz w:val="24"/>
          <w:szCs w:val="24"/>
          <w14:ligatures w14:val="none"/>
        </w:rPr>
      </w:pPr>
      <w:r w:rsidRPr="00CF5E97">
        <w:rPr>
          <w:rFonts w:ascii="Times New Roman" w:eastAsia="Times New Roman" w:hAnsi="Times New Roman" w:cs="Times New Roman"/>
          <w:sz w:val="24"/>
          <w:szCs w:val="24"/>
          <w14:ligatures w14:val="none"/>
        </w:rPr>
        <w:t>The genome of ATCC17978 (</w:t>
      </w:r>
      <w:proofErr w:type="spellStart"/>
      <w:r w:rsidRPr="00CF5E97">
        <w:rPr>
          <w:rFonts w:ascii="Times New Roman" w:eastAsia="Times New Roman" w:hAnsi="Times New Roman" w:cs="Times New Roman"/>
          <w:sz w:val="24"/>
          <w:szCs w:val="24"/>
          <w14:ligatures w14:val="none"/>
        </w:rPr>
        <w:t>AbWT</w:t>
      </w:r>
      <w:proofErr w:type="spellEnd"/>
      <w:r w:rsidRPr="00CF5E97">
        <w:rPr>
          <w:rFonts w:ascii="Times New Roman" w:eastAsia="Times New Roman" w:hAnsi="Times New Roman" w:cs="Times New Roman"/>
          <w:sz w:val="24"/>
          <w:szCs w:val="24"/>
          <w14:ligatures w14:val="none"/>
        </w:rPr>
        <w:t xml:space="preserve">) cells encodes A1S_1772/1773 and A1S_1799/1800 operons corresponding to the ABUW_1949/1950 (98/99% identity) and ABUW_1930/1931 (99/99% identity) operons in AB5075, respectively. We renamed A1S_1772/1773 and A1S_1799/1800 as </w:t>
      </w:r>
      <w:proofErr w:type="spellStart"/>
      <w:r w:rsidRPr="00CF5E97">
        <w:rPr>
          <w:rFonts w:ascii="Times New Roman" w:eastAsia="Times New Roman" w:hAnsi="Times New Roman" w:cs="Times New Roman"/>
          <w:sz w:val="24"/>
          <w:szCs w:val="24"/>
          <w14:ligatures w14:val="none"/>
        </w:rPr>
        <w:t>AmfAB</w:t>
      </w:r>
      <w:proofErr w:type="spellEnd"/>
      <w:r w:rsidRPr="00CF5E97">
        <w:rPr>
          <w:rFonts w:ascii="Times New Roman" w:eastAsia="Times New Roman" w:hAnsi="Times New Roman" w:cs="Times New Roman"/>
          <w:sz w:val="24"/>
          <w:szCs w:val="24"/>
          <w14:ligatures w14:val="none"/>
        </w:rPr>
        <w:t xml:space="preserve"> and </w:t>
      </w:r>
      <w:proofErr w:type="spellStart"/>
      <w:r w:rsidRPr="00CF5E97">
        <w:rPr>
          <w:rFonts w:ascii="Times New Roman" w:eastAsia="Times New Roman" w:hAnsi="Times New Roman" w:cs="Times New Roman"/>
          <w:sz w:val="24"/>
          <w:szCs w:val="24"/>
          <w14:ligatures w14:val="none"/>
        </w:rPr>
        <w:t>AmfCD</w:t>
      </w:r>
      <w:proofErr w:type="spellEnd"/>
      <w:r w:rsidRPr="00CF5E97">
        <w:rPr>
          <w:rFonts w:ascii="Times New Roman" w:eastAsia="Times New Roman" w:hAnsi="Times New Roman" w:cs="Times New Roman"/>
          <w:sz w:val="24"/>
          <w:szCs w:val="24"/>
          <w14:ligatures w14:val="none"/>
        </w:rPr>
        <w:t xml:space="preserve"> (</w:t>
      </w:r>
      <w:r w:rsidRPr="001D4242">
        <w:rPr>
          <w:rFonts w:ascii="Times New Roman" w:eastAsia="Times New Roman" w:hAnsi="Times New Roman" w:cs="Times New Roman"/>
          <w:i/>
          <w:iCs/>
          <w:sz w:val="24"/>
          <w:szCs w:val="24"/>
          <w14:ligatures w14:val="none"/>
        </w:rPr>
        <w:t>Acinetobacter</w:t>
      </w:r>
      <w:r w:rsidRPr="00CF5E97">
        <w:rPr>
          <w:rFonts w:ascii="Times New Roman" w:eastAsia="Times New Roman" w:hAnsi="Times New Roman" w:cs="Times New Roman"/>
          <w:sz w:val="24"/>
          <w:szCs w:val="24"/>
          <w14:ligatures w14:val="none"/>
        </w:rPr>
        <w:t xml:space="preserve"> Major Facilitator), respectively. To determine the role of these </w:t>
      </w:r>
      <w:proofErr w:type="spellStart"/>
      <w:r w:rsidRPr="00CF5E97">
        <w:rPr>
          <w:rFonts w:ascii="Times New Roman" w:eastAsia="Times New Roman" w:hAnsi="Times New Roman" w:cs="Times New Roman"/>
          <w:sz w:val="24"/>
          <w:szCs w:val="24"/>
          <w14:ligatures w14:val="none"/>
        </w:rPr>
        <w:t>EmrAB</w:t>
      </w:r>
      <w:proofErr w:type="spellEnd"/>
      <w:r w:rsidRPr="00CF5E97">
        <w:rPr>
          <w:rFonts w:ascii="Times New Roman" w:eastAsia="Times New Roman" w:hAnsi="Times New Roman" w:cs="Times New Roman"/>
          <w:sz w:val="24"/>
          <w:szCs w:val="24"/>
          <w14:ligatures w14:val="none"/>
        </w:rPr>
        <w:t xml:space="preserve">-like pumps in A. baumannii physiology, </w:t>
      </w:r>
      <w:r w:rsidR="0001052C">
        <w:rPr>
          <w:rFonts w:ascii="Times New Roman" w:eastAsia="Times New Roman" w:hAnsi="Times New Roman" w:cs="Times New Roman"/>
          <w:sz w:val="24"/>
          <w:szCs w:val="24"/>
          <w14:ligatures w14:val="none"/>
        </w:rPr>
        <w:t>Dr. Inga Leus</w:t>
      </w:r>
      <w:r w:rsidRPr="00CF5E97">
        <w:rPr>
          <w:rFonts w:ascii="Times New Roman" w:eastAsia="Times New Roman" w:hAnsi="Times New Roman" w:cs="Times New Roman"/>
          <w:sz w:val="24"/>
          <w:szCs w:val="24"/>
          <w14:ligatures w14:val="none"/>
        </w:rPr>
        <w:t xml:space="preserve"> deleted genes encoding these pumps one by one and together in the </w:t>
      </w:r>
      <w:proofErr w:type="spellStart"/>
      <w:r w:rsidRPr="00CF5E97">
        <w:rPr>
          <w:rFonts w:ascii="Times New Roman" w:eastAsia="Times New Roman" w:hAnsi="Times New Roman" w:cs="Times New Roman"/>
          <w:sz w:val="24"/>
          <w:szCs w:val="24"/>
          <w14:ligatures w14:val="none"/>
        </w:rPr>
        <w:t>AbWT</w:t>
      </w:r>
      <w:proofErr w:type="spellEnd"/>
      <w:r w:rsidRPr="00CF5E97">
        <w:rPr>
          <w:rFonts w:ascii="Times New Roman" w:eastAsia="Times New Roman" w:hAnsi="Times New Roman" w:cs="Times New Roman"/>
          <w:sz w:val="24"/>
          <w:szCs w:val="24"/>
          <w14:ligatures w14:val="none"/>
        </w:rPr>
        <w:t xml:space="preserve"> and Δ3 (</w:t>
      </w:r>
      <w:proofErr w:type="spellStart"/>
      <w:r w:rsidRPr="00CF5E97">
        <w:rPr>
          <w:rFonts w:ascii="Times New Roman" w:eastAsia="Times New Roman" w:hAnsi="Times New Roman" w:cs="Times New Roman"/>
          <w:sz w:val="24"/>
          <w:szCs w:val="24"/>
          <w14:ligatures w14:val="none"/>
        </w:rPr>
        <w:t>ΔadeIJK</w:t>
      </w:r>
      <w:proofErr w:type="spellEnd"/>
      <w:r w:rsidRPr="00CF5E97">
        <w:rPr>
          <w:rFonts w:ascii="Times New Roman" w:eastAsia="Times New Roman" w:hAnsi="Times New Roman" w:cs="Times New Roman"/>
          <w:sz w:val="24"/>
          <w:szCs w:val="24"/>
          <w14:ligatures w14:val="none"/>
        </w:rPr>
        <w:t xml:space="preserve"> </w:t>
      </w:r>
      <w:proofErr w:type="spellStart"/>
      <w:r w:rsidRPr="00CF5E97">
        <w:rPr>
          <w:rFonts w:ascii="Times New Roman" w:eastAsia="Times New Roman" w:hAnsi="Times New Roman" w:cs="Times New Roman"/>
          <w:sz w:val="24"/>
          <w:szCs w:val="24"/>
          <w14:ligatures w14:val="none"/>
        </w:rPr>
        <w:t>ΔadeAB</w:t>
      </w:r>
      <w:proofErr w:type="spellEnd"/>
      <w:r w:rsidRPr="00CF5E97">
        <w:rPr>
          <w:rFonts w:ascii="Times New Roman" w:eastAsia="Times New Roman" w:hAnsi="Times New Roman" w:cs="Times New Roman"/>
          <w:sz w:val="24"/>
          <w:szCs w:val="24"/>
          <w14:ligatures w14:val="none"/>
        </w:rPr>
        <w:t xml:space="preserve"> </w:t>
      </w:r>
      <w:proofErr w:type="spellStart"/>
      <w:r w:rsidRPr="00CF5E97">
        <w:rPr>
          <w:rFonts w:ascii="Times New Roman" w:eastAsia="Times New Roman" w:hAnsi="Times New Roman" w:cs="Times New Roman"/>
          <w:sz w:val="24"/>
          <w:szCs w:val="24"/>
          <w14:ligatures w14:val="none"/>
        </w:rPr>
        <w:t>ΔadeFGH</w:t>
      </w:r>
      <w:proofErr w:type="spellEnd"/>
      <w:r w:rsidRPr="00CF5E97">
        <w:rPr>
          <w:rFonts w:ascii="Times New Roman" w:eastAsia="Times New Roman" w:hAnsi="Times New Roman" w:cs="Times New Roman"/>
          <w:sz w:val="24"/>
          <w:szCs w:val="24"/>
          <w14:ligatures w14:val="none"/>
        </w:rPr>
        <w:t xml:space="preserve">) genetic backgrounds </w:t>
      </w:r>
      <w:r w:rsidR="005F1EB0">
        <w:rPr>
          <w:rFonts w:ascii="Times New Roman" w:eastAsia="Times New Roman" w:hAnsi="Times New Roman" w:cs="Times New Roman"/>
          <w:sz w:val="24"/>
          <w:szCs w:val="24"/>
          <w14:ligatures w14:val="none"/>
        </w:rPr>
        <w:t>(</w:t>
      </w:r>
      <w:r w:rsidR="005F1EB0">
        <w:rPr>
          <w:rFonts w:ascii="Times New Roman" w:eastAsia="Times New Roman" w:hAnsi="Times New Roman" w:cs="Times New Roman"/>
          <w:b/>
          <w:bCs/>
          <w:sz w:val="24"/>
          <w:szCs w:val="24"/>
          <w14:ligatures w14:val="none"/>
        </w:rPr>
        <w:t>Table 2.1</w:t>
      </w:r>
      <w:r w:rsidR="005F1EB0">
        <w:rPr>
          <w:rFonts w:ascii="Times New Roman" w:eastAsia="Times New Roman" w:hAnsi="Times New Roman" w:cs="Times New Roman"/>
          <w:sz w:val="24"/>
          <w:szCs w:val="24"/>
          <w14:ligatures w14:val="none"/>
        </w:rPr>
        <w:t xml:space="preserve">). </w:t>
      </w:r>
      <w:r w:rsidRPr="00CF5E97">
        <w:rPr>
          <w:rFonts w:ascii="Times New Roman" w:eastAsia="Times New Roman" w:hAnsi="Times New Roman" w:cs="Times New Roman"/>
          <w:sz w:val="24"/>
          <w:szCs w:val="24"/>
          <w14:ligatures w14:val="none"/>
        </w:rPr>
        <w:t>We then characterized the susceptibility to antibiotics of the constructed strains.</w:t>
      </w:r>
    </w:p>
    <w:p w14:paraId="65D760FB" w14:textId="161B2BA5" w:rsidR="00CF5E97" w:rsidRPr="008A5422" w:rsidRDefault="00CF5E97" w:rsidP="00CF5E97">
      <w:pPr>
        <w:spacing w:line="360" w:lineRule="auto"/>
        <w:ind w:firstLine="720"/>
        <w:rPr>
          <w:sz w:val="24"/>
          <w:szCs w:val="24"/>
        </w:rPr>
      </w:pPr>
      <w:r w:rsidRPr="008A5422">
        <w:rPr>
          <w:sz w:val="24"/>
          <w:szCs w:val="24"/>
        </w:rPr>
        <w:t xml:space="preserve">To complement the constructed deletion strains, </w:t>
      </w:r>
      <w:proofErr w:type="spellStart"/>
      <w:r w:rsidRPr="00C158D7">
        <w:rPr>
          <w:rStyle w:val="html-italic"/>
          <w:i/>
          <w:iCs/>
          <w:sz w:val="24"/>
          <w:szCs w:val="24"/>
        </w:rPr>
        <w:t>amfAB</w:t>
      </w:r>
      <w:proofErr w:type="spellEnd"/>
      <w:r w:rsidRPr="008A5422">
        <w:rPr>
          <w:sz w:val="24"/>
          <w:szCs w:val="24"/>
        </w:rPr>
        <w:t xml:space="preserve"> and </w:t>
      </w:r>
      <w:proofErr w:type="spellStart"/>
      <w:r w:rsidRPr="00C158D7">
        <w:rPr>
          <w:rStyle w:val="html-italic"/>
          <w:i/>
          <w:iCs/>
          <w:sz w:val="24"/>
          <w:szCs w:val="24"/>
        </w:rPr>
        <w:t>amfCD</w:t>
      </w:r>
      <w:proofErr w:type="spellEnd"/>
      <w:r w:rsidRPr="008A5422">
        <w:rPr>
          <w:sz w:val="24"/>
          <w:szCs w:val="24"/>
        </w:rPr>
        <w:t xml:space="preserve"> genes were cloned into the pTJ1 vector enabling the expression of the plasmid-borne genes under an arabinose-inducible promoter as well as the integration of the expression cassette into the Tn7 site on the chromosome. After transformation into the </w:t>
      </w:r>
      <w:proofErr w:type="spellStart"/>
      <w:r w:rsidRPr="008A5422">
        <w:rPr>
          <w:sz w:val="24"/>
          <w:szCs w:val="24"/>
        </w:rPr>
        <w:t>AbWT</w:t>
      </w:r>
      <w:proofErr w:type="spellEnd"/>
      <w:r w:rsidRPr="008A5422">
        <w:rPr>
          <w:sz w:val="24"/>
          <w:szCs w:val="24"/>
        </w:rPr>
        <w:t xml:space="preserve"> strain and its </w:t>
      </w:r>
      <w:r w:rsidRPr="008A5422">
        <w:rPr>
          <w:sz w:val="24"/>
          <w:szCs w:val="24"/>
        </w:rPr>
        <w:lastRenderedPageBreak/>
        <w:t xml:space="preserve">derivatives, the corresponding proteins tagged with six </w:t>
      </w:r>
      <w:r w:rsidR="00BA78CB">
        <w:rPr>
          <w:sz w:val="24"/>
          <w:szCs w:val="24"/>
        </w:rPr>
        <w:t>histidine</w:t>
      </w:r>
      <w:r w:rsidRPr="008A5422">
        <w:rPr>
          <w:sz w:val="24"/>
          <w:szCs w:val="24"/>
        </w:rPr>
        <w:t xml:space="preserve"> residues at the C-termini were produced from both the plasmid and the Tn7 chromosomal site. Based on immunoblotting with anti-His tag antibodies, both proteins were expressed, albeit to different levels </w:t>
      </w:r>
      <w:r w:rsidR="005F1EB0">
        <w:rPr>
          <w:sz w:val="24"/>
          <w:szCs w:val="24"/>
        </w:rPr>
        <w:t>(</w:t>
      </w:r>
      <w:r w:rsidR="005F1EB0">
        <w:rPr>
          <w:b/>
          <w:bCs/>
          <w:sz w:val="24"/>
          <w:szCs w:val="24"/>
        </w:rPr>
        <w:t>Fig</w:t>
      </w:r>
      <w:r w:rsidR="00605897">
        <w:rPr>
          <w:b/>
          <w:bCs/>
          <w:sz w:val="24"/>
          <w:szCs w:val="24"/>
        </w:rPr>
        <w:t xml:space="preserve">ure </w:t>
      </w:r>
      <w:r w:rsidR="005F1EB0">
        <w:rPr>
          <w:b/>
          <w:bCs/>
          <w:sz w:val="24"/>
          <w:szCs w:val="24"/>
        </w:rPr>
        <w:t>3.</w:t>
      </w:r>
      <w:r w:rsidR="0001052C">
        <w:rPr>
          <w:b/>
          <w:bCs/>
          <w:sz w:val="24"/>
          <w:szCs w:val="24"/>
        </w:rPr>
        <w:t>5</w:t>
      </w:r>
      <w:r w:rsidR="005F1EB0">
        <w:rPr>
          <w:sz w:val="24"/>
          <w:szCs w:val="24"/>
        </w:rPr>
        <w:t>).</w:t>
      </w:r>
      <w:r w:rsidRPr="008A5422">
        <w:rPr>
          <w:sz w:val="24"/>
          <w:szCs w:val="24"/>
        </w:rPr>
        <w:t xml:space="preserve"> The expression of </w:t>
      </w:r>
      <w:proofErr w:type="spellStart"/>
      <w:r w:rsidRPr="008A5422">
        <w:rPr>
          <w:sz w:val="24"/>
          <w:szCs w:val="24"/>
        </w:rPr>
        <w:t>AmfC</w:t>
      </w:r>
      <w:proofErr w:type="spellEnd"/>
      <w:r w:rsidRPr="008A5422">
        <w:rPr>
          <w:sz w:val="24"/>
          <w:szCs w:val="24"/>
        </w:rPr>
        <w:t xml:space="preserve"> was the strongest, whereas the amounts of </w:t>
      </w:r>
      <w:proofErr w:type="spellStart"/>
      <w:r w:rsidRPr="008A5422">
        <w:rPr>
          <w:sz w:val="24"/>
          <w:szCs w:val="24"/>
        </w:rPr>
        <w:t>AmfB</w:t>
      </w:r>
      <w:proofErr w:type="spellEnd"/>
      <w:r w:rsidRPr="008A5422">
        <w:rPr>
          <w:sz w:val="24"/>
          <w:szCs w:val="24"/>
        </w:rPr>
        <w:t xml:space="preserve"> were very low.</w:t>
      </w:r>
      <w:r w:rsidR="00DA5732">
        <w:rPr>
          <w:sz w:val="24"/>
          <w:szCs w:val="24"/>
        </w:rPr>
        <w:t xml:space="preserve"> </w:t>
      </w:r>
    </w:p>
    <w:p w14:paraId="12B05A79" w14:textId="3F894731" w:rsidR="00CF5E97" w:rsidRPr="008A5422" w:rsidRDefault="00CF5E97" w:rsidP="0001052C">
      <w:pPr>
        <w:spacing w:line="360" w:lineRule="auto"/>
        <w:ind w:firstLine="720"/>
        <w:rPr>
          <w:sz w:val="24"/>
          <w:szCs w:val="24"/>
        </w:rPr>
      </w:pPr>
      <w:r w:rsidRPr="008A5422">
        <w:rPr>
          <w:sz w:val="24"/>
          <w:szCs w:val="24"/>
        </w:rPr>
        <w:t xml:space="preserve">The overproduction of </w:t>
      </w:r>
      <w:proofErr w:type="spellStart"/>
      <w:r w:rsidRPr="008A5422">
        <w:rPr>
          <w:sz w:val="24"/>
          <w:szCs w:val="24"/>
        </w:rPr>
        <w:t>Amf</w:t>
      </w:r>
      <w:proofErr w:type="spellEnd"/>
      <w:r w:rsidRPr="008A5422">
        <w:rPr>
          <w:sz w:val="24"/>
          <w:szCs w:val="24"/>
        </w:rPr>
        <w:t xml:space="preserve"> pumps in different genetic backgrounds did not increase the MICs of antibiotics </w:t>
      </w:r>
      <w:r w:rsidR="005F1EB0">
        <w:rPr>
          <w:rFonts w:ascii="Times New Roman" w:eastAsia="Times New Roman" w:hAnsi="Times New Roman" w:cs="Times New Roman"/>
          <w:sz w:val="24"/>
          <w:szCs w:val="24"/>
          <w14:ligatures w14:val="none"/>
        </w:rPr>
        <w:t>(</w:t>
      </w:r>
      <w:r w:rsidR="005F1EB0">
        <w:rPr>
          <w:rFonts w:ascii="Times New Roman" w:eastAsia="Times New Roman" w:hAnsi="Times New Roman" w:cs="Times New Roman"/>
          <w:b/>
          <w:bCs/>
          <w:sz w:val="24"/>
          <w:szCs w:val="24"/>
          <w14:ligatures w14:val="none"/>
        </w:rPr>
        <w:t>Table 3.</w:t>
      </w:r>
      <w:r w:rsidR="0001052C">
        <w:rPr>
          <w:rFonts w:ascii="Times New Roman" w:eastAsia="Times New Roman" w:hAnsi="Times New Roman" w:cs="Times New Roman"/>
          <w:b/>
          <w:bCs/>
          <w:sz w:val="24"/>
          <w:szCs w:val="24"/>
          <w14:ligatures w14:val="none"/>
        </w:rPr>
        <w:t>4</w:t>
      </w:r>
      <w:r w:rsidRPr="008A5422">
        <w:rPr>
          <w:sz w:val="24"/>
          <w:szCs w:val="24"/>
        </w:rPr>
        <w:t xml:space="preserve">). Thus, in agreement with the gene deletion analyses, neither of the pumps contribute to the efflux of antibiotics. Furthermore, the </w:t>
      </w:r>
      <w:proofErr w:type="spellStart"/>
      <w:r w:rsidRPr="008A5422">
        <w:rPr>
          <w:sz w:val="24"/>
          <w:szCs w:val="24"/>
        </w:rPr>
        <w:t>AbWT</w:t>
      </w:r>
      <w:proofErr w:type="spellEnd"/>
      <w:r w:rsidRPr="008A5422">
        <w:rPr>
          <w:sz w:val="24"/>
          <w:szCs w:val="24"/>
        </w:rPr>
        <w:t xml:space="preserve"> cells carrying either </w:t>
      </w:r>
      <w:proofErr w:type="spellStart"/>
      <w:r w:rsidRPr="008A5422">
        <w:rPr>
          <w:sz w:val="24"/>
          <w:szCs w:val="24"/>
        </w:rPr>
        <w:t>AmfAB</w:t>
      </w:r>
      <w:proofErr w:type="spellEnd"/>
      <w:r w:rsidRPr="008A5422">
        <w:rPr>
          <w:sz w:val="24"/>
          <w:szCs w:val="24"/>
        </w:rPr>
        <w:t xml:space="preserve"> or </w:t>
      </w:r>
      <w:proofErr w:type="spellStart"/>
      <w:r w:rsidRPr="008A5422">
        <w:rPr>
          <w:sz w:val="24"/>
          <w:szCs w:val="24"/>
        </w:rPr>
        <w:t>AmfCD</w:t>
      </w:r>
      <w:proofErr w:type="spellEnd"/>
      <w:r w:rsidRPr="008A5422">
        <w:rPr>
          <w:sz w:val="24"/>
          <w:szCs w:val="24"/>
        </w:rPr>
        <w:t xml:space="preserve"> plasmids became 2–4-fold more susceptible to erythromycin and zeocin (</w:t>
      </w:r>
      <w:r w:rsidR="005F1EB0">
        <w:rPr>
          <w:rFonts w:ascii="Times New Roman" w:eastAsia="Times New Roman" w:hAnsi="Times New Roman" w:cs="Times New Roman"/>
          <w:b/>
          <w:bCs/>
          <w:sz w:val="24"/>
          <w:szCs w:val="24"/>
          <w14:ligatures w14:val="none"/>
        </w:rPr>
        <w:t>Table 3.</w:t>
      </w:r>
      <w:r w:rsidR="00A9426D">
        <w:rPr>
          <w:rFonts w:ascii="Times New Roman" w:eastAsia="Times New Roman" w:hAnsi="Times New Roman" w:cs="Times New Roman"/>
          <w:b/>
          <w:bCs/>
          <w:sz w:val="24"/>
          <w:szCs w:val="24"/>
          <w14:ligatures w14:val="none"/>
        </w:rPr>
        <w:t>4</w:t>
      </w:r>
      <w:r w:rsidRPr="008A5422">
        <w:rPr>
          <w:sz w:val="24"/>
          <w:szCs w:val="24"/>
        </w:rPr>
        <w:t xml:space="preserve">), suggesting that the overproduction of these pumps compromises the intrinsic protection of </w:t>
      </w:r>
      <w:r w:rsidRPr="00BA78CB">
        <w:rPr>
          <w:rStyle w:val="html-italic"/>
          <w:i/>
          <w:iCs/>
          <w:sz w:val="24"/>
          <w:szCs w:val="24"/>
        </w:rPr>
        <w:t>A. baumannii</w:t>
      </w:r>
      <w:r w:rsidRPr="008A5422">
        <w:rPr>
          <w:sz w:val="24"/>
          <w:szCs w:val="24"/>
        </w:rPr>
        <w:t xml:space="preserve"> cells against these</w:t>
      </w:r>
      <w:r w:rsidR="00FB5920">
        <w:rPr>
          <w:sz w:val="24"/>
          <w:szCs w:val="24"/>
        </w:rPr>
        <w:t xml:space="preserve"> </w:t>
      </w:r>
      <w:r w:rsidRPr="008A5422">
        <w:rPr>
          <w:sz w:val="24"/>
          <w:szCs w:val="24"/>
        </w:rPr>
        <w:t>antibiotics.</w:t>
      </w:r>
    </w:p>
    <w:p w14:paraId="436C4FF7" w14:textId="475FE518" w:rsidR="002003F9" w:rsidRPr="002003F9" w:rsidRDefault="002003F9" w:rsidP="00CF5E97">
      <w:pPr>
        <w:spacing w:line="360" w:lineRule="auto"/>
        <w:rPr>
          <w:sz w:val="24"/>
          <w:szCs w:val="24"/>
          <w:u w:val="single"/>
        </w:rPr>
      </w:pPr>
      <w:r w:rsidRPr="002003F9">
        <w:rPr>
          <w:sz w:val="24"/>
          <w:szCs w:val="24"/>
          <w:u w:val="single"/>
        </w:rPr>
        <w:t>3.3.</w:t>
      </w:r>
      <w:r w:rsidR="00B03B7E">
        <w:rPr>
          <w:sz w:val="24"/>
          <w:szCs w:val="24"/>
          <w:u w:val="single"/>
        </w:rPr>
        <w:t>5</w:t>
      </w:r>
      <w:r w:rsidR="00BA78CB">
        <w:rPr>
          <w:sz w:val="24"/>
          <w:szCs w:val="24"/>
          <w:u w:val="single"/>
        </w:rPr>
        <w:t>.</w:t>
      </w:r>
      <w:r w:rsidRPr="002003F9">
        <w:rPr>
          <w:sz w:val="24"/>
          <w:szCs w:val="24"/>
          <w:u w:val="single"/>
        </w:rPr>
        <w:t xml:space="preserve"> </w:t>
      </w:r>
      <w:r w:rsidR="005F1EB0" w:rsidRPr="002003F9">
        <w:rPr>
          <w:sz w:val="24"/>
          <w:szCs w:val="24"/>
          <w:u w:val="single"/>
        </w:rPr>
        <w:t xml:space="preserve">Both </w:t>
      </w:r>
      <w:proofErr w:type="spellStart"/>
      <w:r w:rsidR="005F1EB0" w:rsidRPr="002003F9">
        <w:rPr>
          <w:sz w:val="24"/>
          <w:szCs w:val="24"/>
          <w:u w:val="single"/>
        </w:rPr>
        <w:t>AmfAB</w:t>
      </w:r>
      <w:proofErr w:type="spellEnd"/>
      <w:r w:rsidR="005F1EB0" w:rsidRPr="002003F9">
        <w:rPr>
          <w:sz w:val="24"/>
          <w:szCs w:val="24"/>
          <w:u w:val="single"/>
        </w:rPr>
        <w:t xml:space="preserve"> and </w:t>
      </w:r>
      <w:proofErr w:type="spellStart"/>
      <w:r w:rsidR="005F1EB0" w:rsidRPr="002003F9">
        <w:rPr>
          <w:sz w:val="24"/>
          <w:szCs w:val="24"/>
          <w:u w:val="single"/>
        </w:rPr>
        <w:t>AmfCD</w:t>
      </w:r>
      <w:proofErr w:type="spellEnd"/>
      <w:r w:rsidR="005F1EB0" w:rsidRPr="002003F9">
        <w:rPr>
          <w:sz w:val="24"/>
          <w:szCs w:val="24"/>
          <w:u w:val="single"/>
        </w:rPr>
        <w:t xml:space="preserve"> </w:t>
      </w:r>
      <w:r w:rsidR="00B03B7E">
        <w:rPr>
          <w:sz w:val="24"/>
          <w:szCs w:val="24"/>
          <w:u w:val="single"/>
        </w:rPr>
        <w:t>p</w:t>
      </w:r>
      <w:r w:rsidR="005F1EB0" w:rsidRPr="002003F9">
        <w:rPr>
          <w:sz w:val="24"/>
          <w:szCs w:val="24"/>
          <w:u w:val="single"/>
        </w:rPr>
        <w:t xml:space="preserve">umps </w:t>
      </w:r>
      <w:r w:rsidR="00B03B7E">
        <w:rPr>
          <w:sz w:val="24"/>
          <w:szCs w:val="24"/>
          <w:u w:val="single"/>
        </w:rPr>
        <w:t>a</w:t>
      </w:r>
      <w:r w:rsidR="005F1EB0" w:rsidRPr="002003F9">
        <w:rPr>
          <w:sz w:val="24"/>
          <w:szCs w:val="24"/>
          <w:u w:val="single"/>
        </w:rPr>
        <w:t xml:space="preserve">re </w:t>
      </w:r>
      <w:r w:rsidR="00B03B7E">
        <w:rPr>
          <w:sz w:val="24"/>
          <w:szCs w:val="24"/>
          <w:u w:val="single"/>
        </w:rPr>
        <w:t>i</w:t>
      </w:r>
      <w:r w:rsidR="005F1EB0" w:rsidRPr="002003F9">
        <w:rPr>
          <w:sz w:val="24"/>
          <w:szCs w:val="24"/>
          <w:u w:val="single"/>
        </w:rPr>
        <w:t xml:space="preserve">mportant for </w:t>
      </w:r>
      <w:r w:rsidR="00B03B7E">
        <w:rPr>
          <w:sz w:val="24"/>
          <w:szCs w:val="24"/>
          <w:u w:val="single"/>
        </w:rPr>
        <w:t>g</w:t>
      </w:r>
      <w:r w:rsidR="005F1EB0" w:rsidRPr="002003F9">
        <w:rPr>
          <w:sz w:val="24"/>
          <w:szCs w:val="24"/>
          <w:u w:val="single"/>
        </w:rPr>
        <w:t xml:space="preserve">rowth under </w:t>
      </w:r>
      <w:r w:rsidR="00B03B7E">
        <w:rPr>
          <w:sz w:val="24"/>
          <w:szCs w:val="24"/>
          <w:u w:val="single"/>
        </w:rPr>
        <w:t>a</w:t>
      </w:r>
      <w:r w:rsidR="005F1EB0" w:rsidRPr="002003F9">
        <w:rPr>
          <w:sz w:val="24"/>
          <w:szCs w:val="24"/>
          <w:u w:val="single"/>
        </w:rPr>
        <w:t xml:space="preserve">cidic </w:t>
      </w:r>
      <w:r w:rsidR="00B03B7E">
        <w:rPr>
          <w:sz w:val="24"/>
          <w:szCs w:val="24"/>
          <w:u w:val="single"/>
        </w:rPr>
        <w:t>c</w:t>
      </w:r>
      <w:r w:rsidR="005F1EB0" w:rsidRPr="002003F9">
        <w:rPr>
          <w:sz w:val="24"/>
          <w:szCs w:val="24"/>
          <w:u w:val="single"/>
        </w:rPr>
        <w:t xml:space="preserve">onditions, but </w:t>
      </w:r>
      <w:proofErr w:type="spellStart"/>
      <w:r w:rsidR="005F1EB0" w:rsidRPr="002003F9">
        <w:rPr>
          <w:sz w:val="24"/>
          <w:szCs w:val="24"/>
          <w:u w:val="single"/>
        </w:rPr>
        <w:t>AmfCD</w:t>
      </w:r>
      <w:proofErr w:type="spellEnd"/>
      <w:r w:rsidR="005F1EB0" w:rsidRPr="002003F9">
        <w:rPr>
          <w:sz w:val="24"/>
          <w:szCs w:val="24"/>
          <w:u w:val="single"/>
        </w:rPr>
        <w:t xml:space="preserve"> also </w:t>
      </w:r>
      <w:r w:rsidR="00B03B7E">
        <w:rPr>
          <w:sz w:val="24"/>
          <w:szCs w:val="24"/>
          <w:u w:val="single"/>
        </w:rPr>
        <w:t>c</w:t>
      </w:r>
      <w:r w:rsidR="005F1EB0" w:rsidRPr="002003F9">
        <w:rPr>
          <w:sz w:val="24"/>
          <w:szCs w:val="24"/>
          <w:u w:val="single"/>
        </w:rPr>
        <w:t xml:space="preserve">ontributes to </w:t>
      </w:r>
      <w:r w:rsidR="00B03B7E">
        <w:rPr>
          <w:sz w:val="24"/>
          <w:szCs w:val="24"/>
          <w:u w:val="single"/>
        </w:rPr>
        <w:t>s</w:t>
      </w:r>
      <w:r w:rsidR="005F1EB0" w:rsidRPr="002003F9">
        <w:rPr>
          <w:sz w:val="24"/>
          <w:szCs w:val="24"/>
          <w:u w:val="single"/>
        </w:rPr>
        <w:t xml:space="preserve">urvival under </w:t>
      </w:r>
      <w:r w:rsidR="00B03B7E">
        <w:rPr>
          <w:sz w:val="24"/>
          <w:szCs w:val="24"/>
          <w:u w:val="single"/>
        </w:rPr>
        <w:t>o</w:t>
      </w:r>
      <w:r w:rsidR="005F1EB0" w:rsidRPr="002003F9">
        <w:rPr>
          <w:sz w:val="24"/>
          <w:szCs w:val="24"/>
          <w:u w:val="single"/>
        </w:rPr>
        <w:t xml:space="preserve">ther </w:t>
      </w:r>
      <w:proofErr w:type="gramStart"/>
      <w:r w:rsidR="00B03B7E">
        <w:rPr>
          <w:sz w:val="24"/>
          <w:szCs w:val="24"/>
          <w:u w:val="single"/>
        </w:rPr>
        <w:t>s</w:t>
      </w:r>
      <w:r w:rsidR="005F1EB0" w:rsidRPr="002003F9">
        <w:rPr>
          <w:sz w:val="24"/>
          <w:szCs w:val="24"/>
          <w:u w:val="single"/>
        </w:rPr>
        <w:t>tresses</w:t>
      </w:r>
      <w:proofErr w:type="gramEnd"/>
      <w:r w:rsidR="005F1EB0" w:rsidRPr="002003F9">
        <w:rPr>
          <w:sz w:val="24"/>
          <w:szCs w:val="24"/>
          <w:u w:val="single"/>
        </w:rPr>
        <w:t xml:space="preserve"> </w:t>
      </w:r>
    </w:p>
    <w:p w14:paraId="365E5923" w14:textId="6A085C24" w:rsidR="00E50A7F" w:rsidRPr="008A5422" w:rsidRDefault="00CF5E97" w:rsidP="00324F42">
      <w:pPr>
        <w:spacing w:line="360" w:lineRule="auto"/>
        <w:ind w:firstLine="720"/>
        <w:rPr>
          <w:rFonts w:asciiTheme="majorHAnsi" w:hAnsiTheme="majorHAnsi" w:cstheme="majorHAnsi"/>
          <w:sz w:val="24"/>
          <w:szCs w:val="24"/>
        </w:rPr>
      </w:pPr>
      <w:r w:rsidRPr="008A5422">
        <w:rPr>
          <w:sz w:val="24"/>
          <w:szCs w:val="24"/>
        </w:rPr>
        <w:t xml:space="preserve">We next compared the growth of </w:t>
      </w:r>
      <w:proofErr w:type="spellStart"/>
      <w:r w:rsidRPr="008A5422">
        <w:rPr>
          <w:sz w:val="24"/>
          <w:szCs w:val="24"/>
        </w:rPr>
        <w:t>AbWT</w:t>
      </w:r>
      <w:proofErr w:type="spellEnd"/>
      <w:r w:rsidRPr="008A5422">
        <w:rPr>
          <w:sz w:val="24"/>
          <w:szCs w:val="24"/>
        </w:rPr>
        <w:t xml:space="preserve"> and the constructed </w:t>
      </w:r>
      <w:r w:rsidR="00324F42">
        <w:rPr>
          <w:sz w:val="24"/>
          <w:szCs w:val="24"/>
        </w:rPr>
        <w:t>overproduction</w:t>
      </w:r>
      <w:r w:rsidRPr="008A5422">
        <w:rPr>
          <w:sz w:val="24"/>
          <w:szCs w:val="24"/>
        </w:rPr>
        <w:t xml:space="preserve"> strains under the typical laboratory conditions of 37 °C and pH 7.2 and the virulence-induced stresses such as growth at a high temperature of 41 °C, at acidic pH 4.6, in the presence of 0.5 M NaCl (osmotic shock), 125 μM, and 250 μM 2,2′-dipyridyl (a ferrous iron chelator generating low iron stress) and 0.5% bile salts </w:t>
      </w:r>
      <w:r w:rsidR="005F1EB0">
        <w:rPr>
          <w:sz w:val="24"/>
          <w:szCs w:val="24"/>
        </w:rPr>
        <w:t>(</w:t>
      </w:r>
      <w:r w:rsidR="005F1EB0">
        <w:rPr>
          <w:b/>
          <w:bCs/>
          <w:sz w:val="24"/>
          <w:szCs w:val="24"/>
        </w:rPr>
        <w:t>Table 3.6</w:t>
      </w:r>
      <w:r w:rsidR="005F1EB0">
        <w:rPr>
          <w:sz w:val="24"/>
          <w:szCs w:val="24"/>
        </w:rPr>
        <w:t>).</w:t>
      </w:r>
      <w:r w:rsidRPr="008A5422">
        <w:rPr>
          <w:sz w:val="24"/>
          <w:szCs w:val="24"/>
        </w:rPr>
        <w:t xml:space="preserve"> These conditions were used previously to mimic in vitro the stress conditions that are experienced by various pathogens during infections</w:t>
      </w:r>
      <w:r w:rsidR="001A19B8">
        <w:rPr>
          <w:sz w:val="24"/>
          <w:szCs w:val="24"/>
        </w:rPr>
        <w:t>.</w:t>
      </w:r>
      <w:r w:rsidR="001A19B8">
        <w:rPr>
          <w:sz w:val="24"/>
          <w:szCs w:val="24"/>
        </w:rPr>
        <w:fldChar w:fldCharType="begin"/>
      </w:r>
      <w:r w:rsidR="00864355">
        <w:rPr>
          <w:sz w:val="24"/>
          <w:szCs w:val="24"/>
        </w:rPr>
        <w:instrText xml:space="preserve"> ADDIN ZOTERO_ITEM CSL_CITATION {"citationID":"zhI6E8o2","properties":{"formattedCitation":"\\super 67\\nosupersub{}","plainCitation":"67","noteIndex":0},"citationItems":[{"id":1277,"uris":["http://zotero.org/users/1918630/items/T5RT5BXB"],"itemData":{"id":1277,"type":"article-journal","abstract":"Bacterial processes necessary for adaption to stressful host environments are potential targets for new antimicrobials. Here, we report large-scale transcriptomic analyses of 32 human bacterial pathogens grown under 11 stress conditions mimicking human host environments. The potential relevance of the in vitro stress conditions and responses is supported by comparisons with available in vivo transcriptomes of clinically important pathogens. Calculation of a probability score enables comparative cross-microbial analyses of the stress responses, revealing common and unique regulatory responses to different stresses, as well as overlapping processes participating in different stress responses. We identify conserved and species-specific ‘universal stress responders’, that is, genes showing altered expression in multiple stress conditions. Non-coding RNAs are involved in a substantial proportion of the responses. The data are collected in a freely available, interactive online resource (PATHOgenex).","container-title":"Nature Communications","DOI":"10.1038/s41467-021-23588-w","ISSN":"2041-1723","issue":"1","journalAbbreviation":"Nat Commun","language":"en","license":"2021 The Author(s)","note":"Bandiera_abtest: a\nCc_license_type: cc_by\nCg_type: Nature Research Journals\nnumber: 1\nPrimary_atype: Research\npublisher: Nature Publishing Group\nSubject_term: Bacterial physiology;Bacterial transcription;Gene regulation;Pathogens\nSubject_term_id: bacterial-physiology;bacterial-transcription;gene-regulation;pathogens","page":"3282","source":"www.nature.com","title":"RNA atlas of human bacterial pathogens uncovers stress dynamics linked to infection","volume":"12","author":[{"family":"Avican","given":"Kemal"},{"family":"Aldahdooh","given":"Jehad"},{"family":"Togninalli","given":"Matteo"},{"family":"Mahmud","given":"A. K. M. Firoj"},{"family":"Tang","given":"Jing"},{"family":"Borgwardt","given":"Karsten M."},{"family":"Rhen","given":"Mikael"},{"family":"Fällman","given":"Maria"}],"issued":{"date-parts":[["2021",6,2]]}}}],"schema":"https://github.com/citation-style-language/schema/raw/master/csl-citation.json"} </w:instrText>
      </w:r>
      <w:r w:rsidR="001A19B8">
        <w:rPr>
          <w:sz w:val="24"/>
          <w:szCs w:val="24"/>
        </w:rPr>
        <w:fldChar w:fldCharType="separate"/>
      </w:r>
      <w:r w:rsidR="00864355" w:rsidRPr="00864355">
        <w:rPr>
          <w:rFonts w:ascii="Times New Roman" w:hAnsi="Times New Roman" w:cs="Times New Roman"/>
          <w:sz w:val="24"/>
          <w:szCs w:val="24"/>
          <w:vertAlign w:val="superscript"/>
        </w:rPr>
        <w:t>67</w:t>
      </w:r>
      <w:r w:rsidR="001A19B8">
        <w:rPr>
          <w:sz w:val="24"/>
          <w:szCs w:val="24"/>
        </w:rPr>
        <w:fldChar w:fldCharType="end"/>
      </w:r>
      <w:r w:rsidRPr="008A5422">
        <w:rPr>
          <w:sz w:val="24"/>
          <w:szCs w:val="24"/>
        </w:rPr>
        <w:t xml:space="preserve"> To compare bacterial growth under different conditions, we calculated the area under the curve for each growth curve collected during a 24 h period</w:t>
      </w:r>
      <w:r w:rsidR="003844BB">
        <w:rPr>
          <w:sz w:val="24"/>
          <w:szCs w:val="24"/>
        </w:rPr>
        <w:t xml:space="preserve"> (</w:t>
      </w:r>
      <w:r w:rsidR="003844BB">
        <w:rPr>
          <w:b/>
          <w:bCs/>
          <w:sz w:val="24"/>
          <w:szCs w:val="24"/>
        </w:rPr>
        <w:t>Table 3.</w:t>
      </w:r>
      <w:r w:rsidR="00A9426D">
        <w:rPr>
          <w:b/>
          <w:bCs/>
          <w:sz w:val="24"/>
          <w:szCs w:val="24"/>
        </w:rPr>
        <w:t>7</w:t>
      </w:r>
      <w:r w:rsidR="003844BB">
        <w:rPr>
          <w:sz w:val="24"/>
          <w:szCs w:val="24"/>
        </w:rPr>
        <w:t>)</w:t>
      </w:r>
      <w:r w:rsidRPr="008A5422">
        <w:rPr>
          <w:sz w:val="24"/>
          <w:szCs w:val="24"/>
        </w:rPr>
        <w:t xml:space="preserve">. We found that </w:t>
      </w:r>
      <w:proofErr w:type="spellStart"/>
      <w:r w:rsidRPr="008A5422">
        <w:rPr>
          <w:sz w:val="24"/>
          <w:szCs w:val="24"/>
        </w:rPr>
        <w:t>AbWT</w:t>
      </w:r>
      <w:proofErr w:type="spellEnd"/>
      <w:r w:rsidRPr="008A5422">
        <w:rPr>
          <w:sz w:val="24"/>
          <w:szCs w:val="24"/>
        </w:rPr>
        <w:t xml:space="preserve"> cells grow equally well at 37 °C and 41 °C </w:t>
      </w:r>
      <w:r w:rsidR="003844BB">
        <w:rPr>
          <w:sz w:val="24"/>
          <w:szCs w:val="24"/>
        </w:rPr>
        <w:t>(</w:t>
      </w:r>
      <w:r w:rsidR="003844BB">
        <w:rPr>
          <w:b/>
          <w:bCs/>
          <w:sz w:val="24"/>
          <w:szCs w:val="24"/>
        </w:rPr>
        <w:t>Table 3.</w:t>
      </w:r>
      <w:r w:rsidR="00A9426D">
        <w:rPr>
          <w:b/>
          <w:bCs/>
          <w:sz w:val="24"/>
          <w:szCs w:val="24"/>
        </w:rPr>
        <w:t>7</w:t>
      </w:r>
      <w:r w:rsidR="003844BB">
        <w:rPr>
          <w:sz w:val="24"/>
          <w:szCs w:val="24"/>
        </w:rPr>
        <w:t xml:space="preserve"> and </w:t>
      </w:r>
      <w:r w:rsidR="003844BB">
        <w:rPr>
          <w:b/>
          <w:bCs/>
          <w:sz w:val="24"/>
          <w:szCs w:val="24"/>
        </w:rPr>
        <w:t>Fig</w:t>
      </w:r>
      <w:r w:rsidR="00605897">
        <w:rPr>
          <w:b/>
          <w:bCs/>
          <w:sz w:val="24"/>
          <w:szCs w:val="24"/>
        </w:rPr>
        <w:t>ure</w:t>
      </w:r>
      <w:r w:rsidR="003844BB">
        <w:rPr>
          <w:b/>
          <w:bCs/>
          <w:sz w:val="24"/>
          <w:szCs w:val="24"/>
        </w:rPr>
        <w:t xml:space="preserve"> </w:t>
      </w:r>
      <w:r w:rsidR="00713469">
        <w:rPr>
          <w:b/>
          <w:bCs/>
          <w:sz w:val="24"/>
          <w:szCs w:val="24"/>
        </w:rPr>
        <w:t>3.</w:t>
      </w:r>
      <w:r w:rsidR="00324F42">
        <w:rPr>
          <w:b/>
          <w:bCs/>
          <w:sz w:val="24"/>
          <w:szCs w:val="24"/>
        </w:rPr>
        <w:t>6</w:t>
      </w:r>
      <w:r w:rsidR="00713469">
        <w:rPr>
          <w:sz w:val="24"/>
          <w:szCs w:val="24"/>
        </w:rPr>
        <w:t>)</w:t>
      </w:r>
      <w:r w:rsidRPr="008A5422">
        <w:rPr>
          <w:sz w:val="24"/>
          <w:szCs w:val="24"/>
        </w:rPr>
        <w:t xml:space="preserve">. At acidic pH, there is a notable lag, but once cells resume growth, it is even faster than that at pH 7.2. All other conditions reduce the growth of </w:t>
      </w:r>
      <w:proofErr w:type="spellStart"/>
      <w:r w:rsidRPr="008A5422">
        <w:rPr>
          <w:sz w:val="24"/>
          <w:szCs w:val="24"/>
        </w:rPr>
        <w:t>AbWT</w:t>
      </w:r>
      <w:proofErr w:type="spellEnd"/>
      <w:r w:rsidRPr="008A5422">
        <w:rPr>
          <w:sz w:val="24"/>
          <w:szCs w:val="24"/>
        </w:rPr>
        <w:t xml:space="preserve"> by 3–4-fold.</w:t>
      </w:r>
    </w:p>
    <w:p w14:paraId="7CF38960" w14:textId="656FFC53" w:rsidR="00F23494" w:rsidRDefault="004B3C80" w:rsidP="00713469">
      <w:pPr>
        <w:jc w:val="both"/>
        <w:rPr>
          <w:rFonts w:asciiTheme="majorHAnsi" w:hAnsiTheme="majorHAnsi" w:cstheme="majorHAnsi"/>
          <w:sz w:val="24"/>
          <w:szCs w:val="24"/>
        </w:rPr>
        <w:sectPr w:rsidR="00F23494" w:rsidSect="003D4C64">
          <w:pgSz w:w="12240" w:h="15840" w:code="1"/>
          <w:pgMar w:top="1440" w:right="1440" w:bottom="1440" w:left="2160" w:header="720" w:footer="720" w:gutter="0"/>
          <w:pgNumType w:start="1"/>
          <w:cols w:space="720"/>
          <w:docGrid w:linePitch="360"/>
        </w:sectPr>
      </w:pPr>
      <w:r w:rsidRPr="004B3C80">
        <w:rPr>
          <w:rFonts w:asciiTheme="majorHAnsi" w:hAnsiTheme="majorHAnsi" w:cstheme="majorHAnsi"/>
          <w:noProof/>
          <w:sz w:val="24"/>
          <w:szCs w:val="24"/>
        </w:rPr>
        <w:lastRenderedPageBreak/>
        <w:drawing>
          <wp:inline distT="0" distB="0" distL="0" distR="0" wp14:anchorId="142FFBAF" wp14:editId="673DE1B8">
            <wp:extent cx="8174389" cy="4068273"/>
            <wp:effectExtent l="0" t="4127" r="0" b="0"/>
            <wp:docPr id="2005403028"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028" name="Picture 1" descr="A table with numbers and letters&#10;&#10;Description automatically generated"/>
                    <pic:cNvPicPr/>
                  </pic:nvPicPr>
                  <pic:blipFill>
                    <a:blip r:embed="rId29"/>
                    <a:stretch>
                      <a:fillRect/>
                    </a:stretch>
                  </pic:blipFill>
                  <pic:spPr>
                    <a:xfrm rot="16200000">
                      <a:off x="0" y="0"/>
                      <a:ext cx="8183372" cy="4072744"/>
                    </a:xfrm>
                    <a:prstGeom prst="rect">
                      <a:avLst/>
                    </a:prstGeom>
                  </pic:spPr>
                </pic:pic>
              </a:graphicData>
            </a:graphic>
          </wp:inline>
        </w:drawing>
      </w:r>
      <w:r w:rsidR="00652C8A">
        <w:rPr>
          <w:noProof/>
        </w:rPr>
        <mc:AlternateContent>
          <mc:Choice Requires="wps">
            <w:drawing>
              <wp:anchor distT="0" distB="0" distL="114300" distR="114300" simplePos="0" relativeHeight="251655168" behindDoc="0" locked="0" layoutInCell="1" allowOverlap="1" wp14:anchorId="65E007ED" wp14:editId="260E107F">
                <wp:simplePos x="0" y="0"/>
                <wp:positionH relativeFrom="column">
                  <wp:posOffset>5004435</wp:posOffset>
                </wp:positionH>
                <wp:positionV relativeFrom="paragraph">
                  <wp:posOffset>156210</wp:posOffset>
                </wp:positionV>
                <wp:extent cx="548640" cy="7894320"/>
                <wp:effectExtent l="0" t="0" r="3810" b="0"/>
                <wp:wrapNone/>
                <wp:docPr id="9197884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7894320"/>
                        </a:xfrm>
                        <a:prstGeom prst="rect">
                          <a:avLst/>
                        </a:prstGeom>
                        <a:solidFill>
                          <a:srgbClr val="FFFFFF"/>
                        </a:solidFill>
                        <a:ln w="9525">
                          <a:solidFill>
                            <a:srgbClr val="000000"/>
                          </a:solidFill>
                          <a:miter lim="800000"/>
                          <a:headEnd/>
                          <a:tailEnd/>
                        </a:ln>
                      </wps:spPr>
                      <wps:txbx>
                        <w:txbxContent>
                          <w:p w14:paraId="54371217" w14:textId="4C5CF93D" w:rsidR="00F23494" w:rsidRPr="00F23494" w:rsidRDefault="00713469">
                            <w:pPr>
                              <w:rPr>
                                <w:sz w:val="24"/>
                                <w:szCs w:val="24"/>
                              </w:rPr>
                            </w:pPr>
                            <w:r>
                              <w:rPr>
                                <w:sz w:val="24"/>
                                <w:szCs w:val="24"/>
                              </w:rPr>
                              <w:t>Minimal inhibitory concentrations [µg/mL] of strains lacking or overproducing AmfAB and AmfCD efflux pumps. MIC values that differ by four-fold are shown in underlined bold.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007ED" id="_x0000_t202" coordsize="21600,21600" o:spt="202" path="m,l,21600r21600,l21600,xe">
                <v:stroke joinstyle="miter"/>
                <v:path gradientshapeok="t" o:connecttype="rect"/>
              </v:shapetype>
              <v:shape id="Text Box 1" o:spid="_x0000_s1026" type="#_x0000_t202" style="position:absolute;left:0;text-align:left;margin-left:394.05pt;margin-top:12.3pt;width:43.2pt;height:6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">
                <v:textbox style="layout-flow:vertical;mso-layout-flow-alt:bottom-to-top">
                  <w:txbxContent>
                    <w:p w14:paraId="54371217" w14:textId="4C5CF93D" w:rsidR="00F23494" w:rsidRPr="00F23494" w:rsidRDefault="00713469">
                      <w:pPr>
                        <w:rPr>
                          <w:sz w:val="24"/>
                          <w:szCs w:val="24"/>
                        </w:rPr>
                      </w:pPr>
                      <w:r>
                        <w:rPr>
                          <w:sz w:val="24"/>
                          <w:szCs w:val="24"/>
                        </w:rPr>
                        <w:t>Minimal inhibitory concentrations [µg/mL] of strains lacking or overproducing AmfAB and AmfCD efflux pumps. MIC values that differ by four-fold are shown in underlined bold.</w:t>
                      </w:r>
                    </w:p>
                  </w:txbxContent>
                </v:textbox>
              </v:shape>
            </w:pict>
          </mc:Fallback>
        </mc:AlternateContent>
      </w:r>
    </w:p>
    <w:p w14:paraId="0F336A25" w14:textId="61B21EB4" w:rsidR="00E50A7F" w:rsidRDefault="00530CA4" w:rsidP="00C836F0">
      <w:pPr>
        <w:rPr>
          <w:rFonts w:asciiTheme="majorHAnsi" w:hAnsiTheme="majorHAnsi" w:cstheme="majorHAnsi"/>
          <w:b/>
          <w:bCs/>
          <w:sz w:val="24"/>
          <w:szCs w:val="24"/>
        </w:rPr>
      </w:pPr>
      <w:r>
        <w:rPr>
          <w:rFonts w:asciiTheme="majorHAnsi" w:hAnsiTheme="majorHAnsi" w:cstheme="majorHAnsi"/>
          <w:b/>
          <w:bCs/>
          <w:sz w:val="24"/>
          <w:szCs w:val="24"/>
        </w:rPr>
        <w:lastRenderedPageBreak/>
        <w:t>Table 3.</w:t>
      </w:r>
      <w:r w:rsidR="004E2E10">
        <w:rPr>
          <w:rFonts w:asciiTheme="majorHAnsi" w:hAnsiTheme="majorHAnsi" w:cstheme="majorHAnsi"/>
          <w:b/>
          <w:bCs/>
          <w:sz w:val="24"/>
          <w:szCs w:val="24"/>
        </w:rPr>
        <w:t>5</w:t>
      </w:r>
      <w:r>
        <w:rPr>
          <w:rFonts w:asciiTheme="majorHAnsi" w:hAnsiTheme="majorHAnsi" w:cstheme="majorHAnsi"/>
          <w:b/>
          <w:bCs/>
          <w:sz w:val="24"/>
          <w:szCs w:val="24"/>
        </w:rPr>
        <w:t xml:space="preserve"> – Details of </w:t>
      </w:r>
      <w:r w:rsidR="00B03B7E">
        <w:rPr>
          <w:rFonts w:asciiTheme="majorHAnsi" w:hAnsiTheme="majorHAnsi" w:cstheme="majorHAnsi"/>
          <w:b/>
          <w:bCs/>
          <w:sz w:val="24"/>
          <w:szCs w:val="24"/>
        </w:rPr>
        <w:t>g</w:t>
      </w:r>
      <w:r>
        <w:rPr>
          <w:rFonts w:asciiTheme="majorHAnsi" w:hAnsiTheme="majorHAnsi" w:cstheme="majorHAnsi"/>
          <w:b/>
          <w:bCs/>
          <w:sz w:val="24"/>
          <w:szCs w:val="24"/>
        </w:rPr>
        <w:t xml:space="preserve">rowth and </w:t>
      </w:r>
      <w:r w:rsidR="00B03B7E">
        <w:rPr>
          <w:rFonts w:asciiTheme="majorHAnsi" w:hAnsiTheme="majorHAnsi" w:cstheme="majorHAnsi"/>
          <w:b/>
          <w:bCs/>
          <w:sz w:val="24"/>
          <w:szCs w:val="24"/>
        </w:rPr>
        <w:t>s</w:t>
      </w:r>
      <w:r>
        <w:rPr>
          <w:rFonts w:asciiTheme="majorHAnsi" w:hAnsiTheme="majorHAnsi" w:cstheme="majorHAnsi"/>
          <w:b/>
          <w:bCs/>
          <w:sz w:val="24"/>
          <w:szCs w:val="24"/>
        </w:rPr>
        <w:t xml:space="preserve">tress </w:t>
      </w:r>
      <w:r w:rsidR="00B03B7E">
        <w:rPr>
          <w:rFonts w:asciiTheme="majorHAnsi" w:hAnsiTheme="majorHAnsi" w:cstheme="majorHAnsi"/>
          <w:b/>
          <w:bCs/>
          <w:sz w:val="24"/>
          <w:szCs w:val="24"/>
        </w:rPr>
        <w:t>c</w:t>
      </w:r>
      <w:r>
        <w:rPr>
          <w:rFonts w:asciiTheme="majorHAnsi" w:hAnsiTheme="majorHAnsi" w:cstheme="majorHAnsi"/>
          <w:b/>
          <w:bCs/>
          <w:sz w:val="24"/>
          <w:szCs w:val="24"/>
        </w:rPr>
        <w:t xml:space="preserve">onditions for </w:t>
      </w:r>
      <w:r>
        <w:rPr>
          <w:rFonts w:asciiTheme="majorHAnsi" w:hAnsiTheme="majorHAnsi" w:cstheme="majorHAnsi"/>
          <w:b/>
          <w:bCs/>
          <w:i/>
          <w:iCs/>
          <w:sz w:val="24"/>
          <w:szCs w:val="24"/>
        </w:rPr>
        <w:t>A. baumannii</w:t>
      </w:r>
      <w:r>
        <w:rPr>
          <w:rFonts w:asciiTheme="majorHAnsi" w:hAnsiTheme="majorHAnsi" w:cstheme="majorHAnsi"/>
          <w:b/>
          <w:bCs/>
          <w:sz w:val="24"/>
          <w:szCs w:val="24"/>
        </w:rPr>
        <w:t xml:space="preserve"> </w:t>
      </w:r>
      <w:r w:rsidR="00B03B7E">
        <w:rPr>
          <w:rFonts w:asciiTheme="majorHAnsi" w:hAnsiTheme="majorHAnsi" w:cstheme="majorHAnsi"/>
          <w:b/>
          <w:bCs/>
          <w:sz w:val="24"/>
          <w:szCs w:val="24"/>
        </w:rPr>
        <w:t>m</w:t>
      </w:r>
      <w:r>
        <w:rPr>
          <w:rFonts w:asciiTheme="majorHAnsi" w:hAnsiTheme="majorHAnsi" w:cstheme="majorHAnsi"/>
          <w:b/>
          <w:bCs/>
          <w:sz w:val="24"/>
          <w:szCs w:val="24"/>
        </w:rPr>
        <w:t>utants</w:t>
      </w:r>
    </w:p>
    <w:p w14:paraId="30C6DDA2" w14:textId="0FC123B5" w:rsidR="00530CA4" w:rsidRDefault="00530CA4" w:rsidP="00C836F0">
      <w:pPr>
        <w:rPr>
          <w:rFonts w:asciiTheme="majorHAnsi" w:hAnsiTheme="majorHAnsi" w:cstheme="majorHAnsi"/>
          <w:sz w:val="24"/>
          <w:szCs w:val="24"/>
        </w:rPr>
      </w:pPr>
      <w:r w:rsidRPr="00530CA4">
        <w:rPr>
          <w:rFonts w:asciiTheme="majorHAnsi" w:hAnsiTheme="majorHAnsi" w:cstheme="majorHAnsi"/>
          <w:noProof/>
          <w:sz w:val="24"/>
          <w:szCs w:val="24"/>
        </w:rPr>
        <w:drawing>
          <wp:inline distT="0" distB="0" distL="0" distR="0" wp14:anchorId="7F839A1C" wp14:editId="76BC2FAF">
            <wp:extent cx="5029636" cy="2834886"/>
            <wp:effectExtent l="0" t="0" r="0" b="3810"/>
            <wp:docPr id="497851287" name="Picture 1" descr="A white and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51287" name="Picture 1" descr="A white and black text on a white background&#10;&#10;Description automatically generated"/>
                    <pic:cNvPicPr/>
                  </pic:nvPicPr>
                  <pic:blipFill>
                    <a:blip r:embed="rId30"/>
                    <a:stretch>
                      <a:fillRect/>
                    </a:stretch>
                  </pic:blipFill>
                  <pic:spPr>
                    <a:xfrm>
                      <a:off x="0" y="0"/>
                      <a:ext cx="5029636" cy="2834886"/>
                    </a:xfrm>
                    <a:prstGeom prst="rect">
                      <a:avLst/>
                    </a:prstGeom>
                  </pic:spPr>
                </pic:pic>
              </a:graphicData>
            </a:graphic>
          </wp:inline>
        </w:drawing>
      </w:r>
    </w:p>
    <w:p w14:paraId="0596318F" w14:textId="77777777" w:rsidR="00530CA4" w:rsidRPr="00530CA4" w:rsidRDefault="00530CA4" w:rsidP="00C836F0">
      <w:pPr>
        <w:rPr>
          <w:rFonts w:asciiTheme="majorHAnsi" w:hAnsiTheme="majorHAnsi" w:cstheme="majorHAnsi"/>
          <w:sz w:val="24"/>
          <w:szCs w:val="24"/>
        </w:rPr>
      </w:pPr>
    </w:p>
    <w:p w14:paraId="3D21FCD6" w14:textId="2BFC8896" w:rsidR="00E91368" w:rsidRDefault="005F46CB" w:rsidP="00C836F0">
      <w:pPr>
        <w:rPr>
          <w:rFonts w:asciiTheme="majorHAnsi" w:hAnsiTheme="majorHAnsi" w:cstheme="majorHAnsi"/>
          <w:sz w:val="24"/>
          <w:szCs w:val="24"/>
        </w:rPr>
      </w:pPr>
      <w:r w:rsidRPr="005F46CB">
        <w:rPr>
          <w:rFonts w:asciiTheme="majorHAnsi" w:hAnsiTheme="majorHAnsi" w:cstheme="majorHAnsi"/>
          <w:noProof/>
          <w:sz w:val="24"/>
          <w:szCs w:val="24"/>
        </w:rPr>
        <w:drawing>
          <wp:inline distT="0" distB="0" distL="0" distR="0" wp14:anchorId="77942446" wp14:editId="79401F45">
            <wp:extent cx="5486400" cy="3400425"/>
            <wp:effectExtent l="0" t="0" r="0" b="0"/>
            <wp:docPr id="2138974000"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74000" name="Picture 1" descr="A collage of graphs&#10;&#10;Description automatically generated"/>
                    <pic:cNvPicPr/>
                  </pic:nvPicPr>
                  <pic:blipFill>
                    <a:blip r:embed="rId31"/>
                    <a:stretch>
                      <a:fillRect/>
                    </a:stretch>
                  </pic:blipFill>
                  <pic:spPr>
                    <a:xfrm>
                      <a:off x="0" y="0"/>
                      <a:ext cx="5486400" cy="3400425"/>
                    </a:xfrm>
                    <a:prstGeom prst="rect">
                      <a:avLst/>
                    </a:prstGeom>
                  </pic:spPr>
                </pic:pic>
              </a:graphicData>
            </a:graphic>
          </wp:inline>
        </w:drawing>
      </w:r>
    </w:p>
    <w:p w14:paraId="54BBA00D" w14:textId="0981DE0E" w:rsidR="00E91368" w:rsidRDefault="00E91368" w:rsidP="00E91368">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006751CC">
        <w:rPr>
          <w:rFonts w:asciiTheme="majorHAnsi" w:hAnsiTheme="majorHAnsi" w:cstheme="majorHAnsi"/>
          <w:b/>
          <w:bCs/>
          <w:sz w:val="24"/>
          <w:szCs w:val="24"/>
        </w:rPr>
        <w:t>3</w:t>
      </w:r>
      <w:r w:rsidRPr="006751CC">
        <w:rPr>
          <w:rFonts w:asciiTheme="majorHAnsi" w:hAnsiTheme="majorHAnsi" w:cstheme="majorHAnsi"/>
          <w:b/>
          <w:bCs/>
          <w:sz w:val="24"/>
          <w:szCs w:val="24"/>
        </w:rPr>
        <w:t>.</w:t>
      </w:r>
      <w:r w:rsidR="00D732F8">
        <w:rPr>
          <w:rFonts w:asciiTheme="majorHAnsi" w:hAnsiTheme="majorHAnsi" w:cstheme="majorHAnsi"/>
          <w:b/>
          <w:bCs/>
          <w:sz w:val="24"/>
          <w:szCs w:val="24"/>
        </w:rPr>
        <w:t>6</w:t>
      </w:r>
      <w:r>
        <w:rPr>
          <w:rFonts w:asciiTheme="majorHAnsi" w:hAnsiTheme="majorHAnsi" w:cstheme="majorHAnsi"/>
          <w:b/>
          <w:bCs/>
          <w:sz w:val="24"/>
          <w:szCs w:val="24"/>
        </w:rPr>
        <w:t xml:space="preserve"> - Growth </w:t>
      </w:r>
      <w:r w:rsidR="00D732F8">
        <w:rPr>
          <w:rFonts w:asciiTheme="majorHAnsi" w:hAnsiTheme="majorHAnsi" w:cstheme="majorHAnsi"/>
          <w:b/>
          <w:bCs/>
          <w:sz w:val="24"/>
          <w:szCs w:val="24"/>
        </w:rPr>
        <w:t>c</w:t>
      </w:r>
      <w:r>
        <w:rPr>
          <w:rFonts w:asciiTheme="majorHAnsi" w:hAnsiTheme="majorHAnsi" w:cstheme="majorHAnsi"/>
          <w:b/>
          <w:bCs/>
          <w:sz w:val="24"/>
          <w:szCs w:val="24"/>
        </w:rPr>
        <w:t xml:space="preserve">urves of </w:t>
      </w:r>
      <w:proofErr w:type="spellStart"/>
      <w:r w:rsidR="003844BB">
        <w:rPr>
          <w:rFonts w:asciiTheme="majorHAnsi" w:hAnsiTheme="majorHAnsi" w:cstheme="majorHAnsi"/>
          <w:b/>
          <w:bCs/>
          <w:sz w:val="24"/>
          <w:szCs w:val="24"/>
        </w:rPr>
        <w:t>Ab</w:t>
      </w:r>
      <w:r>
        <w:rPr>
          <w:rFonts w:asciiTheme="majorHAnsi" w:hAnsiTheme="majorHAnsi" w:cstheme="majorHAnsi"/>
          <w:b/>
          <w:bCs/>
          <w:sz w:val="24"/>
          <w:szCs w:val="24"/>
        </w:rPr>
        <w:t>WT</w:t>
      </w:r>
      <w:proofErr w:type="spellEnd"/>
      <w:r>
        <w:rPr>
          <w:rFonts w:asciiTheme="majorHAnsi" w:hAnsiTheme="majorHAnsi" w:cstheme="majorHAnsi"/>
          <w:b/>
          <w:bCs/>
          <w:sz w:val="24"/>
          <w:szCs w:val="24"/>
        </w:rPr>
        <w:t xml:space="preserve"> </w:t>
      </w:r>
      <w:r w:rsidR="000906E1">
        <w:rPr>
          <w:rFonts w:asciiTheme="majorHAnsi" w:hAnsiTheme="majorHAnsi" w:cstheme="majorHAnsi"/>
          <w:b/>
          <w:bCs/>
          <w:sz w:val="24"/>
          <w:szCs w:val="24"/>
        </w:rPr>
        <w:t xml:space="preserve">and </w:t>
      </w:r>
      <w:r w:rsidR="003844BB">
        <w:rPr>
          <w:rFonts w:asciiTheme="majorHAnsi" w:hAnsiTheme="majorHAnsi" w:cstheme="majorHAnsi"/>
          <w:b/>
          <w:bCs/>
          <w:sz w:val="24"/>
          <w:szCs w:val="24"/>
        </w:rPr>
        <w:t>Ab</w:t>
      </w:r>
      <w:r w:rsidRPr="00B675DC">
        <w:rPr>
          <w:b/>
          <w:bCs/>
          <w:sz w:val="24"/>
          <w:szCs w:val="24"/>
        </w:rPr>
        <w:t>Δ3</w:t>
      </w:r>
      <w:r>
        <w:rPr>
          <w:rFonts w:asciiTheme="majorHAnsi" w:hAnsiTheme="majorHAnsi" w:cstheme="majorHAnsi"/>
          <w:b/>
          <w:bCs/>
          <w:sz w:val="24"/>
          <w:szCs w:val="24"/>
        </w:rPr>
        <w:t xml:space="preserve"> </w:t>
      </w:r>
      <w:r w:rsidR="00D732F8">
        <w:rPr>
          <w:rFonts w:asciiTheme="majorHAnsi" w:hAnsiTheme="majorHAnsi" w:cstheme="majorHAnsi"/>
          <w:b/>
          <w:bCs/>
          <w:sz w:val="24"/>
          <w:szCs w:val="24"/>
        </w:rPr>
        <w:t>s</w:t>
      </w:r>
      <w:r>
        <w:rPr>
          <w:rFonts w:asciiTheme="majorHAnsi" w:hAnsiTheme="majorHAnsi" w:cstheme="majorHAnsi"/>
          <w:b/>
          <w:bCs/>
          <w:sz w:val="24"/>
          <w:szCs w:val="24"/>
        </w:rPr>
        <w:t xml:space="preserve">trains </w:t>
      </w:r>
      <w:r w:rsidR="00D732F8">
        <w:rPr>
          <w:rFonts w:asciiTheme="majorHAnsi" w:hAnsiTheme="majorHAnsi" w:cstheme="majorHAnsi"/>
          <w:b/>
          <w:bCs/>
          <w:sz w:val="24"/>
          <w:szCs w:val="24"/>
        </w:rPr>
        <w:t>u</w:t>
      </w:r>
      <w:r>
        <w:rPr>
          <w:rFonts w:asciiTheme="majorHAnsi" w:hAnsiTheme="majorHAnsi" w:cstheme="majorHAnsi"/>
          <w:b/>
          <w:bCs/>
          <w:sz w:val="24"/>
          <w:szCs w:val="24"/>
        </w:rPr>
        <w:t xml:space="preserve">nder </w:t>
      </w:r>
      <w:r w:rsidR="00D732F8">
        <w:rPr>
          <w:rFonts w:asciiTheme="majorHAnsi" w:hAnsiTheme="majorHAnsi" w:cstheme="majorHAnsi"/>
          <w:b/>
          <w:bCs/>
          <w:sz w:val="24"/>
          <w:szCs w:val="24"/>
        </w:rPr>
        <w:t>d</w:t>
      </w:r>
      <w:r>
        <w:rPr>
          <w:rFonts w:asciiTheme="majorHAnsi" w:hAnsiTheme="majorHAnsi" w:cstheme="majorHAnsi"/>
          <w:b/>
          <w:bCs/>
          <w:sz w:val="24"/>
          <w:szCs w:val="24"/>
        </w:rPr>
        <w:t xml:space="preserve">ifferent </w:t>
      </w:r>
      <w:r w:rsidR="00D732F8">
        <w:rPr>
          <w:rFonts w:asciiTheme="majorHAnsi" w:hAnsiTheme="majorHAnsi" w:cstheme="majorHAnsi"/>
          <w:b/>
          <w:bCs/>
          <w:sz w:val="24"/>
          <w:szCs w:val="24"/>
        </w:rPr>
        <w:t>s</w:t>
      </w:r>
      <w:r>
        <w:rPr>
          <w:rFonts w:asciiTheme="majorHAnsi" w:hAnsiTheme="majorHAnsi" w:cstheme="majorHAnsi"/>
          <w:b/>
          <w:bCs/>
          <w:sz w:val="24"/>
          <w:szCs w:val="24"/>
        </w:rPr>
        <w:t xml:space="preserve">tresses </w:t>
      </w:r>
    </w:p>
    <w:p w14:paraId="0190667B" w14:textId="3D2779F9" w:rsidR="004E13F3" w:rsidRPr="005F46CB" w:rsidRDefault="003844BB" w:rsidP="00E91368">
      <w:pPr>
        <w:rPr>
          <w:rFonts w:ascii="Cambria Math" w:hAnsi="Cambria Math" w:cs="Times New Roman"/>
          <w:sz w:val="24"/>
          <w:szCs w:val="24"/>
        </w:rPr>
      </w:pPr>
      <w:r>
        <w:rPr>
          <w:rFonts w:asciiTheme="majorHAnsi" w:hAnsiTheme="majorHAnsi" w:cstheme="majorHAnsi"/>
          <w:sz w:val="24"/>
          <w:szCs w:val="24"/>
        </w:rPr>
        <w:t xml:space="preserve">Growth curves of </w:t>
      </w:r>
      <w:proofErr w:type="spellStart"/>
      <w:r>
        <w:rPr>
          <w:rFonts w:asciiTheme="majorHAnsi" w:hAnsiTheme="majorHAnsi" w:cstheme="majorHAnsi"/>
          <w:sz w:val="24"/>
          <w:szCs w:val="24"/>
        </w:rPr>
        <w:t>AbWT</w:t>
      </w:r>
      <w:proofErr w:type="spellEnd"/>
      <w:r>
        <w:rPr>
          <w:rFonts w:asciiTheme="majorHAnsi" w:hAnsiTheme="majorHAnsi" w:cstheme="majorHAnsi"/>
          <w:sz w:val="24"/>
          <w:szCs w:val="24"/>
        </w:rPr>
        <w:t xml:space="preserve"> and Ab</w:t>
      </w:r>
      <w:bookmarkStart w:id="9" w:name="_Hlk157594970"/>
      <w:r w:rsidRPr="003844BB">
        <w:rPr>
          <w:sz w:val="24"/>
          <w:szCs w:val="24"/>
        </w:rPr>
        <w:t>Δ3</w:t>
      </w:r>
      <w:bookmarkEnd w:id="9"/>
      <w:r>
        <w:rPr>
          <w:sz w:val="24"/>
          <w:szCs w:val="24"/>
        </w:rPr>
        <w:t xml:space="preserve"> strains under indicated conditions. Error bars are SD (</w:t>
      </w:r>
      <w:r>
        <w:rPr>
          <w:i/>
          <w:iCs/>
          <w:sz w:val="24"/>
          <w:szCs w:val="24"/>
        </w:rPr>
        <w:t xml:space="preserve">n </w:t>
      </w:r>
      <w:r>
        <w:rPr>
          <w:sz w:val="24"/>
          <w:szCs w:val="24"/>
        </w:rPr>
        <w:t xml:space="preserve">= 3). </w:t>
      </w:r>
      <w:r w:rsidR="005F46CB">
        <w:rPr>
          <w:sz w:val="24"/>
          <w:szCs w:val="24"/>
        </w:rPr>
        <w:t>(</w:t>
      </w:r>
      <w:r w:rsidR="005F46CB">
        <w:rPr>
          <w:b/>
          <w:bCs/>
          <w:sz w:val="24"/>
          <w:szCs w:val="24"/>
        </w:rPr>
        <w:t>A</w:t>
      </w:r>
      <w:r w:rsidR="005F46CB">
        <w:rPr>
          <w:sz w:val="24"/>
          <w:szCs w:val="24"/>
        </w:rPr>
        <w:t>) No stress control; (</w:t>
      </w:r>
      <w:r w:rsidR="005F46CB">
        <w:rPr>
          <w:b/>
          <w:bCs/>
          <w:sz w:val="24"/>
          <w:szCs w:val="24"/>
        </w:rPr>
        <w:t>B</w:t>
      </w:r>
      <w:r w:rsidR="005F46CB">
        <w:rPr>
          <w:sz w:val="24"/>
          <w:szCs w:val="24"/>
        </w:rPr>
        <w:t>) high temperature; (</w:t>
      </w:r>
      <w:r w:rsidR="005F46CB">
        <w:rPr>
          <w:b/>
          <w:bCs/>
          <w:sz w:val="24"/>
          <w:szCs w:val="24"/>
        </w:rPr>
        <w:t>C</w:t>
      </w:r>
      <w:r w:rsidR="005F46CB">
        <w:rPr>
          <w:sz w:val="24"/>
          <w:szCs w:val="24"/>
        </w:rPr>
        <w:t>) acidic stress; (</w:t>
      </w:r>
      <w:r w:rsidR="005F46CB">
        <w:rPr>
          <w:b/>
          <w:bCs/>
          <w:sz w:val="24"/>
          <w:szCs w:val="24"/>
        </w:rPr>
        <w:t>D</w:t>
      </w:r>
      <w:r w:rsidR="005F46CB">
        <w:rPr>
          <w:sz w:val="24"/>
          <w:szCs w:val="24"/>
        </w:rPr>
        <w:t>) osmotic stress; (</w:t>
      </w:r>
      <w:r w:rsidR="005F46CB">
        <w:rPr>
          <w:b/>
          <w:bCs/>
          <w:sz w:val="24"/>
          <w:szCs w:val="24"/>
        </w:rPr>
        <w:t>E</w:t>
      </w:r>
      <w:r w:rsidR="005F46CB">
        <w:rPr>
          <w:sz w:val="24"/>
          <w:szCs w:val="24"/>
        </w:rPr>
        <w:t>) low iron; (</w:t>
      </w:r>
      <w:r w:rsidR="005F46CB">
        <w:rPr>
          <w:b/>
          <w:bCs/>
          <w:sz w:val="24"/>
          <w:szCs w:val="24"/>
        </w:rPr>
        <w:t>F</w:t>
      </w:r>
      <w:r w:rsidR="005F46CB">
        <w:rPr>
          <w:sz w:val="24"/>
          <w:szCs w:val="24"/>
        </w:rPr>
        <w:t>) bile stress.</w:t>
      </w:r>
    </w:p>
    <w:p w14:paraId="65F25451" w14:textId="0086B5F8" w:rsidR="00CF5E97" w:rsidRPr="00CF5E97" w:rsidRDefault="00CF5E97" w:rsidP="00CF5E97">
      <w:pPr>
        <w:spacing w:after="0" w:line="360" w:lineRule="auto"/>
        <w:ind w:firstLine="720"/>
        <w:rPr>
          <w:rFonts w:ascii="Times New Roman" w:eastAsia="Times New Roman" w:hAnsi="Times New Roman" w:cs="Times New Roman"/>
          <w:sz w:val="24"/>
          <w:szCs w:val="24"/>
          <w14:ligatures w14:val="none"/>
        </w:rPr>
      </w:pPr>
      <w:r w:rsidRPr="00CF5E97">
        <w:rPr>
          <w:rFonts w:ascii="Times New Roman" w:eastAsia="Times New Roman" w:hAnsi="Times New Roman" w:cs="Times New Roman"/>
          <w:sz w:val="24"/>
          <w:szCs w:val="24"/>
          <w14:ligatures w14:val="none"/>
        </w:rPr>
        <w:lastRenderedPageBreak/>
        <w:t>We next characterized the stress phenotypes of the complemented cells and calculated the corresponding AUCs values</w:t>
      </w:r>
      <w:r w:rsidR="00605897">
        <w:rPr>
          <w:rFonts w:ascii="Times New Roman" w:eastAsia="Times New Roman" w:hAnsi="Times New Roman" w:cs="Times New Roman"/>
          <w:sz w:val="24"/>
          <w:szCs w:val="24"/>
          <w14:ligatures w14:val="none"/>
        </w:rPr>
        <w:t xml:space="preserve"> (</w:t>
      </w:r>
      <w:r w:rsidR="00605897">
        <w:rPr>
          <w:rFonts w:ascii="Times New Roman" w:eastAsia="Times New Roman" w:hAnsi="Times New Roman" w:cs="Times New Roman"/>
          <w:b/>
          <w:bCs/>
          <w:sz w:val="24"/>
          <w:szCs w:val="24"/>
          <w14:ligatures w14:val="none"/>
        </w:rPr>
        <w:t>Table 3.</w:t>
      </w:r>
      <w:r w:rsidR="00A9426D">
        <w:rPr>
          <w:rFonts w:ascii="Times New Roman" w:eastAsia="Times New Roman" w:hAnsi="Times New Roman" w:cs="Times New Roman"/>
          <w:b/>
          <w:bCs/>
          <w:sz w:val="24"/>
          <w:szCs w:val="24"/>
          <w14:ligatures w14:val="none"/>
        </w:rPr>
        <w:t>7</w:t>
      </w:r>
      <w:r w:rsidR="00605897">
        <w:rPr>
          <w:rFonts w:ascii="Times New Roman" w:eastAsia="Times New Roman" w:hAnsi="Times New Roman" w:cs="Times New Roman"/>
          <w:sz w:val="24"/>
          <w:szCs w:val="24"/>
          <w14:ligatures w14:val="none"/>
        </w:rPr>
        <w:t>)</w:t>
      </w:r>
      <w:r w:rsidRPr="00CF5E97">
        <w:rPr>
          <w:rFonts w:ascii="Times New Roman" w:eastAsia="Times New Roman" w:hAnsi="Times New Roman" w:cs="Times New Roman"/>
          <w:sz w:val="24"/>
          <w:szCs w:val="24"/>
          <w14:ligatures w14:val="none"/>
        </w:rPr>
        <w:t>. For these experiments, all cell cultures were grown in the presence of 1% L-arabinose needed to induce the expression of both plasmid-borne and chromosomally integrated efflux pump genes. Since 250 μM 2,2′-dipyridyl was notably toxic to complemented strains, the iron depletion experiments were carried out at 125 μM 2,2′-dipyridyl.</w:t>
      </w:r>
    </w:p>
    <w:p w14:paraId="0F27A080" w14:textId="0AD426C1" w:rsidR="00CF5E97" w:rsidRPr="00FE3D17" w:rsidRDefault="00FE3D17" w:rsidP="00FE3D17">
      <w:pPr>
        <w:spacing w:line="360" w:lineRule="auto"/>
        <w:ind w:firstLine="720"/>
        <w:rPr>
          <w:rFonts w:ascii="Cambria Math" w:hAnsi="Cambria Math" w:cs="Times New Roman"/>
          <w:sz w:val="28"/>
          <w:szCs w:val="28"/>
        </w:rPr>
      </w:pPr>
      <w:r w:rsidRPr="00FE3D17">
        <w:rPr>
          <w:sz w:val="24"/>
          <w:szCs w:val="24"/>
        </w:rPr>
        <w:t xml:space="preserve">In the </w:t>
      </w:r>
      <w:proofErr w:type="spellStart"/>
      <w:r w:rsidRPr="00FE3D17">
        <w:rPr>
          <w:sz w:val="24"/>
          <w:szCs w:val="24"/>
        </w:rPr>
        <w:t>AbWT</w:t>
      </w:r>
      <w:proofErr w:type="spellEnd"/>
      <w:r w:rsidRPr="00FE3D17">
        <w:rPr>
          <w:sz w:val="24"/>
          <w:szCs w:val="24"/>
        </w:rPr>
        <w:t xml:space="preserve"> and ∆2 cells, the overproduction of </w:t>
      </w:r>
      <w:proofErr w:type="spellStart"/>
      <w:r w:rsidRPr="00FE3D17">
        <w:rPr>
          <w:sz w:val="24"/>
          <w:szCs w:val="24"/>
        </w:rPr>
        <w:t>AmfAB</w:t>
      </w:r>
      <w:proofErr w:type="spellEnd"/>
      <w:r w:rsidRPr="00FE3D17">
        <w:rPr>
          <w:sz w:val="24"/>
          <w:szCs w:val="24"/>
        </w:rPr>
        <w:t xml:space="preserve"> but not </w:t>
      </w:r>
      <w:proofErr w:type="spellStart"/>
      <w:r w:rsidRPr="00FE3D17">
        <w:rPr>
          <w:sz w:val="24"/>
          <w:szCs w:val="24"/>
        </w:rPr>
        <w:t>AmfCD</w:t>
      </w:r>
      <w:proofErr w:type="spellEnd"/>
      <w:r w:rsidRPr="00FE3D17">
        <w:rPr>
          <w:sz w:val="24"/>
          <w:szCs w:val="24"/>
        </w:rPr>
        <w:t xml:space="preserve"> was toxic to the cells, as seen from the significant growth reduction in </w:t>
      </w:r>
      <w:proofErr w:type="spellStart"/>
      <w:r w:rsidRPr="00FE3D17">
        <w:rPr>
          <w:sz w:val="24"/>
          <w:szCs w:val="24"/>
        </w:rPr>
        <w:t>AbWT</w:t>
      </w:r>
      <w:proofErr w:type="spellEnd"/>
      <w:r w:rsidRPr="00FE3D17">
        <w:rPr>
          <w:sz w:val="24"/>
          <w:szCs w:val="24"/>
        </w:rPr>
        <w:t>(</w:t>
      </w:r>
      <w:proofErr w:type="spellStart"/>
      <w:r w:rsidRPr="00FE3D17">
        <w:rPr>
          <w:sz w:val="24"/>
          <w:szCs w:val="24"/>
        </w:rPr>
        <w:t>pAmfAB</w:t>
      </w:r>
      <w:proofErr w:type="spellEnd"/>
      <w:r w:rsidRPr="00FE3D17">
        <w:rPr>
          <w:sz w:val="24"/>
          <w:szCs w:val="24"/>
        </w:rPr>
        <w:t>) and ∆2(</w:t>
      </w:r>
      <w:proofErr w:type="spellStart"/>
      <w:r w:rsidRPr="00FE3D17">
        <w:rPr>
          <w:sz w:val="24"/>
          <w:szCs w:val="24"/>
        </w:rPr>
        <w:t>pAmfAB</w:t>
      </w:r>
      <w:proofErr w:type="spellEnd"/>
      <w:r w:rsidRPr="00FE3D17">
        <w:rPr>
          <w:sz w:val="24"/>
          <w:szCs w:val="24"/>
        </w:rPr>
        <w:t>), even under the normal conditions</w:t>
      </w:r>
      <w:r w:rsidR="00605897">
        <w:rPr>
          <w:sz w:val="24"/>
          <w:szCs w:val="24"/>
        </w:rPr>
        <w:t xml:space="preserve"> (</w:t>
      </w:r>
      <w:r w:rsidR="00605897">
        <w:rPr>
          <w:b/>
          <w:bCs/>
          <w:sz w:val="24"/>
          <w:szCs w:val="24"/>
        </w:rPr>
        <w:t>Table 3.</w:t>
      </w:r>
      <w:r w:rsidR="00A9426D">
        <w:rPr>
          <w:b/>
          <w:bCs/>
          <w:sz w:val="24"/>
          <w:szCs w:val="24"/>
        </w:rPr>
        <w:t>7</w:t>
      </w:r>
      <w:r w:rsidR="00605897">
        <w:rPr>
          <w:sz w:val="24"/>
          <w:szCs w:val="24"/>
        </w:rPr>
        <w:t xml:space="preserve"> and </w:t>
      </w:r>
      <w:r w:rsidR="00605897">
        <w:rPr>
          <w:b/>
          <w:bCs/>
          <w:sz w:val="24"/>
          <w:szCs w:val="24"/>
        </w:rPr>
        <w:t>Figure 3.</w:t>
      </w:r>
      <w:r w:rsidR="00A9426D">
        <w:rPr>
          <w:b/>
          <w:bCs/>
          <w:sz w:val="24"/>
          <w:szCs w:val="24"/>
        </w:rPr>
        <w:t>7</w:t>
      </w:r>
      <w:r w:rsidR="00605897">
        <w:rPr>
          <w:sz w:val="24"/>
          <w:szCs w:val="24"/>
        </w:rPr>
        <w:t>)</w:t>
      </w:r>
      <w:r w:rsidRPr="00FE3D17">
        <w:rPr>
          <w:sz w:val="24"/>
          <w:szCs w:val="24"/>
        </w:rPr>
        <w:t xml:space="preserve">. The toxicity of </w:t>
      </w:r>
      <w:proofErr w:type="spellStart"/>
      <w:r w:rsidRPr="00FE3D17">
        <w:rPr>
          <w:sz w:val="24"/>
          <w:szCs w:val="24"/>
        </w:rPr>
        <w:t>AmfAB</w:t>
      </w:r>
      <w:proofErr w:type="spellEnd"/>
      <w:r w:rsidRPr="00FE3D17">
        <w:rPr>
          <w:sz w:val="24"/>
          <w:szCs w:val="24"/>
        </w:rPr>
        <w:t xml:space="preserve"> overproduction in the </w:t>
      </w:r>
      <w:proofErr w:type="spellStart"/>
      <w:r w:rsidRPr="00FE3D17">
        <w:rPr>
          <w:sz w:val="24"/>
          <w:szCs w:val="24"/>
        </w:rPr>
        <w:t>AbWT</w:t>
      </w:r>
      <w:proofErr w:type="spellEnd"/>
      <w:r w:rsidRPr="00FE3D17">
        <w:rPr>
          <w:sz w:val="24"/>
          <w:szCs w:val="24"/>
        </w:rPr>
        <w:t xml:space="preserve"> </w:t>
      </w:r>
      <w:r w:rsidR="00324F42">
        <w:rPr>
          <w:sz w:val="24"/>
          <w:szCs w:val="24"/>
        </w:rPr>
        <w:t xml:space="preserve">strain </w:t>
      </w:r>
      <w:r w:rsidRPr="00FE3D17">
        <w:rPr>
          <w:sz w:val="24"/>
          <w:szCs w:val="24"/>
        </w:rPr>
        <w:t>can also be seen when cells are grown in the pH 4.6 medium</w:t>
      </w:r>
      <w:r w:rsidR="00605897">
        <w:rPr>
          <w:sz w:val="24"/>
          <w:szCs w:val="24"/>
        </w:rPr>
        <w:t xml:space="preserve"> (</w:t>
      </w:r>
      <w:r w:rsidR="00605897">
        <w:rPr>
          <w:b/>
          <w:bCs/>
          <w:sz w:val="24"/>
          <w:szCs w:val="24"/>
        </w:rPr>
        <w:t>Figure 3.</w:t>
      </w:r>
      <w:r w:rsidR="00A9426D">
        <w:rPr>
          <w:b/>
          <w:bCs/>
          <w:sz w:val="24"/>
          <w:szCs w:val="24"/>
        </w:rPr>
        <w:t>7</w:t>
      </w:r>
      <w:r w:rsidR="00324F42">
        <w:rPr>
          <w:b/>
          <w:bCs/>
          <w:sz w:val="24"/>
          <w:szCs w:val="24"/>
        </w:rPr>
        <w:t>-C</w:t>
      </w:r>
      <w:r w:rsidR="00605897">
        <w:rPr>
          <w:sz w:val="24"/>
          <w:szCs w:val="24"/>
        </w:rPr>
        <w:t>)</w:t>
      </w:r>
      <w:r w:rsidRPr="00FE3D17">
        <w:rPr>
          <w:sz w:val="24"/>
          <w:szCs w:val="24"/>
        </w:rPr>
        <w:t xml:space="preserve">. In contrast, the overproduction of either </w:t>
      </w:r>
      <w:proofErr w:type="spellStart"/>
      <w:r w:rsidRPr="00FE3D17">
        <w:rPr>
          <w:sz w:val="24"/>
          <w:szCs w:val="24"/>
        </w:rPr>
        <w:t>AmfAB</w:t>
      </w:r>
      <w:proofErr w:type="spellEnd"/>
      <w:r w:rsidRPr="00FE3D17">
        <w:rPr>
          <w:sz w:val="24"/>
          <w:szCs w:val="24"/>
        </w:rPr>
        <w:t xml:space="preserve"> or </w:t>
      </w:r>
      <w:proofErr w:type="spellStart"/>
      <w:r w:rsidRPr="00FE3D17">
        <w:rPr>
          <w:sz w:val="24"/>
          <w:szCs w:val="24"/>
        </w:rPr>
        <w:t>AmfCD</w:t>
      </w:r>
      <w:proofErr w:type="spellEnd"/>
      <w:r w:rsidRPr="00FE3D17">
        <w:rPr>
          <w:sz w:val="24"/>
          <w:szCs w:val="24"/>
        </w:rPr>
        <w:t xml:space="preserve"> rescued the growth deficiency of ∆2 cells grown in pH 4.6</w:t>
      </w:r>
      <w:r w:rsidR="00605897">
        <w:rPr>
          <w:sz w:val="24"/>
          <w:szCs w:val="24"/>
        </w:rPr>
        <w:t xml:space="preserve"> (</w:t>
      </w:r>
      <w:r w:rsidR="00605897">
        <w:rPr>
          <w:b/>
          <w:bCs/>
          <w:sz w:val="24"/>
          <w:szCs w:val="24"/>
        </w:rPr>
        <w:t>Figure 3.</w:t>
      </w:r>
      <w:r w:rsidR="00A9426D">
        <w:rPr>
          <w:b/>
          <w:bCs/>
          <w:sz w:val="24"/>
          <w:szCs w:val="24"/>
        </w:rPr>
        <w:t>8</w:t>
      </w:r>
      <w:r w:rsidR="007B2F17">
        <w:rPr>
          <w:b/>
          <w:bCs/>
          <w:sz w:val="24"/>
          <w:szCs w:val="24"/>
        </w:rPr>
        <w:t>-C</w:t>
      </w:r>
      <w:r w:rsidR="00605897">
        <w:rPr>
          <w:sz w:val="24"/>
          <w:szCs w:val="24"/>
        </w:rPr>
        <w:t>)</w:t>
      </w:r>
      <w:r w:rsidRPr="00FE3D17">
        <w:rPr>
          <w:sz w:val="24"/>
          <w:szCs w:val="24"/>
        </w:rPr>
        <w:t xml:space="preserve">. Thus, both </w:t>
      </w:r>
      <w:proofErr w:type="spellStart"/>
      <w:r w:rsidRPr="00FE3D17">
        <w:rPr>
          <w:sz w:val="24"/>
          <w:szCs w:val="24"/>
        </w:rPr>
        <w:t>AmfAB</w:t>
      </w:r>
      <w:proofErr w:type="spellEnd"/>
      <w:r w:rsidRPr="00FE3D17">
        <w:rPr>
          <w:sz w:val="24"/>
          <w:szCs w:val="24"/>
        </w:rPr>
        <w:t xml:space="preserve"> and </w:t>
      </w:r>
      <w:proofErr w:type="spellStart"/>
      <w:r w:rsidRPr="00FE3D17">
        <w:rPr>
          <w:sz w:val="24"/>
          <w:szCs w:val="24"/>
        </w:rPr>
        <w:t>AmfCD</w:t>
      </w:r>
      <w:proofErr w:type="spellEnd"/>
      <w:r w:rsidRPr="00FE3D17">
        <w:rPr>
          <w:sz w:val="24"/>
          <w:szCs w:val="24"/>
        </w:rPr>
        <w:t xml:space="preserve"> contribute to the growth of </w:t>
      </w:r>
      <w:r w:rsidRPr="007B2F17">
        <w:rPr>
          <w:rStyle w:val="html-italic"/>
          <w:i/>
          <w:iCs/>
          <w:sz w:val="24"/>
          <w:szCs w:val="24"/>
        </w:rPr>
        <w:t>A. baumannii</w:t>
      </w:r>
      <w:r w:rsidRPr="00FE3D17">
        <w:rPr>
          <w:sz w:val="24"/>
          <w:szCs w:val="24"/>
        </w:rPr>
        <w:t xml:space="preserve"> under acidic conditions.</w:t>
      </w:r>
    </w:p>
    <w:p w14:paraId="7DD12AF5" w14:textId="77861731" w:rsidR="002003F9" w:rsidRPr="002003F9" w:rsidRDefault="002003F9" w:rsidP="00B059DE">
      <w:pPr>
        <w:spacing w:before="120" w:after="120" w:line="360" w:lineRule="auto"/>
        <w:jc w:val="both"/>
        <w:rPr>
          <w:rFonts w:ascii="Times New Roman" w:hAnsi="Times New Roman" w:cs="Times New Roman"/>
          <w:sz w:val="24"/>
          <w:szCs w:val="24"/>
          <w:u w:val="single"/>
        </w:rPr>
      </w:pPr>
      <w:r w:rsidRPr="002003F9">
        <w:rPr>
          <w:rFonts w:ascii="Times New Roman" w:hAnsi="Times New Roman" w:cs="Times New Roman"/>
          <w:sz w:val="24"/>
          <w:szCs w:val="24"/>
          <w:u w:val="single"/>
        </w:rPr>
        <w:t>3.3.</w:t>
      </w:r>
      <w:r w:rsidR="00D732F8">
        <w:rPr>
          <w:rFonts w:ascii="Times New Roman" w:hAnsi="Times New Roman" w:cs="Times New Roman"/>
          <w:sz w:val="24"/>
          <w:szCs w:val="24"/>
          <w:u w:val="single"/>
        </w:rPr>
        <w:t>6</w:t>
      </w:r>
      <w:r w:rsidRPr="002003F9">
        <w:rPr>
          <w:rFonts w:ascii="Times New Roman" w:hAnsi="Times New Roman" w:cs="Times New Roman"/>
          <w:sz w:val="24"/>
          <w:szCs w:val="24"/>
          <w:u w:val="single"/>
        </w:rPr>
        <w:t xml:space="preserve">. Overproduction of MFS pumps do not complement loss of RND pumps under virulence related stress </w:t>
      </w:r>
      <w:proofErr w:type="gramStart"/>
      <w:r w:rsidRPr="002003F9">
        <w:rPr>
          <w:rFonts w:ascii="Times New Roman" w:hAnsi="Times New Roman" w:cs="Times New Roman"/>
          <w:sz w:val="24"/>
          <w:szCs w:val="24"/>
          <w:u w:val="single"/>
        </w:rPr>
        <w:t>conditions</w:t>
      </w:r>
      <w:proofErr w:type="gramEnd"/>
    </w:p>
    <w:p w14:paraId="2BEC31FF" w14:textId="00BD46B9" w:rsidR="00FE3D17" w:rsidRPr="00FE3D17" w:rsidRDefault="00FE3D17" w:rsidP="00FE3D17">
      <w:pPr>
        <w:spacing w:after="0" w:line="360" w:lineRule="auto"/>
        <w:ind w:firstLine="720"/>
        <w:rPr>
          <w:rFonts w:ascii="Times New Roman" w:eastAsia="Times New Roman" w:hAnsi="Times New Roman" w:cs="Times New Roman"/>
          <w:sz w:val="24"/>
          <w:szCs w:val="24"/>
          <w14:ligatures w14:val="none"/>
        </w:rPr>
      </w:pPr>
      <w:r w:rsidRPr="00FE3D17">
        <w:rPr>
          <w:rFonts w:ascii="Times New Roman" w:eastAsia="Times New Roman" w:hAnsi="Times New Roman" w:cs="Times New Roman"/>
          <w:sz w:val="24"/>
          <w:szCs w:val="24"/>
          <w14:ligatures w14:val="none"/>
        </w:rPr>
        <w:t xml:space="preserve">Neither </w:t>
      </w:r>
      <w:proofErr w:type="spellStart"/>
      <w:r w:rsidRPr="00FE3D17">
        <w:rPr>
          <w:rFonts w:ascii="Times New Roman" w:eastAsia="Times New Roman" w:hAnsi="Times New Roman" w:cs="Times New Roman"/>
          <w:sz w:val="24"/>
          <w:szCs w:val="24"/>
          <w14:ligatures w14:val="none"/>
        </w:rPr>
        <w:t>AmfAB</w:t>
      </w:r>
      <w:proofErr w:type="spellEnd"/>
      <w:r w:rsidRPr="00FE3D17">
        <w:rPr>
          <w:rFonts w:ascii="Times New Roman" w:eastAsia="Times New Roman" w:hAnsi="Times New Roman" w:cs="Times New Roman"/>
          <w:sz w:val="24"/>
          <w:szCs w:val="24"/>
          <w14:ligatures w14:val="none"/>
        </w:rPr>
        <w:t xml:space="preserve"> nor </w:t>
      </w:r>
      <w:proofErr w:type="spellStart"/>
      <w:r w:rsidRPr="00FE3D17">
        <w:rPr>
          <w:rFonts w:ascii="Times New Roman" w:eastAsia="Times New Roman" w:hAnsi="Times New Roman" w:cs="Times New Roman"/>
          <w:sz w:val="24"/>
          <w:szCs w:val="24"/>
          <w14:ligatures w14:val="none"/>
        </w:rPr>
        <w:t>AmfCD</w:t>
      </w:r>
      <w:proofErr w:type="spellEnd"/>
      <w:r w:rsidRPr="00FE3D17">
        <w:rPr>
          <w:rFonts w:ascii="Times New Roman" w:eastAsia="Times New Roman" w:hAnsi="Times New Roman" w:cs="Times New Roman"/>
          <w:sz w:val="24"/>
          <w:szCs w:val="24"/>
          <w14:ligatures w14:val="none"/>
        </w:rPr>
        <w:t xml:space="preserve"> overproduction was able to complement the growth deficiencies of ∆3 and ∆5 cells and their derivatives. Hence, the activities of </w:t>
      </w:r>
      <w:proofErr w:type="spellStart"/>
      <w:r w:rsidRPr="00FE3D17">
        <w:rPr>
          <w:rFonts w:ascii="Times New Roman" w:eastAsia="Times New Roman" w:hAnsi="Times New Roman" w:cs="Times New Roman"/>
          <w:sz w:val="24"/>
          <w:szCs w:val="24"/>
          <w14:ligatures w14:val="none"/>
        </w:rPr>
        <w:t>AmfAB</w:t>
      </w:r>
      <w:proofErr w:type="spellEnd"/>
      <w:r w:rsidRPr="00FE3D17">
        <w:rPr>
          <w:rFonts w:ascii="Times New Roman" w:eastAsia="Times New Roman" w:hAnsi="Times New Roman" w:cs="Times New Roman"/>
          <w:sz w:val="24"/>
          <w:szCs w:val="24"/>
          <w14:ligatures w14:val="none"/>
        </w:rPr>
        <w:t xml:space="preserve"> and </w:t>
      </w:r>
      <w:proofErr w:type="spellStart"/>
      <w:r w:rsidRPr="00FE3D17">
        <w:rPr>
          <w:rFonts w:ascii="Times New Roman" w:eastAsia="Times New Roman" w:hAnsi="Times New Roman" w:cs="Times New Roman"/>
          <w:sz w:val="24"/>
          <w:szCs w:val="24"/>
          <w14:ligatures w14:val="none"/>
        </w:rPr>
        <w:t>AmfCD</w:t>
      </w:r>
      <w:proofErr w:type="spellEnd"/>
      <w:r w:rsidRPr="00FE3D17">
        <w:rPr>
          <w:rFonts w:ascii="Times New Roman" w:eastAsia="Times New Roman" w:hAnsi="Times New Roman" w:cs="Times New Roman"/>
          <w:sz w:val="24"/>
          <w:szCs w:val="24"/>
          <w14:ligatures w14:val="none"/>
        </w:rPr>
        <w:t xml:space="preserve"> depend on the presence of functional RND pumps. Furthermore, at pH 4.6, the overproduction of either </w:t>
      </w:r>
      <w:proofErr w:type="spellStart"/>
      <w:r w:rsidRPr="00FE3D17">
        <w:rPr>
          <w:rFonts w:ascii="Times New Roman" w:eastAsia="Times New Roman" w:hAnsi="Times New Roman" w:cs="Times New Roman"/>
          <w:sz w:val="24"/>
          <w:szCs w:val="24"/>
          <w14:ligatures w14:val="none"/>
        </w:rPr>
        <w:t>AmfAB</w:t>
      </w:r>
      <w:proofErr w:type="spellEnd"/>
      <w:r w:rsidRPr="00FE3D17">
        <w:rPr>
          <w:rFonts w:ascii="Times New Roman" w:eastAsia="Times New Roman" w:hAnsi="Times New Roman" w:cs="Times New Roman"/>
          <w:sz w:val="24"/>
          <w:szCs w:val="24"/>
          <w14:ligatures w14:val="none"/>
        </w:rPr>
        <w:t xml:space="preserve"> or </w:t>
      </w:r>
      <w:proofErr w:type="spellStart"/>
      <w:r w:rsidRPr="00FE3D17">
        <w:rPr>
          <w:rFonts w:ascii="Times New Roman" w:eastAsia="Times New Roman" w:hAnsi="Times New Roman" w:cs="Times New Roman"/>
          <w:sz w:val="24"/>
          <w:szCs w:val="24"/>
          <w14:ligatures w14:val="none"/>
        </w:rPr>
        <w:t>AmfCD</w:t>
      </w:r>
      <w:proofErr w:type="spellEnd"/>
      <w:r w:rsidRPr="00FE3D17">
        <w:rPr>
          <w:rFonts w:ascii="Times New Roman" w:eastAsia="Times New Roman" w:hAnsi="Times New Roman" w:cs="Times New Roman"/>
          <w:sz w:val="24"/>
          <w:szCs w:val="24"/>
          <w14:ligatures w14:val="none"/>
        </w:rPr>
        <w:t xml:space="preserve"> was toxic to ∆3 and ∆5 cells and led to the lack of growth </w:t>
      </w:r>
      <w:r w:rsidR="00605897">
        <w:rPr>
          <w:rFonts w:ascii="Times New Roman" w:eastAsia="Times New Roman" w:hAnsi="Times New Roman" w:cs="Times New Roman"/>
          <w:sz w:val="24"/>
          <w:szCs w:val="24"/>
          <w14:ligatures w14:val="none"/>
        </w:rPr>
        <w:t>(</w:t>
      </w:r>
      <w:r w:rsidR="00605897">
        <w:rPr>
          <w:rFonts w:ascii="Times New Roman" w:eastAsia="Times New Roman" w:hAnsi="Times New Roman" w:cs="Times New Roman"/>
          <w:b/>
          <w:bCs/>
          <w:sz w:val="24"/>
          <w:szCs w:val="24"/>
          <w14:ligatures w14:val="none"/>
        </w:rPr>
        <w:t>Figures 3.</w:t>
      </w:r>
      <w:r w:rsidR="00A9426D">
        <w:rPr>
          <w:rFonts w:ascii="Times New Roman" w:eastAsia="Times New Roman" w:hAnsi="Times New Roman" w:cs="Times New Roman"/>
          <w:b/>
          <w:bCs/>
          <w:sz w:val="24"/>
          <w:szCs w:val="24"/>
          <w14:ligatures w14:val="none"/>
        </w:rPr>
        <w:t>9</w:t>
      </w:r>
      <w:r w:rsidR="00605897">
        <w:rPr>
          <w:rFonts w:ascii="Times New Roman" w:eastAsia="Times New Roman" w:hAnsi="Times New Roman" w:cs="Times New Roman"/>
          <w:sz w:val="24"/>
          <w:szCs w:val="24"/>
          <w14:ligatures w14:val="none"/>
        </w:rPr>
        <w:t xml:space="preserve"> and </w:t>
      </w:r>
      <w:r w:rsidR="00605897">
        <w:rPr>
          <w:rFonts w:ascii="Times New Roman" w:eastAsia="Times New Roman" w:hAnsi="Times New Roman" w:cs="Times New Roman"/>
          <w:b/>
          <w:bCs/>
          <w:sz w:val="24"/>
          <w:szCs w:val="24"/>
          <w14:ligatures w14:val="none"/>
        </w:rPr>
        <w:t>3.</w:t>
      </w:r>
      <w:r w:rsidR="00A9426D">
        <w:rPr>
          <w:rFonts w:ascii="Times New Roman" w:eastAsia="Times New Roman" w:hAnsi="Times New Roman" w:cs="Times New Roman"/>
          <w:b/>
          <w:bCs/>
          <w:sz w:val="24"/>
          <w:szCs w:val="24"/>
          <w14:ligatures w14:val="none"/>
        </w:rPr>
        <w:t>10</w:t>
      </w:r>
      <w:r w:rsidR="00605897">
        <w:rPr>
          <w:rFonts w:ascii="Times New Roman" w:eastAsia="Times New Roman" w:hAnsi="Times New Roman" w:cs="Times New Roman"/>
          <w:sz w:val="24"/>
          <w:szCs w:val="24"/>
          <w14:ligatures w14:val="none"/>
        </w:rPr>
        <w:t>)</w:t>
      </w:r>
      <w:r w:rsidRPr="00FE3D17">
        <w:rPr>
          <w:rFonts w:ascii="Times New Roman" w:eastAsia="Times New Roman" w:hAnsi="Times New Roman" w:cs="Times New Roman"/>
          <w:sz w:val="24"/>
          <w:szCs w:val="24"/>
          <w14:ligatures w14:val="none"/>
        </w:rPr>
        <w:t xml:space="preserve">. In contrast, the toxicity of </w:t>
      </w:r>
      <w:proofErr w:type="spellStart"/>
      <w:r w:rsidRPr="00FE3D17">
        <w:rPr>
          <w:rFonts w:ascii="Times New Roman" w:eastAsia="Times New Roman" w:hAnsi="Times New Roman" w:cs="Times New Roman"/>
          <w:sz w:val="24"/>
          <w:szCs w:val="24"/>
          <w14:ligatures w14:val="none"/>
        </w:rPr>
        <w:t>AmfAB</w:t>
      </w:r>
      <w:proofErr w:type="spellEnd"/>
      <w:r w:rsidRPr="00FE3D17">
        <w:rPr>
          <w:rFonts w:ascii="Times New Roman" w:eastAsia="Times New Roman" w:hAnsi="Times New Roman" w:cs="Times New Roman"/>
          <w:sz w:val="24"/>
          <w:szCs w:val="24"/>
          <w14:ligatures w14:val="none"/>
        </w:rPr>
        <w:t xml:space="preserve"> overproduction seen in </w:t>
      </w:r>
      <w:proofErr w:type="spellStart"/>
      <w:r w:rsidRPr="00FE3D17">
        <w:rPr>
          <w:rFonts w:ascii="Times New Roman" w:eastAsia="Times New Roman" w:hAnsi="Times New Roman" w:cs="Times New Roman"/>
          <w:sz w:val="24"/>
          <w:szCs w:val="24"/>
          <w14:ligatures w14:val="none"/>
        </w:rPr>
        <w:t>AbWT</w:t>
      </w:r>
      <w:proofErr w:type="spellEnd"/>
      <w:r w:rsidRPr="00FE3D17">
        <w:rPr>
          <w:rFonts w:ascii="Times New Roman" w:eastAsia="Times New Roman" w:hAnsi="Times New Roman" w:cs="Times New Roman"/>
          <w:sz w:val="24"/>
          <w:szCs w:val="24"/>
          <w14:ligatures w14:val="none"/>
        </w:rPr>
        <w:t xml:space="preserve"> and ∆2 cells under standard conditions, pH 4.6, high temperature and in the presence of 2,2′-dipyridyl and bile salts</w:t>
      </w:r>
      <w:r w:rsidR="00605897">
        <w:rPr>
          <w:rFonts w:ascii="Times New Roman" w:eastAsia="Times New Roman" w:hAnsi="Times New Roman" w:cs="Times New Roman"/>
          <w:sz w:val="24"/>
          <w:szCs w:val="24"/>
          <w14:ligatures w14:val="none"/>
        </w:rPr>
        <w:t xml:space="preserve"> (</w:t>
      </w:r>
      <w:r w:rsidR="00F27805">
        <w:rPr>
          <w:rFonts w:ascii="Times New Roman" w:eastAsia="Times New Roman" w:hAnsi="Times New Roman" w:cs="Times New Roman"/>
          <w:b/>
          <w:bCs/>
          <w:sz w:val="24"/>
          <w:szCs w:val="24"/>
          <w14:ligatures w14:val="none"/>
        </w:rPr>
        <w:t>Figure 3.</w:t>
      </w:r>
      <w:r w:rsidR="00A9426D">
        <w:rPr>
          <w:rFonts w:ascii="Times New Roman" w:eastAsia="Times New Roman" w:hAnsi="Times New Roman" w:cs="Times New Roman"/>
          <w:b/>
          <w:bCs/>
          <w:sz w:val="24"/>
          <w:szCs w:val="24"/>
          <w14:ligatures w14:val="none"/>
        </w:rPr>
        <w:t>8</w:t>
      </w:r>
      <w:r w:rsidR="00F27805">
        <w:rPr>
          <w:rFonts w:ascii="Times New Roman" w:eastAsia="Times New Roman" w:hAnsi="Times New Roman" w:cs="Times New Roman"/>
          <w:sz w:val="24"/>
          <w:szCs w:val="24"/>
          <w14:ligatures w14:val="none"/>
        </w:rPr>
        <w:t xml:space="preserve"> and </w:t>
      </w:r>
      <w:r w:rsidR="00F27805">
        <w:rPr>
          <w:rFonts w:ascii="Times New Roman" w:eastAsia="Times New Roman" w:hAnsi="Times New Roman" w:cs="Times New Roman"/>
          <w:b/>
          <w:bCs/>
          <w:sz w:val="24"/>
          <w:szCs w:val="24"/>
          <w14:ligatures w14:val="none"/>
        </w:rPr>
        <w:t>Figure 3.</w:t>
      </w:r>
      <w:r w:rsidR="00A9426D">
        <w:rPr>
          <w:rFonts w:ascii="Times New Roman" w:eastAsia="Times New Roman" w:hAnsi="Times New Roman" w:cs="Times New Roman"/>
          <w:b/>
          <w:bCs/>
          <w:sz w:val="24"/>
          <w:szCs w:val="24"/>
          <w14:ligatures w14:val="none"/>
        </w:rPr>
        <w:t>7</w:t>
      </w:r>
      <w:r w:rsidR="00F27805">
        <w:rPr>
          <w:rFonts w:ascii="Times New Roman" w:eastAsia="Times New Roman" w:hAnsi="Times New Roman" w:cs="Times New Roman"/>
          <w:sz w:val="24"/>
          <w:szCs w:val="24"/>
          <w14:ligatures w14:val="none"/>
        </w:rPr>
        <w:t>)</w:t>
      </w:r>
      <w:r w:rsidRPr="00FE3D17">
        <w:rPr>
          <w:rFonts w:ascii="Times New Roman" w:eastAsia="Times New Roman" w:hAnsi="Times New Roman" w:cs="Times New Roman"/>
          <w:sz w:val="24"/>
          <w:szCs w:val="24"/>
          <w14:ligatures w14:val="none"/>
        </w:rPr>
        <w:t xml:space="preserve"> was also alleviated in ∆3 cells lacking RND pumps</w:t>
      </w:r>
      <w:r w:rsidR="00F27805">
        <w:rPr>
          <w:rFonts w:ascii="Times New Roman" w:eastAsia="Times New Roman" w:hAnsi="Times New Roman" w:cs="Times New Roman"/>
          <w:sz w:val="24"/>
          <w:szCs w:val="24"/>
          <w14:ligatures w14:val="none"/>
        </w:rPr>
        <w:t xml:space="preserve"> (</w:t>
      </w:r>
      <w:r w:rsidR="00F27805">
        <w:rPr>
          <w:rFonts w:ascii="Times New Roman" w:eastAsia="Times New Roman" w:hAnsi="Times New Roman" w:cs="Times New Roman"/>
          <w:b/>
          <w:bCs/>
          <w:sz w:val="24"/>
          <w:szCs w:val="24"/>
          <w14:ligatures w14:val="none"/>
        </w:rPr>
        <w:t>Figure 3.</w:t>
      </w:r>
      <w:r w:rsidR="00A9426D">
        <w:rPr>
          <w:rFonts w:ascii="Times New Roman" w:eastAsia="Times New Roman" w:hAnsi="Times New Roman" w:cs="Times New Roman"/>
          <w:b/>
          <w:bCs/>
          <w:sz w:val="24"/>
          <w:szCs w:val="24"/>
          <w14:ligatures w14:val="none"/>
        </w:rPr>
        <w:t>9</w:t>
      </w:r>
      <w:r w:rsidR="00F27805">
        <w:rPr>
          <w:rFonts w:ascii="Times New Roman" w:eastAsia="Times New Roman" w:hAnsi="Times New Roman" w:cs="Times New Roman"/>
          <w:sz w:val="24"/>
          <w:szCs w:val="24"/>
          <w14:ligatures w14:val="none"/>
        </w:rPr>
        <w:t>)</w:t>
      </w:r>
      <w:r w:rsidRPr="00FE3D17">
        <w:rPr>
          <w:rFonts w:ascii="Times New Roman" w:eastAsia="Times New Roman" w:hAnsi="Times New Roman" w:cs="Times New Roman"/>
          <w:sz w:val="24"/>
          <w:szCs w:val="24"/>
          <w14:ligatures w14:val="none"/>
        </w:rPr>
        <w:t xml:space="preserve">. This result suggests that the overproduction of </w:t>
      </w:r>
      <w:proofErr w:type="spellStart"/>
      <w:r w:rsidRPr="00FE3D17">
        <w:rPr>
          <w:rFonts w:ascii="Times New Roman" w:eastAsia="Times New Roman" w:hAnsi="Times New Roman" w:cs="Times New Roman"/>
          <w:sz w:val="24"/>
          <w:szCs w:val="24"/>
          <w14:ligatures w14:val="none"/>
        </w:rPr>
        <w:t>AmfAB</w:t>
      </w:r>
      <w:proofErr w:type="spellEnd"/>
      <w:r w:rsidRPr="00FE3D17">
        <w:rPr>
          <w:rFonts w:ascii="Times New Roman" w:eastAsia="Times New Roman" w:hAnsi="Times New Roman" w:cs="Times New Roman"/>
          <w:sz w:val="24"/>
          <w:szCs w:val="24"/>
          <w14:ligatures w14:val="none"/>
        </w:rPr>
        <w:t xml:space="preserve"> in </w:t>
      </w:r>
      <w:proofErr w:type="spellStart"/>
      <w:r w:rsidRPr="00FE3D17">
        <w:rPr>
          <w:rFonts w:ascii="Times New Roman" w:eastAsia="Times New Roman" w:hAnsi="Times New Roman" w:cs="Times New Roman"/>
          <w:sz w:val="24"/>
          <w:szCs w:val="24"/>
          <w14:ligatures w14:val="none"/>
        </w:rPr>
        <w:t>AbWT</w:t>
      </w:r>
      <w:proofErr w:type="spellEnd"/>
      <w:r w:rsidRPr="00FE3D17">
        <w:rPr>
          <w:rFonts w:ascii="Times New Roman" w:eastAsia="Times New Roman" w:hAnsi="Times New Roman" w:cs="Times New Roman"/>
          <w:sz w:val="24"/>
          <w:szCs w:val="24"/>
          <w14:ligatures w14:val="none"/>
        </w:rPr>
        <w:t xml:space="preserve"> cells might interfere with the functions of RND pumps.</w:t>
      </w:r>
    </w:p>
    <w:p w14:paraId="19330AD1" w14:textId="77777777" w:rsidR="00B059DE" w:rsidRDefault="00B059DE" w:rsidP="00E91368">
      <w:pPr>
        <w:rPr>
          <w:rFonts w:ascii="Cambria Math" w:hAnsi="Cambria Math" w:cs="Times New Roman"/>
          <w:sz w:val="24"/>
          <w:szCs w:val="24"/>
        </w:rPr>
      </w:pPr>
    </w:p>
    <w:p w14:paraId="74381EF4" w14:textId="77777777" w:rsidR="00B059DE" w:rsidRPr="004E13F3" w:rsidRDefault="00B059DE" w:rsidP="00E91368">
      <w:pPr>
        <w:rPr>
          <w:rFonts w:asciiTheme="majorHAnsi" w:hAnsiTheme="majorHAnsi" w:cstheme="majorHAnsi"/>
          <w:sz w:val="24"/>
          <w:szCs w:val="24"/>
        </w:rPr>
      </w:pPr>
    </w:p>
    <w:p w14:paraId="52424E1D" w14:textId="08A8692F" w:rsidR="00E91368" w:rsidRDefault="00E91368" w:rsidP="00C836F0">
      <w:pPr>
        <w:rPr>
          <w:rFonts w:asciiTheme="majorHAnsi" w:hAnsiTheme="majorHAnsi" w:cstheme="majorHAnsi"/>
          <w:sz w:val="24"/>
          <w:szCs w:val="24"/>
        </w:rPr>
      </w:pPr>
    </w:p>
    <w:p w14:paraId="49DB66B7" w14:textId="77777777" w:rsidR="000B0B6E" w:rsidRPr="000B0B6E" w:rsidRDefault="000B0B6E" w:rsidP="0076120A">
      <w:pPr>
        <w:rPr>
          <w:rFonts w:asciiTheme="majorHAnsi" w:hAnsiTheme="majorHAnsi" w:cstheme="majorHAnsi"/>
          <w:sz w:val="24"/>
          <w:szCs w:val="24"/>
        </w:rPr>
      </w:pPr>
    </w:p>
    <w:p w14:paraId="36FD5165" w14:textId="77777777" w:rsidR="000B0B6E" w:rsidRPr="000B0B6E" w:rsidRDefault="000B0B6E" w:rsidP="0076120A">
      <w:pPr>
        <w:rPr>
          <w:rFonts w:asciiTheme="majorHAnsi" w:hAnsiTheme="majorHAnsi" w:cstheme="majorHAnsi"/>
          <w:sz w:val="24"/>
          <w:szCs w:val="24"/>
        </w:rPr>
      </w:pPr>
    </w:p>
    <w:p w14:paraId="7BC84139" w14:textId="77777777" w:rsidR="0076120A" w:rsidRDefault="0076120A" w:rsidP="00C836F0">
      <w:pPr>
        <w:rPr>
          <w:rFonts w:asciiTheme="majorHAnsi" w:hAnsiTheme="majorHAnsi" w:cstheme="majorHAnsi"/>
          <w:sz w:val="24"/>
          <w:szCs w:val="24"/>
        </w:rPr>
      </w:pPr>
    </w:p>
    <w:p w14:paraId="2BAC22D1" w14:textId="1AE09924" w:rsidR="00352D33" w:rsidRDefault="00576C25" w:rsidP="00C836F0">
      <w:pPr>
        <w:rPr>
          <w:rFonts w:asciiTheme="majorHAnsi" w:hAnsiTheme="majorHAnsi" w:cstheme="majorHAnsi"/>
          <w:sz w:val="24"/>
          <w:szCs w:val="24"/>
        </w:rPr>
      </w:pPr>
      <w:r w:rsidRPr="00576C25">
        <w:rPr>
          <w:rFonts w:asciiTheme="majorHAnsi" w:hAnsiTheme="majorHAnsi" w:cstheme="majorHAnsi"/>
          <w:noProof/>
          <w:sz w:val="24"/>
          <w:szCs w:val="24"/>
        </w:rPr>
        <w:drawing>
          <wp:inline distT="0" distB="0" distL="0" distR="0" wp14:anchorId="186F8A36" wp14:editId="2BCDE39D">
            <wp:extent cx="5486400" cy="3418205"/>
            <wp:effectExtent l="0" t="0" r="0" b="0"/>
            <wp:docPr id="414215688" name="Picture 1" descr="A collage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15688" name="Picture 1" descr="A collage of different colored lines&#10;&#10;Description automatically generated"/>
                    <pic:cNvPicPr/>
                  </pic:nvPicPr>
                  <pic:blipFill>
                    <a:blip r:embed="rId32"/>
                    <a:stretch>
                      <a:fillRect/>
                    </a:stretch>
                  </pic:blipFill>
                  <pic:spPr>
                    <a:xfrm>
                      <a:off x="0" y="0"/>
                      <a:ext cx="5486400" cy="3418205"/>
                    </a:xfrm>
                    <a:prstGeom prst="rect">
                      <a:avLst/>
                    </a:prstGeom>
                  </pic:spPr>
                </pic:pic>
              </a:graphicData>
            </a:graphic>
          </wp:inline>
        </w:drawing>
      </w:r>
    </w:p>
    <w:p w14:paraId="316F16BC" w14:textId="4CA02646" w:rsidR="0076120A" w:rsidRDefault="00352D33" w:rsidP="0076120A">
      <w:pPr>
        <w:rPr>
          <w:rFonts w:asciiTheme="majorHAnsi" w:hAnsiTheme="majorHAnsi" w:cstheme="majorHAnsi"/>
          <w:b/>
          <w:bCs/>
          <w:sz w:val="24"/>
          <w:szCs w:val="24"/>
        </w:rPr>
      </w:pPr>
      <w:r w:rsidRPr="006751CC">
        <w:rPr>
          <w:rFonts w:asciiTheme="majorHAnsi" w:hAnsiTheme="majorHAnsi" w:cstheme="majorHAnsi"/>
          <w:b/>
          <w:bCs/>
          <w:sz w:val="24"/>
          <w:szCs w:val="24"/>
        </w:rPr>
        <w:t xml:space="preserve">Figure </w:t>
      </w:r>
      <w:r w:rsidR="006751CC">
        <w:rPr>
          <w:rFonts w:asciiTheme="majorHAnsi" w:hAnsiTheme="majorHAnsi" w:cstheme="majorHAnsi"/>
          <w:b/>
          <w:bCs/>
          <w:sz w:val="24"/>
          <w:szCs w:val="24"/>
        </w:rPr>
        <w:t>3</w:t>
      </w:r>
      <w:r w:rsidRPr="006751CC">
        <w:rPr>
          <w:rFonts w:asciiTheme="majorHAnsi" w:hAnsiTheme="majorHAnsi" w:cstheme="majorHAnsi"/>
          <w:b/>
          <w:bCs/>
          <w:sz w:val="24"/>
          <w:szCs w:val="24"/>
        </w:rPr>
        <w:t>.</w:t>
      </w:r>
      <w:r w:rsidR="00D732F8">
        <w:rPr>
          <w:rFonts w:asciiTheme="majorHAnsi" w:hAnsiTheme="majorHAnsi" w:cstheme="majorHAnsi"/>
          <w:b/>
          <w:bCs/>
          <w:sz w:val="24"/>
          <w:szCs w:val="24"/>
        </w:rPr>
        <w:t>7</w:t>
      </w:r>
      <w:r w:rsidRPr="006751CC">
        <w:rPr>
          <w:rFonts w:asciiTheme="majorHAnsi" w:hAnsiTheme="majorHAnsi" w:cstheme="majorHAnsi"/>
          <w:b/>
          <w:bCs/>
          <w:sz w:val="24"/>
          <w:szCs w:val="24"/>
        </w:rPr>
        <w:t xml:space="preserve"> -</w:t>
      </w:r>
      <w:r>
        <w:rPr>
          <w:rFonts w:asciiTheme="majorHAnsi" w:hAnsiTheme="majorHAnsi" w:cstheme="majorHAnsi"/>
          <w:b/>
          <w:bCs/>
          <w:sz w:val="24"/>
          <w:szCs w:val="24"/>
        </w:rPr>
        <w:t xml:space="preserve"> Growth curves of </w:t>
      </w:r>
      <w:proofErr w:type="spellStart"/>
      <w:r w:rsidR="000906E1">
        <w:rPr>
          <w:rFonts w:asciiTheme="majorHAnsi" w:hAnsiTheme="majorHAnsi" w:cstheme="majorHAnsi"/>
          <w:b/>
          <w:bCs/>
          <w:sz w:val="24"/>
          <w:szCs w:val="24"/>
        </w:rPr>
        <w:t>AbWT</w:t>
      </w:r>
      <w:proofErr w:type="spellEnd"/>
      <w:r w:rsidR="000906E1">
        <w:rPr>
          <w:rFonts w:asciiTheme="majorHAnsi" w:hAnsiTheme="majorHAnsi" w:cstheme="majorHAnsi"/>
          <w:b/>
          <w:bCs/>
          <w:sz w:val="24"/>
          <w:szCs w:val="24"/>
        </w:rPr>
        <w:t xml:space="preserve"> </w:t>
      </w:r>
      <w:r w:rsidR="00EB0C24">
        <w:rPr>
          <w:rFonts w:asciiTheme="majorHAnsi" w:hAnsiTheme="majorHAnsi" w:cstheme="majorHAnsi"/>
          <w:b/>
          <w:bCs/>
          <w:sz w:val="24"/>
          <w:szCs w:val="24"/>
        </w:rPr>
        <w:t>(</w:t>
      </w:r>
      <w:proofErr w:type="spellStart"/>
      <w:r w:rsidR="00EB0C24">
        <w:rPr>
          <w:rFonts w:asciiTheme="majorHAnsi" w:hAnsiTheme="majorHAnsi" w:cstheme="majorHAnsi"/>
          <w:b/>
          <w:bCs/>
          <w:sz w:val="24"/>
          <w:szCs w:val="24"/>
        </w:rPr>
        <w:t>p</w:t>
      </w:r>
      <w:r>
        <w:rPr>
          <w:rFonts w:asciiTheme="majorHAnsi" w:hAnsiTheme="majorHAnsi" w:cstheme="majorHAnsi"/>
          <w:b/>
          <w:bCs/>
          <w:sz w:val="24"/>
          <w:szCs w:val="24"/>
        </w:rPr>
        <w:t>AmfAB</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and </w:t>
      </w:r>
      <w:proofErr w:type="spellStart"/>
      <w:r w:rsidR="00327DDF">
        <w:rPr>
          <w:rFonts w:asciiTheme="majorHAnsi" w:hAnsiTheme="majorHAnsi" w:cstheme="majorHAnsi"/>
          <w:b/>
          <w:bCs/>
          <w:sz w:val="24"/>
          <w:szCs w:val="24"/>
        </w:rPr>
        <w:t>AbWT</w:t>
      </w:r>
      <w:proofErr w:type="spellEnd"/>
      <w:r w:rsidR="00327DDF">
        <w:rPr>
          <w:rFonts w:asciiTheme="majorHAnsi" w:hAnsiTheme="majorHAnsi" w:cstheme="majorHAnsi"/>
          <w:b/>
          <w:bCs/>
          <w:sz w:val="24"/>
          <w:szCs w:val="24"/>
        </w:rPr>
        <w:t xml:space="preserve"> </w:t>
      </w:r>
      <w:r w:rsidR="00EB0C24">
        <w:rPr>
          <w:rFonts w:asciiTheme="majorHAnsi" w:hAnsiTheme="majorHAnsi" w:cstheme="majorHAnsi"/>
          <w:b/>
          <w:bCs/>
          <w:sz w:val="24"/>
          <w:szCs w:val="24"/>
        </w:rPr>
        <w:t>(</w:t>
      </w:r>
      <w:proofErr w:type="spellStart"/>
      <w:r w:rsidR="00EB0C24">
        <w:rPr>
          <w:rFonts w:asciiTheme="majorHAnsi" w:hAnsiTheme="majorHAnsi" w:cstheme="majorHAnsi"/>
          <w:b/>
          <w:bCs/>
          <w:sz w:val="24"/>
          <w:szCs w:val="24"/>
        </w:rPr>
        <w:t>p</w:t>
      </w:r>
      <w:r>
        <w:rPr>
          <w:rFonts w:asciiTheme="majorHAnsi" w:hAnsiTheme="majorHAnsi" w:cstheme="majorHAnsi"/>
          <w:b/>
          <w:bCs/>
          <w:sz w:val="24"/>
          <w:szCs w:val="24"/>
        </w:rPr>
        <w:t>AmfCD</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w:t>
      </w:r>
      <w:r w:rsidR="00D732F8">
        <w:rPr>
          <w:rFonts w:asciiTheme="majorHAnsi" w:hAnsiTheme="majorHAnsi" w:cstheme="majorHAnsi"/>
          <w:b/>
          <w:bCs/>
          <w:sz w:val="24"/>
          <w:szCs w:val="24"/>
        </w:rPr>
        <w:t>o</w:t>
      </w:r>
      <w:r w:rsidR="00EB0C24">
        <w:rPr>
          <w:rFonts w:asciiTheme="majorHAnsi" w:hAnsiTheme="majorHAnsi" w:cstheme="majorHAnsi"/>
          <w:b/>
          <w:bCs/>
          <w:sz w:val="24"/>
          <w:szCs w:val="24"/>
        </w:rPr>
        <w:t>verexpression</w:t>
      </w:r>
      <w:r>
        <w:rPr>
          <w:rFonts w:asciiTheme="majorHAnsi" w:hAnsiTheme="majorHAnsi" w:cstheme="majorHAnsi"/>
          <w:b/>
          <w:bCs/>
          <w:sz w:val="24"/>
          <w:szCs w:val="24"/>
        </w:rPr>
        <w:t xml:space="preserve"> </w:t>
      </w:r>
      <w:r w:rsidR="00D732F8">
        <w:rPr>
          <w:rFonts w:asciiTheme="majorHAnsi" w:hAnsiTheme="majorHAnsi" w:cstheme="majorHAnsi"/>
          <w:b/>
          <w:bCs/>
          <w:sz w:val="24"/>
          <w:szCs w:val="24"/>
        </w:rPr>
        <w:t>s</w:t>
      </w:r>
      <w:r>
        <w:rPr>
          <w:rFonts w:asciiTheme="majorHAnsi" w:hAnsiTheme="majorHAnsi" w:cstheme="majorHAnsi"/>
          <w:b/>
          <w:bCs/>
          <w:sz w:val="24"/>
          <w:szCs w:val="24"/>
        </w:rPr>
        <w:t xml:space="preserve">trains </w:t>
      </w:r>
      <w:r w:rsidR="00D732F8">
        <w:rPr>
          <w:rFonts w:asciiTheme="majorHAnsi" w:hAnsiTheme="majorHAnsi" w:cstheme="majorHAnsi"/>
          <w:b/>
          <w:bCs/>
          <w:sz w:val="24"/>
          <w:szCs w:val="24"/>
        </w:rPr>
        <w:t>u</w:t>
      </w:r>
      <w:r>
        <w:rPr>
          <w:rFonts w:asciiTheme="majorHAnsi" w:hAnsiTheme="majorHAnsi" w:cstheme="majorHAnsi"/>
          <w:b/>
          <w:bCs/>
          <w:sz w:val="24"/>
          <w:szCs w:val="24"/>
        </w:rPr>
        <w:t xml:space="preserve">nder </w:t>
      </w:r>
      <w:r w:rsidR="00D732F8">
        <w:rPr>
          <w:rFonts w:asciiTheme="majorHAnsi" w:hAnsiTheme="majorHAnsi" w:cstheme="majorHAnsi"/>
          <w:b/>
          <w:bCs/>
          <w:sz w:val="24"/>
          <w:szCs w:val="24"/>
        </w:rPr>
        <w:t>d</w:t>
      </w:r>
      <w:r>
        <w:rPr>
          <w:rFonts w:asciiTheme="majorHAnsi" w:hAnsiTheme="majorHAnsi" w:cstheme="majorHAnsi"/>
          <w:b/>
          <w:bCs/>
          <w:sz w:val="24"/>
          <w:szCs w:val="24"/>
        </w:rPr>
        <w:t xml:space="preserve">ifferent </w:t>
      </w:r>
      <w:r w:rsidR="00D732F8">
        <w:rPr>
          <w:rFonts w:asciiTheme="majorHAnsi" w:hAnsiTheme="majorHAnsi" w:cstheme="majorHAnsi"/>
          <w:b/>
          <w:bCs/>
          <w:sz w:val="24"/>
          <w:szCs w:val="24"/>
        </w:rPr>
        <w:t>s</w:t>
      </w:r>
      <w:r>
        <w:rPr>
          <w:rFonts w:asciiTheme="majorHAnsi" w:hAnsiTheme="majorHAnsi" w:cstheme="majorHAnsi"/>
          <w:b/>
          <w:bCs/>
          <w:sz w:val="24"/>
          <w:szCs w:val="24"/>
        </w:rPr>
        <w:t>tresses</w:t>
      </w:r>
    </w:p>
    <w:p w14:paraId="04429B23" w14:textId="2E8724E0" w:rsidR="00327DDF" w:rsidRPr="005F46CB" w:rsidRDefault="00327DDF" w:rsidP="00327DDF">
      <w:pPr>
        <w:rPr>
          <w:rFonts w:ascii="Cambria Math" w:hAnsi="Cambria Math" w:cs="Times New Roman"/>
          <w:sz w:val="24"/>
          <w:szCs w:val="24"/>
        </w:rPr>
      </w:pPr>
      <w:r>
        <w:rPr>
          <w:rFonts w:asciiTheme="majorHAnsi" w:hAnsiTheme="majorHAnsi" w:cstheme="majorHAnsi"/>
          <w:sz w:val="24"/>
          <w:szCs w:val="24"/>
        </w:rPr>
        <w:t xml:space="preserve">Growth curves of </w:t>
      </w:r>
      <w:proofErr w:type="spellStart"/>
      <w:r>
        <w:rPr>
          <w:rFonts w:asciiTheme="majorHAnsi" w:hAnsiTheme="majorHAnsi" w:cstheme="majorHAnsi"/>
          <w:sz w:val="24"/>
          <w:szCs w:val="24"/>
        </w:rPr>
        <w:t>Ab</w:t>
      </w:r>
      <w:r>
        <w:rPr>
          <w:sz w:val="24"/>
          <w:szCs w:val="24"/>
        </w:rPr>
        <w:t>WT</w:t>
      </w:r>
      <w:proofErr w:type="spellEnd"/>
      <w:r>
        <w:rPr>
          <w:rFonts w:asciiTheme="majorHAnsi" w:hAnsiTheme="majorHAnsi" w:cstheme="majorHAnsi"/>
          <w:sz w:val="24"/>
          <w:szCs w:val="24"/>
        </w:rPr>
        <w:t xml:space="preserve"> </w:t>
      </w:r>
      <w:r>
        <w:rPr>
          <w:sz w:val="24"/>
          <w:szCs w:val="24"/>
        </w:rPr>
        <w:t>(</w:t>
      </w:r>
      <w:proofErr w:type="spellStart"/>
      <w:r>
        <w:rPr>
          <w:sz w:val="24"/>
          <w:szCs w:val="24"/>
        </w:rPr>
        <w:t>pAmfAB</w:t>
      </w:r>
      <w:proofErr w:type="spellEnd"/>
      <w:r>
        <w:rPr>
          <w:sz w:val="24"/>
          <w:szCs w:val="24"/>
        </w:rPr>
        <w:t xml:space="preserve">) and </w:t>
      </w:r>
      <w:proofErr w:type="spellStart"/>
      <w:r>
        <w:rPr>
          <w:sz w:val="24"/>
          <w:szCs w:val="24"/>
        </w:rPr>
        <w:t>AbWT</w:t>
      </w:r>
      <w:proofErr w:type="spellEnd"/>
      <w:r>
        <w:rPr>
          <w:sz w:val="24"/>
          <w:szCs w:val="24"/>
        </w:rPr>
        <w:t xml:space="preserve"> (</w:t>
      </w:r>
      <w:proofErr w:type="spellStart"/>
      <w:r>
        <w:rPr>
          <w:sz w:val="24"/>
          <w:szCs w:val="24"/>
        </w:rPr>
        <w:t>pAmfCD</w:t>
      </w:r>
      <w:proofErr w:type="spellEnd"/>
      <w:r>
        <w:rPr>
          <w:sz w:val="24"/>
          <w:szCs w:val="24"/>
        </w:rPr>
        <w:t>) strains under indicated conditions. Error bars are SD (</w:t>
      </w:r>
      <w:r>
        <w:rPr>
          <w:i/>
          <w:iCs/>
          <w:sz w:val="24"/>
          <w:szCs w:val="24"/>
        </w:rPr>
        <w:t xml:space="preserve">n </w:t>
      </w:r>
      <w:r>
        <w:rPr>
          <w:sz w:val="24"/>
          <w:szCs w:val="24"/>
        </w:rPr>
        <w:t>= 3). (</w:t>
      </w:r>
      <w:r>
        <w:rPr>
          <w:b/>
          <w:bCs/>
          <w:sz w:val="24"/>
          <w:szCs w:val="24"/>
        </w:rPr>
        <w:t>A</w:t>
      </w:r>
      <w:r>
        <w:rPr>
          <w:sz w:val="24"/>
          <w:szCs w:val="24"/>
        </w:rPr>
        <w:t>) No stress control; (</w:t>
      </w:r>
      <w:r>
        <w:rPr>
          <w:b/>
          <w:bCs/>
          <w:sz w:val="24"/>
          <w:szCs w:val="24"/>
        </w:rPr>
        <w:t>B</w:t>
      </w:r>
      <w:r>
        <w:rPr>
          <w:sz w:val="24"/>
          <w:szCs w:val="24"/>
        </w:rPr>
        <w:t>) high temperature; (</w:t>
      </w:r>
      <w:r>
        <w:rPr>
          <w:b/>
          <w:bCs/>
          <w:sz w:val="24"/>
          <w:szCs w:val="24"/>
        </w:rPr>
        <w:t>C</w:t>
      </w:r>
      <w:r>
        <w:rPr>
          <w:sz w:val="24"/>
          <w:szCs w:val="24"/>
        </w:rPr>
        <w:t>) acidic stress; (</w:t>
      </w:r>
      <w:r>
        <w:rPr>
          <w:b/>
          <w:bCs/>
          <w:sz w:val="24"/>
          <w:szCs w:val="24"/>
        </w:rPr>
        <w:t>D</w:t>
      </w:r>
      <w:r>
        <w:rPr>
          <w:sz w:val="24"/>
          <w:szCs w:val="24"/>
        </w:rPr>
        <w:t>) osmotic stress; (</w:t>
      </w:r>
      <w:r>
        <w:rPr>
          <w:b/>
          <w:bCs/>
          <w:sz w:val="24"/>
          <w:szCs w:val="24"/>
        </w:rPr>
        <w:t>E</w:t>
      </w:r>
      <w:r>
        <w:rPr>
          <w:sz w:val="24"/>
          <w:szCs w:val="24"/>
        </w:rPr>
        <w:t>) low iron; (</w:t>
      </w:r>
      <w:r>
        <w:rPr>
          <w:b/>
          <w:bCs/>
          <w:sz w:val="24"/>
          <w:szCs w:val="24"/>
        </w:rPr>
        <w:t>F</w:t>
      </w:r>
      <w:r>
        <w:rPr>
          <w:sz w:val="24"/>
          <w:szCs w:val="24"/>
        </w:rPr>
        <w:t>) bile stress.</w:t>
      </w:r>
    </w:p>
    <w:p w14:paraId="3EF69B1C" w14:textId="75099DBB" w:rsidR="00352D33" w:rsidRPr="000B0B6E" w:rsidRDefault="00352D33" w:rsidP="00C836F0">
      <w:pPr>
        <w:rPr>
          <w:rFonts w:asciiTheme="majorHAnsi" w:hAnsiTheme="majorHAnsi" w:cstheme="majorHAnsi"/>
          <w:sz w:val="24"/>
          <w:szCs w:val="24"/>
        </w:rPr>
      </w:pPr>
    </w:p>
    <w:p w14:paraId="58ABB7F5" w14:textId="1444ABD2" w:rsidR="0045248B" w:rsidRDefault="003378DC" w:rsidP="00C836F0">
      <w:pPr>
        <w:rPr>
          <w:rFonts w:asciiTheme="majorHAnsi" w:hAnsiTheme="majorHAnsi" w:cstheme="majorHAnsi"/>
          <w:b/>
          <w:bCs/>
          <w:sz w:val="24"/>
          <w:szCs w:val="24"/>
        </w:rPr>
      </w:pPr>
      <w:r w:rsidRPr="003378DC">
        <w:rPr>
          <w:rFonts w:asciiTheme="majorHAnsi" w:hAnsiTheme="majorHAnsi" w:cstheme="majorHAnsi"/>
          <w:b/>
          <w:bCs/>
          <w:noProof/>
          <w:sz w:val="24"/>
          <w:szCs w:val="24"/>
        </w:rPr>
        <w:lastRenderedPageBreak/>
        <w:drawing>
          <wp:inline distT="0" distB="0" distL="0" distR="0" wp14:anchorId="605A9969" wp14:editId="3BF4F579">
            <wp:extent cx="5585935" cy="3404055"/>
            <wp:effectExtent l="0" t="0" r="0" b="6350"/>
            <wp:docPr id="339783892" name="Picture 1" descr="A collage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83892" name="Picture 1" descr="A collage of different colored lines&#10;&#10;Description automatically generated"/>
                    <pic:cNvPicPr/>
                  </pic:nvPicPr>
                  <pic:blipFill>
                    <a:blip r:embed="rId33"/>
                    <a:stretch>
                      <a:fillRect/>
                    </a:stretch>
                  </pic:blipFill>
                  <pic:spPr>
                    <a:xfrm>
                      <a:off x="0" y="0"/>
                      <a:ext cx="5586230" cy="3404235"/>
                    </a:xfrm>
                    <a:prstGeom prst="rect">
                      <a:avLst/>
                    </a:prstGeom>
                  </pic:spPr>
                </pic:pic>
              </a:graphicData>
            </a:graphic>
          </wp:inline>
        </w:drawing>
      </w:r>
      <w:r w:rsidRPr="003378DC">
        <w:rPr>
          <w:rFonts w:asciiTheme="majorHAnsi" w:hAnsiTheme="majorHAnsi" w:cstheme="majorHAnsi"/>
          <w:b/>
          <w:bCs/>
          <w:noProof/>
          <w:sz w:val="24"/>
          <w:szCs w:val="24"/>
        </w:rPr>
        <w:t xml:space="preserve"> </w:t>
      </w:r>
    </w:p>
    <w:p w14:paraId="19FB4775" w14:textId="663FDB3A" w:rsidR="0045248B" w:rsidRDefault="0045248B" w:rsidP="00C836F0">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006751CC">
        <w:rPr>
          <w:rFonts w:asciiTheme="majorHAnsi" w:hAnsiTheme="majorHAnsi" w:cstheme="majorHAnsi"/>
          <w:b/>
          <w:bCs/>
          <w:sz w:val="24"/>
          <w:szCs w:val="24"/>
        </w:rPr>
        <w:t>3</w:t>
      </w:r>
      <w:r w:rsidRPr="006751CC">
        <w:rPr>
          <w:rFonts w:asciiTheme="majorHAnsi" w:hAnsiTheme="majorHAnsi" w:cstheme="majorHAnsi"/>
          <w:b/>
          <w:bCs/>
          <w:sz w:val="24"/>
          <w:szCs w:val="24"/>
        </w:rPr>
        <w:t>.</w:t>
      </w:r>
      <w:r w:rsidR="00D732F8">
        <w:rPr>
          <w:rFonts w:asciiTheme="majorHAnsi" w:hAnsiTheme="majorHAnsi" w:cstheme="majorHAnsi"/>
          <w:b/>
          <w:bCs/>
          <w:sz w:val="24"/>
          <w:szCs w:val="24"/>
        </w:rPr>
        <w:t>8</w:t>
      </w:r>
      <w:r>
        <w:rPr>
          <w:rFonts w:asciiTheme="majorHAnsi" w:hAnsiTheme="majorHAnsi" w:cstheme="majorHAnsi"/>
          <w:b/>
          <w:bCs/>
          <w:sz w:val="24"/>
          <w:szCs w:val="24"/>
        </w:rPr>
        <w:t xml:space="preserve"> - Growth curves of </w:t>
      </w:r>
      <w:r w:rsidR="00EB0C24">
        <w:rPr>
          <w:rFonts w:asciiTheme="majorHAnsi" w:hAnsiTheme="majorHAnsi" w:cstheme="majorHAnsi"/>
          <w:b/>
          <w:bCs/>
          <w:sz w:val="24"/>
          <w:szCs w:val="24"/>
        </w:rPr>
        <w:t>Ab</w:t>
      </w:r>
      <w:r w:rsidR="00EB0C24" w:rsidRPr="00EB0C24">
        <w:rPr>
          <w:rFonts w:ascii="Times New Roman" w:hAnsi="Times New Roman" w:cs="Times New Roman"/>
          <w:b/>
          <w:bCs/>
          <w:sz w:val="24"/>
          <w:szCs w:val="24"/>
        </w:rPr>
        <w:t>Δ</w:t>
      </w:r>
      <w:r w:rsidR="00EB0C24">
        <w:rPr>
          <w:rFonts w:ascii="Times New Roman" w:hAnsi="Times New Roman" w:cs="Times New Roman"/>
          <w:b/>
          <w:bCs/>
          <w:sz w:val="24"/>
          <w:szCs w:val="24"/>
        </w:rPr>
        <w:t>2 (</w:t>
      </w:r>
      <w:proofErr w:type="spellStart"/>
      <w:r w:rsidR="00EB0C24">
        <w:rPr>
          <w:rFonts w:ascii="Times New Roman" w:hAnsi="Times New Roman" w:cs="Times New Roman"/>
          <w:b/>
          <w:bCs/>
          <w:sz w:val="24"/>
          <w:szCs w:val="24"/>
        </w:rPr>
        <w:t>p</w:t>
      </w:r>
      <w:r>
        <w:rPr>
          <w:rFonts w:asciiTheme="majorHAnsi" w:hAnsiTheme="majorHAnsi" w:cstheme="majorHAnsi"/>
          <w:b/>
          <w:bCs/>
          <w:sz w:val="24"/>
          <w:szCs w:val="24"/>
        </w:rPr>
        <w:t>AmfAB</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and </w:t>
      </w:r>
      <w:r w:rsidR="00327DDF">
        <w:rPr>
          <w:rFonts w:asciiTheme="majorHAnsi" w:hAnsiTheme="majorHAnsi" w:cstheme="majorHAnsi"/>
          <w:b/>
          <w:bCs/>
          <w:sz w:val="24"/>
          <w:szCs w:val="24"/>
        </w:rPr>
        <w:t>Ab</w:t>
      </w:r>
      <w:r w:rsidR="00327DDF" w:rsidRPr="00EB0C24">
        <w:rPr>
          <w:rFonts w:ascii="Times New Roman" w:hAnsi="Times New Roman" w:cs="Times New Roman"/>
          <w:b/>
          <w:bCs/>
          <w:sz w:val="24"/>
          <w:szCs w:val="24"/>
        </w:rPr>
        <w:t>Δ</w:t>
      </w:r>
      <w:r w:rsidR="00327DDF">
        <w:rPr>
          <w:rFonts w:ascii="Times New Roman" w:hAnsi="Times New Roman" w:cs="Times New Roman"/>
          <w:b/>
          <w:bCs/>
          <w:sz w:val="24"/>
          <w:szCs w:val="24"/>
        </w:rPr>
        <w:t>2</w:t>
      </w:r>
      <w:r w:rsidR="00327DDF">
        <w:rPr>
          <w:rFonts w:asciiTheme="majorHAnsi" w:hAnsiTheme="majorHAnsi" w:cstheme="majorHAnsi"/>
          <w:b/>
          <w:bCs/>
          <w:sz w:val="24"/>
          <w:szCs w:val="24"/>
        </w:rPr>
        <w:t xml:space="preserve"> </w:t>
      </w:r>
      <w:r w:rsidR="00EB0C24">
        <w:rPr>
          <w:rFonts w:asciiTheme="majorHAnsi" w:hAnsiTheme="majorHAnsi" w:cstheme="majorHAnsi"/>
          <w:b/>
          <w:bCs/>
          <w:sz w:val="24"/>
          <w:szCs w:val="24"/>
        </w:rPr>
        <w:t>(</w:t>
      </w:r>
      <w:proofErr w:type="spellStart"/>
      <w:r w:rsidR="00EB0C24">
        <w:rPr>
          <w:rFonts w:asciiTheme="majorHAnsi" w:hAnsiTheme="majorHAnsi" w:cstheme="majorHAnsi"/>
          <w:b/>
          <w:bCs/>
          <w:sz w:val="24"/>
          <w:szCs w:val="24"/>
        </w:rPr>
        <w:t>p</w:t>
      </w:r>
      <w:r>
        <w:rPr>
          <w:rFonts w:asciiTheme="majorHAnsi" w:hAnsiTheme="majorHAnsi" w:cstheme="majorHAnsi"/>
          <w:b/>
          <w:bCs/>
          <w:sz w:val="24"/>
          <w:szCs w:val="24"/>
        </w:rPr>
        <w:t>AmfCD</w:t>
      </w:r>
      <w:proofErr w:type="spellEnd"/>
      <w:r w:rsidR="00EB0C24">
        <w:rPr>
          <w:rFonts w:asciiTheme="majorHAnsi" w:hAnsiTheme="majorHAnsi" w:cstheme="majorHAnsi"/>
          <w:b/>
          <w:bCs/>
          <w:sz w:val="24"/>
          <w:szCs w:val="24"/>
        </w:rPr>
        <w:t xml:space="preserve">) </w:t>
      </w:r>
      <w:r w:rsidR="00D732F8">
        <w:rPr>
          <w:rFonts w:asciiTheme="majorHAnsi" w:hAnsiTheme="majorHAnsi" w:cstheme="majorHAnsi"/>
          <w:b/>
          <w:bCs/>
          <w:sz w:val="24"/>
          <w:szCs w:val="24"/>
        </w:rPr>
        <w:t>o</w:t>
      </w:r>
      <w:r>
        <w:rPr>
          <w:rFonts w:asciiTheme="majorHAnsi" w:hAnsiTheme="majorHAnsi" w:cstheme="majorHAnsi"/>
          <w:b/>
          <w:bCs/>
          <w:sz w:val="24"/>
          <w:szCs w:val="24"/>
        </w:rPr>
        <w:t xml:space="preserve">verexpression </w:t>
      </w:r>
      <w:r w:rsidR="00D732F8">
        <w:rPr>
          <w:rFonts w:asciiTheme="majorHAnsi" w:hAnsiTheme="majorHAnsi" w:cstheme="majorHAnsi"/>
          <w:b/>
          <w:bCs/>
          <w:sz w:val="24"/>
          <w:szCs w:val="24"/>
        </w:rPr>
        <w:t>s</w:t>
      </w:r>
      <w:r>
        <w:rPr>
          <w:rFonts w:asciiTheme="majorHAnsi" w:hAnsiTheme="majorHAnsi" w:cstheme="majorHAnsi"/>
          <w:b/>
          <w:bCs/>
          <w:sz w:val="24"/>
          <w:szCs w:val="24"/>
        </w:rPr>
        <w:t xml:space="preserve">trains </w:t>
      </w:r>
      <w:r w:rsidR="00D732F8">
        <w:rPr>
          <w:rFonts w:asciiTheme="majorHAnsi" w:hAnsiTheme="majorHAnsi" w:cstheme="majorHAnsi"/>
          <w:b/>
          <w:bCs/>
          <w:sz w:val="24"/>
          <w:szCs w:val="24"/>
        </w:rPr>
        <w:t>u</w:t>
      </w:r>
      <w:r>
        <w:rPr>
          <w:rFonts w:asciiTheme="majorHAnsi" w:hAnsiTheme="majorHAnsi" w:cstheme="majorHAnsi"/>
          <w:b/>
          <w:bCs/>
          <w:sz w:val="24"/>
          <w:szCs w:val="24"/>
        </w:rPr>
        <w:t xml:space="preserve">nder </w:t>
      </w:r>
      <w:r w:rsidR="00D732F8">
        <w:rPr>
          <w:rFonts w:asciiTheme="majorHAnsi" w:hAnsiTheme="majorHAnsi" w:cstheme="majorHAnsi"/>
          <w:b/>
          <w:bCs/>
          <w:sz w:val="24"/>
          <w:szCs w:val="24"/>
        </w:rPr>
        <w:t>d</w:t>
      </w:r>
      <w:r>
        <w:rPr>
          <w:rFonts w:asciiTheme="majorHAnsi" w:hAnsiTheme="majorHAnsi" w:cstheme="majorHAnsi"/>
          <w:b/>
          <w:bCs/>
          <w:sz w:val="24"/>
          <w:szCs w:val="24"/>
        </w:rPr>
        <w:t xml:space="preserve">ifferent </w:t>
      </w:r>
      <w:r w:rsidR="00D732F8">
        <w:rPr>
          <w:rFonts w:asciiTheme="majorHAnsi" w:hAnsiTheme="majorHAnsi" w:cstheme="majorHAnsi"/>
          <w:b/>
          <w:bCs/>
          <w:sz w:val="24"/>
          <w:szCs w:val="24"/>
        </w:rPr>
        <w:t>s</w:t>
      </w:r>
      <w:r>
        <w:rPr>
          <w:rFonts w:asciiTheme="majorHAnsi" w:hAnsiTheme="majorHAnsi" w:cstheme="majorHAnsi"/>
          <w:b/>
          <w:bCs/>
          <w:sz w:val="24"/>
          <w:szCs w:val="24"/>
        </w:rPr>
        <w:t>tresses</w:t>
      </w:r>
    </w:p>
    <w:p w14:paraId="597557EE" w14:textId="407E35DB" w:rsidR="00327DDF" w:rsidRPr="005F46CB" w:rsidRDefault="00327DDF" w:rsidP="00327DDF">
      <w:pPr>
        <w:rPr>
          <w:rFonts w:ascii="Cambria Math" w:hAnsi="Cambria Math" w:cs="Times New Roman"/>
          <w:sz w:val="24"/>
          <w:szCs w:val="24"/>
        </w:rPr>
      </w:pPr>
      <w:r>
        <w:rPr>
          <w:rFonts w:asciiTheme="majorHAnsi" w:hAnsiTheme="majorHAnsi" w:cstheme="majorHAnsi"/>
          <w:sz w:val="24"/>
          <w:szCs w:val="24"/>
        </w:rPr>
        <w:t>Growth curves of Ab</w:t>
      </w:r>
      <w:r w:rsidRPr="00327DDF">
        <w:rPr>
          <w:rFonts w:ascii="Times New Roman" w:hAnsi="Times New Roman" w:cs="Times New Roman"/>
          <w:sz w:val="24"/>
          <w:szCs w:val="24"/>
        </w:rPr>
        <w:t>Δ</w:t>
      </w:r>
      <w:r>
        <w:rPr>
          <w:rFonts w:asciiTheme="majorHAnsi" w:hAnsiTheme="majorHAnsi" w:cstheme="majorHAnsi"/>
          <w:sz w:val="24"/>
          <w:szCs w:val="24"/>
        </w:rPr>
        <w:t xml:space="preserve">2 </w:t>
      </w:r>
      <w:r>
        <w:rPr>
          <w:sz w:val="24"/>
          <w:szCs w:val="24"/>
        </w:rPr>
        <w:t>(</w:t>
      </w:r>
      <w:proofErr w:type="spellStart"/>
      <w:r>
        <w:rPr>
          <w:sz w:val="24"/>
          <w:szCs w:val="24"/>
        </w:rPr>
        <w:t>pAmfAB</w:t>
      </w:r>
      <w:proofErr w:type="spellEnd"/>
      <w:r>
        <w:rPr>
          <w:sz w:val="24"/>
          <w:szCs w:val="24"/>
        </w:rPr>
        <w:t>) and Ab</w:t>
      </w:r>
      <w:r w:rsidRPr="00327DDF">
        <w:rPr>
          <w:rFonts w:ascii="Times New Roman" w:hAnsi="Times New Roman" w:cs="Times New Roman"/>
          <w:sz w:val="24"/>
          <w:szCs w:val="24"/>
        </w:rPr>
        <w:t xml:space="preserve"> Δ</w:t>
      </w:r>
      <w:r>
        <w:rPr>
          <w:rFonts w:asciiTheme="majorHAnsi" w:hAnsiTheme="majorHAnsi" w:cstheme="majorHAnsi"/>
          <w:sz w:val="24"/>
          <w:szCs w:val="24"/>
        </w:rPr>
        <w:t>2</w:t>
      </w:r>
      <w:r>
        <w:rPr>
          <w:sz w:val="24"/>
          <w:szCs w:val="24"/>
        </w:rPr>
        <w:t xml:space="preserve"> (</w:t>
      </w:r>
      <w:proofErr w:type="spellStart"/>
      <w:r>
        <w:rPr>
          <w:sz w:val="24"/>
          <w:szCs w:val="24"/>
        </w:rPr>
        <w:t>pAmfCD</w:t>
      </w:r>
      <w:proofErr w:type="spellEnd"/>
      <w:r>
        <w:rPr>
          <w:sz w:val="24"/>
          <w:szCs w:val="24"/>
        </w:rPr>
        <w:t>) strains under indicated conditions. Error bars are SD (</w:t>
      </w:r>
      <w:r>
        <w:rPr>
          <w:i/>
          <w:iCs/>
          <w:sz w:val="24"/>
          <w:szCs w:val="24"/>
        </w:rPr>
        <w:t xml:space="preserve">n </w:t>
      </w:r>
      <w:r>
        <w:rPr>
          <w:sz w:val="24"/>
          <w:szCs w:val="24"/>
        </w:rPr>
        <w:t>= 3). (</w:t>
      </w:r>
      <w:r>
        <w:rPr>
          <w:b/>
          <w:bCs/>
          <w:sz w:val="24"/>
          <w:szCs w:val="24"/>
        </w:rPr>
        <w:t>A</w:t>
      </w:r>
      <w:r>
        <w:rPr>
          <w:sz w:val="24"/>
          <w:szCs w:val="24"/>
        </w:rPr>
        <w:t>) No stress control; (</w:t>
      </w:r>
      <w:r>
        <w:rPr>
          <w:b/>
          <w:bCs/>
          <w:sz w:val="24"/>
          <w:szCs w:val="24"/>
        </w:rPr>
        <w:t>B</w:t>
      </w:r>
      <w:r>
        <w:rPr>
          <w:sz w:val="24"/>
          <w:szCs w:val="24"/>
        </w:rPr>
        <w:t>) high temperature; (</w:t>
      </w:r>
      <w:r>
        <w:rPr>
          <w:b/>
          <w:bCs/>
          <w:sz w:val="24"/>
          <w:szCs w:val="24"/>
        </w:rPr>
        <w:t>C</w:t>
      </w:r>
      <w:r>
        <w:rPr>
          <w:sz w:val="24"/>
          <w:szCs w:val="24"/>
        </w:rPr>
        <w:t>) acidic stress; (</w:t>
      </w:r>
      <w:r>
        <w:rPr>
          <w:b/>
          <w:bCs/>
          <w:sz w:val="24"/>
          <w:szCs w:val="24"/>
        </w:rPr>
        <w:t>D</w:t>
      </w:r>
      <w:r>
        <w:rPr>
          <w:sz w:val="24"/>
          <w:szCs w:val="24"/>
        </w:rPr>
        <w:t>) osmotic stress; (</w:t>
      </w:r>
      <w:r>
        <w:rPr>
          <w:b/>
          <w:bCs/>
          <w:sz w:val="24"/>
          <w:szCs w:val="24"/>
        </w:rPr>
        <w:t>E</w:t>
      </w:r>
      <w:r>
        <w:rPr>
          <w:sz w:val="24"/>
          <w:szCs w:val="24"/>
        </w:rPr>
        <w:t>) low iron; (</w:t>
      </w:r>
      <w:r>
        <w:rPr>
          <w:b/>
          <w:bCs/>
          <w:sz w:val="24"/>
          <w:szCs w:val="24"/>
        </w:rPr>
        <w:t>F</w:t>
      </w:r>
      <w:r>
        <w:rPr>
          <w:sz w:val="24"/>
          <w:szCs w:val="24"/>
        </w:rPr>
        <w:t>) bile stress.</w:t>
      </w:r>
    </w:p>
    <w:p w14:paraId="44ECC81D" w14:textId="77777777" w:rsidR="000B0B6E" w:rsidRDefault="000B0B6E" w:rsidP="00C836F0">
      <w:pPr>
        <w:rPr>
          <w:rFonts w:asciiTheme="majorHAnsi" w:hAnsiTheme="majorHAnsi" w:cstheme="majorHAnsi"/>
          <w:b/>
          <w:bCs/>
          <w:sz w:val="24"/>
          <w:szCs w:val="24"/>
        </w:rPr>
      </w:pPr>
    </w:p>
    <w:p w14:paraId="368D59C6" w14:textId="27BFF1D6" w:rsidR="008556AB" w:rsidRDefault="002E384B" w:rsidP="00C836F0">
      <w:pPr>
        <w:rPr>
          <w:rFonts w:asciiTheme="majorHAnsi" w:hAnsiTheme="majorHAnsi" w:cstheme="majorHAnsi"/>
          <w:b/>
          <w:bCs/>
          <w:sz w:val="24"/>
          <w:szCs w:val="24"/>
        </w:rPr>
      </w:pPr>
      <w:r w:rsidRPr="002E384B">
        <w:rPr>
          <w:rFonts w:asciiTheme="majorHAnsi" w:hAnsiTheme="majorHAnsi" w:cstheme="majorHAnsi"/>
          <w:b/>
          <w:bCs/>
          <w:noProof/>
          <w:sz w:val="24"/>
          <w:szCs w:val="24"/>
        </w:rPr>
        <w:lastRenderedPageBreak/>
        <w:drawing>
          <wp:inline distT="0" distB="0" distL="0" distR="0" wp14:anchorId="22001FB3" wp14:editId="66DF8360">
            <wp:extent cx="5486400" cy="3400425"/>
            <wp:effectExtent l="0" t="0" r="0" b="9525"/>
            <wp:docPr id="644642616"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42616" name="Picture 1" descr="A collage of graphs&#10;&#10;Description automatically generated"/>
                    <pic:cNvPicPr/>
                  </pic:nvPicPr>
                  <pic:blipFill>
                    <a:blip r:embed="rId34"/>
                    <a:stretch>
                      <a:fillRect/>
                    </a:stretch>
                  </pic:blipFill>
                  <pic:spPr>
                    <a:xfrm>
                      <a:off x="0" y="0"/>
                      <a:ext cx="5486400" cy="3400425"/>
                    </a:xfrm>
                    <a:prstGeom prst="rect">
                      <a:avLst/>
                    </a:prstGeom>
                  </pic:spPr>
                </pic:pic>
              </a:graphicData>
            </a:graphic>
          </wp:inline>
        </w:drawing>
      </w:r>
    </w:p>
    <w:p w14:paraId="0A8C21B5" w14:textId="560822D9" w:rsidR="008556AB" w:rsidRDefault="008556AB" w:rsidP="008556AB">
      <w:pPr>
        <w:rPr>
          <w:rFonts w:asciiTheme="majorHAnsi" w:hAnsiTheme="majorHAnsi" w:cstheme="majorHAnsi"/>
          <w:b/>
          <w:bCs/>
          <w:sz w:val="24"/>
          <w:szCs w:val="24"/>
        </w:rPr>
      </w:pPr>
      <w:r w:rsidRPr="006751CC">
        <w:rPr>
          <w:rFonts w:asciiTheme="majorHAnsi" w:hAnsiTheme="majorHAnsi" w:cstheme="majorHAnsi"/>
          <w:b/>
          <w:bCs/>
          <w:sz w:val="24"/>
          <w:szCs w:val="24"/>
        </w:rPr>
        <w:t xml:space="preserve">Figure </w:t>
      </w:r>
      <w:r w:rsidR="006751CC">
        <w:rPr>
          <w:rFonts w:asciiTheme="majorHAnsi" w:hAnsiTheme="majorHAnsi" w:cstheme="majorHAnsi"/>
          <w:b/>
          <w:bCs/>
          <w:sz w:val="24"/>
          <w:szCs w:val="24"/>
        </w:rPr>
        <w:t>3</w:t>
      </w:r>
      <w:r w:rsidRPr="006751CC">
        <w:rPr>
          <w:rFonts w:asciiTheme="majorHAnsi" w:hAnsiTheme="majorHAnsi" w:cstheme="majorHAnsi"/>
          <w:b/>
          <w:bCs/>
          <w:sz w:val="24"/>
          <w:szCs w:val="24"/>
        </w:rPr>
        <w:t>.</w:t>
      </w:r>
      <w:r w:rsidR="00D732F8">
        <w:rPr>
          <w:rFonts w:asciiTheme="majorHAnsi" w:hAnsiTheme="majorHAnsi" w:cstheme="majorHAnsi"/>
          <w:b/>
          <w:bCs/>
          <w:sz w:val="24"/>
          <w:szCs w:val="24"/>
        </w:rPr>
        <w:t>9</w:t>
      </w:r>
      <w:r w:rsidRPr="006751CC">
        <w:rPr>
          <w:rFonts w:asciiTheme="majorHAnsi" w:hAnsiTheme="majorHAnsi" w:cstheme="majorHAnsi"/>
          <w:b/>
          <w:bCs/>
          <w:sz w:val="24"/>
          <w:szCs w:val="24"/>
        </w:rPr>
        <w:t xml:space="preserve"> -</w:t>
      </w:r>
      <w:r>
        <w:rPr>
          <w:rFonts w:asciiTheme="majorHAnsi" w:hAnsiTheme="majorHAnsi" w:cstheme="majorHAnsi"/>
          <w:b/>
          <w:bCs/>
          <w:sz w:val="24"/>
          <w:szCs w:val="24"/>
        </w:rPr>
        <w:t xml:space="preserve"> Growth curves of </w:t>
      </w:r>
      <w:r w:rsidR="00EB0C24">
        <w:rPr>
          <w:rFonts w:asciiTheme="majorHAnsi" w:hAnsiTheme="majorHAnsi" w:cstheme="majorHAnsi"/>
          <w:b/>
          <w:bCs/>
          <w:sz w:val="24"/>
          <w:szCs w:val="24"/>
        </w:rPr>
        <w:t>Ab</w:t>
      </w:r>
      <w:r w:rsidR="00EB0C24" w:rsidRPr="00EB0C24">
        <w:rPr>
          <w:rFonts w:ascii="Times New Roman" w:hAnsi="Times New Roman" w:cs="Times New Roman"/>
          <w:b/>
          <w:bCs/>
          <w:sz w:val="24"/>
          <w:szCs w:val="24"/>
        </w:rPr>
        <w:t xml:space="preserve">Δ3 </w:t>
      </w:r>
      <w:r w:rsidR="00EB0C24">
        <w:rPr>
          <w:rFonts w:ascii="Times New Roman" w:hAnsi="Times New Roman" w:cs="Times New Roman"/>
          <w:b/>
          <w:bCs/>
          <w:sz w:val="24"/>
          <w:szCs w:val="24"/>
        </w:rPr>
        <w:t>(</w:t>
      </w:r>
      <w:proofErr w:type="spellStart"/>
      <w:r w:rsidR="00EB0C24">
        <w:rPr>
          <w:rFonts w:ascii="Times New Roman" w:hAnsi="Times New Roman" w:cs="Times New Roman"/>
          <w:b/>
          <w:bCs/>
          <w:sz w:val="24"/>
          <w:szCs w:val="24"/>
        </w:rPr>
        <w:t>p</w:t>
      </w:r>
      <w:r>
        <w:rPr>
          <w:rFonts w:asciiTheme="majorHAnsi" w:hAnsiTheme="majorHAnsi" w:cstheme="majorHAnsi"/>
          <w:b/>
          <w:bCs/>
          <w:sz w:val="24"/>
          <w:szCs w:val="24"/>
        </w:rPr>
        <w:t>AmfAB</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and </w:t>
      </w:r>
      <w:r w:rsidR="00327DDF">
        <w:rPr>
          <w:rFonts w:asciiTheme="majorHAnsi" w:hAnsiTheme="majorHAnsi" w:cstheme="majorHAnsi"/>
          <w:b/>
          <w:bCs/>
          <w:sz w:val="24"/>
          <w:szCs w:val="24"/>
        </w:rPr>
        <w:t>Ab</w:t>
      </w:r>
      <w:r w:rsidR="00327DDF" w:rsidRPr="00EB0C24">
        <w:rPr>
          <w:rFonts w:ascii="Times New Roman" w:hAnsi="Times New Roman" w:cs="Times New Roman"/>
          <w:b/>
          <w:bCs/>
          <w:sz w:val="24"/>
          <w:szCs w:val="24"/>
        </w:rPr>
        <w:t>Δ3</w:t>
      </w:r>
      <w:r w:rsidR="00327DDF">
        <w:rPr>
          <w:rFonts w:asciiTheme="majorHAnsi" w:hAnsiTheme="majorHAnsi" w:cstheme="majorHAnsi"/>
          <w:b/>
          <w:bCs/>
          <w:sz w:val="24"/>
          <w:szCs w:val="24"/>
        </w:rPr>
        <w:t xml:space="preserve">  </w:t>
      </w:r>
      <w:r w:rsidR="00EB0C24">
        <w:rPr>
          <w:rFonts w:asciiTheme="majorHAnsi" w:hAnsiTheme="majorHAnsi" w:cstheme="majorHAnsi"/>
          <w:b/>
          <w:bCs/>
          <w:sz w:val="24"/>
          <w:szCs w:val="24"/>
        </w:rPr>
        <w:t>(</w:t>
      </w:r>
      <w:proofErr w:type="spellStart"/>
      <w:r w:rsidR="00EB0C24">
        <w:rPr>
          <w:rFonts w:asciiTheme="majorHAnsi" w:hAnsiTheme="majorHAnsi" w:cstheme="majorHAnsi"/>
          <w:b/>
          <w:bCs/>
          <w:sz w:val="24"/>
          <w:szCs w:val="24"/>
        </w:rPr>
        <w:t>p</w:t>
      </w:r>
      <w:r>
        <w:rPr>
          <w:rFonts w:asciiTheme="majorHAnsi" w:hAnsiTheme="majorHAnsi" w:cstheme="majorHAnsi"/>
          <w:b/>
          <w:bCs/>
          <w:sz w:val="24"/>
          <w:szCs w:val="24"/>
        </w:rPr>
        <w:t>AmfCD</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w:t>
      </w:r>
      <w:r w:rsidR="00D732F8">
        <w:rPr>
          <w:rFonts w:asciiTheme="majorHAnsi" w:hAnsiTheme="majorHAnsi" w:cstheme="majorHAnsi"/>
          <w:b/>
          <w:bCs/>
          <w:sz w:val="24"/>
          <w:szCs w:val="24"/>
        </w:rPr>
        <w:t>o</w:t>
      </w:r>
      <w:r w:rsidR="00EB0C24">
        <w:rPr>
          <w:rFonts w:asciiTheme="majorHAnsi" w:hAnsiTheme="majorHAnsi" w:cstheme="majorHAnsi"/>
          <w:b/>
          <w:bCs/>
          <w:sz w:val="24"/>
          <w:szCs w:val="24"/>
        </w:rPr>
        <w:t>v</w:t>
      </w:r>
      <w:r>
        <w:rPr>
          <w:rFonts w:asciiTheme="majorHAnsi" w:hAnsiTheme="majorHAnsi" w:cstheme="majorHAnsi"/>
          <w:b/>
          <w:bCs/>
          <w:sz w:val="24"/>
          <w:szCs w:val="24"/>
        </w:rPr>
        <w:t xml:space="preserve">erexpression </w:t>
      </w:r>
      <w:r w:rsidR="00D732F8">
        <w:rPr>
          <w:rFonts w:asciiTheme="majorHAnsi" w:hAnsiTheme="majorHAnsi" w:cstheme="majorHAnsi"/>
          <w:b/>
          <w:bCs/>
          <w:sz w:val="24"/>
          <w:szCs w:val="24"/>
        </w:rPr>
        <w:t>s</w:t>
      </w:r>
      <w:r>
        <w:rPr>
          <w:rFonts w:asciiTheme="majorHAnsi" w:hAnsiTheme="majorHAnsi" w:cstheme="majorHAnsi"/>
          <w:b/>
          <w:bCs/>
          <w:sz w:val="24"/>
          <w:szCs w:val="24"/>
        </w:rPr>
        <w:t xml:space="preserve">trains </w:t>
      </w:r>
      <w:r w:rsidR="00D732F8">
        <w:rPr>
          <w:rFonts w:asciiTheme="majorHAnsi" w:hAnsiTheme="majorHAnsi" w:cstheme="majorHAnsi"/>
          <w:b/>
          <w:bCs/>
          <w:sz w:val="24"/>
          <w:szCs w:val="24"/>
        </w:rPr>
        <w:t>u</w:t>
      </w:r>
      <w:r>
        <w:rPr>
          <w:rFonts w:asciiTheme="majorHAnsi" w:hAnsiTheme="majorHAnsi" w:cstheme="majorHAnsi"/>
          <w:b/>
          <w:bCs/>
          <w:sz w:val="24"/>
          <w:szCs w:val="24"/>
        </w:rPr>
        <w:t xml:space="preserve">nder </w:t>
      </w:r>
      <w:r w:rsidR="00D732F8">
        <w:rPr>
          <w:rFonts w:asciiTheme="majorHAnsi" w:hAnsiTheme="majorHAnsi" w:cstheme="majorHAnsi"/>
          <w:b/>
          <w:bCs/>
          <w:sz w:val="24"/>
          <w:szCs w:val="24"/>
        </w:rPr>
        <w:t>d</w:t>
      </w:r>
      <w:r>
        <w:rPr>
          <w:rFonts w:asciiTheme="majorHAnsi" w:hAnsiTheme="majorHAnsi" w:cstheme="majorHAnsi"/>
          <w:b/>
          <w:bCs/>
          <w:sz w:val="24"/>
          <w:szCs w:val="24"/>
        </w:rPr>
        <w:t xml:space="preserve">ifferent </w:t>
      </w:r>
      <w:r w:rsidR="00D732F8">
        <w:rPr>
          <w:rFonts w:asciiTheme="majorHAnsi" w:hAnsiTheme="majorHAnsi" w:cstheme="majorHAnsi"/>
          <w:b/>
          <w:bCs/>
          <w:sz w:val="24"/>
          <w:szCs w:val="24"/>
        </w:rPr>
        <w:t>s</w:t>
      </w:r>
      <w:r>
        <w:rPr>
          <w:rFonts w:asciiTheme="majorHAnsi" w:hAnsiTheme="majorHAnsi" w:cstheme="majorHAnsi"/>
          <w:b/>
          <w:bCs/>
          <w:sz w:val="24"/>
          <w:szCs w:val="24"/>
        </w:rPr>
        <w:t>tresses</w:t>
      </w:r>
    </w:p>
    <w:p w14:paraId="1DB8BB3C" w14:textId="285E34D7" w:rsidR="00327DDF" w:rsidRPr="005F46CB" w:rsidRDefault="00327DDF" w:rsidP="00327DDF">
      <w:pPr>
        <w:rPr>
          <w:rFonts w:ascii="Cambria Math" w:hAnsi="Cambria Math" w:cs="Times New Roman"/>
          <w:sz w:val="24"/>
          <w:szCs w:val="24"/>
        </w:rPr>
      </w:pPr>
      <w:r>
        <w:rPr>
          <w:rFonts w:asciiTheme="majorHAnsi" w:hAnsiTheme="majorHAnsi" w:cstheme="majorHAnsi"/>
          <w:sz w:val="24"/>
          <w:szCs w:val="24"/>
        </w:rPr>
        <w:t>Growth curves of Ab</w:t>
      </w:r>
      <w:r w:rsidRPr="00327DDF">
        <w:rPr>
          <w:rFonts w:ascii="Times New Roman" w:hAnsi="Times New Roman" w:cs="Times New Roman"/>
          <w:sz w:val="24"/>
          <w:szCs w:val="24"/>
        </w:rPr>
        <w:t>Δ</w:t>
      </w:r>
      <w:r>
        <w:rPr>
          <w:rFonts w:asciiTheme="majorHAnsi" w:hAnsiTheme="majorHAnsi" w:cstheme="majorHAnsi"/>
          <w:sz w:val="24"/>
          <w:szCs w:val="24"/>
        </w:rPr>
        <w:t xml:space="preserve">3 </w:t>
      </w:r>
      <w:r>
        <w:rPr>
          <w:sz w:val="24"/>
          <w:szCs w:val="24"/>
        </w:rPr>
        <w:t>(</w:t>
      </w:r>
      <w:proofErr w:type="spellStart"/>
      <w:r>
        <w:rPr>
          <w:sz w:val="24"/>
          <w:szCs w:val="24"/>
        </w:rPr>
        <w:t>pAmfAB</w:t>
      </w:r>
      <w:proofErr w:type="spellEnd"/>
      <w:r>
        <w:rPr>
          <w:sz w:val="24"/>
          <w:szCs w:val="24"/>
        </w:rPr>
        <w:t>) and Ab</w:t>
      </w:r>
      <w:r w:rsidRPr="00327DDF">
        <w:rPr>
          <w:rFonts w:ascii="Times New Roman" w:hAnsi="Times New Roman" w:cs="Times New Roman"/>
          <w:sz w:val="24"/>
          <w:szCs w:val="24"/>
        </w:rPr>
        <w:t xml:space="preserve"> Δ</w:t>
      </w:r>
      <w:r>
        <w:rPr>
          <w:rFonts w:ascii="Times New Roman" w:hAnsi="Times New Roman" w:cs="Times New Roman"/>
          <w:sz w:val="24"/>
          <w:szCs w:val="24"/>
        </w:rPr>
        <w:t>3</w:t>
      </w:r>
      <w:r>
        <w:rPr>
          <w:sz w:val="24"/>
          <w:szCs w:val="24"/>
        </w:rPr>
        <w:t xml:space="preserve"> (</w:t>
      </w:r>
      <w:proofErr w:type="spellStart"/>
      <w:r>
        <w:rPr>
          <w:sz w:val="24"/>
          <w:szCs w:val="24"/>
        </w:rPr>
        <w:t>pAmfCD</w:t>
      </w:r>
      <w:proofErr w:type="spellEnd"/>
      <w:r>
        <w:rPr>
          <w:sz w:val="24"/>
          <w:szCs w:val="24"/>
        </w:rPr>
        <w:t>) strains under indicated conditions. Error bars are SD (</w:t>
      </w:r>
      <w:r>
        <w:rPr>
          <w:i/>
          <w:iCs/>
          <w:sz w:val="24"/>
          <w:szCs w:val="24"/>
        </w:rPr>
        <w:t xml:space="preserve">n </w:t>
      </w:r>
      <w:r>
        <w:rPr>
          <w:sz w:val="24"/>
          <w:szCs w:val="24"/>
        </w:rPr>
        <w:t>= 3). (</w:t>
      </w:r>
      <w:r>
        <w:rPr>
          <w:b/>
          <w:bCs/>
          <w:sz w:val="24"/>
          <w:szCs w:val="24"/>
        </w:rPr>
        <w:t>A</w:t>
      </w:r>
      <w:r>
        <w:rPr>
          <w:sz w:val="24"/>
          <w:szCs w:val="24"/>
        </w:rPr>
        <w:t>) No stress control; (</w:t>
      </w:r>
      <w:r>
        <w:rPr>
          <w:b/>
          <w:bCs/>
          <w:sz w:val="24"/>
          <w:szCs w:val="24"/>
        </w:rPr>
        <w:t>B</w:t>
      </w:r>
      <w:r>
        <w:rPr>
          <w:sz w:val="24"/>
          <w:szCs w:val="24"/>
        </w:rPr>
        <w:t>) high temperature; (</w:t>
      </w:r>
      <w:r>
        <w:rPr>
          <w:b/>
          <w:bCs/>
          <w:sz w:val="24"/>
          <w:szCs w:val="24"/>
        </w:rPr>
        <w:t>C</w:t>
      </w:r>
      <w:r>
        <w:rPr>
          <w:sz w:val="24"/>
          <w:szCs w:val="24"/>
        </w:rPr>
        <w:t>) acidic stress; (</w:t>
      </w:r>
      <w:r>
        <w:rPr>
          <w:b/>
          <w:bCs/>
          <w:sz w:val="24"/>
          <w:szCs w:val="24"/>
        </w:rPr>
        <w:t>D</w:t>
      </w:r>
      <w:r>
        <w:rPr>
          <w:sz w:val="24"/>
          <w:szCs w:val="24"/>
        </w:rPr>
        <w:t>) osmotic stress; (</w:t>
      </w:r>
      <w:r>
        <w:rPr>
          <w:b/>
          <w:bCs/>
          <w:sz w:val="24"/>
          <w:szCs w:val="24"/>
        </w:rPr>
        <w:t>E</w:t>
      </w:r>
      <w:r>
        <w:rPr>
          <w:sz w:val="24"/>
          <w:szCs w:val="24"/>
        </w:rPr>
        <w:t>) low iron; (</w:t>
      </w:r>
      <w:r>
        <w:rPr>
          <w:b/>
          <w:bCs/>
          <w:sz w:val="24"/>
          <w:szCs w:val="24"/>
        </w:rPr>
        <w:t>F</w:t>
      </w:r>
      <w:r>
        <w:rPr>
          <w:sz w:val="24"/>
          <w:szCs w:val="24"/>
        </w:rPr>
        <w:t>) bile stress.</w:t>
      </w:r>
    </w:p>
    <w:p w14:paraId="4A21B832" w14:textId="591269AD" w:rsidR="00E91368" w:rsidRDefault="00E91368" w:rsidP="00C836F0">
      <w:pPr>
        <w:rPr>
          <w:rFonts w:asciiTheme="majorHAnsi" w:hAnsiTheme="majorHAnsi" w:cstheme="majorHAnsi"/>
          <w:b/>
          <w:bCs/>
          <w:sz w:val="24"/>
          <w:szCs w:val="24"/>
        </w:rPr>
      </w:pPr>
    </w:p>
    <w:p w14:paraId="6E21B7B9" w14:textId="7C77723B" w:rsidR="0076120A" w:rsidRDefault="00327DDF" w:rsidP="00C836F0">
      <w:pPr>
        <w:rPr>
          <w:rFonts w:asciiTheme="majorHAnsi" w:hAnsiTheme="majorHAnsi" w:cstheme="majorHAnsi"/>
          <w:b/>
          <w:bCs/>
          <w:sz w:val="24"/>
          <w:szCs w:val="24"/>
        </w:rPr>
      </w:pPr>
      <w:r w:rsidRPr="00327DDF">
        <w:rPr>
          <w:rFonts w:asciiTheme="majorHAnsi" w:hAnsiTheme="majorHAnsi" w:cstheme="majorHAnsi"/>
          <w:b/>
          <w:bCs/>
          <w:noProof/>
          <w:sz w:val="24"/>
          <w:szCs w:val="24"/>
        </w:rPr>
        <w:lastRenderedPageBreak/>
        <w:drawing>
          <wp:inline distT="0" distB="0" distL="0" distR="0" wp14:anchorId="4483377C" wp14:editId="7CB9BC3D">
            <wp:extent cx="5486400" cy="3420110"/>
            <wp:effectExtent l="0" t="0" r="0" b="0"/>
            <wp:docPr id="1343408322" name="Picture 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08322" name="Picture 1" descr="A collage of graphs&#10;&#10;Description automatically generated"/>
                    <pic:cNvPicPr/>
                  </pic:nvPicPr>
                  <pic:blipFill>
                    <a:blip r:embed="rId35"/>
                    <a:stretch>
                      <a:fillRect/>
                    </a:stretch>
                  </pic:blipFill>
                  <pic:spPr>
                    <a:xfrm>
                      <a:off x="0" y="0"/>
                      <a:ext cx="5486400" cy="3420110"/>
                    </a:xfrm>
                    <a:prstGeom prst="rect">
                      <a:avLst/>
                    </a:prstGeom>
                  </pic:spPr>
                </pic:pic>
              </a:graphicData>
            </a:graphic>
          </wp:inline>
        </w:drawing>
      </w:r>
    </w:p>
    <w:p w14:paraId="49761327" w14:textId="454B412F" w:rsidR="0076120A" w:rsidRDefault="0076120A" w:rsidP="0076120A">
      <w:pPr>
        <w:rPr>
          <w:rFonts w:asciiTheme="majorHAnsi" w:hAnsiTheme="majorHAnsi" w:cstheme="majorHAnsi"/>
          <w:b/>
          <w:bCs/>
          <w:sz w:val="24"/>
          <w:szCs w:val="24"/>
        </w:rPr>
      </w:pPr>
      <w:r>
        <w:rPr>
          <w:rFonts w:asciiTheme="majorHAnsi" w:hAnsiTheme="majorHAnsi" w:cstheme="majorHAnsi"/>
          <w:b/>
          <w:bCs/>
          <w:sz w:val="24"/>
          <w:szCs w:val="24"/>
        </w:rPr>
        <w:t xml:space="preserve">Figure </w:t>
      </w:r>
      <w:r w:rsidR="006751CC">
        <w:rPr>
          <w:rFonts w:asciiTheme="majorHAnsi" w:hAnsiTheme="majorHAnsi" w:cstheme="majorHAnsi"/>
          <w:b/>
          <w:bCs/>
          <w:sz w:val="24"/>
          <w:szCs w:val="24"/>
        </w:rPr>
        <w:t>3</w:t>
      </w:r>
      <w:r w:rsidRPr="006751CC">
        <w:rPr>
          <w:rFonts w:asciiTheme="majorHAnsi" w:hAnsiTheme="majorHAnsi" w:cstheme="majorHAnsi"/>
          <w:b/>
          <w:bCs/>
          <w:sz w:val="24"/>
          <w:szCs w:val="24"/>
        </w:rPr>
        <w:t>.</w:t>
      </w:r>
      <w:r w:rsidR="00D732F8">
        <w:rPr>
          <w:rFonts w:asciiTheme="majorHAnsi" w:hAnsiTheme="majorHAnsi" w:cstheme="majorHAnsi"/>
          <w:b/>
          <w:bCs/>
          <w:sz w:val="24"/>
          <w:szCs w:val="24"/>
        </w:rPr>
        <w:t>10</w:t>
      </w:r>
      <w:r w:rsidRPr="006751CC">
        <w:rPr>
          <w:rFonts w:asciiTheme="majorHAnsi" w:hAnsiTheme="majorHAnsi" w:cstheme="majorHAnsi"/>
          <w:b/>
          <w:bCs/>
          <w:sz w:val="24"/>
          <w:szCs w:val="24"/>
        </w:rPr>
        <w:t xml:space="preserve"> -</w:t>
      </w:r>
      <w:r>
        <w:rPr>
          <w:rFonts w:asciiTheme="majorHAnsi" w:hAnsiTheme="majorHAnsi" w:cstheme="majorHAnsi"/>
          <w:b/>
          <w:bCs/>
          <w:sz w:val="24"/>
          <w:szCs w:val="24"/>
        </w:rPr>
        <w:t xml:space="preserve"> Growth curves o</w:t>
      </w:r>
      <w:r w:rsidRPr="00EB0C24">
        <w:rPr>
          <w:rFonts w:asciiTheme="majorHAnsi" w:hAnsiTheme="majorHAnsi" w:cstheme="majorHAnsi"/>
          <w:b/>
          <w:bCs/>
          <w:sz w:val="24"/>
          <w:szCs w:val="24"/>
        </w:rPr>
        <w:t xml:space="preserve">f </w:t>
      </w:r>
      <w:r w:rsidR="00EB0C24" w:rsidRPr="00EB0C24">
        <w:rPr>
          <w:rFonts w:asciiTheme="majorHAnsi" w:hAnsiTheme="majorHAnsi" w:cstheme="majorHAnsi"/>
          <w:b/>
          <w:bCs/>
          <w:sz w:val="24"/>
          <w:szCs w:val="24"/>
        </w:rPr>
        <w:t>Ab</w:t>
      </w:r>
      <w:bookmarkStart w:id="10" w:name="_Hlk155523690"/>
      <w:r w:rsidR="00EB0C24" w:rsidRPr="00EB0C24">
        <w:rPr>
          <w:rFonts w:ascii="Times New Roman" w:hAnsi="Times New Roman" w:cs="Times New Roman"/>
          <w:b/>
          <w:bCs/>
          <w:sz w:val="24"/>
          <w:szCs w:val="24"/>
        </w:rPr>
        <w:t>Δ</w:t>
      </w:r>
      <w:bookmarkEnd w:id="10"/>
      <w:r w:rsidR="00EB0C24" w:rsidRPr="00EB0C24">
        <w:rPr>
          <w:rFonts w:ascii="Times New Roman" w:hAnsi="Times New Roman" w:cs="Times New Roman"/>
          <w:b/>
          <w:bCs/>
          <w:sz w:val="24"/>
          <w:szCs w:val="24"/>
        </w:rPr>
        <w:t>5 (</w:t>
      </w:r>
      <w:proofErr w:type="spellStart"/>
      <w:r w:rsidR="00EB0C24" w:rsidRPr="00EB0C24">
        <w:rPr>
          <w:rFonts w:ascii="Times New Roman" w:hAnsi="Times New Roman" w:cs="Times New Roman"/>
          <w:b/>
          <w:bCs/>
          <w:sz w:val="24"/>
          <w:szCs w:val="24"/>
        </w:rPr>
        <w:t>p</w:t>
      </w:r>
      <w:r w:rsidRPr="00EB0C24">
        <w:rPr>
          <w:rFonts w:asciiTheme="majorHAnsi" w:hAnsiTheme="majorHAnsi" w:cstheme="majorHAnsi"/>
          <w:b/>
          <w:bCs/>
          <w:sz w:val="24"/>
          <w:szCs w:val="24"/>
        </w:rPr>
        <w:t>AmfAB</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and </w:t>
      </w:r>
      <w:r w:rsidR="00F3706A" w:rsidRPr="00EB0C24">
        <w:rPr>
          <w:rFonts w:asciiTheme="majorHAnsi" w:hAnsiTheme="majorHAnsi" w:cstheme="majorHAnsi"/>
          <w:b/>
          <w:bCs/>
          <w:sz w:val="24"/>
          <w:szCs w:val="24"/>
        </w:rPr>
        <w:t>Ab</w:t>
      </w:r>
      <w:r w:rsidR="00F3706A" w:rsidRPr="00EB0C24">
        <w:rPr>
          <w:rFonts w:ascii="Times New Roman" w:hAnsi="Times New Roman" w:cs="Times New Roman"/>
          <w:b/>
          <w:bCs/>
          <w:sz w:val="24"/>
          <w:szCs w:val="24"/>
        </w:rPr>
        <w:t>Δ5</w:t>
      </w:r>
      <w:r w:rsidR="00F3706A">
        <w:rPr>
          <w:rFonts w:asciiTheme="majorHAnsi" w:hAnsiTheme="majorHAnsi" w:cstheme="majorHAnsi"/>
          <w:b/>
          <w:bCs/>
          <w:sz w:val="24"/>
          <w:szCs w:val="24"/>
        </w:rPr>
        <w:t xml:space="preserve"> </w:t>
      </w:r>
      <w:r w:rsidR="00EB0C24">
        <w:rPr>
          <w:rFonts w:asciiTheme="majorHAnsi" w:hAnsiTheme="majorHAnsi" w:cstheme="majorHAnsi"/>
          <w:b/>
          <w:bCs/>
          <w:sz w:val="24"/>
          <w:szCs w:val="24"/>
        </w:rPr>
        <w:t>(</w:t>
      </w:r>
      <w:proofErr w:type="spellStart"/>
      <w:r w:rsidR="00EB0C24">
        <w:rPr>
          <w:rFonts w:asciiTheme="majorHAnsi" w:hAnsiTheme="majorHAnsi" w:cstheme="majorHAnsi"/>
          <w:b/>
          <w:bCs/>
          <w:sz w:val="24"/>
          <w:szCs w:val="24"/>
        </w:rPr>
        <w:t>p</w:t>
      </w:r>
      <w:r>
        <w:rPr>
          <w:rFonts w:asciiTheme="majorHAnsi" w:hAnsiTheme="majorHAnsi" w:cstheme="majorHAnsi"/>
          <w:b/>
          <w:bCs/>
          <w:sz w:val="24"/>
          <w:szCs w:val="24"/>
        </w:rPr>
        <w:t>AmfCD</w:t>
      </w:r>
      <w:proofErr w:type="spellEnd"/>
      <w:r w:rsidR="00EB0C24">
        <w:rPr>
          <w:rFonts w:asciiTheme="majorHAnsi" w:hAnsiTheme="majorHAnsi" w:cstheme="majorHAnsi"/>
          <w:b/>
          <w:bCs/>
          <w:sz w:val="24"/>
          <w:szCs w:val="24"/>
        </w:rPr>
        <w:t>)</w:t>
      </w:r>
      <w:r>
        <w:rPr>
          <w:rFonts w:asciiTheme="majorHAnsi" w:hAnsiTheme="majorHAnsi" w:cstheme="majorHAnsi"/>
          <w:b/>
          <w:bCs/>
          <w:sz w:val="24"/>
          <w:szCs w:val="24"/>
        </w:rPr>
        <w:t xml:space="preserve"> </w:t>
      </w:r>
      <w:r w:rsidR="00D732F8">
        <w:rPr>
          <w:rFonts w:asciiTheme="majorHAnsi" w:hAnsiTheme="majorHAnsi" w:cstheme="majorHAnsi"/>
          <w:b/>
          <w:bCs/>
          <w:sz w:val="24"/>
          <w:szCs w:val="24"/>
        </w:rPr>
        <w:t>o</w:t>
      </w:r>
      <w:r>
        <w:rPr>
          <w:rFonts w:asciiTheme="majorHAnsi" w:hAnsiTheme="majorHAnsi" w:cstheme="majorHAnsi"/>
          <w:b/>
          <w:bCs/>
          <w:sz w:val="24"/>
          <w:szCs w:val="24"/>
        </w:rPr>
        <w:t xml:space="preserve">verexpression </w:t>
      </w:r>
      <w:r w:rsidR="00D732F8">
        <w:rPr>
          <w:rFonts w:asciiTheme="majorHAnsi" w:hAnsiTheme="majorHAnsi" w:cstheme="majorHAnsi"/>
          <w:b/>
          <w:bCs/>
          <w:sz w:val="24"/>
          <w:szCs w:val="24"/>
        </w:rPr>
        <w:t>s</w:t>
      </w:r>
      <w:r>
        <w:rPr>
          <w:rFonts w:asciiTheme="majorHAnsi" w:hAnsiTheme="majorHAnsi" w:cstheme="majorHAnsi"/>
          <w:b/>
          <w:bCs/>
          <w:sz w:val="24"/>
          <w:szCs w:val="24"/>
        </w:rPr>
        <w:t xml:space="preserve">trains </w:t>
      </w:r>
      <w:r w:rsidR="00D732F8">
        <w:rPr>
          <w:rFonts w:asciiTheme="majorHAnsi" w:hAnsiTheme="majorHAnsi" w:cstheme="majorHAnsi"/>
          <w:b/>
          <w:bCs/>
          <w:sz w:val="24"/>
          <w:szCs w:val="24"/>
        </w:rPr>
        <w:t>u</w:t>
      </w:r>
      <w:r>
        <w:rPr>
          <w:rFonts w:asciiTheme="majorHAnsi" w:hAnsiTheme="majorHAnsi" w:cstheme="majorHAnsi"/>
          <w:b/>
          <w:bCs/>
          <w:sz w:val="24"/>
          <w:szCs w:val="24"/>
        </w:rPr>
        <w:t xml:space="preserve">nder </w:t>
      </w:r>
      <w:r w:rsidR="00D732F8">
        <w:rPr>
          <w:rFonts w:asciiTheme="majorHAnsi" w:hAnsiTheme="majorHAnsi" w:cstheme="majorHAnsi"/>
          <w:b/>
          <w:bCs/>
          <w:sz w:val="24"/>
          <w:szCs w:val="24"/>
        </w:rPr>
        <w:t>d</w:t>
      </w:r>
      <w:r>
        <w:rPr>
          <w:rFonts w:asciiTheme="majorHAnsi" w:hAnsiTheme="majorHAnsi" w:cstheme="majorHAnsi"/>
          <w:b/>
          <w:bCs/>
          <w:sz w:val="24"/>
          <w:szCs w:val="24"/>
        </w:rPr>
        <w:t xml:space="preserve">ifferent </w:t>
      </w:r>
      <w:r w:rsidR="00D732F8">
        <w:rPr>
          <w:rFonts w:asciiTheme="majorHAnsi" w:hAnsiTheme="majorHAnsi" w:cstheme="majorHAnsi"/>
          <w:b/>
          <w:bCs/>
          <w:sz w:val="24"/>
          <w:szCs w:val="24"/>
        </w:rPr>
        <w:t>s</w:t>
      </w:r>
      <w:r>
        <w:rPr>
          <w:rFonts w:asciiTheme="majorHAnsi" w:hAnsiTheme="majorHAnsi" w:cstheme="majorHAnsi"/>
          <w:b/>
          <w:bCs/>
          <w:sz w:val="24"/>
          <w:szCs w:val="24"/>
        </w:rPr>
        <w:t>tresses</w:t>
      </w:r>
    </w:p>
    <w:p w14:paraId="5C628DEA" w14:textId="6A6209DE" w:rsidR="00F3706A" w:rsidRPr="005F46CB" w:rsidRDefault="00F3706A" w:rsidP="00F3706A">
      <w:pPr>
        <w:rPr>
          <w:rFonts w:ascii="Cambria Math" w:hAnsi="Cambria Math" w:cs="Times New Roman"/>
          <w:sz w:val="24"/>
          <w:szCs w:val="24"/>
        </w:rPr>
      </w:pPr>
      <w:r>
        <w:rPr>
          <w:rFonts w:asciiTheme="majorHAnsi" w:hAnsiTheme="majorHAnsi" w:cstheme="majorHAnsi"/>
          <w:sz w:val="24"/>
          <w:szCs w:val="24"/>
        </w:rPr>
        <w:t>Growth curves of Ab</w:t>
      </w:r>
      <w:r w:rsidRPr="00327DDF">
        <w:rPr>
          <w:rFonts w:ascii="Times New Roman" w:hAnsi="Times New Roman" w:cs="Times New Roman"/>
          <w:sz w:val="24"/>
          <w:szCs w:val="24"/>
        </w:rPr>
        <w:t>Δ</w:t>
      </w:r>
      <w:r>
        <w:rPr>
          <w:rFonts w:asciiTheme="majorHAnsi" w:hAnsiTheme="majorHAnsi" w:cstheme="majorHAnsi"/>
          <w:sz w:val="24"/>
          <w:szCs w:val="24"/>
        </w:rPr>
        <w:t xml:space="preserve">5 </w:t>
      </w:r>
      <w:r>
        <w:rPr>
          <w:sz w:val="24"/>
          <w:szCs w:val="24"/>
        </w:rPr>
        <w:t>(</w:t>
      </w:r>
      <w:proofErr w:type="spellStart"/>
      <w:r>
        <w:rPr>
          <w:sz w:val="24"/>
          <w:szCs w:val="24"/>
        </w:rPr>
        <w:t>pAmfAB</w:t>
      </w:r>
      <w:proofErr w:type="spellEnd"/>
      <w:r>
        <w:rPr>
          <w:sz w:val="24"/>
          <w:szCs w:val="24"/>
        </w:rPr>
        <w:t>) and Ab</w:t>
      </w:r>
      <w:r w:rsidRPr="00327DDF">
        <w:rPr>
          <w:rFonts w:ascii="Times New Roman" w:hAnsi="Times New Roman" w:cs="Times New Roman"/>
          <w:sz w:val="24"/>
          <w:szCs w:val="24"/>
        </w:rPr>
        <w:t xml:space="preserve"> Δ</w:t>
      </w:r>
      <w:r>
        <w:rPr>
          <w:rFonts w:ascii="Times New Roman" w:hAnsi="Times New Roman" w:cs="Times New Roman"/>
          <w:sz w:val="24"/>
          <w:szCs w:val="24"/>
        </w:rPr>
        <w:t>5</w:t>
      </w:r>
      <w:r>
        <w:rPr>
          <w:sz w:val="24"/>
          <w:szCs w:val="24"/>
        </w:rPr>
        <w:t xml:space="preserve"> (</w:t>
      </w:r>
      <w:proofErr w:type="spellStart"/>
      <w:r>
        <w:rPr>
          <w:sz w:val="24"/>
          <w:szCs w:val="24"/>
        </w:rPr>
        <w:t>pAmfCD</w:t>
      </w:r>
      <w:proofErr w:type="spellEnd"/>
      <w:r>
        <w:rPr>
          <w:sz w:val="24"/>
          <w:szCs w:val="24"/>
        </w:rPr>
        <w:t>) strains under indicated conditions. Error bars are SD (</w:t>
      </w:r>
      <w:r>
        <w:rPr>
          <w:i/>
          <w:iCs/>
          <w:sz w:val="24"/>
          <w:szCs w:val="24"/>
        </w:rPr>
        <w:t xml:space="preserve">n </w:t>
      </w:r>
      <w:r>
        <w:rPr>
          <w:sz w:val="24"/>
          <w:szCs w:val="24"/>
        </w:rPr>
        <w:t>= 3). (</w:t>
      </w:r>
      <w:r>
        <w:rPr>
          <w:b/>
          <w:bCs/>
          <w:sz w:val="24"/>
          <w:szCs w:val="24"/>
        </w:rPr>
        <w:t>A</w:t>
      </w:r>
      <w:r>
        <w:rPr>
          <w:sz w:val="24"/>
          <w:szCs w:val="24"/>
        </w:rPr>
        <w:t>) No stress control; (</w:t>
      </w:r>
      <w:r>
        <w:rPr>
          <w:b/>
          <w:bCs/>
          <w:sz w:val="24"/>
          <w:szCs w:val="24"/>
        </w:rPr>
        <w:t>B</w:t>
      </w:r>
      <w:r>
        <w:rPr>
          <w:sz w:val="24"/>
          <w:szCs w:val="24"/>
        </w:rPr>
        <w:t>) high temperature; (</w:t>
      </w:r>
      <w:r>
        <w:rPr>
          <w:b/>
          <w:bCs/>
          <w:sz w:val="24"/>
          <w:szCs w:val="24"/>
        </w:rPr>
        <w:t>C</w:t>
      </w:r>
      <w:r>
        <w:rPr>
          <w:sz w:val="24"/>
          <w:szCs w:val="24"/>
        </w:rPr>
        <w:t>) acidic stress; (</w:t>
      </w:r>
      <w:r>
        <w:rPr>
          <w:b/>
          <w:bCs/>
          <w:sz w:val="24"/>
          <w:szCs w:val="24"/>
        </w:rPr>
        <w:t>D</w:t>
      </w:r>
      <w:r>
        <w:rPr>
          <w:sz w:val="24"/>
          <w:szCs w:val="24"/>
        </w:rPr>
        <w:t>) osmotic stress; (</w:t>
      </w:r>
      <w:r>
        <w:rPr>
          <w:b/>
          <w:bCs/>
          <w:sz w:val="24"/>
          <w:szCs w:val="24"/>
        </w:rPr>
        <w:t>E</w:t>
      </w:r>
      <w:r>
        <w:rPr>
          <w:sz w:val="24"/>
          <w:szCs w:val="24"/>
        </w:rPr>
        <w:t>) low iron; (</w:t>
      </w:r>
      <w:r>
        <w:rPr>
          <w:b/>
          <w:bCs/>
          <w:sz w:val="24"/>
          <w:szCs w:val="24"/>
        </w:rPr>
        <w:t>F</w:t>
      </w:r>
      <w:r>
        <w:rPr>
          <w:sz w:val="24"/>
          <w:szCs w:val="24"/>
        </w:rPr>
        <w:t>) bile stress.</w:t>
      </w:r>
    </w:p>
    <w:p w14:paraId="43B83C5A" w14:textId="77777777" w:rsidR="00704700" w:rsidRDefault="00704700" w:rsidP="00704700">
      <w:pPr>
        <w:spacing w:before="120" w:after="120" w:line="360" w:lineRule="auto"/>
        <w:jc w:val="center"/>
        <w:rPr>
          <w:rFonts w:ascii="Times New Roman" w:hAnsi="Times New Roman" w:cs="Times New Roman"/>
          <w:b/>
          <w:bCs/>
          <w:color w:val="000000" w:themeColor="text1"/>
          <w:sz w:val="24"/>
          <w:szCs w:val="24"/>
        </w:rPr>
      </w:pPr>
      <w:r>
        <w:rPr>
          <w:noProof/>
        </w:rPr>
        <w:drawing>
          <wp:inline distT="0" distB="0" distL="0" distR="0" wp14:anchorId="52BCD669" wp14:editId="317A599B">
            <wp:extent cx="2622462" cy="2373630"/>
            <wp:effectExtent l="0" t="0" r="6985" b="7620"/>
            <wp:docPr id="1834114022" name="Picture 1" descr="A graph of a graph of a person's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89556" name="Picture 1" descr="A graph of a graph of a person's reaction&#10;&#10;Description automatically generated with medium confidence"/>
                    <pic:cNvPicPr>
                      <a:picLocks noChangeAspect="1"/>
                    </pic:cNvPicPr>
                  </pic:nvPicPr>
                  <pic:blipFill rotWithShape="1">
                    <a:blip r:embed="rId36" cstate="print">
                      <a:extLst>
                        <a:ext uri="{28A0092B-C50C-407E-A947-70E740481C1C}">
                          <a14:useLocalDpi xmlns:a14="http://schemas.microsoft.com/office/drawing/2010/main" val="0"/>
                        </a:ext>
                      </a:extLst>
                    </a:blip>
                    <a:srcRect l="52409"/>
                    <a:stretch/>
                  </pic:blipFill>
                  <pic:spPr bwMode="auto">
                    <a:xfrm>
                      <a:off x="0" y="0"/>
                      <a:ext cx="2631904" cy="2382176"/>
                    </a:xfrm>
                    <a:prstGeom prst="rect">
                      <a:avLst/>
                    </a:prstGeom>
                    <a:ln>
                      <a:noFill/>
                    </a:ln>
                    <a:extLst>
                      <a:ext uri="{53640926-AAD7-44D8-BBD7-CCE9431645EC}">
                        <a14:shadowObscured xmlns:a14="http://schemas.microsoft.com/office/drawing/2010/main"/>
                      </a:ext>
                    </a:extLst>
                  </pic:spPr>
                </pic:pic>
              </a:graphicData>
            </a:graphic>
          </wp:inline>
        </w:drawing>
      </w:r>
    </w:p>
    <w:p w14:paraId="0DF025FC" w14:textId="28C32046" w:rsidR="00704700" w:rsidRDefault="00704700" w:rsidP="00704700">
      <w:pPr>
        <w:pStyle w:val="ListParagraph"/>
        <w:ind w:left="0"/>
        <w:rPr>
          <w:rFonts w:ascii="Times New Roman" w:hAnsi="Times New Roman" w:cs="Times New Roman"/>
          <w:b/>
          <w:bCs/>
          <w:sz w:val="24"/>
          <w:szCs w:val="24"/>
        </w:rPr>
      </w:pPr>
      <w:r>
        <w:rPr>
          <w:rFonts w:ascii="Times New Roman" w:hAnsi="Times New Roman" w:cs="Times New Roman"/>
          <w:b/>
          <w:bCs/>
          <w:sz w:val="24"/>
          <w:szCs w:val="24"/>
        </w:rPr>
        <w:t>Figure 3.</w:t>
      </w:r>
      <w:r w:rsidR="004E2E10">
        <w:rPr>
          <w:rFonts w:ascii="Times New Roman" w:hAnsi="Times New Roman" w:cs="Times New Roman"/>
          <w:b/>
          <w:bCs/>
          <w:sz w:val="24"/>
          <w:szCs w:val="24"/>
        </w:rPr>
        <w:t>11</w:t>
      </w:r>
      <w:r>
        <w:rPr>
          <w:rFonts w:ascii="Times New Roman" w:hAnsi="Times New Roman" w:cs="Times New Roman"/>
          <w:b/>
          <w:bCs/>
          <w:sz w:val="24"/>
          <w:szCs w:val="24"/>
        </w:rPr>
        <w:t xml:space="preserve"> PCA analyses of </w:t>
      </w:r>
      <w:r>
        <w:rPr>
          <w:rFonts w:ascii="Times New Roman" w:hAnsi="Times New Roman" w:cs="Times New Roman"/>
          <w:b/>
          <w:bCs/>
          <w:i/>
          <w:iCs/>
          <w:sz w:val="24"/>
          <w:szCs w:val="24"/>
        </w:rPr>
        <w:t>A. baumannii</w:t>
      </w:r>
      <w:r>
        <w:rPr>
          <w:rFonts w:ascii="Times New Roman" w:hAnsi="Times New Roman" w:cs="Times New Roman"/>
          <w:b/>
          <w:bCs/>
          <w:sz w:val="24"/>
          <w:szCs w:val="24"/>
        </w:rPr>
        <w:t xml:space="preserve"> growth </w:t>
      </w:r>
    </w:p>
    <w:p w14:paraId="50EDED7E" w14:textId="77777777" w:rsidR="00704700" w:rsidRDefault="00704700" w:rsidP="00704700">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The areas under curves (AUCs) were calculated for the complemented strains  and analyzed using hierarchical clustering.  The principal component decomposition in the first and second principal components (PC1 and PC2) coordinates is shown. </w:t>
      </w:r>
    </w:p>
    <w:p w14:paraId="7DF56023" w14:textId="77777777" w:rsidR="0076120A" w:rsidRPr="00352D33" w:rsidRDefault="0076120A" w:rsidP="00C836F0">
      <w:pPr>
        <w:rPr>
          <w:rFonts w:asciiTheme="majorHAnsi" w:hAnsiTheme="majorHAnsi" w:cstheme="majorHAnsi"/>
          <w:b/>
          <w:bCs/>
          <w:sz w:val="24"/>
          <w:szCs w:val="24"/>
        </w:rPr>
      </w:pPr>
    </w:p>
    <w:p w14:paraId="3D30252B" w14:textId="3E838DFC" w:rsidR="00922C32" w:rsidRDefault="005637B9" w:rsidP="00C836F0">
      <w:pPr>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3094779D" wp14:editId="47859061">
            <wp:extent cx="5486400" cy="6472897"/>
            <wp:effectExtent l="0" t="0" r="0" b="4445"/>
            <wp:docPr id="213126368" name="Picture 9" descr="A group of graphs showing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6368" name="Picture 9" descr="A group of graphs showing different colored line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400" cy="6472897"/>
                    </a:xfrm>
                    <a:prstGeom prst="rect">
                      <a:avLst/>
                    </a:prstGeom>
                  </pic:spPr>
                </pic:pic>
              </a:graphicData>
            </a:graphic>
          </wp:inline>
        </w:drawing>
      </w:r>
    </w:p>
    <w:p w14:paraId="4EC7F836" w14:textId="1F28FBD4" w:rsidR="005637B9" w:rsidRDefault="005637B9" w:rsidP="00C836F0">
      <w:pPr>
        <w:rPr>
          <w:rFonts w:ascii="Times New Roman" w:hAnsi="Times New Roman" w:cs="Times New Roman"/>
          <w:b/>
          <w:bCs/>
          <w:noProof/>
          <w:sz w:val="24"/>
          <w:szCs w:val="24"/>
        </w:rPr>
      </w:pPr>
      <w:r>
        <w:rPr>
          <w:rFonts w:ascii="Times New Roman" w:hAnsi="Times New Roman" w:cs="Times New Roman"/>
          <w:b/>
          <w:bCs/>
          <w:noProof/>
          <w:sz w:val="24"/>
          <w:szCs w:val="24"/>
        </w:rPr>
        <w:t xml:space="preserve">Figure </w:t>
      </w:r>
      <w:r w:rsidR="005410AA">
        <w:rPr>
          <w:rFonts w:ascii="Times New Roman" w:hAnsi="Times New Roman" w:cs="Times New Roman"/>
          <w:b/>
          <w:bCs/>
          <w:noProof/>
          <w:sz w:val="24"/>
          <w:szCs w:val="24"/>
        </w:rPr>
        <w:t>3</w:t>
      </w:r>
      <w:r w:rsidRPr="005410AA">
        <w:rPr>
          <w:rFonts w:ascii="Times New Roman" w:hAnsi="Times New Roman" w:cs="Times New Roman"/>
          <w:b/>
          <w:bCs/>
          <w:noProof/>
          <w:sz w:val="24"/>
          <w:szCs w:val="24"/>
        </w:rPr>
        <w:t>.</w:t>
      </w:r>
      <w:r w:rsidR="004E2E10">
        <w:rPr>
          <w:rFonts w:ascii="Times New Roman" w:hAnsi="Times New Roman" w:cs="Times New Roman"/>
          <w:b/>
          <w:bCs/>
          <w:noProof/>
          <w:sz w:val="24"/>
          <w:szCs w:val="24"/>
        </w:rPr>
        <w:t>12</w:t>
      </w:r>
      <w:r w:rsidRPr="005410AA">
        <w:rPr>
          <w:rFonts w:ascii="Times New Roman" w:hAnsi="Times New Roman" w:cs="Times New Roman"/>
          <w:b/>
          <w:bCs/>
          <w:noProof/>
          <w:sz w:val="24"/>
          <w:szCs w:val="24"/>
        </w:rPr>
        <w:t xml:space="preserve"> -</w:t>
      </w:r>
      <w:r>
        <w:rPr>
          <w:rFonts w:ascii="Times New Roman" w:hAnsi="Times New Roman" w:cs="Times New Roman"/>
          <w:b/>
          <w:bCs/>
          <w:noProof/>
          <w:sz w:val="24"/>
          <w:szCs w:val="24"/>
        </w:rPr>
        <w:t xml:space="preserve"> </w:t>
      </w:r>
      <w:r w:rsidR="00352D33">
        <w:rPr>
          <w:rFonts w:ascii="Times New Roman" w:hAnsi="Times New Roman" w:cs="Times New Roman"/>
          <w:b/>
          <w:bCs/>
          <w:noProof/>
          <w:sz w:val="24"/>
          <w:szCs w:val="24"/>
        </w:rPr>
        <w:t>Fluorescence Uptake Analysis of NPN</w:t>
      </w:r>
    </w:p>
    <w:p w14:paraId="2385044F" w14:textId="7B24BE4E" w:rsidR="006C5E6D" w:rsidRPr="006C5E6D" w:rsidRDefault="006C5E6D" w:rsidP="000B0B6E">
      <w:pPr>
        <w:rPr>
          <w:rFonts w:asciiTheme="majorHAnsi" w:hAnsiTheme="majorHAnsi" w:cstheme="majorHAnsi"/>
          <w:sz w:val="24"/>
          <w:szCs w:val="24"/>
        </w:rPr>
      </w:pPr>
      <w:r>
        <w:rPr>
          <w:rFonts w:asciiTheme="majorHAnsi" w:hAnsiTheme="majorHAnsi" w:cstheme="majorHAnsi"/>
          <w:sz w:val="24"/>
          <w:szCs w:val="24"/>
        </w:rPr>
        <w:t>Intracellular accumulation of fluorescent membrane probe NPN. Indicated strains were grown in LB broth and induced with 1% L-arabinose when appropriate. Washed cells were injected into HMG buffer containing 4 µM NPN and the resulting fluorescence was monitored continuously for 10 minutes. The plots are changes in fluorescence intensity as a function of time. Error bars are SD (</w:t>
      </w:r>
      <w:r>
        <w:rPr>
          <w:rFonts w:asciiTheme="majorHAnsi" w:hAnsiTheme="majorHAnsi" w:cstheme="majorHAnsi"/>
          <w:i/>
          <w:iCs/>
          <w:sz w:val="24"/>
          <w:szCs w:val="24"/>
        </w:rPr>
        <w:t>n</w:t>
      </w:r>
      <w:r>
        <w:rPr>
          <w:rFonts w:asciiTheme="majorHAnsi" w:hAnsiTheme="majorHAnsi" w:cstheme="majorHAnsi"/>
          <w:sz w:val="24"/>
          <w:szCs w:val="24"/>
        </w:rPr>
        <w:t xml:space="preserve"> = 3). (</w:t>
      </w:r>
      <w:r>
        <w:rPr>
          <w:rFonts w:asciiTheme="majorHAnsi" w:hAnsiTheme="majorHAnsi" w:cstheme="majorHAnsi"/>
          <w:b/>
          <w:bCs/>
          <w:sz w:val="24"/>
          <w:szCs w:val="24"/>
        </w:rPr>
        <w:t>A</w:t>
      </w:r>
      <w:r>
        <w:rPr>
          <w:rFonts w:asciiTheme="majorHAnsi" w:hAnsiTheme="majorHAnsi" w:cstheme="majorHAnsi"/>
          <w:sz w:val="24"/>
          <w:szCs w:val="24"/>
        </w:rPr>
        <w:t xml:space="preserve">) Single and double deletions of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w:t>
      </w:r>
      <w:r>
        <w:rPr>
          <w:rFonts w:asciiTheme="majorHAnsi" w:hAnsiTheme="majorHAnsi" w:cstheme="majorHAnsi"/>
          <w:sz w:val="24"/>
          <w:szCs w:val="24"/>
        </w:rPr>
        <w:lastRenderedPageBreak/>
        <w:t xml:space="preserve">and </w:t>
      </w:r>
      <w:proofErr w:type="spellStart"/>
      <w:r>
        <w:rPr>
          <w:rFonts w:asciiTheme="majorHAnsi" w:hAnsiTheme="majorHAnsi" w:cstheme="majorHAnsi"/>
          <w:sz w:val="24"/>
          <w:szCs w:val="24"/>
        </w:rPr>
        <w:t>AmfCD</w:t>
      </w:r>
      <w:proofErr w:type="spellEnd"/>
      <w:r>
        <w:rPr>
          <w:rFonts w:asciiTheme="majorHAnsi" w:hAnsiTheme="majorHAnsi" w:cstheme="majorHAnsi"/>
          <w:sz w:val="24"/>
          <w:szCs w:val="24"/>
        </w:rPr>
        <w:t xml:space="preserve"> in the </w:t>
      </w:r>
      <w:proofErr w:type="spellStart"/>
      <w:r>
        <w:rPr>
          <w:rFonts w:asciiTheme="majorHAnsi" w:hAnsiTheme="majorHAnsi" w:cstheme="majorHAnsi"/>
          <w:sz w:val="24"/>
          <w:szCs w:val="24"/>
        </w:rPr>
        <w:t>AbWT</w:t>
      </w:r>
      <w:proofErr w:type="spellEnd"/>
      <w:r>
        <w:rPr>
          <w:rFonts w:asciiTheme="majorHAnsi" w:hAnsiTheme="majorHAnsi" w:cstheme="majorHAnsi"/>
          <w:sz w:val="24"/>
          <w:szCs w:val="24"/>
        </w:rPr>
        <w:t xml:space="preserve"> genetic background. (</w:t>
      </w:r>
      <w:r>
        <w:rPr>
          <w:rFonts w:asciiTheme="majorHAnsi" w:hAnsiTheme="majorHAnsi" w:cstheme="majorHAnsi"/>
          <w:b/>
          <w:bCs/>
          <w:sz w:val="24"/>
          <w:szCs w:val="24"/>
        </w:rPr>
        <w:t>B</w:t>
      </w:r>
      <w:r>
        <w:rPr>
          <w:rFonts w:asciiTheme="majorHAnsi" w:hAnsiTheme="majorHAnsi" w:cstheme="majorHAnsi"/>
          <w:sz w:val="24"/>
          <w:szCs w:val="24"/>
        </w:rPr>
        <w:t xml:space="preserve">) Single and double </w:t>
      </w:r>
      <w:proofErr w:type="spellStart"/>
      <w:r>
        <w:rPr>
          <w:rFonts w:asciiTheme="majorHAnsi" w:hAnsiTheme="majorHAnsi" w:cstheme="majorHAnsi"/>
          <w:sz w:val="24"/>
          <w:szCs w:val="24"/>
        </w:rPr>
        <w:t>AmfAB</w:t>
      </w:r>
      <w:proofErr w:type="spellEnd"/>
      <w:r>
        <w:rPr>
          <w:rFonts w:asciiTheme="majorHAnsi" w:hAnsiTheme="majorHAnsi" w:cstheme="majorHAnsi"/>
          <w:sz w:val="24"/>
          <w:szCs w:val="24"/>
        </w:rPr>
        <w:t xml:space="preserve"> and </w:t>
      </w:r>
      <w:proofErr w:type="spellStart"/>
      <w:r>
        <w:rPr>
          <w:rFonts w:asciiTheme="majorHAnsi" w:hAnsiTheme="majorHAnsi" w:cstheme="majorHAnsi"/>
          <w:sz w:val="24"/>
          <w:szCs w:val="24"/>
        </w:rPr>
        <w:t>AmfCD</w:t>
      </w:r>
      <w:proofErr w:type="spellEnd"/>
      <w:r>
        <w:rPr>
          <w:rFonts w:asciiTheme="majorHAnsi" w:hAnsiTheme="majorHAnsi" w:cstheme="majorHAnsi"/>
          <w:sz w:val="24"/>
          <w:szCs w:val="24"/>
        </w:rPr>
        <w:t xml:space="preserve"> deletions in Ab</w:t>
      </w:r>
      <w:r w:rsidRPr="00932E92">
        <w:rPr>
          <w:sz w:val="24"/>
          <w:szCs w:val="24"/>
        </w:rPr>
        <w:t>∆</w:t>
      </w:r>
      <w:r>
        <w:rPr>
          <w:sz w:val="24"/>
          <w:szCs w:val="24"/>
        </w:rPr>
        <w:t>3 genetic background. (</w:t>
      </w:r>
      <w:r>
        <w:rPr>
          <w:b/>
          <w:bCs/>
          <w:sz w:val="24"/>
          <w:szCs w:val="24"/>
        </w:rPr>
        <w:t>C</w:t>
      </w:r>
      <w:r>
        <w:rPr>
          <w:sz w:val="24"/>
          <w:szCs w:val="24"/>
        </w:rPr>
        <w:t xml:space="preserve">) Overproduction of </w:t>
      </w:r>
      <w:proofErr w:type="spellStart"/>
      <w:r>
        <w:rPr>
          <w:sz w:val="24"/>
          <w:szCs w:val="24"/>
        </w:rPr>
        <w:t>AmfCD</w:t>
      </w:r>
      <w:proofErr w:type="spellEnd"/>
      <w:r>
        <w:rPr>
          <w:sz w:val="24"/>
          <w:szCs w:val="24"/>
        </w:rPr>
        <w:t xml:space="preserve"> in </w:t>
      </w:r>
      <w:proofErr w:type="spellStart"/>
      <w:r>
        <w:rPr>
          <w:sz w:val="24"/>
          <w:szCs w:val="24"/>
        </w:rPr>
        <w:t>AbWT</w:t>
      </w:r>
      <w:proofErr w:type="spellEnd"/>
      <w:r>
        <w:rPr>
          <w:sz w:val="24"/>
          <w:szCs w:val="24"/>
        </w:rPr>
        <w:t xml:space="preserve"> and Ab</w:t>
      </w:r>
      <w:r w:rsidRPr="00932E92">
        <w:rPr>
          <w:sz w:val="24"/>
          <w:szCs w:val="24"/>
        </w:rPr>
        <w:t>∆</w:t>
      </w:r>
      <w:r>
        <w:rPr>
          <w:sz w:val="24"/>
          <w:szCs w:val="24"/>
        </w:rPr>
        <w:t>2 backgrounds. (</w:t>
      </w:r>
      <w:r>
        <w:rPr>
          <w:b/>
          <w:bCs/>
          <w:sz w:val="24"/>
          <w:szCs w:val="24"/>
        </w:rPr>
        <w:t>D</w:t>
      </w:r>
      <w:r>
        <w:rPr>
          <w:sz w:val="24"/>
          <w:szCs w:val="24"/>
        </w:rPr>
        <w:t xml:space="preserve">) Overproduction of </w:t>
      </w:r>
      <w:proofErr w:type="spellStart"/>
      <w:r>
        <w:rPr>
          <w:sz w:val="24"/>
          <w:szCs w:val="24"/>
        </w:rPr>
        <w:t>AmfAB</w:t>
      </w:r>
      <w:proofErr w:type="spellEnd"/>
      <w:r>
        <w:rPr>
          <w:sz w:val="24"/>
          <w:szCs w:val="24"/>
        </w:rPr>
        <w:t xml:space="preserve"> in </w:t>
      </w:r>
      <w:proofErr w:type="spellStart"/>
      <w:r>
        <w:rPr>
          <w:sz w:val="24"/>
          <w:szCs w:val="24"/>
        </w:rPr>
        <w:t>AbWT</w:t>
      </w:r>
      <w:proofErr w:type="spellEnd"/>
      <w:r>
        <w:rPr>
          <w:sz w:val="24"/>
          <w:szCs w:val="24"/>
        </w:rPr>
        <w:t xml:space="preserve"> and Ab</w:t>
      </w:r>
      <w:r w:rsidRPr="00932E92">
        <w:rPr>
          <w:sz w:val="24"/>
          <w:szCs w:val="24"/>
        </w:rPr>
        <w:t>∆</w:t>
      </w:r>
      <w:r>
        <w:rPr>
          <w:sz w:val="24"/>
          <w:szCs w:val="24"/>
        </w:rPr>
        <w:t>2 backgrounds.(</w:t>
      </w:r>
      <w:r>
        <w:rPr>
          <w:b/>
          <w:bCs/>
          <w:sz w:val="24"/>
          <w:szCs w:val="24"/>
        </w:rPr>
        <w:t>E</w:t>
      </w:r>
      <w:r>
        <w:rPr>
          <w:sz w:val="24"/>
          <w:szCs w:val="24"/>
        </w:rPr>
        <w:t xml:space="preserve">) Overproduction of </w:t>
      </w:r>
      <w:proofErr w:type="spellStart"/>
      <w:r>
        <w:rPr>
          <w:sz w:val="24"/>
          <w:szCs w:val="24"/>
        </w:rPr>
        <w:t>AmfCD</w:t>
      </w:r>
      <w:proofErr w:type="spellEnd"/>
      <w:r>
        <w:rPr>
          <w:sz w:val="24"/>
          <w:szCs w:val="24"/>
        </w:rPr>
        <w:t xml:space="preserve"> in Ab</w:t>
      </w:r>
      <w:r w:rsidRPr="00932E92">
        <w:rPr>
          <w:sz w:val="24"/>
          <w:szCs w:val="24"/>
        </w:rPr>
        <w:t>∆</w:t>
      </w:r>
      <w:r>
        <w:rPr>
          <w:sz w:val="24"/>
          <w:szCs w:val="24"/>
        </w:rPr>
        <w:t>3 and Ab</w:t>
      </w:r>
      <w:r w:rsidRPr="00932E92">
        <w:rPr>
          <w:sz w:val="24"/>
          <w:szCs w:val="24"/>
        </w:rPr>
        <w:t>∆</w:t>
      </w:r>
      <w:r>
        <w:rPr>
          <w:sz w:val="24"/>
          <w:szCs w:val="24"/>
        </w:rPr>
        <w:t>5 backgrounds. (</w:t>
      </w:r>
      <w:r>
        <w:rPr>
          <w:b/>
          <w:bCs/>
          <w:sz w:val="24"/>
          <w:szCs w:val="24"/>
        </w:rPr>
        <w:t>F</w:t>
      </w:r>
      <w:r>
        <w:rPr>
          <w:sz w:val="24"/>
          <w:szCs w:val="24"/>
        </w:rPr>
        <w:t xml:space="preserve">) Overproduction of </w:t>
      </w:r>
      <w:proofErr w:type="spellStart"/>
      <w:r>
        <w:rPr>
          <w:sz w:val="24"/>
          <w:szCs w:val="24"/>
        </w:rPr>
        <w:t>AmfAB</w:t>
      </w:r>
      <w:proofErr w:type="spellEnd"/>
      <w:r>
        <w:rPr>
          <w:sz w:val="24"/>
          <w:szCs w:val="24"/>
        </w:rPr>
        <w:t xml:space="preserve"> in Ab</w:t>
      </w:r>
      <w:r w:rsidRPr="00932E92">
        <w:rPr>
          <w:sz w:val="24"/>
          <w:szCs w:val="24"/>
        </w:rPr>
        <w:t>∆</w:t>
      </w:r>
      <w:r>
        <w:rPr>
          <w:sz w:val="24"/>
          <w:szCs w:val="24"/>
        </w:rPr>
        <w:t>3 and Ab</w:t>
      </w:r>
      <w:r w:rsidRPr="00932E92">
        <w:rPr>
          <w:sz w:val="24"/>
          <w:szCs w:val="24"/>
        </w:rPr>
        <w:t>∆</w:t>
      </w:r>
      <w:r>
        <w:rPr>
          <w:sz w:val="24"/>
          <w:szCs w:val="24"/>
        </w:rPr>
        <w:t>5 backgrounds.</w:t>
      </w:r>
    </w:p>
    <w:p w14:paraId="14A7A111" w14:textId="397F991B" w:rsidR="00932E92" w:rsidRPr="00527841" w:rsidRDefault="002003F9" w:rsidP="00A42669">
      <w:pPr>
        <w:spacing w:before="120" w:after="120" w:line="360" w:lineRule="auto"/>
        <w:rPr>
          <w:rFonts w:ascii="Times New Roman" w:hAnsi="Times New Roman" w:cs="Times New Roman"/>
          <w:sz w:val="24"/>
          <w:szCs w:val="24"/>
          <w:u w:val="single"/>
        </w:rPr>
      </w:pPr>
      <w:r w:rsidRPr="00527841">
        <w:rPr>
          <w:rFonts w:ascii="Times New Roman" w:hAnsi="Times New Roman" w:cs="Times New Roman"/>
          <w:sz w:val="24"/>
          <w:szCs w:val="24"/>
          <w:u w:val="single"/>
        </w:rPr>
        <w:t>3.3.</w:t>
      </w:r>
      <w:r w:rsidR="004F705E">
        <w:rPr>
          <w:rFonts w:ascii="Times New Roman" w:hAnsi="Times New Roman" w:cs="Times New Roman"/>
          <w:sz w:val="24"/>
          <w:szCs w:val="24"/>
          <w:u w:val="single"/>
        </w:rPr>
        <w:t>7</w:t>
      </w:r>
      <w:r w:rsidRPr="00527841">
        <w:rPr>
          <w:rFonts w:ascii="Times New Roman" w:hAnsi="Times New Roman" w:cs="Times New Roman"/>
          <w:sz w:val="24"/>
          <w:szCs w:val="24"/>
          <w:u w:val="single"/>
        </w:rPr>
        <w:t xml:space="preserve"> </w:t>
      </w:r>
      <w:r w:rsidR="00932E92" w:rsidRPr="00527841">
        <w:rPr>
          <w:rFonts w:ascii="Times New Roman" w:hAnsi="Times New Roman" w:cs="Times New Roman"/>
          <w:sz w:val="24"/>
          <w:szCs w:val="24"/>
          <w:u w:val="single"/>
        </w:rPr>
        <w:t xml:space="preserve">Principal </w:t>
      </w:r>
      <w:r w:rsidR="00527841">
        <w:rPr>
          <w:rFonts w:ascii="Times New Roman" w:hAnsi="Times New Roman" w:cs="Times New Roman"/>
          <w:sz w:val="24"/>
          <w:szCs w:val="24"/>
          <w:u w:val="single"/>
        </w:rPr>
        <w:t>c</w:t>
      </w:r>
      <w:r w:rsidR="00932E92" w:rsidRPr="00527841">
        <w:rPr>
          <w:rFonts w:ascii="Times New Roman" w:hAnsi="Times New Roman" w:cs="Times New Roman"/>
          <w:sz w:val="24"/>
          <w:szCs w:val="24"/>
          <w:u w:val="single"/>
        </w:rPr>
        <w:t xml:space="preserve">omponent </w:t>
      </w:r>
      <w:r w:rsidR="00527841">
        <w:rPr>
          <w:rFonts w:ascii="Times New Roman" w:hAnsi="Times New Roman" w:cs="Times New Roman"/>
          <w:sz w:val="24"/>
          <w:szCs w:val="24"/>
          <w:u w:val="single"/>
        </w:rPr>
        <w:t>a</w:t>
      </w:r>
      <w:r w:rsidR="00932E92" w:rsidRPr="00527841">
        <w:rPr>
          <w:rFonts w:ascii="Times New Roman" w:hAnsi="Times New Roman" w:cs="Times New Roman"/>
          <w:sz w:val="24"/>
          <w:szCs w:val="24"/>
          <w:u w:val="single"/>
        </w:rPr>
        <w:t xml:space="preserve">nalysis </w:t>
      </w:r>
      <w:r w:rsidR="00527841">
        <w:rPr>
          <w:rFonts w:ascii="Times New Roman" w:hAnsi="Times New Roman" w:cs="Times New Roman"/>
          <w:sz w:val="24"/>
          <w:szCs w:val="24"/>
          <w:u w:val="single"/>
        </w:rPr>
        <w:t>r</w:t>
      </w:r>
      <w:r w:rsidR="00932E92" w:rsidRPr="00527841">
        <w:rPr>
          <w:rFonts w:ascii="Times New Roman" w:hAnsi="Times New Roman" w:cs="Times New Roman"/>
          <w:sz w:val="24"/>
          <w:szCs w:val="24"/>
          <w:u w:val="single"/>
        </w:rPr>
        <w:t xml:space="preserve">eveals </w:t>
      </w:r>
      <w:r w:rsidR="00527841">
        <w:rPr>
          <w:rFonts w:ascii="Times New Roman" w:hAnsi="Times New Roman" w:cs="Times New Roman"/>
          <w:sz w:val="24"/>
          <w:szCs w:val="24"/>
          <w:u w:val="single"/>
        </w:rPr>
        <w:t>d</w:t>
      </w:r>
      <w:r w:rsidR="00932E92" w:rsidRPr="00527841">
        <w:rPr>
          <w:rFonts w:ascii="Times New Roman" w:hAnsi="Times New Roman" w:cs="Times New Roman"/>
          <w:sz w:val="24"/>
          <w:szCs w:val="24"/>
          <w:u w:val="single"/>
        </w:rPr>
        <w:t xml:space="preserve">ifferences between the </w:t>
      </w:r>
      <w:proofErr w:type="gramStart"/>
      <w:r w:rsidR="00527841">
        <w:rPr>
          <w:rFonts w:ascii="Times New Roman" w:hAnsi="Times New Roman" w:cs="Times New Roman"/>
          <w:sz w:val="24"/>
          <w:szCs w:val="24"/>
          <w:u w:val="single"/>
        </w:rPr>
        <w:t>s</w:t>
      </w:r>
      <w:r w:rsidR="00932E92" w:rsidRPr="00527841">
        <w:rPr>
          <w:rFonts w:ascii="Times New Roman" w:hAnsi="Times New Roman" w:cs="Times New Roman"/>
          <w:sz w:val="24"/>
          <w:szCs w:val="24"/>
          <w:u w:val="single"/>
        </w:rPr>
        <w:t>trains</w:t>
      </w:r>
      <w:proofErr w:type="gramEnd"/>
    </w:p>
    <w:p w14:paraId="66F7C6B5" w14:textId="276C6B8C" w:rsidR="00932E92" w:rsidRPr="00932E92" w:rsidRDefault="00932E92" w:rsidP="00932E92">
      <w:pPr>
        <w:spacing w:before="120" w:after="120" w:line="360" w:lineRule="auto"/>
        <w:ind w:firstLine="720"/>
        <w:rPr>
          <w:rFonts w:ascii="Times New Roman" w:hAnsi="Times New Roman" w:cs="Times New Roman"/>
          <w:sz w:val="32"/>
          <w:szCs w:val="32"/>
        </w:rPr>
      </w:pPr>
      <w:r w:rsidRPr="00932E92">
        <w:rPr>
          <w:sz w:val="24"/>
          <w:szCs w:val="24"/>
        </w:rPr>
        <w:t xml:space="preserve">To compare the growth phenotypes of the constructed strains, </w:t>
      </w:r>
      <w:r w:rsidR="001D4242">
        <w:rPr>
          <w:sz w:val="24"/>
          <w:szCs w:val="24"/>
        </w:rPr>
        <w:t>Dr. Justyna Adamiak</w:t>
      </w:r>
      <w:r w:rsidRPr="00932E92">
        <w:rPr>
          <w:sz w:val="24"/>
          <w:szCs w:val="24"/>
        </w:rPr>
        <w:t xml:space="preserve"> carried out the principal component analysis (PCA) of the AUC values calculated for the averaged growth curves of all strains under the analyzed growth conditions</w:t>
      </w:r>
      <w:r w:rsidR="0091565F">
        <w:rPr>
          <w:sz w:val="24"/>
          <w:szCs w:val="24"/>
        </w:rPr>
        <w:t xml:space="preserve"> (</w:t>
      </w:r>
      <w:r w:rsidR="0091565F">
        <w:rPr>
          <w:b/>
          <w:bCs/>
          <w:sz w:val="24"/>
          <w:szCs w:val="24"/>
        </w:rPr>
        <w:t>Table 3.</w:t>
      </w:r>
      <w:r w:rsidR="000E3912">
        <w:rPr>
          <w:b/>
          <w:bCs/>
          <w:sz w:val="24"/>
          <w:szCs w:val="24"/>
        </w:rPr>
        <w:t>7</w:t>
      </w:r>
      <w:r w:rsidR="0091565F">
        <w:rPr>
          <w:sz w:val="24"/>
          <w:szCs w:val="24"/>
        </w:rPr>
        <w:t>)</w:t>
      </w:r>
      <w:r w:rsidRPr="00932E92">
        <w:rPr>
          <w:sz w:val="24"/>
          <w:szCs w:val="24"/>
        </w:rPr>
        <w:t>. The relationships between overproducers are</w:t>
      </w:r>
      <w:r w:rsidR="005B0D90">
        <w:rPr>
          <w:sz w:val="24"/>
          <w:szCs w:val="24"/>
        </w:rPr>
        <w:t xml:space="preserve"> </w:t>
      </w:r>
      <w:r w:rsidRPr="00932E92">
        <w:rPr>
          <w:sz w:val="24"/>
          <w:szCs w:val="24"/>
        </w:rPr>
        <w:t xml:space="preserve">complex, reflecting the dependence of the phenotypes on specific plasmid-borne pumps and genetic backgrounds </w:t>
      </w:r>
      <w:r w:rsidR="00D860E9">
        <w:rPr>
          <w:sz w:val="24"/>
          <w:szCs w:val="24"/>
        </w:rPr>
        <w:t>(</w:t>
      </w:r>
      <w:r w:rsidR="00D860E9">
        <w:rPr>
          <w:b/>
          <w:bCs/>
          <w:sz w:val="24"/>
          <w:szCs w:val="24"/>
        </w:rPr>
        <w:t>Figure 3.1</w:t>
      </w:r>
      <w:r w:rsidR="004E2E10">
        <w:rPr>
          <w:b/>
          <w:bCs/>
          <w:sz w:val="24"/>
          <w:szCs w:val="24"/>
        </w:rPr>
        <w:t>1</w:t>
      </w:r>
      <w:r w:rsidR="00D860E9">
        <w:rPr>
          <w:sz w:val="24"/>
          <w:szCs w:val="24"/>
        </w:rPr>
        <w:t>)</w:t>
      </w:r>
      <w:r w:rsidRPr="00932E92">
        <w:rPr>
          <w:sz w:val="24"/>
          <w:szCs w:val="24"/>
        </w:rPr>
        <w:t xml:space="preserve">. The PC1 and PC2 explain ~76% of the total variance and separated </w:t>
      </w:r>
      <w:proofErr w:type="spellStart"/>
      <w:r w:rsidRPr="00932E92">
        <w:rPr>
          <w:sz w:val="24"/>
          <w:szCs w:val="24"/>
        </w:rPr>
        <w:t>AbWT</w:t>
      </w:r>
      <w:proofErr w:type="spellEnd"/>
      <w:r w:rsidRPr="00932E92">
        <w:rPr>
          <w:sz w:val="24"/>
          <w:szCs w:val="24"/>
        </w:rPr>
        <w:t xml:space="preserve"> from the rest of the strains, demonstrating that overproduction of either </w:t>
      </w:r>
      <w:proofErr w:type="spellStart"/>
      <w:r w:rsidRPr="00932E92">
        <w:rPr>
          <w:sz w:val="24"/>
          <w:szCs w:val="24"/>
        </w:rPr>
        <w:t>AmfAB</w:t>
      </w:r>
      <w:proofErr w:type="spellEnd"/>
      <w:r w:rsidRPr="00932E92">
        <w:rPr>
          <w:sz w:val="24"/>
          <w:szCs w:val="24"/>
        </w:rPr>
        <w:t xml:space="preserve"> or </w:t>
      </w:r>
      <w:proofErr w:type="spellStart"/>
      <w:r w:rsidRPr="00932E92">
        <w:rPr>
          <w:sz w:val="24"/>
          <w:szCs w:val="24"/>
        </w:rPr>
        <w:t>AmfCD</w:t>
      </w:r>
      <w:proofErr w:type="spellEnd"/>
      <w:r w:rsidRPr="00932E92">
        <w:rPr>
          <w:sz w:val="24"/>
          <w:szCs w:val="24"/>
        </w:rPr>
        <w:t xml:space="preserve"> does not fully complement their deletion phenotypes. In addition, </w:t>
      </w:r>
      <w:proofErr w:type="spellStart"/>
      <w:r w:rsidR="003C480B">
        <w:rPr>
          <w:sz w:val="24"/>
          <w:szCs w:val="24"/>
        </w:rPr>
        <w:t>Ab</w:t>
      </w:r>
      <w:r w:rsidRPr="00932E92">
        <w:rPr>
          <w:sz w:val="24"/>
          <w:szCs w:val="24"/>
        </w:rPr>
        <w:t>WT</w:t>
      </w:r>
      <w:proofErr w:type="spellEnd"/>
      <w:r w:rsidRPr="00932E92">
        <w:rPr>
          <w:sz w:val="24"/>
          <w:szCs w:val="24"/>
        </w:rPr>
        <w:t>(</w:t>
      </w:r>
      <w:proofErr w:type="spellStart"/>
      <w:r w:rsidRPr="00932E92">
        <w:rPr>
          <w:sz w:val="24"/>
          <w:szCs w:val="24"/>
        </w:rPr>
        <w:t>pAmfAB</w:t>
      </w:r>
      <w:proofErr w:type="spellEnd"/>
      <w:r w:rsidRPr="00932E92">
        <w:rPr>
          <w:sz w:val="24"/>
          <w:szCs w:val="24"/>
        </w:rPr>
        <w:t xml:space="preserve">) and </w:t>
      </w:r>
      <w:proofErr w:type="spellStart"/>
      <w:r w:rsidR="003C480B">
        <w:rPr>
          <w:sz w:val="24"/>
          <w:szCs w:val="24"/>
        </w:rPr>
        <w:t>Ab</w:t>
      </w:r>
      <w:r w:rsidRPr="00932E92">
        <w:rPr>
          <w:sz w:val="24"/>
          <w:szCs w:val="24"/>
        </w:rPr>
        <w:t>WT</w:t>
      </w:r>
      <w:proofErr w:type="spellEnd"/>
      <w:r w:rsidRPr="00932E92">
        <w:rPr>
          <w:sz w:val="24"/>
          <w:szCs w:val="24"/>
        </w:rPr>
        <w:t>(</w:t>
      </w:r>
      <w:proofErr w:type="spellStart"/>
      <w:r w:rsidRPr="00932E92">
        <w:rPr>
          <w:sz w:val="24"/>
          <w:szCs w:val="24"/>
        </w:rPr>
        <w:t>pAmfCD</w:t>
      </w:r>
      <w:proofErr w:type="spellEnd"/>
      <w:r w:rsidRPr="00932E92">
        <w:rPr>
          <w:sz w:val="24"/>
          <w:szCs w:val="24"/>
        </w:rPr>
        <w:t xml:space="preserve">) are distant from each other and other strains. This separation is likely due to the finding that the overproduction of </w:t>
      </w:r>
      <w:proofErr w:type="spellStart"/>
      <w:r w:rsidRPr="00932E92">
        <w:rPr>
          <w:sz w:val="24"/>
          <w:szCs w:val="24"/>
        </w:rPr>
        <w:t>AmfAB</w:t>
      </w:r>
      <w:proofErr w:type="spellEnd"/>
      <w:r w:rsidRPr="00932E92">
        <w:rPr>
          <w:sz w:val="24"/>
          <w:szCs w:val="24"/>
        </w:rPr>
        <w:t xml:space="preserve"> was the most toxic to the cells.</w:t>
      </w:r>
    </w:p>
    <w:p w14:paraId="27AB7D7F" w14:textId="6D9E82CE" w:rsidR="00932E92" w:rsidRPr="00527841" w:rsidRDefault="00527841" w:rsidP="00A42669">
      <w:pPr>
        <w:spacing w:before="120" w:after="120" w:line="360" w:lineRule="auto"/>
        <w:rPr>
          <w:rFonts w:ascii="Times New Roman" w:hAnsi="Times New Roman" w:cs="Times New Roman"/>
          <w:sz w:val="24"/>
          <w:szCs w:val="24"/>
          <w:u w:val="single"/>
        </w:rPr>
      </w:pPr>
      <w:r w:rsidRPr="00527841">
        <w:rPr>
          <w:rFonts w:ascii="Times New Roman" w:hAnsi="Times New Roman" w:cs="Times New Roman"/>
          <w:sz w:val="24"/>
          <w:szCs w:val="24"/>
          <w:u w:val="single"/>
        </w:rPr>
        <w:t>3.3.</w:t>
      </w:r>
      <w:r w:rsidR="004F705E">
        <w:rPr>
          <w:rFonts w:ascii="Times New Roman" w:hAnsi="Times New Roman" w:cs="Times New Roman"/>
          <w:sz w:val="24"/>
          <w:szCs w:val="24"/>
          <w:u w:val="single"/>
        </w:rPr>
        <w:t>8</w:t>
      </w:r>
      <w:r w:rsidRPr="00527841">
        <w:rPr>
          <w:rFonts w:ascii="Times New Roman" w:hAnsi="Times New Roman" w:cs="Times New Roman"/>
          <w:sz w:val="24"/>
          <w:szCs w:val="24"/>
          <w:u w:val="single"/>
        </w:rPr>
        <w:t xml:space="preserve"> </w:t>
      </w:r>
      <w:r w:rsidR="00A42669" w:rsidRPr="00527841">
        <w:rPr>
          <w:rFonts w:ascii="Times New Roman" w:hAnsi="Times New Roman" w:cs="Times New Roman"/>
          <w:sz w:val="24"/>
          <w:szCs w:val="24"/>
          <w:u w:val="single"/>
        </w:rPr>
        <w:t xml:space="preserve">Efflux pump overproducers modify the permeability barrier of </w:t>
      </w:r>
      <w:r w:rsidR="00A42669" w:rsidRPr="00527841">
        <w:rPr>
          <w:rFonts w:ascii="Times New Roman" w:hAnsi="Times New Roman" w:cs="Times New Roman"/>
          <w:i/>
          <w:iCs/>
          <w:sz w:val="24"/>
          <w:szCs w:val="24"/>
          <w:u w:val="single"/>
        </w:rPr>
        <w:t xml:space="preserve">A. </w:t>
      </w:r>
      <w:proofErr w:type="gramStart"/>
      <w:r w:rsidR="00A42669" w:rsidRPr="00527841">
        <w:rPr>
          <w:rFonts w:ascii="Times New Roman" w:hAnsi="Times New Roman" w:cs="Times New Roman"/>
          <w:i/>
          <w:iCs/>
          <w:sz w:val="24"/>
          <w:szCs w:val="24"/>
          <w:u w:val="single"/>
        </w:rPr>
        <w:t>baumannii</w:t>
      </w:r>
      <w:proofErr w:type="gramEnd"/>
    </w:p>
    <w:p w14:paraId="5717F2FD" w14:textId="21DFF4E5" w:rsidR="00932E92" w:rsidRPr="00932E92" w:rsidRDefault="00932E92" w:rsidP="00932E92">
      <w:pPr>
        <w:spacing w:after="0" w:line="360" w:lineRule="auto"/>
        <w:ind w:firstLine="720"/>
        <w:rPr>
          <w:rFonts w:ascii="Times New Roman" w:eastAsia="Times New Roman" w:hAnsi="Times New Roman" w:cs="Times New Roman"/>
          <w:sz w:val="24"/>
          <w:szCs w:val="24"/>
          <w14:ligatures w14:val="none"/>
        </w:rPr>
      </w:pPr>
      <w:r w:rsidRPr="00932E92">
        <w:rPr>
          <w:rFonts w:ascii="Times New Roman" w:eastAsia="Times New Roman" w:hAnsi="Times New Roman" w:cs="Times New Roman"/>
          <w:sz w:val="24"/>
          <w:szCs w:val="24"/>
          <w14:ligatures w14:val="none"/>
        </w:rPr>
        <w:t xml:space="preserve">The involvement of efflux pumps in acid tolerance suggests that their functions are important for the adaptation to this stress. Previous studies implicated the RND pumps of </w:t>
      </w:r>
      <w:r w:rsidRPr="005B0D90">
        <w:rPr>
          <w:rFonts w:ascii="Times New Roman" w:eastAsia="Times New Roman" w:hAnsi="Times New Roman" w:cs="Times New Roman"/>
          <w:i/>
          <w:iCs/>
          <w:sz w:val="24"/>
          <w:szCs w:val="24"/>
          <w14:ligatures w14:val="none"/>
        </w:rPr>
        <w:t>A. baumannii</w:t>
      </w:r>
      <w:r w:rsidRPr="00932E92">
        <w:rPr>
          <w:rFonts w:ascii="Times New Roman" w:eastAsia="Times New Roman" w:hAnsi="Times New Roman" w:cs="Times New Roman"/>
          <w:sz w:val="24"/>
          <w:szCs w:val="24"/>
          <w14:ligatures w14:val="none"/>
        </w:rPr>
        <w:t xml:space="preserve"> in the maintenance of lipid composition of the cellular membranes</w:t>
      </w:r>
      <w:r w:rsidR="00A13C5A">
        <w:rPr>
          <w:rFonts w:ascii="Times New Roman" w:eastAsia="Times New Roman" w:hAnsi="Times New Roman" w:cs="Times New Roman"/>
          <w:sz w:val="24"/>
          <w:szCs w:val="24"/>
          <w14:ligatures w14:val="none"/>
        </w:rPr>
        <w:t>.</w:t>
      </w:r>
      <w:r w:rsidR="00A13C5A">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{"citationID":"JOmnn3im","properties":{"formattedCitation":"\\super 52,143\\nosupersub{}","plainCitation":"52,143","noteIndex":0},"citationItems":[{"id":1173,"uris":["http://zotero.org/users/1918630/items/UM9GT5BB"],"itemData":{"id":1173,"type":"article-journal","abstract":"Antibiotic-resistant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I."}],"issued":{"date-parts":[["2018",7,1]]}}},{"id":1670,"uris":["http://zotero.org/users/1918630/items/MU9JRPZ8"],"itemData":{"id":1670,"type":"article-journal","abstract":"Free fatty acids hold important immune-modulatory roles during infection. However, the host's long-chain polyunsaturated fatty acids, not commonly found in the membranes of bacterial pathogens, also have significant broad-spectrum antibacterial potential. Of these, the omega-6 fatty acid arachidonic acid (AA) and the omega-3 fatty acid decosahexaenoic acid (DHA) are highly abundant; hence, we investigated their effects on the multidrug-resistant human pathogen Acinetobacter baumannii Our analyses reveal that AA and DHA incorporate into the A. baumannii bacterial membrane and impact bacterial fitness and membrane integrity, with DHA having a more pronounced effect. Through transcriptional profiling and mutant analyses, we show that the A. baumannii β-oxidation pathway plays a protective role against AA and DHA, by limiting their incorporation into the phospholipids of the bacterial membrane. Furthermore, our study identified a second bacterial membrane protection system mediated by the AdeIJK efflux system, which modulates the lipid content of the membrane via direct efflux of lipids other than AA and DHA, thereby providing a novel function for this major efflux system in A. baumannii This is the first study to examine the antimicrobial effects of host fatty acids on A. baumannii and highlights the potential of AA and DHA to protect against A. baumannii infections.IMPORTANCE A shift in the Western diet since the industrial revolution has resulted in a dramatic increase in the consumption of omega-6 fatty acids, with a concurrent decrease in the consumption of omega-3 fatty acids. This decrease in omega-3 fatty acid consumption has been associated with significant disease burden, including increased susceptibility to infectious diseases. Here we provide evidence that DHA, an omega-3 fatty acid, has superior antimicrobial effects upon the highly drug-resistant pathogen Acinetobacter baumannii, thereby providing insights into one of the potential health benefits of omega-3 fatty acids. The identification and characterization of two novel bacterial membrane protective mechanisms against host fatty acids provide important insights into A. baumannii adaptation during disease. Furthermore, we describe a novel role for the major multidrug efflux system AdeIJK in A. baumannii membrane maintenance and lipid transport. This core function, beyond drug efflux, increases the appeal of AdeIJK as a therapeutic target.","container-title":"mBio","DOI":"10.1128/mBio.02056-18","ISSN":"2150-7511","issue":"1","journalAbbreviation":"mBio","language":"eng","note":"PMID: 30723122\nPMCID: PMC6428749","page":"e02056-18","source":"PubMed","title":"Identification of Novel Acinetobacter baumannii Host Fatty Acid Stress Adaptation Strategies","volume":"10","author":[{"family":"Jiang","given":"Jhih-Hang"},{"family":"Hassan","given":"Karl A."},{"family":"Begg","given":"Stephanie L."},{"family":"Rupasinghe","given":"Thusitha W. T."},{"family":"Naidu","given":"Varsha"},{"family":"Pederick","given":"Victoria G."},{"family":"Khorvash","given":"Marjan"},{"family":"Whittall","given":"Jonathan J."},{"family":"Paton","given":"James C."},{"family":"Paulsen","given":"Ian T."},{"family":"McDevitt","given":"Christopher A."},{"family":"Peleg","given":"Anton Y."},{"family":"Eijkelkamp","given":"Bart A."}],"issued":{"date-parts":[["2019",2,5]]}}}],"schema":"https://github.com/citation-style-language/schema/raw/master/csl-citation.json"} </w:instrText>
      </w:r>
      <w:r w:rsidR="00A13C5A">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52,143</w:t>
      </w:r>
      <w:r w:rsidR="00A13C5A">
        <w:rPr>
          <w:rFonts w:ascii="Times New Roman" w:eastAsia="Times New Roman" w:hAnsi="Times New Roman" w:cs="Times New Roman"/>
          <w:sz w:val="24"/>
          <w:szCs w:val="24"/>
          <w14:ligatures w14:val="none"/>
        </w:rPr>
        <w:fldChar w:fldCharType="end"/>
      </w:r>
      <w:r w:rsidRPr="00932E92">
        <w:rPr>
          <w:rFonts w:ascii="Times New Roman" w:eastAsia="Times New Roman" w:hAnsi="Times New Roman" w:cs="Times New Roman"/>
          <w:sz w:val="24"/>
          <w:szCs w:val="24"/>
          <w14:ligatures w14:val="none"/>
        </w:rPr>
        <w:t xml:space="preserve"> Since membrane modification is one of the established mechanisms of acid tolerance in bacteria, we next analyzed whether the </w:t>
      </w:r>
      <w:r w:rsidR="005B0D90">
        <w:rPr>
          <w:rFonts w:ascii="Times New Roman" w:eastAsia="Times New Roman" w:hAnsi="Times New Roman" w:cs="Times New Roman"/>
          <w:sz w:val="24"/>
          <w:szCs w:val="24"/>
          <w14:ligatures w14:val="none"/>
        </w:rPr>
        <w:t>p</w:t>
      </w:r>
      <w:r w:rsidRPr="00932E92">
        <w:rPr>
          <w:rFonts w:ascii="Times New Roman" w:eastAsia="Times New Roman" w:hAnsi="Times New Roman" w:cs="Times New Roman"/>
          <w:sz w:val="24"/>
          <w:szCs w:val="24"/>
          <w14:ligatures w14:val="none"/>
        </w:rPr>
        <w:t xml:space="preserve">lasmid-borne overproductions of </w:t>
      </w:r>
      <w:proofErr w:type="spellStart"/>
      <w:r w:rsidRPr="00932E92">
        <w:rPr>
          <w:rFonts w:ascii="Times New Roman" w:eastAsia="Times New Roman" w:hAnsi="Times New Roman" w:cs="Times New Roman"/>
          <w:sz w:val="24"/>
          <w:szCs w:val="24"/>
          <w14:ligatures w14:val="none"/>
        </w:rPr>
        <w:t>Amf</w:t>
      </w:r>
      <w:proofErr w:type="spellEnd"/>
      <w:r w:rsidRPr="00932E92">
        <w:rPr>
          <w:rFonts w:ascii="Times New Roman" w:eastAsia="Times New Roman" w:hAnsi="Times New Roman" w:cs="Times New Roman"/>
          <w:sz w:val="24"/>
          <w:szCs w:val="24"/>
          <w14:ligatures w14:val="none"/>
        </w:rPr>
        <w:t xml:space="preserve"> pumps affect the permeability barrier of </w:t>
      </w:r>
      <w:r w:rsidRPr="005B0D90">
        <w:rPr>
          <w:rFonts w:ascii="Times New Roman" w:eastAsia="Times New Roman" w:hAnsi="Times New Roman" w:cs="Times New Roman"/>
          <w:i/>
          <w:iCs/>
          <w:sz w:val="24"/>
          <w:szCs w:val="24"/>
          <w14:ligatures w14:val="none"/>
        </w:rPr>
        <w:t>A. baumannii</w:t>
      </w:r>
      <w:r w:rsidRPr="00932E92">
        <w:rPr>
          <w:rFonts w:ascii="Times New Roman" w:eastAsia="Times New Roman" w:hAnsi="Times New Roman" w:cs="Times New Roman"/>
          <w:sz w:val="24"/>
          <w:szCs w:val="24"/>
          <w14:ligatures w14:val="none"/>
        </w:rPr>
        <w:t xml:space="preserve">. For this purpose, we analyzed the intracellular accumulation of a membrane fluorescent probe N-phenyl-1-naphthylamide (NPN). NPN is a hydrophobic probe, which penetrates slowly across the outer membrane and is a known substrate of </w:t>
      </w:r>
      <w:proofErr w:type="spellStart"/>
      <w:r w:rsidRPr="00932E92">
        <w:rPr>
          <w:rFonts w:ascii="Times New Roman" w:eastAsia="Times New Roman" w:hAnsi="Times New Roman" w:cs="Times New Roman"/>
          <w:sz w:val="24"/>
          <w:szCs w:val="24"/>
          <w14:ligatures w14:val="none"/>
        </w:rPr>
        <w:t>AdeIJK</w:t>
      </w:r>
      <w:proofErr w:type="spellEnd"/>
      <w:r w:rsidRPr="00932E92">
        <w:rPr>
          <w:rFonts w:ascii="Times New Roman" w:eastAsia="Times New Roman" w:hAnsi="Times New Roman" w:cs="Times New Roman"/>
          <w:sz w:val="24"/>
          <w:szCs w:val="24"/>
          <w14:ligatures w14:val="none"/>
        </w:rPr>
        <w:t xml:space="preserve"> pump</w:t>
      </w:r>
      <w:r w:rsidR="00A13C5A">
        <w:rPr>
          <w:rFonts w:ascii="Times New Roman" w:eastAsia="Times New Roman" w:hAnsi="Times New Roman" w:cs="Times New Roman"/>
          <w:sz w:val="24"/>
          <w:szCs w:val="24"/>
          <w14:ligatures w14:val="none"/>
        </w:rPr>
        <w:t>.</w:t>
      </w:r>
      <w:r w:rsidR="00A13C5A">
        <w:rPr>
          <w:rFonts w:ascii="Times New Roman" w:eastAsia="Times New Roman" w:hAnsi="Times New Roman" w:cs="Times New Roman"/>
          <w:sz w:val="24"/>
          <w:szCs w:val="24"/>
          <w14:ligatures w14:val="none"/>
        </w:rPr>
        <w:fldChar w:fldCharType="begin"/>
      </w:r>
      <w:r w:rsidR="00176906">
        <w:rPr>
          <w:rFonts w:ascii="Times New Roman" w:eastAsia="Times New Roman" w:hAnsi="Times New Roman" w:cs="Times New Roman"/>
          <w:sz w:val="24"/>
          <w:szCs w:val="24"/>
          <w14:ligatures w14:val="none"/>
        </w:rPr>
        <w:instrText xml:space="preserve"> ADDIN ZOTERO_ITEM CSL_CITATION {"citationID":"qONJGJPx","properties":{"formattedCitation":"\\super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sidR="00A13C5A">
        <w:rPr>
          <w:rFonts w:ascii="Times New Roman" w:eastAsia="Times New Roman" w:hAnsi="Times New Roman" w:cs="Times New Roman"/>
          <w:sz w:val="24"/>
          <w:szCs w:val="24"/>
          <w14:ligatures w14:val="none"/>
        </w:rPr>
        <w:fldChar w:fldCharType="separate"/>
      </w:r>
      <w:r w:rsidR="00176906" w:rsidRPr="00176906">
        <w:rPr>
          <w:rFonts w:ascii="Times New Roman" w:hAnsi="Times New Roman" w:cs="Times New Roman"/>
          <w:sz w:val="24"/>
          <w:szCs w:val="24"/>
          <w:vertAlign w:val="superscript"/>
        </w:rPr>
        <w:t>20</w:t>
      </w:r>
      <w:r w:rsidR="00A13C5A">
        <w:rPr>
          <w:rFonts w:ascii="Times New Roman" w:eastAsia="Times New Roman" w:hAnsi="Times New Roman" w:cs="Times New Roman"/>
          <w:sz w:val="24"/>
          <w:szCs w:val="24"/>
          <w14:ligatures w14:val="none"/>
        </w:rPr>
        <w:fldChar w:fldCharType="end"/>
      </w:r>
      <w:r w:rsidRPr="00932E92">
        <w:rPr>
          <w:rFonts w:ascii="Times New Roman" w:eastAsia="Times New Roman" w:hAnsi="Times New Roman" w:cs="Times New Roman"/>
          <w:sz w:val="24"/>
          <w:szCs w:val="24"/>
          <w14:ligatures w14:val="none"/>
        </w:rPr>
        <w:t xml:space="preserve"> Therefore, the fluorescence of NPN is dramatically enhanced when </w:t>
      </w:r>
      <w:proofErr w:type="spellStart"/>
      <w:r w:rsidRPr="00932E92">
        <w:rPr>
          <w:rFonts w:ascii="Times New Roman" w:eastAsia="Times New Roman" w:hAnsi="Times New Roman" w:cs="Times New Roman"/>
          <w:sz w:val="24"/>
          <w:szCs w:val="24"/>
          <w14:ligatures w14:val="none"/>
        </w:rPr>
        <w:t>AdeIJK</w:t>
      </w:r>
      <w:proofErr w:type="spellEnd"/>
      <w:r w:rsidRPr="00932E92">
        <w:rPr>
          <w:rFonts w:ascii="Times New Roman" w:eastAsia="Times New Roman" w:hAnsi="Times New Roman" w:cs="Times New Roman"/>
          <w:sz w:val="24"/>
          <w:szCs w:val="24"/>
          <w14:ligatures w14:val="none"/>
        </w:rPr>
        <w:t xml:space="preserve"> is inactivated and/or when the outer membrane is permeabilized.</w:t>
      </w:r>
    </w:p>
    <w:p w14:paraId="4CD1C2A7" w14:textId="1EC69EC6" w:rsidR="00932E92" w:rsidRPr="00932E92" w:rsidRDefault="00932E92" w:rsidP="00932E92">
      <w:pPr>
        <w:spacing w:after="0" w:line="360" w:lineRule="auto"/>
        <w:ind w:firstLine="720"/>
        <w:rPr>
          <w:rFonts w:ascii="Times New Roman" w:eastAsia="Times New Roman" w:hAnsi="Times New Roman" w:cs="Times New Roman"/>
          <w:sz w:val="24"/>
          <w:szCs w:val="24"/>
          <w14:ligatures w14:val="none"/>
        </w:rPr>
      </w:pPr>
      <w:r w:rsidRPr="00932E92">
        <w:rPr>
          <w:rFonts w:ascii="Times New Roman" w:eastAsia="Times New Roman" w:hAnsi="Times New Roman" w:cs="Times New Roman"/>
          <w:sz w:val="24"/>
          <w:szCs w:val="24"/>
          <w14:ligatures w14:val="none"/>
        </w:rPr>
        <w:t xml:space="preserve">Neither inactivation of </w:t>
      </w:r>
      <w:proofErr w:type="spellStart"/>
      <w:r w:rsidRPr="00932E92">
        <w:rPr>
          <w:rFonts w:ascii="Times New Roman" w:eastAsia="Times New Roman" w:hAnsi="Times New Roman" w:cs="Times New Roman"/>
          <w:sz w:val="24"/>
          <w:szCs w:val="24"/>
          <w14:ligatures w14:val="none"/>
        </w:rPr>
        <w:t>AmfAB</w:t>
      </w:r>
      <w:proofErr w:type="spellEnd"/>
      <w:r w:rsidRPr="00932E92">
        <w:rPr>
          <w:rFonts w:ascii="Times New Roman" w:eastAsia="Times New Roman" w:hAnsi="Times New Roman" w:cs="Times New Roman"/>
          <w:sz w:val="24"/>
          <w:szCs w:val="24"/>
          <w14:ligatures w14:val="none"/>
        </w:rPr>
        <w:t xml:space="preserve"> nor </w:t>
      </w:r>
      <w:proofErr w:type="spellStart"/>
      <w:r w:rsidRPr="00932E92">
        <w:rPr>
          <w:rFonts w:ascii="Times New Roman" w:eastAsia="Times New Roman" w:hAnsi="Times New Roman" w:cs="Times New Roman"/>
          <w:sz w:val="24"/>
          <w:szCs w:val="24"/>
          <w14:ligatures w14:val="none"/>
        </w:rPr>
        <w:t>AmfCD</w:t>
      </w:r>
      <w:proofErr w:type="spellEnd"/>
      <w:r w:rsidRPr="00932E92">
        <w:rPr>
          <w:rFonts w:ascii="Times New Roman" w:eastAsia="Times New Roman" w:hAnsi="Times New Roman" w:cs="Times New Roman"/>
          <w:sz w:val="24"/>
          <w:szCs w:val="24"/>
          <w14:ligatures w14:val="none"/>
        </w:rPr>
        <w:t xml:space="preserve"> increased the intracellular accumulation of NPN in </w:t>
      </w:r>
      <w:proofErr w:type="spellStart"/>
      <w:r w:rsidRPr="00932E92">
        <w:rPr>
          <w:rFonts w:ascii="Times New Roman" w:eastAsia="Times New Roman" w:hAnsi="Times New Roman" w:cs="Times New Roman"/>
          <w:sz w:val="24"/>
          <w:szCs w:val="24"/>
          <w14:ligatures w14:val="none"/>
        </w:rPr>
        <w:t>AbWT</w:t>
      </w:r>
      <w:proofErr w:type="spellEnd"/>
      <w:r w:rsidRPr="00932E92">
        <w:rPr>
          <w:rFonts w:ascii="Times New Roman" w:eastAsia="Times New Roman" w:hAnsi="Times New Roman" w:cs="Times New Roman"/>
          <w:sz w:val="24"/>
          <w:szCs w:val="24"/>
          <w14:ligatures w14:val="none"/>
        </w:rPr>
        <w:t xml:space="preserve"> cells, suggesting that the permeability barriers of these </w:t>
      </w:r>
      <w:r w:rsidRPr="00932E92">
        <w:rPr>
          <w:rFonts w:ascii="Times New Roman" w:eastAsia="Times New Roman" w:hAnsi="Times New Roman" w:cs="Times New Roman"/>
          <w:sz w:val="24"/>
          <w:szCs w:val="24"/>
          <w14:ligatures w14:val="none"/>
        </w:rPr>
        <w:lastRenderedPageBreak/>
        <w:t xml:space="preserve">cells are not compromised and even if NPN is the substrate of these pumps they are not the major contributors to its efflux in </w:t>
      </w:r>
      <w:proofErr w:type="spellStart"/>
      <w:r w:rsidRPr="00932E92">
        <w:rPr>
          <w:rFonts w:ascii="Times New Roman" w:eastAsia="Times New Roman" w:hAnsi="Times New Roman" w:cs="Times New Roman"/>
          <w:sz w:val="24"/>
          <w:szCs w:val="24"/>
          <w14:ligatures w14:val="none"/>
        </w:rPr>
        <w:t>AbWT</w:t>
      </w:r>
      <w:proofErr w:type="spellEnd"/>
      <w:r w:rsidR="00D860E9">
        <w:rPr>
          <w:rFonts w:ascii="Times New Roman" w:eastAsia="Times New Roman" w:hAnsi="Times New Roman" w:cs="Times New Roman"/>
          <w:sz w:val="24"/>
          <w:szCs w:val="24"/>
          <w14:ligatures w14:val="none"/>
        </w:rPr>
        <w:t xml:space="preserve"> (</w:t>
      </w:r>
      <w:r w:rsidR="00D860E9">
        <w:rPr>
          <w:rFonts w:ascii="Times New Roman" w:eastAsia="Times New Roman" w:hAnsi="Times New Roman" w:cs="Times New Roman"/>
          <w:b/>
          <w:bCs/>
          <w:sz w:val="24"/>
          <w:szCs w:val="24"/>
          <w14:ligatures w14:val="none"/>
        </w:rPr>
        <w:t>Figure 3.</w:t>
      </w:r>
      <w:r w:rsidR="000E3912">
        <w:rPr>
          <w:rFonts w:ascii="Times New Roman" w:eastAsia="Times New Roman" w:hAnsi="Times New Roman" w:cs="Times New Roman"/>
          <w:b/>
          <w:bCs/>
          <w:sz w:val="24"/>
          <w:szCs w:val="24"/>
          <w14:ligatures w14:val="none"/>
        </w:rPr>
        <w:t>11</w:t>
      </w:r>
      <w:r w:rsidR="00D860E9">
        <w:rPr>
          <w:rFonts w:ascii="Times New Roman" w:eastAsia="Times New Roman" w:hAnsi="Times New Roman" w:cs="Times New Roman"/>
          <w:b/>
          <w:bCs/>
          <w:sz w:val="24"/>
          <w:szCs w:val="24"/>
          <w14:ligatures w14:val="none"/>
        </w:rPr>
        <w:t>-A</w:t>
      </w:r>
      <w:r w:rsidR="00D860E9">
        <w:rPr>
          <w:rFonts w:ascii="Times New Roman" w:eastAsia="Times New Roman" w:hAnsi="Times New Roman" w:cs="Times New Roman"/>
          <w:sz w:val="24"/>
          <w:szCs w:val="24"/>
          <w14:ligatures w14:val="none"/>
        </w:rPr>
        <w:t>)</w:t>
      </w:r>
      <w:r w:rsidRPr="00932E92">
        <w:rPr>
          <w:rFonts w:ascii="Times New Roman" w:eastAsia="Times New Roman" w:hAnsi="Times New Roman" w:cs="Times New Roman"/>
          <w:sz w:val="24"/>
          <w:szCs w:val="24"/>
          <w14:ligatures w14:val="none"/>
        </w:rPr>
        <w:t>. Furthermore, all three deletion mutants ∆</w:t>
      </w:r>
      <w:proofErr w:type="spellStart"/>
      <w:r w:rsidRPr="00932E92">
        <w:rPr>
          <w:rFonts w:ascii="Times New Roman" w:eastAsia="Times New Roman" w:hAnsi="Times New Roman" w:cs="Times New Roman"/>
          <w:sz w:val="24"/>
          <w:szCs w:val="24"/>
          <w14:ligatures w14:val="none"/>
        </w:rPr>
        <w:t>AmfAB</w:t>
      </w:r>
      <w:proofErr w:type="spellEnd"/>
      <w:r w:rsidRPr="00932E92">
        <w:rPr>
          <w:rFonts w:ascii="Times New Roman" w:eastAsia="Times New Roman" w:hAnsi="Times New Roman" w:cs="Times New Roman"/>
          <w:sz w:val="24"/>
          <w:szCs w:val="24"/>
          <w14:ligatures w14:val="none"/>
        </w:rPr>
        <w:t>, ∆</w:t>
      </w:r>
      <w:proofErr w:type="spellStart"/>
      <w:r w:rsidRPr="00932E92">
        <w:rPr>
          <w:rFonts w:ascii="Times New Roman" w:eastAsia="Times New Roman" w:hAnsi="Times New Roman" w:cs="Times New Roman"/>
          <w:sz w:val="24"/>
          <w:szCs w:val="24"/>
          <w14:ligatures w14:val="none"/>
        </w:rPr>
        <w:t>AmfCD</w:t>
      </w:r>
      <w:proofErr w:type="spellEnd"/>
      <w:r w:rsidRPr="00932E92">
        <w:rPr>
          <w:rFonts w:ascii="Times New Roman" w:eastAsia="Times New Roman" w:hAnsi="Times New Roman" w:cs="Times New Roman"/>
          <w:sz w:val="24"/>
          <w:szCs w:val="24"/>
          <w14:ligatures w14:val="none"/>
        </w:rPr>
        <w:t xml:space="preserve"> and the double knockout ∆2 were less fluorescent than </w:t>
      </w:r>
      <w:proofErr w:type="spellStart"/>
      <w:r w:rsidRPr="00932E92">
        <w:rPr>
          <w:rFonts w:ascii="Times New Roman" w:eastAsia="Times New Roman" w:hAnsi="Times New Roman" w:cs="Times New Roman"/>
          <w:sz w:val="24"/>
          <w:szCs w:val="24"/>
          <w14:ligatures w14:val="none"/>
        </w:rPr>
        <w:t>AbWT</w:t>
      </w:r>
      <w:proofErr w:type="spellEnd"/>
      <w:r w:rsidRPr="00932E92">
        <w:rPr>
          <w:rFonts w:ascii="Times New Roman" w:eastAsia="Times New Roman" w:hAnsi="Times New Roman" w:cs="Times New Roman"/>
          <w:sz w:val="24"/>
          <w:szCs w:val="24"/>
          <w14:ligatures w14:val="none"/>
        </w:rPr>
        <w:t xml:space="preserve">. Hence, the inactivation of these pumps makes </w:t>
      </w:r>
      <w:r w:rsidRPr="00672BAA">
        <w:rPr>
          <w:rFonts w:ascii="Times New Roman" w:eastAsia="Times New Roman" w:hAnsi="Times New Roman" w:cs="Times New Roman"/>
          <w:i/>
          <w:iCs/>
          <w:sz w:val="24"/>
          <w:szCs w:val="24"/>
          <w14:ligatures w14:val="none"/>
        </w:rPr>
        <w:t>A. baumannii</w:t>
      </w:r>
      <w:r w:rsidRPr="00932E92">
        <w:rPr>
          <w:rFonts w:ascii="Times New Roman" w:eastAsia="Times New Roman" w:hAnsi="Times New Roman" w:cs="Times New Roman"/>
          <w:sz w:val="24"/>
          <w:szCs w:val="24"/>
          <w14:ligatures w14:val="none"/>
        </w:rPr>
        <w:t xml:space="preserve"> cells less permeable to NPN. As expected, ∆3 cells lacking the RND pumps accumulated at least ten times higher amounts of NPN than </w:t>
      </w:r>
      <w:proofErr w:type="spellStart"/>
      <w:r w:rsidRPr="00932E92">
        <w:rPr>
          <w:rFonts w:ascii="Times New Roman" w:eastAsia="Times New Roman" w:hAnsi="Times New Roman" w:cs="Times New Roman"/>
          <w:sz w:val="24"/>
          <w:szCs w:val="24"/>
          <w14:ligatures w14:val="none"/>
        </w:rPr>
        <w:t>AbWT</w:t>
      </w:r>
      <w:proofErr w:type="spellEnd"/>
      <w:r w:rsidR="00D860E9">
        <w:rPr>
          <w:rFonts w:ascii="Times New Roman" w:eastAsia="Times New Roman" w:hAnsi="Times New Roman" w:cs="Times New Roman"/>
          <w:sz w:val="24"/>
          <w:szCs w:val="24"/>
          <w14:ligatures w14:val="none"/>
        </w:rPr>
        <w:t xml:space="preserve"> (</w:t>
      </w:r>
      <w:r w:rsidR="00D860E9">
        <w:rPr>
          <w:rFonts w:ascii="Times New Roman" w:eastAsia="Times New Roman" w:hAnsi="Times New Roman" w:cs="Times New Roman"/>
          <w:b/>
          <w:bCs/>
          <w:sz w:val="24"/>
          <w:szCs w:val="24"/>
          <w14:ligatures w14:val="none"/>
        </w:rPr>
        <w:t>Figure 3.</w:t>
      </w:r>
      <w:r w:rsidR="000E3912">
        <w:rPr>
          <w:rFonts w:ascii="Times New Roman" w:eastAsia="Times New Roman" w:hAnsi="Times New Roman" w:cs="Times New Roman"/>
          <w:b/>
          <w:bCs/>
          <w:sz w:val="24"/>
          <w:szCs w:val="24"/>
          <w14:ligatures w14:val="none"/>
        </w:rPr>
        <w:t>11</w:t>
      </w:r>
      <w:r w:rsidR="00D860E9">
        <w:rPr>
          <w:rFonts w:ascii="Times New Roman" w:eastAsia="Times New Roman" w:hAnsi="Times New Roman" w:cs="Times New Roman"/>
          <w:b/>
          <w:bCs/>
          <w:sz w:val="24"/>
          <w:szCs w:val="24"/>
          <w14:ligatures w14:val="none"/>
        </w:rPr>
        <w:t>-B</w:t>
      </w:r>
      <w:r w:rsidR="00D860E9">
        <w:rPr>
          <w:rFonts w:ascii="Times New Roman" w:eastAsia="Times New Roman" w:hAnsi="Times New Roman" w:cs="Times New Roman"/>
          <w:sz w:val="24"/>
          <w:szCs w:val="24"/>
          <w14:ligatures w14:val="none"/>
        </w:rPr>
        <w:t>)</w:t>
      </w:r>
      <w:r w:rsidRPr="00932E92">
        <w:rPr>
          <w:rFonts w:ascii="Times New Roman" w:eastAsia="Times New Roman" w:hAnsi="Times New Roman" w:cs="Times New Roman"/>
          <w:sz w:val="24"/>
          <w:szCs w:val="24"/>
          <w14:ligatures w14:val="none"/>
        </w:rPr>
        <w:t>. Although</w:t>
      </w:r>
      <w:r w:rsidR="00C158D7">
        <w:rPr>
          <w:rFonts w:ascii="Times New Roman" w:eastAsia="Times New Roman" w:hAnsi="Times New Roman" w:cs="Times New Roman"/>
          <w:sz w:val="24"/>
          <w:szCs w:val="24"/>
          <w14:ligatures w14:val="none"/>
        </w:rPr>
        <w:t xml:space="preserve"> s</w:t>
      </w:r>
      <w:r w:rsidRPr="00932E92">
        <w:rPr>
          <w:rFonts w:ascii="Times New Roman" w:eastAsia="Times New Roman" w:hAnsi="Times New Roman" w:cs="Times New Roman"/>
          <w:sz w:val="24"/>
          <w:szCs w:val="24"/>
          <w14:ligatures w14:val="none"/>
        </w:rPr>
        <w:t xml:space="preserve">ingle knockouts ∆3∆AmfAB and ∆3∆AmfCD were indistinguishable from the parental ∆3 cells, in the double knockout ∆5 cells the levels of NPN fluorescence were at least three times lower. We conclude that deletions of </w:t>
      </w:r>
      <w:proofErr w:type="spellStart"/>
      <w:r w:rsidRPr="00932E92">
        <w:rPr>
          <w:rFonts w:ascii="Times New Roman" w:eastAsia="Times New Roman" w:hAnsi="Times New Roman" w:cs="Times New Roman"/>
          <w:sz w:val="24"/>
          <w:szCs w:val="24"/>
          <w14:ligatures w14:val="none"/>
        </w:rPr>
        <w:t>AmfAB</w:t>
      </w:r>
      <w:proofErr w:type="spellEnd"/>
      <w:r w:rsidRPr="00932E92">
        <w:rPr>
          <w:rFonts w:ascii="Times New Roman" w:eastAsia="Times New Roman" w:hAnsi="Times New Roman" w:cs="Times New Roman"/>
          <w:sz w:val="24"/>
          <w:szCs w:val="24"/>
          <w14:ligatures w14:val="none"/>
        </w:rPr>
        <w:t xml:space="preserve"> and </w:t>
      </w:r>
      <w:proofErr w:type="spellStart"/>
      <w:r w:rsidRPr="00932E92">
        <w:rPr>
          <w:rFonts w:ascii="Times New Roman" w:eastAsia="Times New Roman" w:hAnsi="Times New Roman" w:cs="Times New Roman"/>
          <w:sz w:val="24"/>
          <w:szCs w:val="24"/>
          <w14:ligatures w14:val="none"/>
        </w:rPr>
        <w:t>AmfCD</w:t>
      </w:r>
      <w:proofErr w:type="spellEnd"/>
      <w:r w:rsidRPr="00932E92">
        <w:rPr>
          <w:rFonts w:ascii="Times New Roman" w:eastAsia="Times New Roman" w:hAnsi="Times New Roman" w:cs="Times New Roman"/>
          <w:sz w:val="24"/>
          <w:szCs w:val="24"/>
          <w14:ligatures w14:val="none"/>
        </w:rPr>
        <w:t xml:space="preserve"> pumps either promote the efflux of NPN from cells by other transporters or reduce the permeation of NPN across the outer membrane in both RND plus and minus backgrounds.</w:t>
      </w:r>
    </w:p>
    <w:p w14:paraId="0FEA982E" w14:textId="40A96D15" w:rsidR="00A42669" w:rsidRPr="00ED4992" w:rsidRDefault="00ED4992" w:rsidP="00ED4992">
      <w:pPr>
        <w:spacing w:line="360" w:lineRule="auto"/>
        <w:ind w:firstLine="720"/>
        <w:rPr>
          <w:rFonts w:asciiTheme="majorHAnsi" w:hAnsiTheme="majorHAnsi" w:cstheme="majorHAnsi"/>
          <w:sz w:val="28"/>
          <w:szCs w:val="28"/>
        </w:rPr>
      </w:pPr>
      <w:r w:rsidRPr="00ED4992">
        <w:rPr>
          <w:sz w:val="24"/>
          <w:szCs w:val="24"/>
        </w:rPr>
        <w:t xml:space="preserve">The effect of overproduction on the permeability barrier was both the pump- and genetic background-specific </w:t>
      </w:r>
      <w:r w:rsidR="00D860E9">
        <w:rPr>
          <w:sz w:val="24"/>
          <w:szCs w:val="24"/>
        </w:rPr>
        <w:t>(</w:t>
      </w:r>
      <w:r w:rsidR="00D860E9">
        <w:rPr>
          <w:b/>
          <w:bCs/>
          <w:sz w:val="24"/>
          <w:szCs w:val="24"/>
        </w:rPr>
        <w:t>Figure 3.</w:t>
      </w:r>
      <w:r w:rsidR="000E3912">
        <w:rPr>
          <w:b/>
          <w:bCs/>
          <w:sz w:val="24"/>
          <w:szCs w:val="24"/>
        </w:rPr>
        <w:t>11</w:t>
      </w:r>
      <w:r w:rsidR="00D860E9">
        <w:rPr>
          <w:b/>
          <w:bCs/>
          <w:sz w:val="24"/>
          <w:szCs w:val="24"/>
        </w:rPr>
        <w:t>-C-F</w:t>
      </w:r>
      <w:r w:rsidR="00D860E9">
        <w:rPr>
          <w:sz w:val="24"/>
          <w:szCs w:val="24"/>
        </w:rPr>
        <w:t>)</w:t>
      </w:r>
      <w:r w:rsidRPr="00ED4992">
        <w:rPr>
          <w:sz w:val="24"/>
          <w:szCs w:val="24"/>
        </w:rPr>
        <w:t xml:space="preserve">. The increased fluorescence of NPN in </w:t>
      </w:r>
      <w:proofErr w:type="spellStart"/>
      <w:r w:rsidRPr="00ED4992">
        <w:rPr>
          <w:sz w:val="24"/>
          <w:szCs w:val="24"/>
        </w:rPr>
        <w:t>AbWT</w:t>
      </w:r>
      <w:proofErr w:type="spellEnd"/>
      <w:r w:rsidRPr="00ED4992">
        <w:rPr>
          <w:sz w:val="24"/>
          <w:szCs w:val="24"/>
        </w:rPr>
        <w:t>(</w:t>
      </w:r>
      <w:proofErr w:type="spellStart"/>
      <w:r w:rsidRPr="00ED4992">
        <w:rPr>
          <w:sz w:val="24"/>
          <w:szCs w:val="24"/>
        </w:rPr>
        <w:t>pAmfAB</w:t>
      </w:r>
      <w:proofErr w:type="spellEnd"/>
      <w:r w:rsidRPr="00ED4992">
        <w:rPr>
          <w:sz w:val="24"/>
          <w:szCs w:val="24"/>
        </w:rPr>
        <w:t xml:space="preserve">), </w:t>
      </w:r>
      <w:r w:rsidR="003C480B">
        <w:rPr>
          <w:sz w:val="24"/>
          <w:szCs w:val="24"/>
        </w:rPr>
        <w:t>Ab</w:t>
      </w:r>
      <w:r w:rsidRPr="00ED4992">
        <w:rPr>
          <w:sz w:val="24"/>
          <w:szCs w:val="24"/>
        </w:rPr>
        <w:t>∆2(</w:t>
      </w:r>
      <w:proofErr w:type="spellStart"/>
      <w:r w:rsidRPr="00ED4992">
        <w:rPr>
          <w:sz w:val="24"/>
          <w:szCs w:val="24"/>
        </w:rPr>
        <w:t>pAmfAB</w:t>
      </w:r>
      <w:proofErr w:type="spellEnd"/>
      <w:r w:rsidRPr="00ED4992">
        <w:rPr>
          <w:sz w:val="24"/>
          <w:szCs w:val="24"/>
        </w:rPr>
        <w:t xml:space="preserve">) and </w:t>
      </w:r>
      <w:r w:rsidR="003C480B">
        <w:rPr>
          <w:sz w:val="24"/>
          <w:szCs w:val="24"/>
        </w:rPr>
        <w:t>Ab</w:t>
      </w:r>
      <w:r w:rsidRPr="00ED4992">
        <w:rPr>
          <w:sz w:val="24"/>
          <w:szCs w:val="24"/>
        </w:rPr>
        <w:t>∆5(</w:t>
      </w:r>
      <w:proofErr w:type="spellStart"/>
      <w:r w:rsidRPr="00ED4992">
        <w:rPr>
          <w:sz w:val="24"/>
          <w:szCs w:val="24"/>
        </w:rPr>
        <w:t>pAmfAB</w:t>
      </w:r>
      <w:proofErr w:type="spellEnd"/>
      <w:r w:rsidRPr="00ED4992">
        <w:rPr>
          <w:sz w:val="24"/>
          <w:szCs w:val="24"/>
        </w:rPr>
        <w:t xml:space="preserve">) suggests that these cells are leaky to </w:t>
      </w:r>
      <w:r w:rsidR="00326ACF" w:rsidRPr="00ED4992">
        <w:rPr>
          <w:sz w:val="24"/>
          <w:szCs w:val="24"/>
        </w:rPr>
        <w:t>NPN,</w:t>
      </w:r>
      <w:r w:rsidRPr="00ED4992">
        <w:rPr>
          <w:sz w:val="24"/>
          <w:szCs w:val="24"/>
        </w:rPr>
        <w:t xml:space="preserve"> and this result is consistent with the toxicity of the overproduction of </w:t>
      </w:r>
      <w:proofErr w:type="spellStart"/>
      <w:r w:rsidRPr="00ED4992">
        <w:rPr>
          <w:sz w:val="24"/>
          <w:szCs w:val="24"/>
        </w:rPr>
        <w:t>AmfAB</w:t>
      </w:r>
      <w:proofErr w:type="spellEnd"/>
      <w:r w:rsidRPr="00ED4992">
        <w:rPr>
          <w:sz w:val="24"/>
          <w:szCs w:val="24"/>
        </w:rPr>
        <w:t xml:space="preserve"> pump seen in the growth curves</w:t>
      </w:r>
      <w:r w:rsidR="00D860E9">
        <w:rPr>
          <w:sz w:val="24"/>
          <w:szCs w:val="24"/>
        </w:rPr>
        <w:t xml:space="preserve"> (</w:t>
      </w:r>
      <w:r w:rsidR="00D860E9">
        <w:rPr>
          <w:b/>
          <w:bCs/>
          <w:sz w:val="24"/>
          <w:szCs w:val="24"/>
        </w:rPr>
        <w:t>Table 3.</w:t>
      </w:r>
      <w:r w:rsidR="000E3912">
        <w:rPr>
          <w:b/>
          <w:bCs/>
          <w:sz w:val="24"/>
          <w:szCs w:val="24"/>
        </w:rPr>
        <w:t>7</w:t>
      </w:r>
      <w:r w:rsidR="00D860E9">
        <w:rPr>
          <w:sz w:val="24"/>
          <w:szCs w:val="24"/>
        </w:rPr>
        <w:t>)</w:t>
      </w:r>
      <w:r w:rsidRPr="00ED4992">
        <w:rPr>
          <w:sz w:val="24"/>
          <w:szCs w:val="24"/>
        </w:rPr>
        <w:t xml:space="preserve">. In contrast, </w:t>
      </w:r>
      <w:proofErr w:type="spellStart"/>
      <w:r w:rsidRPr="00ED4992">
        <w:rPr>
          <w:sz w:val="24"/>
          <w:szCs w:val="24"/>
        </w:rPr>
        <w:t>AmfCD</w:t>
      </w:r>
      <w:proofErr w:type="spellEnd"/>
      <w:r w:rsidRPr="00ED4992">
        <w:rPr>
          <w:sz w:val="24"/>
          <w:szCs w:val="24"/>
        </w:rPr>
        <w:t xml:space="preserve"> overproduction has no effect on the NPN accumulation and on the growth of </w:t>
      </w:r>
      <w:proofErr w:type="spellStart"/>
      <w:r w:rsidRPr="00ED4992">
        <w:rPr>
          <w:sz w:val="24"/>
          <w:szCs w:val="24"/>
        </w:rPr>
        <w:t>AbWT</w:t>
      </w:r>
      <w:proofErr w:type="spellEnd"/>
      <w:r w:rsidRPr="00ED4992">
        <w:rPr>
          <w:sz w:val="24"/>
          <w:szCs w:val="24"/>
        </w:rPr>
        <w:t>(</w:t>
      </w:r>
      <w:proofErr w:type="spellStart"/>
      <w:r w:rsidRPr="00ED4992">
        <w:rPr>
          <w:sz w:val="24"/>
          <w:szCs w:val="24"/>
        </w:rPr>
        <w:t>pAmfCD</w:t>
      </w:r>
      <w:proofErr w:type="spellEnd"/>
      <w:r w:rsidRPr="00ED4992">
        <w:rPr>
          <w:sz w:val="24"/>
          <w:szCs w:val="24"/>
        </w:rPr>
        <w:t xml:space="preserve">), </w:t>
      </w:r>
      <w:r w:rsidR="003C480B">
        <w:rPr>
          <w:sz w:val="24"/>
          <w:szCs w:val="24"/>
        </w:rPr>
        <w:t>Ab</w:t>
      </w:r>
      <w:r w:rsidRPr="00ED4992">
        <w:rPr>
          <w:sz w:val="24"/>
          <w:szCs w:val="24"/>
        </w:rPr>
        <w:t>∆2(</w:t>
      </w:r>
      <w:proofErr w:type="spellStart"/>
      <w:r w:rsidRPr="00ED4992">
        <w:rPr>
          <w:sz w:val="24"/>
          <w:szCs w:val="24"/>
        </w:rPr>
        <w:t>pAmfCD</w:t>
      </w:r>
      <w:proofErr w:type="spellEnd"/>
      <w:r w:rsidRPr="00ED4992">
        <w:rPr>
          <w:sz w:val="24"/>
          <w:szCs w:val="24"/>
        </w:rPr>
        <w:t xml:space="preserve">) and </w:t>
      </w:r>
      <w:r w:rsidR="003C480B">
        <w:rPr>
          <w:sz w:val="24"/>
          <w:szCs w:val="24"/>
        </w:rPr>
        <w:t>Ab</w:t>
      </w:r>
      <w:r w:rsidRPr="00ED4992">
        <w:rPr>
          <w:sz w:val="24"/>
          <w:szCs w:val="24"/>
        </w:rPr>
        <w:t>∆5(</w:t>
      </w:r>
      <w:proofErr w:type="spellStart"/>
      <w:r w:rsidRPr="00ED4992">
        <w:rPr>
          <w:sz w:val="24"/>
          <w:szCs w:val="24"/>
        </w:rPr>
        <w:t>pAmfCD</w:t>
      </w:r>
      <w:proofErr w:type="spellEnd"/>
      <w:r w:rsidRPr="00ED4992">
        <w:rPr>
          <w:sz w:val="24"/>
          <w:szCs w:val="24"/>
        </w:rPr>
        <w:t xml:space="preserve">) cells. Surprisingly, the overproduction of either of the two pumps in ∆3 cells lead to decreased NPN accumulation and, hence, a stronger permeability barrier, highlighting the physiological difference between ∆3 and ∆5 cells in how they respond to the overproduction of the </w:t>
      </w:r>
      <w:proofErr w:type="spellStart"/>
      <w:r w:rsidRPr="00ED4992">
        <w:rPr>
          <w:sz w:val="24"/>
          <w:szCs w:val="24"/>
        </w:rPr>
        <w:t>Amf</w:t>
      </w:r>
      <w:proofErr w:type="spellEnd"/>
      <w:r w:rsidRPr="00ED4992">
        <w:rPr>
          <w:sz w:val="24"/>
          <w:szCs w:val="24"/>
        </w:rPr>
        <w:t xml:space="preserve"> pumps.</w:t>
      </w:r>
    </w:p>
    <w:p w14:paraId="58726399" w14:textId="77777777" w:rsidR="00F01024" w:rsidRDefault="00F01024" w:rsidP="00C836F0">
      <w:pPr>
        <w:rPr>
          <w:rFonts w:asciiTheme="majorHAnsi" w:hAnsiTheme="majorHAnsi" w:cstheme="majorHAnsi"/>
          <w:sz w:val="24"/>
          <w:szCs w:val="24"/>
        </w:rPr>
      </w:pPr>
    </w:p>
    <w:p w14:paraId="1D3FD8E7" w14:textId="77777777" w:rsidR="003B7992" w:rsidRDefault="003B7992" w:rsidP="006A6B69">
      <w:pPr>
        <w:pStyle w:val="ListParagraph"/>
        <w:ind w:left="0"/>
        <w:rPr>
          <w:rFonts w:ascii="Times New Roman" w:hAnsi="Times New Roman" w:cs="Times New Roman"/>
          <w:sz w:val="24"/>
          <w:szCs w:val="24"/>
        </w:rPr>
      </w:pPr>
    </w:p>
    <w:p w14:paraId="0BF6DF98" w14:textId="77777777" w:rsidR="00F01024" w:rsidRDefault="00F01024" w:rsidP="006A6B69">
      <w:pPr>
        <w:pStyle w:val="ListParagraph"/>
        <w:ind w:left="0"/>
        <w:rPr>
          <w:rFonts w:ascii="Times New Roman" w:hAnsi="Times New Roman" w:cs="Times New Roman"/>
          <w:sz w:val="24"/>
          <w:szCs w:val="24"/>
        </w:rPr>
      </w:pPr>
    </w:p>
    <w:p w14:paraId="4587915A" w14:textId="77777777" w:rsidR="00F01024" w:rsidRDefault="00F01024" w:rsidP="006A6B69">
      <w:pPr>
        <w:pStyle w:val="ListParagraph"/>
        <w:ind w:left="0"/>
        <w:rPr>
          <w:rFonts w:ascii="Times New Roman" w:hAnsi="Times New Roman" w:cs="Times New Roman"/>
          <w:sz w:val="24"/>
          <w:szCs w:val="24"/>
        </w:rPr>
      </w:pPr>
    </w:p>
    <w:p w14:paraId="3762028C" w14:textId="77777777" w:rsidR="00F01024" w:rsidRDefault="00F01024" w:rsidP="006A6B69">
      <w:pPr>
        <w:pStyle w:val="ListParagraph"/>
        <w:ind w:left="0"/>
        <w:rPr>
          <w:rFonts w:ascii="Times New Roman" w:hAnsi="Times New Roman" w:cs="Times New Roman"/>
          <w:sz w:val="24"/>
          <w:szCs w:val="24"/>
        </w:rPr>
      </w:pPr>
    </w:p>
    <w:p w14:paraId="518538A1" w14:textId="77777777" w:rsidR="00F01024" w:rsidRDefault="00F01024" w:rsidP="006A6B69">
      <w:pPr>
        <w:pStyle w:val="ListParagraph"/>
        <w:ind w:left="0"/>
        <w:rPr>
          <w:rFonts w:ascii="Times New Roman" w:hAnsi="Times New Roman" w:cs="Times New Roman"/>
          <w:sz w:val="24"/>
          <w:szCs w:val="24"/>
        </w:rPr>
      </w:pPr>
    </w:p>
    <w:p w14:paraId="1A21E058" w14:textId="77777777" w:rsidR="00F01024" w:rsidRDefault="00F01024" w:rsidP="006A6B69">
      <w:pPr>
        <w:pStyle w:val="ListParagraph"/>
        <w:ind w:left="0"/>
        <w:rPr>
          <w:rFonts w:ascii="Times New Roman" w:hAnsi="Times New Roman" w:cs="Times New Roman"/>
          <w:sz w:val="24"/>
          <w:szCs w:val="24"/>
        </w:rPr>
      </w:pPr>
    </w:p>
    <w:p w14:paraId="7321B338" w14:textId="77777777" w:rsidR="00F01024" w:rsidRDefault="00F01024" w:rsidP="006A6B69">
      <w:pPr>
        <w:pStyle w:val="ListParagraph"/>
        <w:ind w:left="0"/>
        <w:rPr>
          <w:rFonts w:ascii="Times New Roman" w:hAnsi="Times New Roman" w:cs="Times New Roman"/>
          <w:sz w:val="24"/>
          <w:szCs w:val="24"/>
        </w:rPr>
      </w:pPr>
    </w:p>
    <w:p w14:paraId="7227EDEE" w14:textId="77777777" w:rsidR="00F01024" w:rsidRDefault="00F01024" w:rsidP="006A6B69">
      <w:pPr>
        <w:pStyle w:val="ListParagraph"/>
        <w:ind w:left="0"/>
        <w:rPr>
          <w:rFonts w:ascii="Times New Roman" w:hAnsi="Times New Roman" w:cs="Times New Roman"/>
          <w:sz w:val="24"/>
          <w:szCs w:val="24"/>
        </w:rPr>
      </w:pPr>
    </w:p>
    <w:p w14:paraId="23FD5B86" w14:textId="77777777" w:rsidR="00F01024" w:rsidRDefault="00F01024" w:rsidP="006A6B69">
      <w:pPr>
        <w:pStyle w:val="ListParagraph"/>
        <w:ind w:left="0"/>
        <w:rPr>
          <w:rFonts w:ascii="Times New Roman" w:hAnsi="Times New Roman" w:cs="Times New Roman"/>
          <w:sz w:val="24"/>
          <w:szCs w:val="24"/>
        </w:rPr>
      </w:pPr>
    </w:p>
    <w:p w14:paraId="08E63E44" w14:textId="77777777" w:rsidR="00F01024" w:rsidRDefault="00F01024" w:rsidP="006A6B69">
      <w:pPr>
        <w:pStyle w:val="ListParagraph"/>
        <w:ind w:left="0"/>
        <w:rPr>
          <w:rFonts w:ascii="Times New Roman" w:hAnsi="Times New Roman" w:cs="Times New Roman"/>
          <w:sz w:val="24"/>
          <w:szCs w:val="24"/>
        </w:rPr>
      </w:pPr>
    </w:p>
    <w:p w14:paraId="132DD3DC" w14:textId="77777777" w:rsidR="00F01024" w:rsidRDefault="00F01024" w:rsidP="006A6B69">
      <w:pPr>
        <w:pStyle w:val="ListParagraph"/>
        <w:ind w:left="0"/>
        <w:rPr>
          <w:rFonts w:ascii="Times New Roman" w:hAnsi="Times New Roman" w:cs="Times New Roman"/>
          <w:sz w:val="24"/>
          <w:szCs w:val="24"/>
        </w:rPr>
      </w:pPr>
    </w:p>
    <w:p w14:paraId="14273599" w14:textId="77777777" w:rsidR="00F01024" w:rsidRDefault="00F01024" w:rsidP="006A6B69">
      <w:pPr>
        <w:pStyle w:val="ListParagraph"/>
        <w:ind w:left="0"/>
        <w:rPr>
          <w:rFonts w:ascii="Times New Roman" w:hAnsi="Times New Roman" w:cs="Times New Roman"/>
          <w:sz w:val="24"/>
          <w:szCs w:val="24"/>
        </w:rPr>
      </w:pPr>
    </w:p>
    <w:p w14:paraId="452F9F3D" w14:textId="605D7258" w:rsidR="003B7992" w:rsidRDefault="003B7992" w:rsidP="006A6B69">
      <w:pPr>
        <w:pStyle w:val="ListParagraph"/>
        <w:ind w:left="0"/>
        <w:rPr>
          <w:rFonts w:ascii="Times New Roman" w:hAnsi="Times New Roman" w:cs="Times New Roman"/>
          <w:b/>
          <w:bCs/>
          <w:sz w:val="24"/>
          <w:szCs w:val="24"/>
        </w:rPr>
      </w:pPr>
      <w:r>
        <w:rPr>
          <w:rFonts w:ascii="Times New Roman" w:hAnsi="Times New Roman" w:cs="Times New Roman"/>
          <w:b/>
          <w:bCs/>
          <w:sz w:val="24"/>
          <w:szCs w:val="24"/>
        </w:rPr>
        <w:lastRenderedPageBreak/>
        <w:t>Table 3.</w:t>
      </w:r>
      <w:r w:rsidR="004E2E10">
        <w:rPr>
          <w:rFonts w:ascii="Times New Roman" w:hAnsi="Times New Roman" w:cs="Times New Roman"/>
          <w:b/>
          <w:bCs/>
          <w:sz w:val="24"/>
          <w:szCs w:val="24"/>
        </w:rPr>
        <w:t>6</w:t>
      </w:r>
      <w:r w:rsidR="0031222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Pr>
          <w:rFonts w:ascii="Times New Roman" w:hAnsi="Times New Roman" w:cs="Times New Roman"/>
          <w:b/>
          <w:bCs/>
          <w:noProof/>
          <w:sz w:val="24"/>
          <w:szCs w:val="24"/>
        </w:rPr>
        <w:t xml:space="preserve">Area </w:t>
      </w:r>
      <w:r w:rsidR="00D732F8">
        <w:rPr>
          <w:rFonts w:ascii="Times New Roman" w:hAnsi="Times New Roman" w:cs="Times New Roman"/>
          <w:b/>
          <w:bCs/>
          <w:noProof/>
          <w:sz w:val="24"/>
          <w:szCs w:val="24"/>
        </w:rPr>
        <w:t>u</w:t>
      </w:r>
      <w:r>
        <w:rPr>
          <w:rFonts w:ascii="Times New Roman" w:hAnsi="Times New Roman" w:cs="Times New Roman"/>
          <w:b/>
          <w:bCs/>
          <w:noProof/>
          <w:sz w:val="24"/>
          <w:szCs w:val="24"/>
        </w:rPr>
        <w:t xml:space="preserve">nder the </w:t>
      </w:r>
      <w:r w:rsidR="00D732F8">
        <w:rPr>
          <w:rFonts w:ascii="Times New Roman" w:hAnsi="Times New Roman" w:cs="Times New Roman"/>
          <w:b/>
          <w:bCs/>
          <w:noProof/>
          <w:sz w:val="24"/>
          <w:szCs w:val="24"/>
        </w:rPr>
        <w:t>c</w:t>
      </w:r>
      <w:r>
        <w:rPr>
          <w:rFonts w:ascii="Times New Roman" w:hAnsi="Times New Roman" w:cs="Times New Roman"/>
          <w:b/>
          <w:bCs/>
          <w:noProof/>
          <w:sz w:val="24"/>
          <w:szCs w:val="24"/>
        </w:rPr>
        <w:t xml:space="preserve">urve </w:t>
      </w:r>
      <w:r w:rsidR="00D732F8">
        <w:rPr>
          <w:rFonts w:ascii="Times New Roman" w:hAnsi="Times New Roman" w:cs="Times New Roman"/>
          <w:b/>
          <w:bCs/>
          <w:noProof/>
          <w:sz w:val="24"/>
          <w:szCs w:val="24"/>
        </w:rPr>
        <w:t>v</w:t>
      </w:r>
      <w:r>
        <w:rPr>
          <w:rFonts w:ascii="Times New Roman" w:hAnsi="Times New Roman" w:cs="Times New Roman"/>
          <w:b/>
          <w:bCs/>
          <w:noProof/>
          <w:sz w:val="24"/>
          <w:szCs w:val="24"/>
        </w:rPr>
        <w:t xml:space="preserve">alues for </w:t>
      </w:r>
      <w:r w:rsidR="00D732F8">
        <w:rPr>
          <w:rFonts w:ascii="Times New Roman" w:hAnsi="Times New Roman" w:cs="Times New Roman"/>
          <w:b/>
          <w:bCs/>
          <w:noProof/>
          <w:sz w:val="24"/>
          <w:szCs w:val="24"/>
        </w:rPr>
        <w:t>o</w:t>
      </w:r>
      <w:r w:rsidR="006D3E08">
        <w:rPr>
          <w:rFonts w:ascii="Times New Roman" w:hAnsi="Times New Roman" w:cs="Times New Roman"/>
          <w:b/>
          <w:bCs/>
          <w:noProof/>
          <w:sz w:val="24"/>
          <w:szCs w:val="24"/>
        </w:rPr>
        <w:t>verproduction</w:t>
      </w:r>
      <w:r>
        <w:rPr>
          <w:rFonts w:ascii="Times New Roman" w:hAnsi="Times New Roman" w:cs="Times New Roman"/>
          <w:b/>
          <w:bCs/>
          <w:noProof/>
          <w:sz w:val="24"/>
          <w:szCs w:val="24"/>
        </w:rPr>
        <w:t xml:space="preserve"> </w:t>
      </w:r>
      <w:r w:rsidR="00D732F8">
        <w:rPr>
          <w:rFonts w:ascii="Times New Roman" w:hAnsi="Times New Roman" w:cs="Times New Roman"/>
          <w:b/>
          <w:bCs/>
          <w:noProof/>
          <w:sz w:val="24"/>
          <w:szCs w:val="24"/>
        </w:rPr>
        <w:t>s</w:t>
      </w:r>
      <w:r>
        <w:rPr>
          <w:rFonts w:ascii="Times New Roman" w:hAnsi="Times New Roman" w:cs="Times New Roman"/>
          <w:b/>
          <w:bCs/>
          <w:noProof/>
          <w:sz w:val="24"/>
          <w:szCs w:val="24"/>
        </w:rPr>
        <w:t>trains</w:t>
      </w:r>
    </w:p>
    <w:p w14:paraId="55539E3D" w14:textId="693BD091" w:rsidR="003B7992" w:rsidRPr="003B7992" w:rsidRDefault="003B7992" w:rsidP="006A6B69">
      <w:pPr>
        <w:pStyle w:val="ListParagraph"/>
        <w:ind w:left="0"/>
        <w:rPr>
          <w:rFonts w:ascii="Times New Roman" w:hAnsi="Times New Roman" w:cs="Times New Roman"/>
          <w:b/>
          <w:bCs/>
          <w:sz w:val="24"/>
          <w:szCs w:val="24"/>
        </w:rPr>
      </w:pPr>
      <w:r w:rsidRPr="003B7992">
        <w:rPr>
          <w:rFonts w:ascii="Times New Roman" w:hAnsi="Times New Roman" w:cs="Times New Roman"/>
          <w:b/>
          <w:bCs/>
          <w:noProof/>
          <w:sz w:val="24"/>
          <w:szCs w:val="24"/>
        </w:rPr>
        <w:drawing>
          <wp:inline distT="0" distB="0" distL="0" distR="0" wp14:anchorId="36BD4B42" wp14:editId="16FCE1C5">
            <wp:extent cx="5197290" cy="6637595"/>
            <wp:effectExtent l="0" t="0" r="3810" b="0"/>
            <wp:docPr id="2089935376" name="Picture 1" descr="A table of chemical formul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35376" name="Picture 1" descr="A table of chemical formulas&#10;&#10;Description automatically generated with medium confidence"/>
                    <pic:cNvPicPr/>
                  </pic:nvPicPr>
                  <pic:blipFill>
                    <a:blip r:embed="rId38"/>
                    <a:stretch>
                      <a:fillRect/>
                    </a:stretch>
                  </pic:blipFill>
                  <pic:spPr>
                    <a:xfrm>
                      <a:off x="0" y="0"/>
                      <a:ext cx="5197290" cy="6637595"/>
                    </a:xfrm>
                    <a:prstGeom prst="rect">
                      <a:avLst/>
                    </a:prstGeom>
                  </pic:spPr>
                </pic:pic>
              </a:graphicData>
            </a:graphic>
          </wp:inline>
        </w:drawing>
      </w:r>
    </w:p>
    <w:p w14:paraId="0C813332" w14:textId="76D5ABEC" w:rsidR="00922C32" w:rsidRPr="00734E96" w:rsidRDefault="00D732F8" w:rsidP="00C836F0">
      <w:pPr>
        <w:rPr>
          <w:rFonts w:asciiTheme="majorHAnsi" w:hAnsiTheme="majorHAnsi" w:cstheme="majorHAnsi"/>
          <w:sz w:val="24"/>
          <w:szCs w:val="24"/>
        </w:rPr>
      </w:pPr>
      <w:r>
        <w:rPr>
          <w:rFonts w:asciiTheme="majorHAnsi" w:hAnsiTheme="majorHAnsi" w:cstheme="majorHAnsi"/>
          <w:sz w:val="24"/>
          <w:szCs w:val="24"/>
          <w:u w:val="single"/>
        </w:rPr>
        <w:t xml:space="preserve">3.4. </w:t>
      </w:r>
      <w:r w:rsidR="00922C32" w:rsidRPr="00734E96">
        <w:rPr>
          <w:rFonts w:asciiTheme="majorHAnsi" w:hAnsiTheme="majorHAnsi" w:cstheme="majorHAnsi"/>
          <w:sz w:val="24"/>
          <w:szCs w:val="24"/>
          <w:u w:val="single"/>
        </w:rPr>
        <w:t>Discussion</w:t>
      </w:r>
    </w:p>
    <w:p w14:paraId="5C5E1ACE" w14:textId="7ADC173B" w:rsidR="00ED4992" w:rsidRPr="00ED4992" w:rsidRDefault="00ED4992" w:rsidP="00243FE3">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All bacterial genomes encode multiple efflux transporters, but the functions of many of these transporters are unknown or undefined. The commonly used approach to the characterization of such transporters is to delete the genes and/or overproduce them in RND-deficient genetic backgrounds and to analyze their possible contribution to drug </w:t>
      </w:r>
      <w:r w:rsidRPr="00ED4992">
        <w:rPr>
          <w:rFonts w:ascii="Times New Roman" w:eastAsia="Times New Roman" w:hAnsi="Times New Roman" w:cs="Times New Roman"/>
          <w:sz w:val="24"/>
          <w:szCs w:val="24"/>
          <w14:ligatures w14:val="none"/>
        </w:rPr>
        <w:lastRenderedPageBreak/>
        <w:t>efflux</w:t>
      </w:r>
      <w:r w:rsidR="00A13C5A">
        <w:rPr>
          <w:rFonts w:ascii="Times New Roman" w:eastAsia="Times New Roman" w:hAnsi="Times New Roman" w:cs="Times New Roman"/>
          <w:sz w:val="24"/>
          <w:szCs w:val="24"/>
          <w14:ligatures w14:val="none"/>
        </w:rPr>
        <w:t>.</w:t>
      </w:r>
      <w:r w:rsidR="00A13C5A">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{"citationID":"IjMLndE7","properties":{"formattedCitation":"\\super 50,62\\nosupersub{}","plainCitation":"50,62","noteIndex":0},"citationItems":[{"id":1673,"uris":["http://zotero.org/users/1918630/items/MM36IZIC"],"itemData":{"id":1673,"type":"article-journal","abstract":"The contribution of seven known and nine predicted genes or operons associated with multidrug resistance to the susceptibility of Escherichia coli W3110 was assessed for 20 different classes of antimicrobial compounds that include antibiotics, antiseptics, detergents, and dyes. Strains were constructed with deletions for genes in the major facilitator superfamily, the resistance nodulation-cell division family, the small multidrug resistance family, the ATP-binding cassette family, and outer membrane factors. The agar dilution MICs of 35 compounds were determined for strains with deletions for multidrug resistance (MDR) pumps. Deletions in acrAB or tolC resulted in increased susceptibilities to the majority of compounds tested. The remaining MDR pump gene deletions resulted in increased susceptibilities to far fewer compounds. The results identify which MDR pumps contribute to intrinsic resistance under the conditions tested and supply practical information useful for designing sensitive assay strains for cell-based screening of antibacterial compounds.","container-title":"Antimicrobial Agents and Chemotherapy","DOI":"10.1128/AAC.45.4.1126-1136.2001","ISSN":"0066-4804","issue":"4","journalAbbreviation":"Antimicrob Agents Chemother","language":"eng","note":"PMID: 11257026\nPMCID: PMC90435","page":"1126-1136","source":"PubMed","title":"Antibiotic susceptibility profiles of Escherichia coli strains lacking multidrug efflux pump genes","volume":"45","author":[{"family":"Sulavik","given":"M. C."},{"family":"Houseweart","given":"C."},{"family":"Cramer","given":"C."},{"family":"Jiwani","given":"N."},{"family":"Murgolo","given":"N."},{"family":"Greene","given":"J."},{"family":"DiDomenico","given":"B."},{"family":"Shaw","given":"K. J."},{"family":"Miller","given":"G. H."},{"family":"Hare","given":"R."},{"family":"Shimer","given":"G."}],"issued":{"date-parts":[["2001",4]]}}},{"id":1676,"uris":["http://zotero.org/users/1918630/items/H7ZJCRK3"],"itemData":{"id":1676,"type":"article-journal","abstract":"The complete sequencing of bacterial genomes has revealed a large number of drug transporter genes. In Escherichia coli, there are 37 open reading frames (ORFs) assumed to be drug transporter genes on the basis of sequence similarities, although the transport capabilities of most of them have not been established yet. We cloned all 37 putative drug transporter genes in E. coli and investigated their drug resistance phenotypes using an E. coli drug-sensitive mutant as a host. E. coli cells transformed with a plasmid carrying one of 20 ORFs, i.e., fsr, mdfA, yceE, yceL, bcr, emrKY, emrAB, emrD, yidY, yjiO, ydhE, acrAB, cusA (formerly ybdE), yegMNO, acrD, acrEF, yhiUV, emrE, ydgFE, and ybjYZ, exhibited increased resistance to some of the 26 representative antimicrobial agents and chemical compounds tested in this study. Of these 20 ORFs, cusA, yegMNO, ydgFE, yceE, yceL, yidY, and ybjYZ are novel drug resistance genes. The fsr, bcr, yjiO, ydhE, acrD, and yhiUV genes gave broader resistance spectra than previously reported.","container-title":"Journal of Bacteriology","DOI":"10.1128/JB.183.20.5803-5812.2001","ISSN":"0021-9193","issue":"20","journalAbbreviation":"J Bacteriol","language":"eng","note":"PMID: 11566977\nPMCID: PMC99656","page":"5803-5812","source":"PubMed","title":"Analysis of a complete library of putative drug transporter genes in Escherichia coli","volume":"183","author":[{"family":"Nishino","given":"K."},{"family":"Yamaguchi","given":"A."}],"issued":{"date-parts":[["2001",10]]}}}],"schema":"https://github.com/citation-style-language/schema/raw/master/csl-citation.json"} </w:instrText>
      </w:r>
      <w:r w:rsidR="00A13C5A">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50,62</w:t>
      </w:r>
      <w:r w:rsidR="00A13C5A">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In this study, </w:t>
      </w:r>
      <w:r w:rsidR="00243FE3">
        <w:rPr>
          <w:rFonts w:ascii="Times New Roman" w:eastAsia="Times New Roman" w:hAnsi="Times New Roman" w:cs="Times New Roman"/>
          <w:sz w:val="24"/>
          <w:szCs w:val="24"/>
          <w14:ligatures w14:val="none"/>
        </w:rPr>
        <w:t>I first analyzed the genomic context and putative structure of</w:t>
      </w:r>
      <w:r w:rsidRPr="00ED4992">
        <w:rPr>
          <w:rFonts w:ascii="Times New Roman" w:eastAsia="Times New Roman" w:hAnsi="Times New Roman" w:cs="Times New Roman"/>
          <w:sz w:val="24"/>
          <w:szCs w:val="24"/>
          <w14:ligatures w14:val="none"/>
        </w:rPr>
        <w:t xml:space="preserve"> </w:t>
      </w:r>
      <w:r w:rsidRPr="00243FE3">
        <w:rPr>
          <w:rFonts w:ascii="Times New Roman" w:eastAsia="Times New Roman" w:hAnsi="Times New Roman" w:cs="Times New Roman"/>
          <w:i/>
          <w:iCs/>
          <w:sz w:val="24"/>
          <w:szCs w:val="24"/>
          <w14:ligatures w14:val="none"/>
        </w:rPr>
        <w:t xml:space="preserve">A. baumannii </w:t>
      </w:r>
      <w:r w:rsidRPr="00ED4992">
        <w:rPr>
          <w:rFonts w:ascii="Times New Roman" w:eastAsia="Times New Roman" w:hAnsi="Times New Roman" w:cs="Times New Roman"/>
          <w:sz w:val="24"/>
          <w:szCs w:val="24"/>
          <w14:ligatures w14:val="none"/>
        </w:rPr>
        <w:t xml:space="preserve">transporters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and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the abundances of which increased in cells lacking the two major multidrug efflux pumps </w:t>
      </w:r>
      <w:proofErr w:type="spellStart"/>
      <w:r w:rsidRPr="00ED4992">
        <w:rPr>
          <w:rFonts w:ascii="Times New Roman" w:eastAsia="Times New Roman" w:hAnsi="Times New Roman" w:cs="Times New Roman"/>
          <w:sz w:val="24"/>
          <w:szCs w:val="24"/>
          <w14:ligatures w14:val="none"/>
        </w:rPr>
        <w:t>AdeIJK</w:t>
      </w:r>
      <w:proofErr w:type="spellEnd"/>
      <w:r w:rsidRPr="00ED4992">
        <w:rPr>
          <w:rFonts w:ascii="Times New Roman" w:eastAsia="Times New Roman" w:hAnsi="Times New Roman" w:cs="Times New Roman"/>
          <w:sz w:val="24"/>
          <w:szCs w:val="24"/>
          <w14:ligatures w14:val="none"/>
        </w:rPr>
        <w:t xml:space="preserve"> and AdeABC</w:t>
      </w:r>
      <w:r w:rsidR="00A13C5A">
        <w:rPr>
          <w:rFonts w:ascii="Times New Roman" w:eastAsia="Times New Roman" w:hAnsi="Times New Roman" w:cs="Times New Roman"/>
          <w:sz w:val="24"/>
          <w:szCs w:val="24"/>
          <w14:ligatures w14:val="none"/>
        </w:rPr>
        <w:t>.</w:t>
      </w:r>
      <w:r w:rsidR="00A13C5A">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{"citationID":"k5c13RgH","properties":{"formattedCitation":"\\super 64\\nosupersub{}","plainCitation":"64","noteIndex":0},"citationItems":[{"id":1165,"uris":["http://zotero.org/users/1918630/items/HJJI4U4R"],"itemData":{"id":1165,"type":"article-journal","abstract":"Multidrug resistant (MDR) strains of Acinetobacter baumannii present a serious clinical challenge. The development of antibiotic resistance in this species is enabled by efflux pumps of the Resistance-Nodulation-Division (RND) superfamily of proteins creating an efficient permeability barrier for antibiotics. At least three RND pumps, AdeABC, AdeIJK, and AdeFGH are encoded in the A. baumannii genome and are reported to contribute to antibiotic resistance in clinical isolates. In this study, we analyzed the contributions of AdeABC and AdeIJK in antibiotic resistance and growth physiology of the two MDR strains, AYE and AB5075. We found that not only the two pumps have nonoverlapping substrate specificities, their inactivation leads to specific nonoverlapping changes in gene expression as determined by RNA sequencing and confirmed by gene knockouts and growth phenotypes. Our results suggest that inactivation of AdeIJK elicits broader changes in the abundances of mRNAs and this response is modified in the absence of AdeB. In contrast, inactivation of AdeB leads to a focused cellular response, which is not sensitive to the activity of AdeIJK. We identified additional efflux pumps and transcriptional regulators that contribute to MDR phenotype of clinical A. baumannii isolates.","container-title":"Molecular Microbiology","DOI":"10.1111/mmi.14594","ISSN":"1365-2958","issue":"6","journalAbbreviation":"Mol Microbiol","language":"eng","note":"PMID: 32858760","page":"1049-1065","source":"PubMed","title":"Inactivation of AdeABC and AdeIJK efflux pumps elicits specific nonoverlapping transcriptional and phenotypic responses in Acinetobacter baumannii","volume":"114","author":[{"family":"Leus","given":"Inga V."},{"family":"Adamiak","given":"Justyna"},{"family":"Trinh","given":"Anhthu N."},{"family":"Smith","given":"Richard D."},{"family":"Smith","given":"Lauren"},{"family":"Richardson","given":"Sophie"},{"family":"Ernst","given":"Robert K."},{"family":"Zgurskaya","given":"Helen I."}],"issued":{"date-parts":[["2020",12]]}}}],"schema":"https://github.com/citation-style-language/schema/raw/master/csl-citation.json"} </w:instrText>
      </w:r>
      <w:r w:rsidR="00A13C5A">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64</w:t>
      </w:r>
      <w:r w:rsidR="00A13C5A">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w:t>
      </w:r>
      <w:r w:rsidR="00243FE3">
        <w:rPr>
          <w:rFonts w:ascii="Times New Roman" w:eastAsia="Times New Roman" w:hAnsi="Times New Roman" w:cs="Times New Roman"/>
          <w:sz w:val="24"/>
          <w:szCs w:val="24"/>
          <w14:ligatures w14:val="none"/>
        </w:rPr>
        <w:t xml:space="preserve">Next, I cloned and overproduced these pumps in </w:t>
      </w:r>
      <w:r w:rsidR="003B40D4">
        <w:rPr>
          <w:rFonts w:ascii="Times New Roman" w:eastAsia="Times New Roman" w:hAnsi="Times New Roman" w:cs="Times New Roman"/>
          <w:sz w:val="24"/>
          <w:szCs w:val="24"/>
          <w14:ligatures w14:val="none"/>
        </w:rPr>
        <w:t xml:space="preserve">plus or minus efflux deficient </w:t>
      </w:r>
      <w:r w:rsidR="003B40D4">
        <w:rPr>
          <w:rFonts w:ascii="Times New Roman" w:eastAsia="Times New Roman" w:hAnsi="Times New Roman" w:cs="Times New Roman"/>
          <w:i/>
          <w:iCs/>
          <w:sz w:val="24"/>
          <w:szCs w:val="24"/>
          <w14:ligatures w14:val="none"/>
        </w:rPr>
        <w:t>A. baumannii</w:t>
      </w:r>
      <w:r w:rsidR="003B40D4">
        <w:rPr>
          <w:rFonts w:ascii="Times New Roman" w:eastAsia="Times New Roman" w:hAnsi="Times New Roman" w:cs="Times New Roman"/>
          <w:sz w:val="24"/>
          <w:szCs w:val="24"/>
          <w14:ligatures w14:val="none"/>
        </w:rPr>
        <w:t xml:space="preserve"> strains</w:t>
      </w:r>
      <w:r w:rsidR="00243FE3">
        <w:rPr>
          <w:rFonts w:ascii="Times New Roman" w:eastAsia="Times New Roman" w:hAnsi="Times New Roman" w:cs="Times New Roman"/>
          <w:sz w:val="24"/>
          <w:szCs w:val="24"/>
          <w14:ligatures w14:val="none"/>
        </w:rPr>
        <w:t xml:space="preserve"> and characterized their functions. The results show that the </w:t>
      </w:r>
      <w:r w:rsidRPr="00ED4992">
        <w:rPr>
          <w:rFonts w:ascii="Times New Roman" w:eastAsia="Times New Roman" w:hAnsi="Times New Roman" w:cs="Times New Roman"/>
          <w:sz w:val="24"/>
          <w:szCs w:val="24"/>
          <w14:ligatures w14:val="none"/>
        </w:rPr>
        <w:t xml:space="preserve">overproduction of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and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in the RND</w:t>
      </w:r>
      <w:r w:rsidR="00243FE3">
        <w:rPr>
          <w:rFonts w:ascii="Times New Roman" w:eastAsia="Times New Roman" w:hAnsi="Times New Roman" w:cs="Times New Roman"/>
          <w:sz w:val="24"/>
          <w:szCs w:val="24"/>
          <w14:ligatures w14:val="none"/>
        </w:rPr>
        <w:t xml:space="preserve"> and </w:t>
      </w:r>
      <w:proofErr w:type="spellStart"/>
      <w:r w:rsidR="00243FE3">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plus and minus genetic backgrounds </w:t>
      </w:r>
      <w:r w:rsidR="00243FE3">
        <w:rPr>
          <w:rFonts w:ascii="Times New Roman" w:eastAsia="Times New Roman" w:hAnsi="Times New Roman" w:cs="Times New Roman"/>
          <w:sz w:val="24"/>
          <w:szCs w:val="24"/>
          <w14:ligatures w14:val="none"/>
        </w:rPr>
        <w:t>did not lead to</w:t>
      </w:r>
      <w:r w:rsidRPr="00ED4992">
        <w:rPr>
          <w:rFonts w:ascii="Times New Roman" w:eastAsia="Times New Roman" w:hAnsi="Times New Roman" w:cs="Times New Roman"/>
          <w:sz w:val="24"/>
          <w:szCs w:val="24"/>
          <w14:ligatures w14:val="none"/>
        </w:rPr>
        <w:t xml:space="preserve"> pump-specific decreases in antibiotic susceptibilities</w:t>
      </w:r>
      <w:r w:rsidR="000E2CE5">
        <w:rPr>
          <w:rFonts w:ascii="Times New Roman" w:eastAsia="Times New Roman" w:hAnsi="Times New Roman" w:cs="Times New Roman"/>
          <w:sz w:val="24"/>
          <w:szCs w:val="24"/>
          <w14:ligatures w14:val="none"/>
        </w:rPr>
        <w:t xml:space="preserve"> (</w:t>
      </w:r>
      <w:r w:rsidR="000E2CE5">
        <w:rPr>
          <w:rFonts w:ascii="Times New Roman" w:eastAsia="Times New Roman" w:hAnsi="Times New Roman" w:cs="Times New Roman"/>
          <w:b/>
          <w:bCs/>
          <w:sz w:val="24"/>
          <w:szCs w:val="24"/>
          <w14:ligatures w14:val="none"/>
        </w:rPr>
        <w:t>Table 3.</w:t>
      </w:r>
      <w:r w:rsidR="000E3912">
        <w:rPr>
          <w:rFonts w:ascii="Times New Roman" w:eastAsia="Times New Roman" w:hAnsi="Times New Roman" w:cs="Times New Roman"/>
          <w:b/>
          <w:bCs/>
          <w:sz w:val="24"/>
          <w:szCs w:val="24"/>
          <w14:ligatures w14:val="none"/>
        </w:rPr>
        <w:t>4</w:t>
      </w:r>
      <w:r w:rsidR="000E2CE5">
        <w:rPr>
          <w:rFonts w:ascii="Times New Roman" w:eastAsia="Times New Roman" w:hAnsi="Times New Roman" w:cs="Times New Roman"/>
          <w:sz w:val="24"/>
          <w:szCs w:val="24"/>
          <w14:ligatures w14:val="none"/>
        </w:rPr>
        <w:t>)</w:t>
      </w:r>
      <w:r w:rsidRPr="00ED4992">
        <w:rPr>
          <w:rFonts w:ascii="Times New Roman" w:eastAsia="Times New Roman" w:hAnsi="Times New Roman" w:cs="Times New Roman"/>
          <w:sz w:val="24"/>
          <w:szCs w:val="24"/>
          <w14:ligatures w14:val="none"/>
        </w:rPr>
        <w:t xml:space="preserve">. Thus, in </w:t>
      </w:r>
      <w:r w:rsidRPr="00243FE3">
        <w:rPr>
          <w:rFonts w:ascii="Times New Roman" w:eastAsia="Times New Roman" w:hAnsi="Times New Roman" w:cs="Times New Roman"/>
          <w:i/>
          <w:iCs/>
          <w:sz w:val="24"/>
          <w:szCs w:val="24"/>
          <w14:ligatures w14:val="none"/>
        </w:rPr>
        <w:t>A. baumannii</w:t>
      </w:r>
      <w:r w:rsidRPr="00ED4992">
        <w:rPr>
          <w:rFonts w:ascii="Times New Roman" w:eastAsia="Times New Roman" w:hAnsi="Times New Roman" w:cs="Times New Roman"/>
          <w:sz w:val="24"/>
          <w:szCs w:val="24"/>
          <w14:ligatures w14:val="none"/>
        </w:rPr>
        <w:t xml:space="preserve">, these pumps do not contribute to antibiotic non-susceptibility. In contrast, </w:t>
      </w:r>
      <w:proofErr w:type="spellStart"/>
      <w:r w:rsidRPr="00ED4992">
        <w:rPr>
          <w:rFonts w:ascii="Times New Roman" w:eastAsia="Times New Roman" w:hAnsi="Times New Roman" w:cs="Times New Roman"/>
          <w:sz w:val="24"/>
          <w:szCs w:val="24"/>
          <w14:ligatures w14:val="none"/>
        </w:rPr>
        <w:t>AbWT</w:t>
      </w:r>
      <w:proofErr w:type="spellEnd"/>
      <w:r w:rsidRPr="00ED4992">
        <w:rPr>
          <w:rFonts w:ascii="Times New Roman" w:eastAsia="Times New Roman" w:hAnsi="Times New Roman" w:cs="Times New Roman"/>
          <w:sz w:val="24"/>
          <w:szCs w:val="24"/>
          <w14:ligatures w14:val="none"/>
        </w:rPr>
        <w:t>(</w:t>
      </w:r>
      <w:proofErr w:type="spellStart"/>
      <w:r w:rsidRPr="00ED4992">
        <w:rPr>
          <w:rFonts w:ascii="Times New Roman" w:eastAsia="Times New Roman" w:hAnsi="Times New Roman" w:cs="Times New Roman"/>
          <w:sz w:val="24"/>
          <w:szCs w:val="24"/>
          <w14:ligatures w14:val="none"/>
        </w:rPr>
        <w:t>pAmfAB</w:t>
      </w:r>
      <w:proofErr w:type="spellEnd"/>
      <w:r w:rsidRPr="00ED4992">
        <w:rPr>
          <w:rFonts w:ascii="Times New Roman" w:eastAsia="Times New Roman" w:hAnsi="Times New Roman" w:cs="Times New Roman"/>
          <w:sz w:val="24"/>
          <w:szCs w:val="24"/>
          <w14:ligatures w14:val="none"/>
        </w:rPr>
        <w:t xml:space="preserve">) cells became more susceptible to erythromycin and zeocin, the result consistent with the finding that the overproduction of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is toxic to </w:t>
      </w:r>
      <w:proofErr w:type="spellStart"/>
      <w:r w:rsidRPr="00ED4992">
        <w:rPr>
          <w:rFonts w:ascii="Times New Roman" w:eastAsia="Times New Roman" w:hAnsi="Times New Roman" w:cs="Times New Roman"/>
          <w:sz w:val="24"/>
          <w:szCs w:val="24"/>
          <w14:ligatures w14:val="none"/>
        </w:rPr>
        <w:t>AbWT</w:t>
      </w:r>
      <w:proofErr w:type="spellEnd"/>
      <w:r w:rsidRPr="00ED4992">
        <w:rPr>
          <w:rFonts w:ascii="Times New Roman" w:eastAsia="Times New Roman" w:hAnsi="Times New Roman" w:cs="Times New Roman"/>
          <w:sz w:val="24"/>
          <w:szCs w:val="24"/>
          <w14:ligatures w14:val="none"/>
        </w:rPr>
        <w:t xml:space="preserve"> and make the cells leaky to NPN</w:t>
      </w:r>
      <w:r w:rsidR="000E2CE5">
        <w:rPr>
          <w:rFonts w:ascii="Times New Roman" w:eastAsia="Times New Roman" w:hAnsi="Times New Roman" w:cs="Times New Roman"/>
          <w:sz w:val="24"/>
          <w:szCs w:val="24"/>
          <w14:ligatures w14:val="none"/>
        </w:rPr>
        <w:t xml:space="preserve"> (</w:t>
      </w:r>
      <w:r w:rsidR="000E2CE5">
        <w:rPr>
          <w:rFonts w:ascii="Times New Roman" w:eastAsia="Times New Roman" w:hAnsi="Times New Roman" w:cs="Times New Roman"/>
          <w:b/>
          <w:bCs/>
          <w:sz w:val="24"/>
          <w:szCs w:val="24"/>
          <w14:ligatures w14:val="none"/>
        </w:rPr>
        <w:t>Figure</w:t>
      </w:r>
      <w:r w:rsidR="000E3912">
        <w:rPr>
          <w:rFonts w:ascii="Times New Roman" w:eastAsia="Times New Roman" w:hAnsi="Times New Roman" w:cs="Times New Roman"/>
          <w:b/>
          <w:bCs/>
          <w:sz w:val="24"/>
          <w:szCs w:val="24"/>
          <w14:ligatures w14:val="none"/>
        </w:rPr>
        <w:t xml:space="preserve"> </w:t>
      </w:r>
      <w:r w:rsidR="000E2CE5">
        <w:rPr>
          <w:rFonts w:ascii="Times New Roman" w:eastAsia="Times New Roman" w:hAnsi="Times New Roman" w:cs="Times New Roman"/>
          <w:b/>
          <w:bCs/>
          <w:sz w:val="24"/>
          <w:szCs w:val="24"/>
          <w14:ligatures w14:val="none"/>
        </w:rPr>
        <w:t>3.</w:t>
      </w:r>
      <w:r w:rsidR="000E3912">
        <w:rPr>
          <w:rFonts w:ascii="Times New Roman" w:eastAsia="Times New Roman" w:hAnsi="Times New Roman" w:cs="Times New Roman"/>
          <w:b/>
          <w:bCs/>
          <w:sz w:val="24"/>
          <w:szCs w:val="24"/>
          <w14:ligatures w14:val="none"/>
        </w:rPr>
        <w:t>1</w:t>
      </w:r>
      <w:r w:rsidR="004E2E10">
        <w:rPr>
          <w:rFonts w:ascii="Times New Roman" w:eastAsia="Times New Roman" w:hAnsi="Times New Roman" w:cs="Times New Roman"/>
          <w:b/>
          <w:bCs/>
          <w:sz w:val="24"/>
          <w:szCs w:val="24"/>
          <w14:ligatures w14:val="none"/>
        </w:rPr>
        <w:t>2</w:t>
      </w:r>
      <w:r w:rsidR="000E2CE5">
        <w:rPr>
          <w:rFonts w:ascii="Times New Roman" w:eastAsia="Times New Roman" w:hAnsi="Times New Roman" w:cs="Times New Roman"/>
          <w:b/>
          <w:bCs/>
          <w:sz w:val="24"/>
          <w:szCs w:val="24"/>
          <w14:ligatures w14:val="none"/>
        </w:rPr>
        <w:t>-D</w:t>
      </w:r>
      <w:r w:rsidR="000E2CE5">
        <w:rPr>
          <w:rFonts w:ascii="Times New Roman" w:eastAsia="Times New Roman" w:hAnsi="Times New Roman" w:cs="Times New Roman"/>
          <w:sz w:val="24"/>
          <w:szCs w:val="24"/>
          <w14:ligatures w14:val="none"/>
        </w:rPr>
        <w:t>)</w:t>
      </w:r>
      <w:r w:rsidRPr="00ED4992">
        <w:rPr>
          <w:rFonts w:ascii="Times New Roman" w:eastAsia="Times New Roman" w:hAnsi="Times New Roman" w:cs="Times New Roman"/>
          <w:sz w:val="24"/>
          <w:szCs w:val="24"/>
          <w14:ligatures w14:val="none"/>
        </w:rPr>
        <w:t xml:space="preserve">. The lack of contribution to antibiotic non-susceptibility is unexpected because the </w:t>
      </w:r>
      <w:proofErr w:type="spellStart"/>
      <w:r w:rsidRPr="00ED4992">
        <w:rPr>
          <w:rFonts w:ascii="Times New Roman" w:eastAsia="Times New Roman" w:hAnsi="Times New Roman" w:cs="Times New Roman"/>
          <w:sz w:val="24"/>
          <w:szCs w:val="24"/>
          <w14:ligatures w14:val="none"/>
        </w:rPr>
        <w:t>EmrAB-TolC</w:t>
      </w:r>
      <w:proofErr w:type="spellEnd"/>
      <w:r w:rsidRPr="00ED4992">
        <w:rPr>
          <w:rFonts w:ascii="Times New Roman" w:eastAsia="Times New Roman" w:hAnsi="Times New Roman" w:cs="Times New Roman"/>
          <w:sz w:val="24"/>
          <w:szCs w:val="24"/>
          <w14:ligatures w14:val="none"/>
        </w:rPr>
        <w:t xml:space="preserve"> pump from E. coli, the best characterized homolog of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was the first multidrug efflux pump identified in bacteria</w:t>
      </w:r>
      <w:r w:rsidR="004807A4">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{"citationID":"3Lx6yoqx","properties":{"formattedCitation":"\\super 60\\nosupersub{}","plainCitation":"60","noteIndex":0},"citationItems":[{"id":1600,"uris":["http://zotero.org/users/1918630/items/JFGBI78C"],"itemData":{"id":1600,"type":"article-journal","abstract":"An Escherichia coli chromosomal DNA fragment cloned on a multicopy plasmid conferred resistance to carbonylcyanide m-chlorophenylhydrazone, nalidixic acid, and a number of other toxic compounds. The sequence of the cloned emr locus located at minute 57.5 of the chromosome revealed two open reading frames, emrA and emrB. emrB encodes a highly hydrophobic 56.2-kDa peptide, with 14 potential alpha-helices to span the inner membrane. The peptide is homologous to QacA, a multidrug-resistant pump from Staphylococcus aureus, and belongs to a gene family that includes tetracycline-resistant pumps of Gram-positive bacteria and the galactose/H+ symporter of E. coli. emrA encodes a putative 42.7-kDa peptide containing a single hydrophobic domain and a large C-terminal hydrophilic domain. An active pho-fusion to the C domain suggested that EmrA is a membrane protein. Disruption of emrB significantly increased sensitivity of cells to uncouplers. The cellular content of uncoupler increased in the order: overexpressed emrB cells greater than wild type greater than emrB-.","container-title":"Proceedings of the National Academy of Sciences of the United States of America","DOI":"10.1073/pnas.89.19.8938","ISSN":"0027-8424","issue":"19","journalAbbreviation":"Proc Natl Acad Sci U S A","language":"eng","note":"PMID: 1409590\nPMCID: PMC50039","page":"8938-8942","source":"PubMed","title":"Emr, an Escherichia coli locus for multidrug resistance","volume":"89","author":[{"family":"Lomovskaya","given":"O."},{"family":"Lewis","given":"K."}],"issued":{"date-parts":[["1992",10,1]]}}}],"schema":"https://github.com/citation-style-language/schema/raw/master/csl-citation.json"}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60</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and is able to expel select antibiotics, dyes and detergents from cells</w:t>
      </w:r>
      <w:r w:rsidR="00A13C5A">
        <w:rPr>
          <w:rFonts w:ascii="Times New Roman" w:eastAsia="Times New Roman" w:hAnsi="Times New Roman" w:cs="Times New Roman"/>
          <w:sz w:val="24"/>
          <w:szCs w:val="24"/>
          <w14:ligatures w14:val="none"/>
        </w:rPr>
        <w:t>.</w:t>
      </w:r>
      <w:r w:rsidR="00A13C5A">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{"citationID":"kJimpOz8","properties":{"formattedCitation":"\\super 62\\nosupersub{}","plainCitation":"62","noteIndex":0},"citationItems":[{"id":1676,"uris":["http://zotero.org/users/1918630/items/H7ZJCRK3"],"itemData":{"id":1676,"type":"article-journal","abstract":"The complete sequencing of bacterial genomes has revealed a large number of drug transporter genes. In Escherichia coli, there are 37 open reading frames (ORFs) assumed to be drug transporter genes on the basis of sequence similarities, although the transport capabilities of most of them have not been established yet. We cloned all 37 putative drug transporter genes in E. coli and investigated their drug resistance phenotypes using an E. coli drug-sensitive mutant as a host. E. coli cells transformed with a plasmid carrying one of 20 ORFs, i.e., fsr, mdfA, yceE, yceL, bcr, emrKY, emrAB, emrD, yidY, yjiO, ydhE, acrAB, cusA (formerly ybdE), yegMNO, acrD, acrEF, yhiUV, emrE, ydgFE, and ybjYZ, exhibited increased resistance to some of the 26 representative antimicrobial agents and chemical compounds tested in this study. Of these 20 ORFs, cusA, yegMNO, ydgFE, yceE, yceL, yidY, and ybjYZ are novel drug resistance genes. The fsr, bcr, yjiO, ydhE, acrD, and yhiUV genes gave broader resistance spectra than previously reported.","container-title":"Journal of Bacteriology","DOI":"10.1128/JB.183.20.5803-5812.2001","ISSN":"0021-9193","issue":"20","journalAbbreviation":"J Bacteriol","language":"eng","note":"PMID: 11566977\nPMCID: PMC99656","page":"5803-5812","source":"PubMed","title":"Analysis of a complete library of putative drug transporter genes in Escherichia coli","volume":"183","author":[{"family":"Nishino","given":"K."},{"family":"Yamaguchi","given":"A."}],"issued":{"date-parts":[["2001",10]]}}}],"schema":"https://github.com/citation-style-language/schema/raw/master/csl-citation.json"} </w:instrText>
      </w:r>
      <w:r w:rsidR="00A13C5A">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62</w:t>
      </w:r>
      <w:r w:rsidR="00A13C5A">
        <w:rPr>
          <w:rFonts w:ascii="Times New Roman" w:eastAsia="Times New Roman" w:hAnsi="Times New Roman" w:cs="Times New Roman"/>
          <w:sz w:val="24"/>
          <w:szCs w:val="24"/>
          <w14:ligatures w14:val="none"/>
        </w:rPr>
        <w:fldChar w:fldCharType="end"/>
      </w:r>
    </w:p>
    <w:p w14:paraId="21374859" w14:textId="47105386" w:rsidR="00ED4992" w:rsidRPr="00ED4992" w:rsidRDefault="00ED4992" w:rsidP="00ED4992">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Unlike the susceptibility to antibiotics, bacterial growth and survival under various stresses depend on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Both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and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contribute to </w:t>
      </w:r>
      <w:r w:rsidRPr="00575C34">
        <w:rPr>
          <w:rFonts w:ascii="Times New Roman" w:eastAsia="Times New Roman" w:hAnsi="Times New Roman" w:cs="Times New Roman"/>
          <w:i/>
          <w:iCs/>
          <w:sz w:val="24"/>
          <w:szCs w:val="24"/>
          <w14:ligatures w14:val="none"/>
        </w:rPr>
        <w:t>A. baumannii</w:t>
      </w:r>
      <w:r w:rsidRPr="00ED4992">
        <w:rPr>
          <w:rFonts w:ascii="Times New Roman" w:eastAsia="Times New Roman" w:hAnsi="Times New Roman" w:cs="Times New Roman"/>
          <w:sz w:val="24"/>
          <w:szCs w:val="24"/>
          <w14:ligatures w14:val="none"/>
        </w:rPr>
        <w:t xml:space="preserve"> growth in the pH 4.6 medium, with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playing a larger role </w:t>
      </w:r>
      <w:r w:rsidR="000E2CE5">
        <w:rPr>
          <w:rFonts w:ascii="Times New Roman" w:eastAsia="Times New Roman" w:hAnsi="Times New Roman" w:cs="Times New Roman"/>
          <w:sz w:val="24"/>
          <w:szCs w:val="24"/>
          <w14:ligatures w14:val="none"/>
        </w:rPr>
        <w:t>(</w:t>
      </w:r>
      <w:r w:rsidR="000E2CE5">
        <w:rPr>
          <w:rFonts w:ascii="Times New Roman" w:eastAsia="Times New Roman" w:hAnsi="Times New Roman" w:cs="Times New Roman"/>
          <w:b/>
          <w:bCs/>
          <w:sz w:val="24"/>
          <w:szCs w:val="24"/>
          <w14:ligatures w14:val="none"/>
        </w:rPr>
        <w:t>Figure 3.</w:t>
      </w:r>
      <w:r w:rsidR="004E7231">
        <w:rPr>
          <w:rFonts w:ascii="Times New Roman" w:eastAsia="Times New Roman" w:hAnsi="Times New Roman" w:cs="Times New Roman"/>
          <w:b/>
          <w:bCs/>
          <w:sz w:val="24"/>
          <w:szCs w:val="24"/>
          <w14:ligatures w14:val="none"/>
        </w:rPr>
        <w:t>8</w:t>
      </w:r>
      <w:r w:rsidR="000E2CE5">
        <w:rPr>
          <w:rFonts w:ascii="Times New Roman" w:eastAsia="Times New Roman" w:hAnsi="Times New Roman" w:cs="Times New Roman"/>
          <w:b/>
          <w:bCs/>
          <w:sz w:val="24"/>
          <w:szCs w:val="24"/>
          <w14:ligatures w14:val="none"/>
        </w:rPr>
        <w:t xml:space="preserve"> </w:t>
      </w:r>
      <w:r w:rsidR="000E2CE5">
        <w:rPr>
          <w:rFonts w:ascii="Times New Roman" w:eastAsia="Times New Roman" w:hAnsi="Times New Roman" w:cs="Times New Roman"/>
          <w:sz w:val="24"/>
          <w:szCs w:val="24"/>
          <w14:ligatures w14:val="none"/>
        </w:rPr>
        <w:t xml:space="preserve">and </w:t>
      </w:r>
      <w:r w:rsidR="000E2CE5">
        <w:rPr>
          <w:rFonts w:ascii="Times New Roman" w:eastAsia="Times New Roman" w:hAnsi="Times New Roman" w:cs="Times New Roman"/>
          <w:b/>
          <w:bCs/>
          <w:sz w:val="24"/>
          <w:szCs w:val="24"/>
          <w14:ligatures w14:val="none"/>
        </w:rPr>
        <w:t>Table 3.</w:t>
      </w:r>
      <w:r w:rsidR="003B40D4">
        <w:rPr>
          <w:rFonts w:ascii="Times New Roman" w:eastAsia="Times New Roman" w:hAnsi="Times New Roman" w:cs="Times New Roman"/>
          <w:b/>
          <w:bCs/>
          <w:sz w:val="24"/>
          <w:szCs w:val="24"/>
          <w14:ligatures w14:val="none"/>
        </w:rPr>
        <w:t>7</w:t>
      </w:r>
      <w:r w:rsidR="00575C34" w:rsidRPr="00575C34">
        <w:rPr>
          <w:rFonts w:ascii="Times New Roman" w:eastAsia="Times New Roman" w:hAnsi="Times New Roman" w:cs="Times New Roman"/>
          <w:sz w:val="24"/>
          <w:szCs w:val="24"/>
          <w14:ligatures w14:val="none"/>
        </w:rPr>
        <w:t>).</w:t>
      </w:r>
      <w:r w:rsidR="004E7231">
        <w:rPr>
          <w:rFonts w:ascii="Times New Roman" w:eastAsia="Times New Roman" w:hAnsi="Times New Roman" w:cs="Times New Roman"/>
          <w:b/>
          <w:bCs/>
          <w:sz w:val="24"/>
          <w:szCs w:val="24"/>
          <w14:ligatures w14:val="none"/>
        </w:rPr>
        <w:t xml:space="preserve"> </w:t>
      </w:r>
      <w:r w:rsidRPr="00ED4992">
        <w:rPr>
          <w:rFonts w:ascii="Times New Roman" w:eastAsia="Times New Roman" w:hAnsi="Times New Roman" w:cs="Times New Roman"/>
          <w:sz w:val="24"/>
          <w:szCs w:val="24"/>
          <w14:ligatures w14:val="none"/>
        </w:rPr>
        <w:t>Efflux appears to be a common adaptation to acidic stress among various bacterial species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{"citationID":"3STctI25","properties":{"formattedCitation":"\\super 76,144\\nosupersub{}","plainCitation":"76,144","noteIndex":0},"citationItems":[{"id":1603,"uris":["http://zotero.org/users/1918630/items/QZR5KCKT"],"itemData":{"id":1603,"type":"article-journal","abstract":"Microorganisms encounter acid stress during multiple bioprocesses. Microbial species have therefore developed a variety of resistance mechanisms. The damage caused by acidic environments is mitigated through the maintenance of pH homeostasis, cell membrane integrity and fluidity, metabolic regulation, and macromolecule repair. The acid tolerance mechanisms can be used to protect probiotics against gastric acids during the process of food intake, and can enhance the biosynthesis of organic acids. The combination of systems and synthetic biology technologies offers new and wide prospects for the industrial applications of microbial acid tolerance mechanisms. In this review, we summarize acid stress response mechanisms of microbial cells, illustrate the application of microbial acid tolerance in industry, and prospect the introduction of systems and synthetic biology to further explore the acid tolerance mechanisms and construct a microbial cell factory for valuable chemicals.","container-title":"Applied Microbiology and Biotechnology","DOI":"10.1007/s00253-019-10226-1","ISSN":"0175-7598","issue":"1","journalAbbreviation":"Appl Microbiol Biotechnol","note":"PMID: 31773206\nPMCID: PMC6942593","page":"51-65","source":"PubMed Central","title":"Microbial response to acid stress: mechanisms and applications","title-short":"Microbial response to acid stress","volume":"104","author":[{"family":"Guan","given":"Ningzi"},{"family":"Liu","given":"Long"}],"issued":{"date-parts":[["2020"]]}}},{"id":1852,"uris":["http://zotero.org/users/1918630/items/A9FRNDGW"],"itemData":{"id":1852,"type":"article-journal","abstract":"Most bacteria are neutralophiles but can survive fluctuations in pH in their environment. Herein, we provide an overview of the adaptation of several human, soil, and food bacteria to acid stress, mainly based on next-generation sequencing studies, highlighting common and specific strategies. We also discuss the interplay between acid stress response and antibiotic tolerance, as well as the response of individual cells.","container-title":"Current Opinion in Microbiology","DOI":"10.1016/j.mib.2023.102367","ISSN":"1879-0364","journalAbbreviation":"Curr Opin Microbiol","language":"eng","note":"PMID: 37633223","page":"102367","source":"PubMed","title":"Bacterial acid stress response: from cellular changes to antibiotic tolerance and phenotypic heterogeneity","title-short":"Bacterial acid stress response","volume":"75","author":[{"family":"Schumacher","given":"Kilian"},{"family":"Brameyer","given":"Sophie"},{"family":"Jung","given":"Kirsten"}],"issued":{"date-parts":[["2023",10]]}}}],"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76,144</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In </w:t>
      </w:r>
      <w:r w:rsidRPr="003B40D4">
        <w:rPr>
          <w:rFonts w:ascii="Times New Roman" w:eastAsia="Times New Roman" w:hAnsi="Times New Roman" w:cs="Times New Roman"/>
          <w:i/>
          <w:iCs/>
          <w:sz w:val="24"/>
          <w:szCs w:val="24"/>
          <w14:ligatures w14:val="none"/>
        </w:rPr>
        <w:t>E. coli</w:t>
      </w:r>
      <w:r w:rsidRPr="00ED4992">
        <w:rPr>
          <w:rFonts w:ascii="Times New Roman" w:eastAsia="Times New Roman" w:hAnsi="Times New Roman" w:cs="Times New Roman"/>
          <w:sz w:val="24"/>
          <w:szCs w:val="24"/>
          <w14:ligatures w14:val="none"/>
        </w:rPr>
        <w:t>, the inactivation of the RND pump MdtEF-</w:t>
      </w:r>
      <w:proofErr w:type="spellStart"/>
      <w:r w:rsidRPr="00ED4992">
        <w:rPr>
          <w:rFonts w:ascii="Times New Roman" w:eastAsia="Times New Roman" w:hAnsi="Times New Roman" w:cs="Times New Roman"/>
          <w:sz w:val="24"/>
          <w:szCs w:val="24"/>
          <w14:ligatures w14:val="none"/>
        </w:rPr>
        <w:t>TolC</w:t>
      </w:r>
      <w:proofErr w:type="spellEnd"/>
      <w:r w:rsidRPr="00ED4992">
        <w:rPr>
          <w:rFonts w:ascii="Times New Roman" w:eastAsia="Times New Roman" w:hAnsi="Times New Roman" w:cs="Times New Roman"/>
          <w:sz w:val="24"/>
          <w:szCs w:val="24"/>
          <w14:ligatures w14:val="none"/>
        </w:rPr>
        <w:t xml:space="preserve"> reduces the bacterial fitness in acidic pH and survival in macrophages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{"citationID":"qZsUIlwk","properties":{"formattedCitation":"\\super 145\\nosupersub{}","plainCitation":"145","noteIndex":0},"citationItems":[{"id":1076,"uris":["http://zotero.org/users/1918630/items/HARWMJJ3"],"itemData":{"id":1076,"type":"article-journal","abstract":"Efflux pumps are present in all living cells and represent a large and important group of transmembrane proteins involved in transport processes. Over the years studies on the role of efflux pumps in bacteria have been mainly centered on the capability of these membrane complexes to export one or more antibiotics. Multidrug resistance (MDR) efflux pumps confer resistance to antibiotics at different levels and are deeply implicated in the fast and dramatic emergence of antibiotic resistance. Recently, several reports have outlined the great versatility of MDR efflux pumps in exporting a large variety of compounds other than antibiotics, thus contributing to bacterial adaptation to a wide range of habitats. In several bacterial pathogens MDR efflux pumps contribute to increase the virulence potential and are directly involved in the crosstalk with host cells. In this work we have investigated the possible contribution of MDR efflux pumps to the infectious process of the Adherent-Invasive Escherichia coli (AIEC), a group of pathogenic E.coli that colonize the ileal mucosa of Crohn’s disease patients. AIEC are able to adhere to and invade intestinal epithelial cells, to survive within macrophages and to cause a strong intestinal inflammation. The results we have obtained indicate that, with the exception of mdtM, all MDR-efflux pumps encoding genes present in E.coli K12 are conserved in the AIEC prototype strain LF82. The analysis of the MDR efflux pump expression during LF82 infection of macrophages and epithelial cells reveals that their transcription is highly modulated during the diverse steps of the bacterial intracellular life, with some EP genes being regulated in a cell type specific manner. Finally, we present evidence indicating that MdtEF, an MDR EP belonging to the RND family, significantly contributes to bacterial fitness in macrophage environment.","container-title":"Frontiers in Microbiology","DOI":"10.3389/fmicb.2020.01935","ISSN":"1664-302X","journalAbbreviation":"Front. Microbiol.","language":"English","note":"publisher: Frontiers","source":"Frontiers","title":"Expression Profile of Multidrug Resistance Efflux Pumps During Intracellular Life of Adherent-Invasive Escherichia coli Strain LF82","URL":"https://www.frontiersin.org/articles/10.3389/fmicb.2020.01935/full?utm_source=F-AAE&amp;utm_medium=EMLF&amp;utm_campaign=MRK_1407965_51_Microb_20200820_arts_A","volume":"11","author":[{"family":"Fanelli","given":"Giulia"},{"family":"Pasqua","given":"Martina"},{"family":"Colonna","given":"Bianca"},{"family":"Prosseda","given":"Gianni"},{"family":"Grossi","given":"Milena"}],"accessed":{"date-parts":[["2020",8,20]]},"issued":{"date-parts":[["2020"]]}}}],"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145</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Similarly, the MFS pump </w:t>
      </w:r>
      <w:proofErr w:type="spellStart"/>
      <w:r w:rsidRPr="00ED4992">
        <w:rPr>
          <w:rFonts w:ascii="Times New Roman" w:eastAsia="Times New Roman" w:hAnsi="Times New Roman" w:cs="Times New Roman"/>
          <w:sz w:val="24"/>
          <w:szCs w:val="24"/>
          <w14:ligatures w14:val="none"/>
        </w:rPr>
        <w:t>EmrKY-TolC</w:t>
      </w:r>
      <w:proofErr w:type="spellEnd"/>
      <w:r w:rsidRPr="00ED4992">
        <w:rPr>
          <w:rFonts w:ascii="Times New Roman" w:eastAsia="Times New Roman" w:hAnsi="Times New Roman" w:cs="Times New Roman"/>
          <w:sz w:val="24"/>
          <w:szCs w:val="24"/>
          <w14:ligatures w14:val="none"/>
        </w:rPr>
        <w:t xml:space="preserve"> of </w:t>
      </w:r>
      <w:r w:rsidRPr="003B40D4">
        <w:rPr>
          <w:rFonts w:ascii="Times New Roman" w:eastAsia="Times New Roman" w:hAnsi="Times New Roman" w:cs="Times New Roman"/>
          <w:i/>
          <w:iCs/>
          <w:sz w:val="24"/>
          <w:szCs w:val="24"/>
          <w14:ligatures w14:val="none"/>
        </w:rPr>
        <w:t>Shigella flexneri</w:t>
      </w:r>
      <w:r w:rsidRPr="00ED4992">
        <w:rPr>
          <w:rFonts w:ascii="Times New Roman" w:eastAsia="Times New Roman" w:hAnsi="Times New Roman" w:cs="Times New Roman"/>
          <w:sz w:val="24"/>
          <w:szCs w:val="24"/>
          <w14:ligatures w14:val="none"/>
        </w:rPr>
        <w:t xml:space="preserve"> was reported to be important for survival in macrophages and is activated in response to acidic pH</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{"citationID":"8jUSxkp1","properties":{"formattedCitation":"\\super 146\\nosupersub{}","plainCitation":"146","noteIndex":0},"citationItems":[{"id":1856,"uris":["http://zotero.org/users/1918630/items/5MVLAQ7M"],"itemData":{"id":1856,"type":"article-journal","abstract":"Efflux pumps are membrane protein complexes conserved in all living organisms. Beyond being involved in antibiotic extrusion in several bacteria, efflux pumps are emerging as relevant players in pathogen-host interactions. We have investigated on the possible role of the efflux pump network in Shigella flexneri, the etiological agent of bacillary dysentery. We have found that S. flexneri has retained 14 of the 20 pumps characterized in Escherichia coli and that their expression is differentially modulated during the intracellular life of Shigella. In particular, the emrKY operon, encoding an efflux pump of the Major Facilitator Superfamily, is specifically and highly induced in Shigella-infected U937 macrophage-like cells and is activated in response to a combination of high K+ and acidic pH, which are sensed by the EvgS/EvgA two-component system. Notably, we show that following S. flexneri infection, macrophage cytosol undergoes a mild reduction of intracellular pH, permitting EvgA to trigger the emrKY activation. Finally, we present data suggesting that EmrKY is required for the survival of Shigella in the harsh macrophage environment, highlighting for the first time the key role of an efflux pump during the Shigella invasive process.","container-title":"Scientific Reports","DOI":"10.1038/s41598-019-39749-3","ISSN":"2045-2322","issue":"1","journalAbbreviation":"Sci Rep","language":"eng","note":"PMID: 30814604\nPMCID: PMC6393483","page":"2906","source":"PubMed","title":"The MFS efflux pump EmrKY contributes to the survival of Shigella within macrophages","volume":"9","author":[{"family":"Pasqua","given":"Martina"},{"family":"Grossi","given":"Milena"},{"family":"Scinicariello","given":"Sara"},{"family":"Aussel","given":"Laurent"},{"family":"Barras","given":"Frédéric"},{"family":"Colonna","given":"Bianca"},{"family":"Prosseda","given":"Gianni"}],"issued":{"date-parts":[["2019",2,27]]}}}],"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146</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However, it remains unclear how efflux pumps contribute to acid adaptation.</w:t>
      </w:r>
    </w:p>
    <w:p w14:paraId="60DF4D4E" w14:textId="5E6E973E" w:rsidR="00ED4992" w:rsidRPr="00ED4992" w:rsidRDefault="00ED4992" w:rsidP="00ED4992">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One possibility is that efflux pumps play a role in the consumption of protons needed to sustain pH homeostasis in the cytoplasm. The production of ammonia by </w:t>
      </w:r>
      <w:r w:rsidRPr="004E7231">
        <w:rPr>
          <w:rFonts w:ascii="Times New Roman" w:eastAsia="Times New Roman" w:hAnsi="Times New Roman" w:cs="Times New Roman"/>
          <w:i/>
          <w:iCs/>
          <w:sz w:val="24"/>
          <w:szCs w:val="24"/>
          <w14:ligatures w14:val="none"/>
        </w:rPr>
        <w:t>A. baumannii</w:t>
      </w:r>
      <w:r w:rsidRPr="00ED4992">
        <w:rPr>
          <w:rFonts w:ascii="Times New Roman" w:eastAsia="Times New Roman" w:hAnsi="Times New Roman" w:cs="Times New Roman"/>
          <w:sz w:val="24"/>
          <w:szCs w:val="24"/>
          <w14:ligatures w14:val="none"/>
        </w:rPr>
        <w:t xml:space="preserve"> has been reported to be important for the survival and replication in macrophages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{"citationID":"gAbqr9sP","properties":{"formattedCitation":"\\super 147\\nosupersub{}","plainCitation":"147","noteIndex":0},"citationItems":[{"id":1859,"uris":["http://zotero.org/users/1918630/items/8GT28BB7"],"itemData":{"id":1859,"type":"article-journal","abstract":"Bacterial pneumonia is a common infection of the lower respiratory tract that can afflict patients of all ages. Multidrug-resistant strains of Acinetobacter baumannii are increasingly responsible for causing nosocomial pneumonias, thus posing an urgent threat. Alveolar macrophages play a critical role in overcoming respiratory infections caused by this pathogen. Recently, we and others have shown that new clinical isolates of A. baumannii, but not the common lab strain ATCC 19606 (19606), can persist and replicate in macrophages within spacious vacuoles that we called Acinetobacter Containing Vacuoles (ACV). In this work, we demonstrate that the modern A. baumannii clinical isolate 398, but not the lab strain 19606, can infect alveolar macrophages and produce ACVs in vivo in a murine pneumonia model. Both strains initially interact with the macrophage endocytic pathway, as indicated by EEA1 and LAMP1 markers; however, the fate of these strains diverges at a later stage. While 19606 is eliminated in an autophagy pathway, 398 replicates in ACVs and are not degraded. We show that 398 reverts the natural acidification of the phagosome by secreting large amounts of ammonia, a by-product of amino acid catabolism. We propose that this ability to survive within macrophages may be critical for the persistence of clinical A. baumannii isolates in the lung during a respiratory infection.","container-title":"PLoS pathogens","DOI":"10.1371/journal.ppat.1011173","ISSN":"1553-7374","issue":"6","journalAbbreviation":"PLoS Pathog","language":"eng","note":"PMID: 37294840\nPMCID: PMC10286980","page":"e1011173","source":"PubMed","title":"Replicative Acinetobacter baumannii strains interfere with phagosomal maturation by modulating the vacuolar pH","volume":"19","author":[{"family":"Distel","given":"Jesus S."},{"family":"Di Venanzio","given":"Gisela"},{"family":"Mackel","given":"Joseph J."},{"family":"Rosen","given":"David A."},{"family":"Feldman","given":"Mario F."}],"issued":{"date-parts":[["2023",6]]}}}],"schema":"https://github.com/citation-style-language/schema/raw/master/csl-citation.json"}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147</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However, ammonia and CO</w:t>
      </w:r>
      <w:r w:rsidRPr="00ED4992">
        <w:rPr>
          <w:rFonts w:ascii="Times New Roman" w:eastAsia="Times New Roman" w:hAnsi="Times New Roman" w:cs="Times New Roman"/>
          <w:sz w:val="24"/>
          <w:szCs w:val="24"/>
          <w:vertAlign w:val="subscript"/>
          <w14:ligatures w14:val="none"/>
        </w:rPr>
        <w:t>2</w:t>
      </w:r>
      <w:r w:rsidRPr="00ED4992">
        <w:rPr>
          <w:rFonts w:ascii="Times New Roman" w:eastAsia="Times New Roman" w:hAnsi="Times New Roman" w:cs="Times New Roman"/>
          <w:sz w:val="24"/>
          <w:szCs w:val="24"/>
          <w14:ligatures w14:val="none"/>
        </w:rPr>
        <w:t xml:space="preserve"> released during amino acid transformations can rapidly diffuse across membranes, whereas uptake and efflux of amino acids are carried out by specific amino acid exchangers such as </w:t>
      </w:r>
      <w:proofErr w:type="spellStart"/>
      <w:r w:rsidRPr="00ED4992">
        <w:rPr>
          <w:rFonts w:ascii="Times New Roman" w:eastAsia="Times New Roman" w:hAnsi="Times New Roman" w:cs="Times New Roman"/>
          <w:sz w:val="24"/>
          <w:szCs w:val="24"/>
          <w14:ligatures w14:val="none"/>
        </w:rPr>
        <w:t>ArcD</w:t>
      </w:r>
      <w:proofErr w:type="spellEnd"/>
      <w:r w:rsidRPr="00ED4992">
        <w:rPr>
          <w:rFonts w:ascii="Times New Roman" w:eastAsia="Times New Roman" w:hAnsi="Times New Roman" w:cs="Times New Roman"/>
          <w:sz w:val="24"/>
          <w:szCs w:val="24"/>
          <w14:ligatures w14:val="none"/>
        </w:rPr>
        <w:t xml:space="preserve"> for arginine/ornithine or </w:t>
      </w:r>
      <w:proofErr w:type="spellStart"/>
      <w:r w:rsidRPr="00ED4992">
        <w:rPr>
          <w:rFonts w:ascii="Times New Roman" w:eastAsia="Times New Roman" w:hAnsi="Times New Roman" w:cs="Times New Roman"/>
          <w:sz w:val="24"/>
          <w:szCs w:val="24"/>
          <w14:ligatures w14:val="none"/>
        </w:rPr>
        <w:t>CadB</w:t>
      </w:r>
      <w:proofErr w:type="spellEnd"/>
      <w:r w:rsidRPr="00ED4992">
        <w:rPr>
          <w:rFonts w:ascii="Times New Roman" w:eastAsia="Times New Roman" w:hAnsi="Times New Roman" w:cs="Times New Roman"/>
          <w:sz w:val="24"/>
          <w:szCs w:val="24"/>
          <w14:ligatures w14:val="none"/>
        </w:rPr>
        <w:t xml:space="preserve"> for lysine/cadaverine</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{"citationID":"AtieIu0S","properties":{"formattedCitation":"\\super 76\\nosupersub{}","plainCitation":"76","noteIndex":0},"citationItems":[{"id":1603,"uris":["http://zotero.org/users/1918630/items/QZR5KCKT"],"itemData":{"id":1603,"type":"article-journal","abstract":"Microorganisms encounter acid stress during multiple bioprocesses. Microbial species have therefore developed a variety of resistance mechanisms. The damage caused by acidic environments is mitigated through the maintenance of pH homeostasis, cell membrane integrity and fluidity, metabolic regulation, and macromolecule repair. The acid tolerance mechanisms can be used to protect probiotics against gastric acids during the process of food intake, and can enhance the biosynthesis of organic acids. The combination of systems and synthetic biology technologies offers new and wide prospects for the industrial applications of microbial acid tolerance mechanisms. In this review, we summarize acid stress response mechanisms of microbial cells, illustrate the application of microbial acid tolerance in industry, and prospect the introduction of systems and synthetic biology to further explore the acid tolerance mechanisms and construct a microbial cell factory for valuable chemicals.","container-title":"Applied Microbiology and Biotechnology","DOI":"10.1007/s00253-019-10226-1","ISSN":"0175-7598","issue":"1","journalAbbreviation":"Appl Microbiol Biotechnol","note":"PMID: 31773206\nPMCID: PMC6942593","page":"51-65","source":"PubMed Central","title":"Microbial response to acid stress: mechanisms and applications","title-short":"Microbial response to acid stress","volume":"104","author":[{"family":"Guan","given":"Ningzi"},{"family":"Liu","given":"Long"}],"issued":{"date-parts":[["2020"]]}}}],"schema":"https://github.com/citation-style-language/schema/raw/master/csl-citation.json"}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76</w:t>
      </w:r>
      <w:r w:rsidR="004807A4">
        <w:rPr>
          <w:rFonts w:ascii="Times New Roman" w:eastAsia="Times New Roman" w:hAnsi="Times New Roman" w:cs="Times New Roman"/>
          <w:sz w:val="24"/>
          <w:szCs w:val="24"/>
          <w14:ligatures w14:val="none"/>
        </w:rPr>
        <w:fldChar w:fldCharType="end"/>
      </w:r>
    </w:p>
    <w:p w14:paraId="71A59468" w14:textId="565987FF" w:rsidR="00ED4992" w:rsidRPr="00ED4992" w:rsidRDefault="00ED4992" w:rsidP="00ED4992">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lastRenderedPageBreak/>
        <w:t xml:space="preserve">Alternatively, efflux pumps could contribute to modifications of cellular membranes needed for survival in acidic conditions. </w:t>
      </w:r>
      <w:r w:rsidR="004E7231">
        <w:rPr>
          <w:rFonts w:ascii="Times New Roman" w:eastAsia="Times New Roman" w:hAnsi="Times New Roman" w:cs="Times New Roman"/>
          <w:sz w:val="24"/>
          <w:szCs w:val="24"/>
          <w14:ligatures w14:val="none"/>
        </w:rPr>
        <w:t>It was</w:t>
      </w:r>
      <w:r w:rsidRPr="00ED4992">
        <w:rPr>
          <w:rFonts w:ascii="Times New Roman" w:eastAsia="Times New Roman" w:hAnsi="Times New Roman" w:cs="Times New Roman"/>
          <w:sz w:val="24"/>
          <w:szCs w:val="24"/>
          <w14:ligatures w14:val="none"/>
        </w:rPr>
        <w:t xml:space="preserve"> previously found that either inactivation or overproduction of Ade pumps change dramatically the lipidome of </w:t>
      </w:r>
      <w:r w:rsidRPr="004E7231">
        <w:rPr>
          <w:rFonts w:ascii="Times New Roman" w:eastAsia="Times New Roman" w:hAnsi="Times New Roman" w:cs="Times New Roman"/>
          <w:i/>
          <w:iCs/>
          <w:sz w:val="24"/>
          <w:szCs w:val="24"/>
          <w14:ligatures w14:val="none"/>
        </w:rPr>
        <w:t xml:space="preserve">A. baumannii </w:t>
      </w:r>
      <w:r w:rsidRPr="00ED4992">
        <w:rPr>
          <w:rFonts w:ascii="Times New Roman" w:eastAsia="Times New Roman" w:hAnsi="Times New Roman" w:cs="Times New Roman"/>
          <w:sz w:val="24"/>
          <w:szCs w:val="24"/>
          <w14:ligatures w14:val="none"/>
        </w:rPr>
        <w:t>ATCC17978 cells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{"citationID":"29zaiwqs","properties":{"formattedCitation":"\\super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52</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In addition, the </w:t>
      </w:r>
      <w:proofErr w:type="spellStart"/>
      <w:r w:rsidRPr="00ED4992">
        <w:rPr>
          <w:rFonts w:ascii="Times New Roman" w:eastAsia="Times New Roman" w:hAnsi="Times New Roman" w:cs="Times New Roman"/>
          <w:sz w:val="24"/>
          <w:szCs w:val="24"/>
          <w14:ligatures w14:val="none"/>
        </w:rPr>
        <w:t>AdeIJK</w:t>
      </w:r>
      <w:proofErr w:type="spellEnd"/>
      <w:r w:rsidRPr="00ED4992">
        <w:rPr>
          <w:rFonts w:ascii="Times New Roman" w:eastAsia="Times New Roman" w:hAnsi="Times New Roman" w:cs="Times New Roman"/>
          <w:sz w:val="24"/>
          <w:szCs w:val="24"/>
          <w14:ligatures w14:val="none"/>
        </w:rPr>
        <w:t xml:space="preserve"> pump was also implicated in the efflux of host fatty acids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{"citationID":"mnLOtiIV","properties":{"formattedCitation":"\\super 143\\nosupersub{}","plainCitation":"143","noteIndex":0},"citationItems":[{"id":1670,"uris":["http://zotero.org/users/1918630/items/MU9JRPZ8"],"itemData":{"id":1670,"type":"article-journal","abstract":"Free fatty acids hold important immune-modulatory roles during infection. However, the host's long-chain polyunsaturated fatty acids, not commonly found in the membranes of bacterial pathogens, also have significant broad-spectrum antibacterial potential. Of these, the omega-6 fatty acid arachidonic acid (AA) and the omega-3 fatty acid decosahexaenoic acid (DHA) are highly abundant; hence, we investigated their effects on the multidrug-resistant human pathogen Acinetobacter baumannii Our analyses reveal that AA and DHA incorporate into the A. baumannii bacterial membrane and impact bacterial fitness and membrane integrity, with DHA having a more pronounced effect. Through transcriptional profiling and mutant analyses, we show that the A. baumannii β-oxidation pathway plays a protective role against AA and DHA, by limiting their incorporation into the phospholipids of the bacterial membrane. Furthermore, our study identified a second bacterial membrane protection system mediated by the AdeIJK efflux system, which modulates the lipid content of the membrane via direct efflux of lipids other than AA and DHA, thereby providing a novel function for this major efflux system in A. baumannii This is the first study to examine the antimicrobial effects of host fatty acids on A. baumannii and highlights the potential of AA and DHA to protect against A. baumannii infections.IMPORTANCE A shift in the Western diet since the industrial revolution has resulted in a dramatic increase in the consumption of omega-6 fatty acids, with a concurrent decrease in the consumption of omega-3 fatty acids. This decrease in omega-3 fatty acid consumption has been associated with significant disease burden, including increased susceptibility to infectious diseases. Here we provide evidence that DHA, an omega-3 fatty acid, has superior antimicrobial effects upon the highly drug-resistant pathogen Acinetobacter baumannii, thereby providing insights into one of the potential health benefits of omega-3 fatty acids. The identification and characterization of two novel bacterial membrane protective mechanisms against host fatty acids provide important insights into A. baumannii adaptation during disease. Furthermore, we describe a novel role for the major multidrug efflux system AdeIJK in A. baumannii membrane maintenance and lipid transport. This core function, beyond drug efflux, increases the appeal of AdeIJK as a therapeutic target.","container-title":"mBio","DOI":"10.1128/mBio.02056-18","ISSN":"2150-7511","issue":"1","journalAbbreviation":"mBio","language":"eng","note":"PMID: 30723122\nPMCID: PMC6428749","page":"e02056-18","source":"PubMed","title":"Identification of Novel Acinetobacter baumannii Host Fatty Acid Stress Adaptation Strategies","volume":"10","author":[{"family":"Jiang","given":"Jhih-Hang"},{"family":"Hassan","given":"Karl A."},{"family":"Begg","given":"Stephanie L."},{"family":"Rupasinghe","given":"Thusitha W. T."},{"family":"Naidu","given":"Varsha"},{"family":"Pederick","given":"Victoria G."},{"family":"Khorvash","given":"Marjan"},{"family":"Whittall","given":"Jonathan J."},{"family":"Paton","given":"James C."},{"family":"Paulsen","given":"Ian T."},{"family":"McDevitt","given":"Christopher A."},{"family":"Peleg","given":"Anton Y."},{"family":"Eijkelkamp","given":"Bart A."}],"issued":{"date-parts":[["2019",2,5]]}}}],"schema":"https://github.com/citation-style-language/schema/raw/master/csl-citation.json"}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143</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Thus, the role of RND and possibly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could be in the modification of the fatty acid composition of the membranes during acidic stresses. Our NPN accumulation analyses are consistent with this conclusion and showed that inactivation of either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or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makes cells less permeable to this membrane probe</w:t>
      </w:r>
      <w:r w:rsidR="000E2CE5">
        <w:rPr>
          <w:rFonts w:ascii="Times New Roman" w:eastAsia="Times New Roman" w:hAnsi="Times New Roman" w:cs="Times New Roman"/>
          <w:sz w:val="24"/>
          <w:szCs w:val="24"/>
          <w14:ligatures w14:val="none"/>
        </w:rPr>
        <w:t xml:space="preserve"> (</w:t>
      </w:r>
      <w:r w:rsidR="000E2CE5">
        <w:rPr>
          <w:rFonts w:ascii="Times New Roman" w:eastAsia="Times New Roman" w:hAnsi="Times New Roman" w:cs="Times New Roman"/>
          <w:b/>
          <w:bCs/>
          <w:sz w:val="24"/>
          <w:szCs w:val="24"/>
          <w14:ligatures w14:val="none"/>
        </w:rPr>
        <w:t>Figure 3.</w:t>
      </w:r>
      <w:r w:rsidR="000E3912">
        <w:rPr>
          <w:rFonts w:ascii="Times New Roman" w:eastAsia="Times New Roman" w:hAnsi="Times New Roman" w:cs="Times New Roman"/>
          <w:b/>
          <w:bCs/>
          <w:sz w:val="24"/>
          <w:szCs w:val="24"/>
          <w14:ligatures w14:val="none"/>
        </w:rPr>
        <w:t>1</w:t>
      </w:r>
      <w:r w:rsidR="004E2E10">
        <w:rPr>
          <w:rFonts w:ascii="Times New Roman" w:eastAsia="Times New Roman" w:hAnsi="Times New Roman" w:cs="Times New Roman"/>
          <w:b/>
          <w:bCs/>
          <w:sz w:val="24"/>
          <w:szCs w:val="24"/>
          <w14:ligatures w14:val="none"/>
        </w:rPr>
        <w:t>2</w:t>
      </w:r>
      <w:r w:rsidR="000E2CE5">
        <w:rPr>
          <w:rFonts w:ascii="Times New Roman" w:eastAsia="Times New Roman" w:hAnsi="Times New Roman" w:cs="Times New Roman"/>
          <w:sz w:val="24"/>
          <w:szCs w:val="24"/>
          <w14:ligatures w14:val="none"/>
        </w:rPr>
        <w:t>)</w:t>
      </w:r>
      <w:r w:rsidRPr="00ED4992">
        <w:rPr>
          <w:rFonts w:ascii="Times New Roman" w:eastAsia="Times New Roman" w:hAnsi="Times New Roman" w:cs="Times New Roman"/>
          <w:sz w:val="24"/>
          <w:szCs w:val="24"/>
          <w14:ligatures w14:val="none"/>
        </w:rPr>
        <w:t xml:space="preserve">. These changes in the permeability barrier were independent from the presence of RND pumps but the effect was the strongest when both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were inactivated in ∆5 cells</w:t>
      </w:r>
      <w:r w:rsidR="000E2CE5">
        <w:rPr>
          <w:rFonts w:ascii="Times New Roman" w:eastAsia="Times New Roman" w:hAnsi="Times New Roman" w:cs="Times New Roman"/>
          <w:sz w:val="24"/>
          <w:szCs w:val="24"/>
          <w14:ligatures w14:val="none"/>
        </w:rPr>
        <w:t xml:space="preserve"> (</w:t>
      </w:r>
      <w:r w:rsidR="000E2CE5">
        <w:rPr>
          <w:rFonts w:ascii="Times New Roman" w:eastAsia="Times New Roman" w:hAnsi="Times New Roman" w:cs="Times New Roman"/>
          <w:b/>
          <w:bCs/>
          <w:sz w:val="24"/>
          <w:szCs w:val="24"/>
          <w14:ligatures w14:val="none"/>
        </w:rPr>
        <w:t>Figure 3.</w:t>
      </w:r>
      <w:r w:rsidR="000E3912">
        <w:rPr>
          <w:rFonts w:ascii="Times New Roman" w:eastAsia="Times New Roman" w:hAnsi="Times New Roman" w:cs="Times New Roman"/>
          <w:b/>
          <w:bCs/>
          <w:sz w:val="24"/>
          <w:szCs w:val="24"/>
          <w14:ligatures w14:val="none"/>
        </w:rPr>
        <w:t>1</w:t>
      </w:r>
      <w:r w:rsidR="004E2E10">
        <w:rPr>
          <w:rFonts w:ascii="Times New Roman" w:eastAsia="Times New Roman" w:hAnsi="Times New Roman" w:cs="Times New Roman"/>
          <w:b/>
          <w:bCs/>
          <w:sz w:val="24"/>
          <w:szCs w:val="24"/>
          <w14:ligatures w14:val="none"/>
        </w:rPr>
        <w:t>2</w:t>
      </w:r>
      <w:r w:rsidR="000E2CE5">
        <w:rPr>
          <w:rFonts w:ascii="Times New Roman" w:eastAsia="Times New Roman" w:hAnsi="Times New Roman" w:cs="Times New Roman"/>
          <w:b/>
          <w:bCs/>
          <w:sz w:val="24"/>
          <w:szCs w:val="24"/>
          <w14:ligatures w14:val="none"/>
        </w:rPr>
        <w:t>-B</w:t>
      </w:r>
      <w:r w:rsidR="000E2CE5">
        <w:rPr>
          <w:rFonts w:ascii="Times New Roman" w:eastAsia="Times New Roman" w:hAnsi="Times New Roman" w:cs="Times New Roman"/>
          <w:sz w:val="24"/>
          <w:szCs w:val="24"/>
          <w14:ligatures w14:val="none"/>
        </w:rPr>
        <w:t>)</w:t>
      </w:r>
      <w:r w:rsidRPr="00ED4992">
        <w:rPr>
          <w:rFonts w:ascii="Times New Roman" w:eastAsia="Times New Roman" w:hAnsi="Times New Roman" w:cs="Times New Roman"/>
          <w:sz w:val="24"/>
          <w:szCs w:val="24"/>
          <w14:ligatures w14:val="none"/>
        </w:rPr>
        <w:t xml:space="preserve">. This result is consistent with the finding that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contribute to survival at pH</w:t>
      </w:r>
      <w:r w:rsidR="005B187E">
        <w:rPr>
          <w:rFonts w:ascii="Times New Roman" w:eastAsia="Times New Roman" w:hAnsi="Times New Roman" w:cs="Times New Roman"/>
          <w:sz w:val="24"/>
          <w:szCs w:val="24"/>
          <w14:ligatures w14:val="none"/>
        </w:rPr>
        <w:t xml:space="preserve"> </w:t>
      </w:r>
      <w:r w:rsidRPr="00ED4992">
        <w:rPr>
          <w:rFonts w:ascii="Times New Roman" w:eastAsia="Times New Roman" w:hAnsi="Times New Roman" w:cs="Times New Roman"/>
          <w:sz w:val="24"/>
          <w:szCs w:val="24"/>
          <w14:ligatures w14:val="none"/>
        </w:rPr>
        <w:t>4.6.</w:t>
      </w:r>
      <w:r w:rsidR="005B187E">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{"citationID":"a18hvmdc31g","properties":{"formattedCitation":"\\super 113\\nosupersub{}","plainCitation":"113","noteIndex":0},"citationItems":[{"id":1984,"uris":["http://zotero.org/users/1918630/items/DREHC899"],"itemData":{"id":1984,"type":"article-journal","abstract":"Multidrug efflux transporters are major contributors to the antibiotic resistance of Acinetobacter baumannii in clinical settings. Previous studies showed that these transporters are tightly integrated into the physiology of A. baumannii and have diverse functions. However, for many of the efflux pumps, such functions remain poorly defined. In this study, we characterized two putative drug efflux pumps, AmfAB and AmfCD (Acinetobacter Major Facilitator), that are homologous to EmrAB-like transporters from Escherichia coli and other Gram-negative bacteria. These pumps comprise the Major Facilitator Superfamily (MFS) transporters AmfB and AmfD and the periplasmic membrane fusion proteins AmfA and AmfC, respectively. We inactivated and overproduced these pumps in the wild-type ATCC 17978 strain and its derivative strains lacking the major efflux pumps from the Resistance–Nodulation–Division (RND) superfamily and characterized antibiotic susceptibilities and growth of the strains under stresses typical during human infections. We found that neither AmfAB nor AmfCD contribute to the antibiotic non-susceptibility phenotypes of A. baumannii. The two pumps, however, are critical for the adaptation and growth of the bacterium under acidic stress, whereas AmfCD also contributes to growth under conditions of low iron, high temperature, and in the presence of bile salts. These functions are dependent on the presence of the RND pumps, the inactivation of which further diminishes A. baumannii survival and growth. Our results suggest that MFS transporters contribute to stress survival by affecting the permeability properties of the A. baumannii cell envelope.","container-title":"Antibiotics","DOI":"10.3390/antibiotics13010007","ISSN":"2079-6382","issue":"1","language":"en","license":"http://creativecommons.org/licenses/by/3.0/","note":"number: 1\npublisher: Multidisciplinary Digital Publishing Institute","page":"7","source":"www.mdpi.com","title":"Acinetobacter baumannii Survival under Infection-Associated Stresses Depends on the Expression of Resistance–Nodulation–Division and Major Facilitator Superfamily Efflux Pumps","volume":"13","author":[{"family":"Leus","given":"Inga V."},{"family":"Olvera","given":"Marcela"},{"family":"Adamiak","given":"Justyna W."},{"family":"Nguyen","given":"Lauren L."},{"family":"Zgurskaya","given":"Helen I."}],"issued":{"date-parts":[["2024",1]]}}}],"schema":"https://github.com/citation-style-language/schema/raw/master/csl-citation.json"} </w:instrText>
      </w:r>
      <w:r w:rsidR="005B187E">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113</w:t>
      </w:r>
      <w:r w:rsidR="005B187E">
        <w:rPr>
          <w:rFonts w:ascii="Times New Roman" w:eastAsia="Times New Roman" w:hAnsi="Times New Roman" w:cs="Times New Roman"/>
          <w:sz w:val="24"/>
          <w:szCs w:val="24"/>
          <w14:ligatures w14:val="none"/>
        </w:rPr>
        <w:fldChar w:fldCharType="end"/>
      </w:r>
    </w:p>
    <w:p w14:paraId="783B4945" w14:textId="10B4A32A" w:rsidR="00ED4992" w:rsidRPr="00ED4992" w:rsidRDefault="00ED4992" w:rsidP="00DE2337">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On the other hand, overproduction of these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appears to impair </w:t>
      </w:r>
      <w:r w:rsidRPr="005B187E">
        <w:rPr>
          <w:rFonts w:ascii="Times New Roman" w:eastAsia="Times New Roman" w:hAnsi="Times New Roman" w:cs="Times New Roman"/>
          <w:i/>
          <w:iCs/>
          <w:sz w:val="24"/>
          <w:szCs w:val="24"/>
          <w14:ligatures w14:val="none"/>
        </w:rPr>
        <w:t>A. baumannii</w:t>
      </w:r>
      <w:r w:rsidRPr="00ED4992">
        <w:rPr>
          <w:rFonts w:ascii="Times New Roman" w:eastAsia="Times New Roman" w:hAnsi="Times New Roman" w:cs="Times New Roman"/>
          <w:sz w:val="24"/>
          <w:szCs w:val="24"/>
          <w14:ligatures w14:val="none"/>
        </w:rPr>
        <w:t xml:space="preserve"> growth under acidic conditions </w:t>
      </w:r>
      <w:r w:rsidR="000E2CE5">
        <w:rPr>
          <w:rFonts w:ascii="Times New Roman" w:eastAsia="Times New Roman" w:hAnsi="Times New Roman" w:cs="Times New Roman"/>
          <w:sz w:val="24"/>
          <w:szCs w:val="24"/>
          <w14:ligatures w14:val="none"/>
        </w:rPr>
        <w:t>(</w:t>
      </w:r>
      <w:r w:rsidR="000E2CE5">
        <w:rPr>
          <w:rFonts w:ascii="Times New Roman" w:eastAsia="Times New Roman" w:hAnsi="Times New Roman" w:cs="Times New Roman"/>
          <w:b/>
          <w:bCs/>
          <w:sz w:val="24"/>
          <w:szCs w:val="24"/>
          <w14:ligatures w14:val="none"/>
        </w:rPr>
        <w:t>Figure 3.</w:t>
      </w:r>
      <w:r w:rsidR="000E3912">
        <w:rPr>
          <w:rFonts w:ascii="Times New Roman" w:eastAsia="Times New Roman" w:hAnsi="Times New Roman" w:cs="Times New Roman"/>
          <w:b/>
          <w:bCs/>
          <w:sz w:val="24"/>
          <w:szCs w:val="24"/>
          <w14:ligatures w14:val="none"/>
        </w:rPr>
        <w:t>8</w:t>
      </w:r>
      <w:r w:rsidR="000E2CE5">
        <w:rPr>
          <w:rFonts w:ascii="Times New Roman" w:eastAsia="Times New Roman" w:hAnsi="Times New Roman" w:cs="Times New Roman"/>
          <w:sz w:val="24"/>
          <w:szCs w:val="24"/>
          <w14:ligatures w14:val="none"/>
        </w:rPr>
        <w:t>)</w:t>
      </w:r>
      <w:r w:rsidRPr="00ED4992">
        <w:rPr>
          <w:rFonts w:ascii="Times New Roman" w:eastAsia="Times New Roman" w:hAnsi="Times New Roman" w:cs="Times New Roman"/>
          <w:sz w:val="24"/>
          <w:szCs w:val="24"/>
          <w14:ligatures w14:val="none"/>
        </w:rPr>
        <w:t xml:space="preserve">, perhaps because proton antiport leads to an influx of protons, making the cell interior even more acidic. Both </w:t>
      </w:r>
      <w:proofErr w:type="spellStart"/>
      <w:r w:rsidRPr="00ED4992">
        <w:rPr>
          <w:rFonts w:ascii="Times New Roman" w:eastAsia="Times New Roman" w:hAnsi="Times New Roman" w:cs="Times New Roman"/>
          <w:sz w:val="24"/>
          <w:szCs w:val="24"/>
          <w14:ligatures w14:val="none"/>
        </w:rPr>
        <w:t>AmfB</w:t>
      </w:r>
      <w:proofErr w:type="spellEnd"/>
      <w:r w:rsidRPr="00ED4992">
        <w:rPr>
          <w:rFonts w:ascii="Times New Roman" w:eastAsia="Times New Roman" w:hAnsi="Times New Roman" w:cs="Times New Roman"/>
          <w:sz w:val="24"/>
          <w:szCs w:val="24"/>
          <w14:ligatures w14:val="none"/>
        </w:rPr>
        <w:t xml:space="preserve"> and </w:t>
      </w:r>
      <w:proofErr w:type="spellStart"/>
      <w:r w:rsidRPr="00ED4992">
        <w:rPr>
          <w:rFonts w:ascii="Times New Roman" w:eastAsia="Times New Roman" w:hAnsi="Times New Roman" w:cs="Times New Roman"/>
          <w:sz w:val="24"/>
          <w:szCs w:val="24"/>
          <w14:ligatures w14:val="none"/>
        </w:rPr>
        <w:t>AmfD</w:t>
      </w:r>
      <w:proofErr w:type="spellEnd"/>
      <w:r w:rsidRPr="00ED4992">
        <w:rPr>
          <w:rFonts w:ascii="Times New Roman" w:eastAsia="Times New Roman" w:hAnsi="Times New Roman" w:cs="Times New Roman"/>
          <w:sz w:val="24"/>
          <w:szCs w:val="24"/>
          <w14:ligatures w14:val="none"/>
        </w:rPr>
        <w:t xml:space="preserve"> pumps share amino acid sequence similarity to </w:t>
      </w:r>
      <w:proofErr w:type="spellStart"/>
      <w:r w:rsidRPr="00ED4992">
        <w:rPr>
          <w:rFonts w:ascii="Times New Roman" w:eastAsia="Times New Roman" w:hAnsi="Times New Roman" w:cs="Times New Roman"/>
          <w:sz w:val="24"/>
          <w:szCs w:val="24"/>
          <w14:ligatures w14:val="none"/>
        </w:rPr>
        <w:t>MdfA</w:t>
      </w:r>
      <w:proofErr w:type="spellEnd"/>
      <w:r w:rsidRPr="00ED4992">
        <w:rPr>
          <w:rFonts w:ascii="Times New Roman" w:eastAsia="Times New Roman" w:hAnsi="Times New Roman" w:cs="Times New Roman"/>
          <w:sz w:val="24"/>
          <w:szCs w:val="24"/>
          <w14:ligatures w14:val="none"/>
        </w:rPr>
        <w:t xml:space="preserve"> efflux transporter, at 26.85% and 31.03%, respectively. Besides conferring antibiotic resistance when expressed in </w:t>
      </w:r>
      <w:r w:rsidRPr="005B187E">
        <w:rPr>
          <w:rFonts w:ascii="Times New Roman" w:eastAsia="Times New Roman" w:hAnsi="Times New Roman" w:cs="Times New Roman"/>
          <w:i/>
          <w:iCs/>
          <w:sz w:val="24"/>
          <w:szCs w:val="24"/>
          <w14:ligatures w14:val="none"/>
        </w:rPr>
        <w:t>E. coli</w:t>
      </w:r>
      <w:r w:rsidRPr="00ED4992">
        <w:rPr>
          <w:rFonts w:ascii="Times New Roman" w:eastAsia="Times New Roman" w:hAnsi="Times New Roman" w:cs="Times New Roman"/>
          <w:sz w:val="24"/>
          <w:szCs w:val="24"/>
          <w14:ligatures w14:val="none"/>
        </w:rPr>
        <w:t xml:space="preserve">, </w:t>
      </w:r>
      <w:proofErr w:type="spellStart"/>
      <w:r w:rsidRPr="00ED4992">
        <w:rPr>
          <w:rFonts w:ascii="Times New Roman" w:eastAsia="Times New Roman" w:hAnsi="Times New Roman" w:cs="Times New Roman"/>
          <w:sz w:val="24"/>
          <w:szCs w:val="24"/>
          <w14:ligatures w14:val="none"/>
        </w:rPr>
        <w:t>MdfA</w:t>
      </w:r>
      <w:proofErr w:type="spellEnd"/>
      <w:r w:rsidRPr="00ED4992">
        <w:rPr>
          <w:rFonts w:ascii="Times New Roman" w:eastAsia="Times New Roman" w:hAnsi="Times New Roman" w:cs="Times New Roman"/>
          <w:sz w:val="24"/>
          <w:szCs w:val="24"/>
          <w14:ligatures w14:val="none"/>
        </w:rPr>
        <w:t xml:space="preserve"> also functions as a Na+ (K+)/H+ antiporter which helps maintain intracellular pH homeostasis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{"citationID":"rqHskdKx","properties":{"formattedCitation":"\\super 148\\nosupersub{}","plainCitation":"148","noteIndex":0},"citationItems":[{"id":1777,"uris":["http://zotero.org/users/1918630/items/EC3WQYKR"],"itemData":{"id":1777,"type":"article-journal","abstract":"MdfA is an Escherichia coli multidrug-resistance transporter. Cells expressing MdfA from a multicopy plasmid exhibit multidrug resistance against a diverse group of toxic compounds. In this article, we show that, in addition to its role in multidrug resistance, MdfA confers extreme alkaline pH resistance and allows the growth of transformed cells under conditions that are close to those used normally by alkaliphiles (up to pH 10) by maintaining a physiological internal pH. MdfA-deleted E. coli cells are sensitive even to mild alkaline conditions, and the wild-type phenotype is restored fully by MdfA expressed from a plasmid. This activity of MdfA requires Na+ or K+. Fluorescence studies with inverted membrane vesicles demonstrate that MdfA catalyzes Na+- or K+-dependent proton transport, and experiments with reconstituted proteoliposomes confirm that MdfA is solely responsible for this phenomenon. Studies with multidrug resistance-defective MdfA mutants and competitive transport assays suggest that these activities of MdfA are related. Together, the results demonstrate that a single protein has an unprecedented capacity to turn E. coli from an obligatory neutrophile into an alkalitolerant bacterium, and they suggest a previously uncharacterized physiological role for MdfA in pH homeostasis.","container-title":"Proceedings of the National Academy of Sciences of the United States of America","DOI":"10.1073/pnas.0405375101","ISSN":"0027-8424","issue":"39","journalAbbreviation":"Proc Natl Acad Sci U S A","note":"PMID: 15371593\nPMCID: PMC521123","page":"14073-14078","source":"PubMed Central","title":"Alkalitolerance: A biological function for a multidrug transporter in pH homeostasis","title-short":"Alkalitolerance","volume":"101","author":[{"family":"Lewinson","given":"Oded"},{"family":"Padan","given":"Etana"},{"family":"Bibi","given":"Eitan"}],"issued":{"date-parts":[["2004",9,28]]}}}],"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148</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It is also possible that the functions of these pumps are similar to those of </w:t>
      </w:r>
      <w:proofErr w:type="spellStart"/>
      <w:r w:rsidRPr="00ED4992">
        <w:rPr>
          <w:rFonts w:ascii="Times New Roman" w:eastAsia="Times New Roman" w:hAnsi="Times New Roman" w:cs="Times New Roman"/>
          <w:sz w:val="24"/>
          <w:szCs w:val="24"/>
          <w14:ligatures w14:val="none"/>
        </w:rPr>
        <w:t>RosA</w:t>
      </w:r>
      <w:proofErr w:type="spellEnd"/>
      <w:r w:rsidRPr="00ED4992">
        <w:rPr>
          <w:rFonts w:ascii="Times New Roman" w:eastAsia="Times New Roman" w:hAnsi="Times New Roman" w:cs="Times New Roman"/>
          <w:sz w:val="24"/>
          <w:szCs w:val="24"/>
          <w14:ligatures w14:val="none"/>
        </w:rPr>
        <w:t>/</w:t>
      </w:r>
      <w:proofErr w:type="spellStart"/>
      <w:r w:rsidRPr="00ED4992">
        <w:rPr>
          <w:rFonts w:ascii="Times New Roman" w:eastAsia="Times New Roman" w:hAnsi="Times New Roman" w:cs="Times New Roman"/>
          <w:sz w:val="24"/>
          <w:szCs w:val="24"/>
          <w14:ligatures w14:val="none"/>
        </w:rPr>
        <w:t>RosB</w:t>
      </w:r>
      <w:proofErr w:type="spellEnd"/>
      <w:r w:rsidRPr="00ED4992">
        <w:rPr>
          <w:rFonts w:ascii="Times New Roman" w:eastAsia="Times New Roman" w:hAnsi="Times New Roman" w:cs="Times New Roman"/>
          <w:sz w:val="24"/>
          <w:szCs w:val="24"/>
          <w14:ligatures w14:val="none"/>
        </w:rPr>
        <w:t xml:space="preserve"> efflux pumps of </w:t>
      </w:r>
      <w:r w:rsidRPr="005B187E">
        <w:rPr>
          <w:rFonts w:ascii="Times New Roman" w:eastAsia="Times New Roman" w:hAnsi="Times New Roman" w:cs="Times New Roman"/>
          <w:i/>
          <w:iCs/>
          <w:sz w:val="24"/>
          <w:szCs w:val="24"/>
          <w14:ligatures w14:val="none"/>
        </w:rPr>
        <w:t>Yersinia</w:t>
      </w:r>
      <w:r w:rsidRPr="00ED4992">
        <w:rPr>
          <w:rFonts w:ascii="Times New Roman" w:eastAsia="Times New Roman" w:hAnsi="Times New Roman" w:cs="Times New Roman"/>
          <w:sz w:val="24"/>
          <w:szCs w:val="24"/>
          <w14:ligatures w14:val="none"/>
        </w:rPr>
        <w:t xml:space="preserve">, in that they mediate a stress response (antibiotic or other) by pumping out said stressor and by inducing the acidification of the cytoplasm. The lower intracellular pH acts as a positive regulatory signal in </w:t>
      </w:r>
      <w:r w:rsidRPr="005B187E">
        <w:rPr>
          <w:rFonts w:ascii="Times New Roman" w:eastAsia="Times New Roman" w:hAnsi="Times New Roman" w:cs="Times New Roman"/>
          <w:i/>
          <w:iCs/>
          <w:sz w:val="24"/>
          <w:szCs w:val="24"/>
          <w14:ligatures w14:val="none"/>
        </w:rPr>
        <w:t>Yersinia</w:t>
      </w:r>
      <w:r w:rsidRPr="00ED4992">
        <w:rPr>
          <w:rFonts w:ascii="Times New Roman" w:eastAsia="Times New Roman" w:hAnsi="Times New Roman" w:cs="Times New Roman"/>
          <w:sz w:val="24"/>
          <w:szCs w:val="24"/>
          <w14:ligatures w14:val="none"/>
        </w:rPr>
        <w:t xml:space="preserve"> that then triggers other cellular stress response systems, perhaps involving modifications to the outer membrane</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625D97">
        <w:rPr>
          <w:rFonts w:ascii="Times New Roman" w:eastAsia="Times New Roman" w:hAnsi="Times New Roman" w:cs="Times New Roman"/>
          <w:sz w:val="24"/>
          <w:szCs w:val="24"/>
          <w14:ligatures w14:val="none"/>
        </w:rPr>
        <w:instrText xml:space="preserve"> ADDIN ZOTERO_ITEM CSL_CITATION {"citationID":"a1kbbbk6514","properties":{"formattedCitation":"\\super 132\\nosupersub{}","plainCitation":"132","noteIndex":0},"citationItems":[{"id":1693,"uris":["http://zotero.org/users/1918630/items/V2WBU5K2"],"itemData":{"id":1693,"type":"article-journal","abstract":"Efflux pumps play an important role in antimicrobial resistance for Acinetobacter baumannii. However, the function of the Emr pump system and the relationship between Emr and drug resistance has not been characterized in A. baumannii. In this study, four possible groups of emr-like genes were found by searching a genome database. Among them, A1S_1772 (emrB) and A1S_1773 (emrA) were demonstrated to be co-transcribed as a single operon. Moreover, during osmotic stress, A1S_1772 showed the largest change in gene expression compared to the other emrB-like genes, and deletion of A1S_1772 (AB ΔemrB) significantly slowed cell growth in 20% sucrose. Using a phenotypic microarray analysis, the AB ΔemrB mutant was more susceptible to colistin and nafcillin, paromomycin, spiramycin, and D,L-serine hydroxmate than the wild type. The spot assay, time kill assay and minimal inhibition concentration determination also indicated that the wild type could tolerate colistin better than the AB ΔemrB mutant. Finally, the increased expression levels of all emrB-like genes, including A1S_0775, A1S_0909, A1S_1772, and A1S_1799, in colistin resistance-induced A. baumannii further supported the possible involvement of the emrB genes in A. baumannii colistin resistance. Together, the Emr pump systems in A. baumannii contribute to adaptation to osmotic stress and resistance to colistin.","container-title":"Journal of Microbiology (Seoul, Korea)","DOI":"10.1007/s12275-017-6408-5","ISSN":"1976-3794","issue":"2","journalAbbreviation":"J Microbiol","language":"eng","note":"PMID: 28120193","page":"130-136","source":"PubMed","title":"Contribution of EmrAB efflux pumps to colistin resistance in Acinetobacter baumannii","volume":"55","author":[{"family":"Lin","given":"Ming-Feng"},{"family":"Lin","given":"Yun-You"},{"family":"Lan","given":"Chung-Yu"}],"issued":{"date-parts":[["2017",2]]}}}],"schema":"https://github.com/citation-style-language/schema/raw/master/csl-citation.json"}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625D97" w:rsidRPr="00625D97">
        <w:rPr>
          <w:rFonts w:ascii="Times New Roman" w:hAnsi="Times New Roman" w:cs="Times New Roman"/>
          <w:sz w:val="24"/>
          <w:vertAlign w:val="superscript"/>
        </w:rPr>
        <w:t>132</w:t>
      </w:r>
      <w:r w:rsidR="004807A4">
        <w:rPr>
          <w:rFonts w:ascii="Times New Roman" w:eastAsia="Times New Roman" w:hAnsi="Times New Roman" w:cs="Times New Roman"/>
          <w:sz w:val="24"/>
          <w:szCs w:val="24"/>
          <w14:ligatures w14:val="none"/>
        </w:rPr>
        <w:fldChar w:fldCharType="end"/>
      </w:r>
    </w:p>
    <w:p w14:paraId="1576E710" w14:textId="05D27A7C" w:rsidR="00ED4992" w:rsidRPr="00ED4992" w:rsidRDefault="00ED4992" w:rsidP="00DE2337">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Interestingly, the two pumps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and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have non-overlapping physiological functions. The overproduction of </w:t>
      </w:r>
      <w:proofErr w:type="spellStart"/>
      <w:r w:rsidRPr="00ED4992">
        <w:rPr>
          <w:rFonts w:ascii="Times New Roman" w:eastAsia="Times New Roman" w:hAnsi="Times New Roman" w:cs="Times New Roman"/>
          <w:sz w:val="24"/>
          <w:szCs w:val="24"/>
          <w14:ligatures w14:val="none"/>
        </w:rPr>
        <w:t>AmfAB</w:t>
      </w:r>
      <w:proofErr w:type="spellEnd"/>
      <w:r w:rsidRPr="00ED4992">
        <w:rPr>
          <w:rFonts w:ascii="Times New Roman" w:eastAsia="Times New Roman" w:hAnsi="Times New Roman" w:cs="Times New Roman"/>
          <w:sz w:val="24"/>
          <w:szCs w:val="24"/>
          <w14:ligatures w14:val="none"/>
        </w:rPr>
        <w:t xml:space="preserve"> but not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 is toxic to the cells</w:t>
      </w:r>
      <w:r w:rsidR="000E2CE5">
        <w:rPr>
          <w:rFonts w:ascii="Times New Roman" w:eastAsia="Times New Roman" w:hAnsi="Times New Roman" w:cs="Times New Roman"/>
          <w:sz w:val="24"/>
          <w:szCs w:val="24"/>
          <w14:ligatures w14:val="none"/>
        </w:rPr>
        <w:t xml:space="preserve"> (</w:t>
      </w:r>
      <w:r w:rsidR="000E2CE5">
        <w:rPr>
          <w:rFonts w:ascii="Times New Roman" w:eastAsia="Times New Roman" w:hAnsi="Times New Roman" w:cs="Times New Roman"/>
          <w:b/>
          <w:bCs/>
          <w:sz w:val="24"/>
          <w:szCs w:val="24"/>
          <w14:ligatures w14:val="none"/>
        </w:rPr>
        <w:t>Figures 3.</w:t>
      </w:r>
      <w:r w:rsidR="000E3912">
        <w:rPr>
          <w:rFonts w:ascii="Times New Roman" w:eastAsia="Times New Roman" w:hAnsi="Times New Roman" w:cs="Times New Roman"/>
          <w:b/>
          <w:bCs/>
          <w:sz w:val="24"/>
          <w:szCs w:val="24"/>
          <w14:ligatures w14:val="none"/>
        </w:rPr>
        <w:t>7</w:t>
      </w:r>
      <w:r w:rsidR="000E2CE5">
        <w:rPr>
          <w:rFonts w:ascii="Times New Roman" w:eastAsia="Times New Roman" w:hAnsi="Times New Roman" w:cs="Times New Roman"/>
          <w:b/>
          <w:bCs/>
          <w:sz w:val="24"/>
          <w:szCs w:val="24"/>
          <w14:ligatures w14:val="none"/>
        </w:rPr>
        <w:t>, 3.</w:t>
      </w:r>
      <w:r w:rsidR="000E3912">
        <w:rPr>
          <w:rFonts w:ascii="Times New Roman" w:eastAsia="Times New Roman" w:hAnsi="Times New Roman" w:cs="Times New Roman"/>
          <w:b/>
          <w:bCs/>
          <w:sz w:val="24"/>
          <w:szCs w:val="24"/>
          <w14:ligatures w14:val="none"/>
        </w:rPr>
        <w:t>9</w:t>
      </w:r>
      <w:r w:rsidR="000E2CE5">
        <w:rPr>
          <w:rFonts w:ascii="Times New Roman" w:eastAsia="Times New Roman" w:hAnsi="Times New Roman" w:cs="Times New Roman"/>
          <w:b/>
          <w:bCs/>
          <w:sz w:val="24"/>
          <w:szCs w:val="24"/>
          <w14:ligatures w14:val="none"/>
        </w:rPr>
        <w:t>, and 3.</w:t>
      </w:r>
      <w:r w:rsidR="000E3912">
        <w:rPr>
          <w:rFonts w:ascii="Times New Roman" w:eastAsia="Times New Roman" w:hAnsi="Times New Roman" w:cs="Times New Roman"/>
          <w:b/>
          <w:bCs/>
          <w:sz w:val="24"/>
          <w:szCs w:val="24"/>
          <w14:ligatures w14:val="none"/>
        </w:rPr>
        <w:t>10</w:t>
      </w:r>
      <w:r w:rsidR="000E2CE5">
        <w:rPr>
          <w:rFonts w:ascii="Times New Roman" w:eastAsia="Times New Roman" w:hAnsi="Times New Roman" w:cs="Times New Roman"/>
          <w:sz w:val="24"/>
          <w:szCs w:val="24"/>
          <w14:ligatures w14:val="none"/>
        </w:rPr>
        <w:t>)</w:t>
      </w:r>
      <w:r w:rsidRPr="00ED4992">
        <w:rPr>
          <w:rFonts w:ascii="Times New Roman" w:eastAsia="Times New Roman" w:hAnsi="Times New Roman" w:cs="Times New Roman"/>
          <w:sz w:val="24"/>
          <w:szCs w:val="24"/>
          <w14:ligatures w14:val="none"/>
        </w:rPr>
        <w:t xml:space="preserve">. The differences between the two pumps are also seen in the published </w:t>
      </w:r>
      <w:proofErr w:type="spellStart"/>
      <w:r w:rsidRPr="00ED4992">
        <w:rPr>
          <w:rFonts w:ascii="Times New Roman" w:eastAsia="Times New Roman" w:hAnsi="Times New Roman" w:cs="Times New Roman"/>
          <w:sz w:val="24"/>
          <w:szCs w:val="24"/>
          <w14:ligatures w14:val="none"/>
        </w:rPr>
        <w:t>RNAseq</w:t>
      </w:r>
      <w:proofErr w:type="spellEnd"/>
      <w:r w:rsidRPr="00ED4992">
        <w:rPr>
          <w:rFonts w:ascii="Times New Roman" w:eastAsia="Times New Roman" w:hAnsi="Times New Roman" w:cs="Times New Roman"/>
          <w:sz w:val="24"/>
          <w:szCs w:val="24"/>
          <w14:ligatures w14:val="none"/>
        </w:rPr>
        <w:t xml:space="preserve"> data</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864355">
        <w:rPr>
          <w:rFonts w:ascii="Times New Roman" w:eastAsia="Times New Roman" w:hAnsi="Times New Roman" w:cs="Times New Roman"/>
          <w:sz w:val="24"/>
          <w:szCs w:val="24"/>
          <w14:ligatures w14:val="none"/>
        </w:rPr>
        <w:instrText xml:space="preserve"> ADDIN ZOTERO_ITEM CSL_CITATION {"citationID":"0ZTDuXFK","properties":{"formattedCitation":"\\super 67\\nosupersub{}","plainCitation":"67","noteIndex":0},"citationItems":[{"id":1277,"uris":["http://zotero.org/users/1918630/items/T5RT5BXB"],"itemData":{"id":1277,"type":"article-journal","abstract":"Bacterial processes necessary for adaption to stressful host environments are potential targets for new antimicrobials. Here, we report large-scale transcriptomic analyses of 32 human bacterial pathogens grown under 11 stress conditions mimicking human host environments. The potential relevance of the in vitro stress conditions and responses is supported by comparisons with available in vivo transcriptomes of clinically important pathogens. Calculation of a probability score enables comparative cross-microbial analyses of the stress responses, revealing common and unique regulatory responses to different stresses, as well as overlapping processes participating in different stress responses. We identify conserved and species-specific ‘universal stress responders’, that is, genes showing altered expression in multiple stress conditions. Non-coding RNAs are involved in a substantial proportion of the responses. The data are collected in a freely available, interactive online resource (PATHOgenex).","container-title":"Nature Communications","DOI":"10.1038/s41467-021-23588-w","ISSN":"2041-1723","issue":"1","journalAbbreviation":"Nat Commun","language":"en","license":"2021 The Author(s)","note":"Bandiera_abtest: a\nCc_license_type: cc_by\nCg_type: Nature Research Journals\nnumber: 1\nPrimary_atype: Research\npublisher: Nature Publishing Group\nSubject_term: Bacterial physiology;Bacterial transcription;Gene regulation;Pathogens\nSubject_term_id: bacterial-physiology;bacterial-transcription;gene-regulation;pathogens","page":"3282","source":"www.nature.com","title":"RNA atlas of human bacterial pathogens uncovers stress dynamics linked to infection","volume":"12","author":[{"family":"Avican","given":"Kemal"},{"family":"Aldahdooh","given":"Jehad"},{"family":"Togninalli","given":"Matteo"},{"family":"Mahmud","given":"A. K. M. Firoj"},{"family":"Tang","given":"Jing"},{"family":"Borgwardt","given":"Karsten M."},{"family":"Rhen","given":"Mikael"},{"family":"Fällman","given":"Maria"}],"issued":{"date-parts":[["2021",6,2]]}}}],"schema":"https://github.com/citation-style-language/schema/raw/master/csl-citation.json"}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864355" w:rsidRPr="00864355">
        <w:rPr>
          <w:rFonts w:ascii="Times New Roman" w:hAnsi="Times New Roman" w:cs="Times New Roman"/>
          <w:sz w:val="24"/>
          <w:szCs w:val="24"/>
          <w:vertAlign w:val="superscript"/>
        </w:rPr>
        <w:t>67</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Under normal conditions, the abundance of </w:t>
      </w:r>
      <w:proofErr w:type="spellStart"/>
      <w:r w:rsidRPr="005B187E">
        <w:rPr>
          <w:rFonts w:ascii="Times New Roman" w:eastAsia="Times New Roman" w:hAnsi="Times New Roman" w:cs="Times New Roman"/>
          <w:i/>
          <w:iCs/>
          <w:sz w:val="24"/>
          <w:szCs w:val="24"/>
          <w14:ligatures w14:val="none"/>
        </w:rPr>
        <w:t>amfC</w:t>
      </w:r>
      <w:proofErr w:type="spellEnd"/>
      <w:r w:rsidRPr="00ED4992">
        <w:rPr>
          <w:rFonts w:ascii="Times New Roman" w:eastAsia="Times New Roman" w:hAnsi="Times New Roman" w:cs="Times New Roman"/>
          <w:sz w:val="24"/>
          <w:szCs w:val="24"/>
          <w14:ligatures w14:val="none"/>
        </w:rPr>
        <w:t xml:space="preserve"> transcripts is 4–5 times higher than that of </w:t>
      </w:r>
      <w:proofErr w:type="spellStart"/>
      <w:r w:rsidRPr="005B187E">
        <w:rPr>
          <w:rFonts w:ascii="Times New Roman" w:eastAsia="Times New Roman" w:hAnsi="Times New Roman" w:cs="Times New Roman"/>
          <w:i/>
          <w:iCs/>
          <w:sz w:val="24"/>
          <w:szCs w:val="24"/>
          <w14:ligatures w14:val="none"/>
        </w:rPr>
        <w:t>amfA</w:t>
      </w:r>
      <w:proofErr w:type="spellEnd"/>
      <w:r w:rsidRPr="005B187E">
        <w:rPr>
          <w:rFonts w:ascii="Times New Roman" w:eastAsia="Times New Roman" w:hAnsi="Times New Roman" w:cs="Times New Roman"/>
          <w:i/>
          <w:iCs/>
          <w:sz w:val="24"/>
          <w:szCs w:val="24"/>
          <w14:ligatures w14:val="none"/>
        </w:rPr>
        <w:t xml:space="preserve"> </w:t>
      </w:r>
      <w:r w:rsidRPr="00ED4992">
        <w:rPr>
          <w:rFonts w:ascii="Times New Roman" w:eastAsia="Times New Roman" w:hAnsi="Times New Roman" w:cs="Times New Roman"/>
          <w:sz w:val="24"/>
          <w:szCs w:val="24"/>
          <w14:ligatures w14:val="none"/>
        </w:rPr>
        <w:t xml:space="preserve">and further increases at pH 4.6, but decreases upon exposure to bile salts and low-iron conditions </w:t>
      </w:r>
      <w:r w:rsidR="000E2CE5">
        <w:rPr>
          <w:rFonts w:ascii="Times New Roman" w:eastAsia="Times New Roman" w:hAnsi="Times New Roman" w:cs="Times New Roman"/>
          <w:sz w:val="24"/>
          <w:szCs w:val="24"/>
          <w14:ligatures w14:val="none"/>
        </w:rPr>
        <w:t>(data not shown here</w:t>
      </w:r>
      <w:r w:rsidRPr="00ED4992">
        <w:rPr>
          <w:rFonts w:ascii="Times New Roman" w:eastAsia="Times New Roman" w:hAnsi="Times New Roman" w:cs="Times New Roman"/>
          <w:sz w:val="24"/>
          <w:szCs w:val="24"/>
          <w14:ligatures w14:val="none"/>
        </w:rPr>
        <w:t xml:space="preserve">). In contrast, </w:t>
      </w:r>
      <w:proofErr w:type="spellStart"/>
      <w:r w:rsidRPr="005B187E">
        <w:rPr>
          <w:rFonts w:ascii="Times New Roman" w:eastAsia="Times New Roman" w:hAnsi="Times New Roman" w:cs="Times New Roman"/>
          <w:i/>
          <w:iCs/>
          <w:sz w:val="24"/>
          <w:szCs w:val="24"/>
          <w14:ligatures w14:val="none"/>
        </w:rPr>
        <w:t>amfA</w:t>
      </w:r>
      <w:proofErr w:type="spellEnd"/>
      <w:r w:rsidRPr="00ED4992">
        <w:rPr>
          <w:rFonts w:ascii="Times New Roman" w:eastAsia="Times New Roman" w:hAnsi="Times New Roman" w:cs="Times New Roman"/>
          <w:sz w:val="24"/>
          <w:szCs w:val="24"/>
          <w14:ligatures w14:val="none"/>
        </w:rPr>
        <w:t xml:space="preserve"> transcription is induced by bile salts and low-iron conditions. The </w:t>
      </w:r>
      <w:proofErr w:type="spellStart"/>
      <w:r w:rsidRPr="00ED4992">
        <w:rPr>
          <w:rFonts w:ascii="Times New Roman" w:eastAsia="Times New Roman" w:hAnsi="Times New Roman" w:cs="Times New Roman"/>
          <w:sz w:val="24"/>
          <w:szCs w:val="24"/>
          <w14:ligatures w14:val="none"/>
        </w:rPr>
        <w:lastRenderedPageBreak/>
        <w:t>AmfAB</w:t>
      </w:r>
      <w:proofErr w:type="spellEnd"/>
      <w:r w:rsidRPr="00ED4992">
        <w:rPr>
          <w:rFonts w:ascii="Times New Roman" w:eastAsia="Times New Roman" w:hAnsi="Times New Roman" w:cs="Times New Roman"/>
          <w:sz w:val="24"/>
          <w:szCs w:val="24"/>
          <w14:ligatures w14:val="none"/>
        </w:rPr>
        <w:t xml:space="preserve">- and </w:t>
      </w:r>
      <w:proofErr w:type="spellStart"/>
      <w:r w:rsidRPr="00ED4992">
        <w:rPr>
          <w:rFonts w:ascii="Times New Roman" w:eastAsia="Times New Roman" w:hAnsi="Times New Roman" w:cs="Times New Roman"/>
          <w:sz w:val="24"/>
          <w:szCs w:val="24"/>
          <w14:ligatures w14:val="none"/>
        </w:rPr>
        <w:t>AmfCD</w:t>
      </w:r>
      <w:proofErr w:type="spellEnd"/>
      <w:r w:rsidRPr="00ED4992">
        <w:rPr>
          <w:rFonts w:ascii="Times New Roman" w:eastAsia="Times New Roman" w:hAnsi="Times New Roman" w:cs="Times New Roman"/>
          <w:sz w:val="24"/>
          <w:szCs w:val="24"/>
          <w14:ligatures w14:val="none"/>
        </w:rPr>
        <w:t xml:space="preserve">-associated phenotypes were negated in the RND minus background, suggesting that the activity and/or components of the RND pumps are needed for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phenotypes. Since neither of these operons contains a gene encoding the outer membrane channel, it is possible that they engage AdeK for their activities and thus reduce the activity of </w:t>
      </w:r>
      <w:proofErr w:type="spellStart"/>
      <w:r w:rsidRPr="00ED4992">
        <w:rPr>
          <w:rFonts w:ascii="Times New Roman" w:eastAsia="Times New Roman" w:hAnsi="Times New Roman" w:cs="Times New Roman"/>
          <w:sz w:val="24"/>
          <w:szCs w:val="24"/>
          <w14:ligatures w14:val="none"/>
        </w:rPr>
        <w:t>AdeIJK</w:t>
      </w:r>
      <w:proofErr w:type="spellEnd"/>
      <w:r w:rsidRPr="00ED4992">
        <w:rPr>
          <w:rFonts w:ascii="Times New Roman" w:eastAsia="Times New Roman" w:hAnsi="Times New Roman" w:cs="Times New Roman"/>
          <w:sz w:val="24"/>
          <w:szCs w:val="24"/>
          <w14:ligatures w14:val="none"/>
        </w:rPr>
        <w:t xml:space="preserve">. </w:t>
      </w:r>
    </w:p>
    <w:p w14:paraId="0D8B0232" w14:textId="1BA4DD07" w:rsidR="00ED4992" w:rsidRPr="00ED4992" w:rsidRDefault="00ED4992" w:rsidP="00DE2337">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It is already known that bacterial responses to different stress conditions often overlap. For example, the exposure to high osmolarity and acidic pH triggers the activation of the </w:t>
      </w:r>
      <w:proofErr w:type="spellStart"/>
      <w:r w:rsidRPr="00ED4992">
        <w:rPr>
          <w:rFonts w:ascii="Times New Roman" w:eastAsia="Times New Roman" w:hAnsi="Times New Roman" w:cs="Times New Roman"/>
          <w:sz w:val="24"/>
          <w:szCs w:val="24"/>
          <w14:ligatures w14:val="none"/>
        </w:rPr>
        <w:t>PhoPQ</w:t>
      </w:r>
      <w:proofErr w:type="spellEnd"/>
      <w:r w:rsidRPr="00ED4992">
        <w:rPr>
          <w:rFonts w:ascii="Times New Roman" w:eastAsia="Times New Roman" w:hAnsi="Times New Roman" w:cs="Times New Roman"/>
          <w:sz w:val="24"/>
          <w:szCs w:val="24"/>
          <w14:ligatures w14:val="none"/>
        </w:rPr>
        <w:t xml:space="preserve"> two-component response system as well as Fur activator regulating the expression of iron acquisition systems</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{"citationID":"JvHJ8vGf","properties":{"formattedCitation":"\\super 149\\uc0\\u8211{}151\\nosupersub{}","plainCitation":"149–151","noteIndex":0},"citationItems":[{"id":1862,"uris":["http://zotero.org/users/1918630/items/GLAJMRCU"],"itemData":{"id":1862,"type":"article-journal","abstract":"The PhoPQ two-component system of Salmonella enterica serovar Typhimurium produces a remodeling of the lipid A domain of the lipopolysaccharide, including the PagP-catalyzed addition of palmitoyl residue, the PmrAB-regulated addition of the cationic sugar 4-aminoarabinose and phosphoethanolamine, and the LpxO-catalyzed addition of a 2-OH group onto one of the fatty acids. By using the diffusion rates of the dyes ethidium, Nile red, and eosin Y across the outer membrane, as well as the susceptibility of cells to large, lipophilic agents, we evaluated the function of this membrane as a permeability barrier. We found that the remodeling process in PhoP-constitutive strains produces an outer membrane that serves as a very effective permeability barrier in an environment that is poor in divalent cations or that contains cationic peptides, whereas its absence in phoP null mutants produces an outer membrane severely compromised in its barrier function under these conditions. Removing combinations of the lipid A-remodeling functions from a PhoP-constitutive strain showed that the known modification reactions explain a major part of the PhoPQ-regulated changes in permeability. We believe that the increased barrier property of the remodeled bilayer is important in making the pathogen more resistant to the stresses that it encounters in the host, including attack by the cationic antimicrobial peptides. On the other hand, drug-induced killing assays suggest that the outer membrane containing unmodified lipid A may serve as a better barrier in the presence of high concentrations (e.g., 5 mM) of Mg(2+).","container-title":"Journal of Bacteriology","DOI":"10.1128/JB.00973-07","ISSN":"0021-9193","issue":"20","journalAbbreviation":"J Bacteriol","language":"eng","note":"PMID: 17693506\nPMCID: PMC2168427","page":"7213-7222","source":"PubMed","title":"PhoPQ-mediated regulation produces a more robust permeability barrier in the outer membrane of Salmonella enterica serovar typhimurium","volume":"189","author":[{"family":"Murata","given":"Takeshi"},{"family":"Tseng","given":"Will"},{"family":"Guina","given":"Tina"},{"family":"Miller","given":"Samuel I."},{"family":"Nikaido","given":"Hiroshi"}],"issued":{"date-parts":[["2007",10]]}}},{"id":1865,"uris":["http://zotero.org/users/1918630/items/D82HHHGC"],"itemData":{"id":1865,"type":"article-journal","abstract":"Since acidic environments often serve as an important line of defense against bacterial pathogens, it is important to fully understand how the latter manage to mount and evolve acid resistance mechanisms. Escherichia coli, a species harboring many pathovars, is typically equipped with the acid fitness island (AFI), a genomic region encoding the GadE master regulator together with several GadE-controlled functions to counter acid stress. This study reveals that gadE and consequently AFI functions are heterogeneously expressed even in the absence of any prior acid stress, thereby preemptively creating acid-resistant subpopulations within a clonal E. coli population. Directed evolution efforts selecting for modulated gadE expression confirm that a gain-of-function mutation in the EvgS sensor kinase can constitutively upregulate gadE expression and concomitant acid resistance. However, we reveal that such upregulation of EvgS also causes cross-resistance to heat stress because of SafA-mediated cross-activation of the PhoPQ regulon. Surprisingly, loss of function of the serC gene (encoding phosphoserine/phosphohydroxythreonine aminotransferase) can also significantly upregulate gadE expression, acid resistance, and heat cross-resistance, although via a currently cryptic mechanism. As such, our data reveal a noisy expression of gadE in E. coli that is functional for the survival of sudden acid stress and that can readily be genetically tuned. IMPORTANCE Acidic environments constitute one of the most important stresses for enteric bacteria and can be encountered in both natural (e.g., host gastrointestinal tract) and manmade (e.g., food processing) environments. The enteric species Escherichia coli harbors many pathovars and is well known for its ability to cope with acid stress. In this study, we uncover that E. coli's acid fitness island (AFI), a genomic region that encodes important functions to deal with acid stress, is by default expressed in a heterogeneous manner. In fact, using microfluidics-based single-cell approaches, we further demonstrate that this heterogeneity preemptively creates a clonal subpopulation that is much better equipped to survive a sudden acid shock. In addition, we reveal that environments with recurring acid stress can readily select for mutants displaying a higher fraction of AFI-expressing cells. These new insights are important to properly understand and anticipate the survival characteristics of E. coli.","container-title":"Microbiology Spectrum","DOI":"10.1128/spectrum.03757-22","ISSN":"2165-0497","issue":"6","journalAbbreviation":"Microbiol Spectr","language":"eng","note":"PMID: 36453903\nPMCID: PMC9769608","page":"e0375722","source":"PubMed","title":"Heterogeneity and Evolutionary Tunability of Escherichia coli Resistance against Extreme Acid Stress","volume":"10","author":[{"family":"Van Riet","given":"Stefanie"},{"family":"Tadesse","given":"Wubishet"},{"family":"Mortier","given":"Julien"},{"family":"Schlegel","given":"Susan"},{"family":"Simoens","given":"Kenneth"},{"family":"Bernaerts","given":"Kristel"},{"family":"Dal Co","given":"Alma"},{"family":"Aertsen","given":"Abram"}],"issued":{"date-parts":[["2022",12,21]]}}},{"id":1867,"uris":["http://zotero.org/users/1918630/items/6XPCCZLY"],"itemData":{"id":1867,"type":"article-journal","abstract":"The enteric microogranisms Salmonella, Escherichia coli and Shigella flexneri prefer to grow in neutral pH environments. They nevertheless experience dramatic pH fluctuations in nature and during pathogenesis. In response to environmental encounters with acid, these organisms have evolved complex, inducible acid survival strategies. Regulatory features include an alternative factor (sigma S), 2- component signal transduction systems (PhoP/Q; MviA/?) and the major iron regulatory protein Fur. Specific survival mechanisms include emergency pH homeostasis by inducible amino acid decarboxylases and probable roles for DNA repair, chaparonins, membrane biogenesis as well as others that remain poorly defined. Continued study of acid survival in these organisms will provide insights regarding stress management and will have a direct impact on our understanding of pathogenesis.","container-title":"FEMS microbiology letters","DOI":"10.1111/j.1574-6968.1997.tb10238.x","ISSN":"0378-1097","issue":"2","journalAbbreviation":"FEMS Microbiol Lett","language":"eng","note":"PMID: 9119190","page":"173-180","source":"PubMed","title":"Acid stress responses in enterobacteria","volume":"147","author":[{"family":"Bearson","given":"S."},{"family":"Bearson","given":"B."},{"family":"Foster","given":"J. W."}],"issued":{"date-parts":[["1997",2,15]]}}}],"schema":"https://github.com/citation-style-language/schema/raw/master/csl-citation.json"}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149–151</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Perhaps all observed changes in growth due to deletions and overexpression of efflux pumps are caused by the same modifications or the lack </w:t>
      </w:r>
      <w:r w:rsidR="00C158D7">
        <w:rPr>
          <w:rFonts w:ascii="Times New Roman" w:eastAsia="Times New Roman" w:hAnsi="Times New Roman" w:cs="Times New Roman"/>
          <w:sz w:val="24"/>
          <w:szCs w:val="24"/>
          <w14:ligatures w14:val="none"/>
        </w:rPr>
        <w:t xml:space="preserve">thereof </w:t>
      </w:r>
      <w:r w:rsidRPr="00ED4992">
        <w:rPr>
          <w:rFonts w:ascii="Times New Roman" w:eastAsia="Times New Roman" w:hAnsi="Times New Roman" w:cs="Times New Roman"/>
          <w:sz w:val="24"/>
          <w:szCs w:val="24"/>
          <w14:ligatures w14:val="none"/>
        </w:rPr>
        <w:t>in the composition of bacterial membranes.</w:t>
      </w:r>
    </w:p>
    <w:p w14:paraId="28DFE02D" w14:textId="65CF3965" w:rsidR="00ED4992" w:rsidRPr="00ED4992" w:rsidRDefault="00ED4992" w:rsidP="00DE2337">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Our results suggest that the deletion of these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under various stresses hinders the cells’ capacity to maintain intracellular pH homeostasis and to export stress-associated small toxic molecules. This is in contrast to the membrane disruption seen in the overproduction of the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 Overproduction also represents an inefficient management of cellular resources that could be used by stress response systems such as cell envelope remodeling that reduces permeability to reduce further stress damage</w:t>
      </w:r>
      <w:r w:rsidR="004807A4">
        <w:rPr>
          <w:rFonts w:ascii="Times New Roman" w:eastAsia="Times New Roman" w:hAnsi="Times New Roman" w:cs="Times New Roman"/>
          <w:sz w:val="24"/>
          <w:szCs w:val="24"/>
          <w14:ligatures w14:val="none"/>
        </w:rPr>
        <w:t>.</w:t>
      </w:r>
      <w:r w:rsidR="004807A4">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{"citationID":"Qv5GWjfW","properties":{"formattedCitation":"\\super 152,153\\nosupersub{}","plainCitation":"152,153","noteIndex":0},"citationItems":[{"id":1767,"uris":["http://zotero.org/users/1918630/items/QC94I6S3"],"itemData":{"id":1767,"type":"article-journal","abstract":"Acinetobacter infections have high rates of mortality due to an increasing incidence of infections by multidrug-resistant (MDR) and extensively-drug-resistant (XDR) strains. Therefore, new therapeutic strategies for the treatment of Acinetobacter infections are urgently needed. Acinetobacter spp. are Gram-negative coccobacilli that are obligate aerobes and can utilize a wide variety of carbon sources. Acinetobacter baumannii is the main cause of Acinetobacter infections, and recent work has identified multiple strategies A. baumannii uses to acquire nutrients and replicate in the face of host nutrient restriction. Some host nutrient sources also serve antimicrobial and immunomodulatory functions. Hence, understanding Acinetobacter metabolism during infection may provide new insights into novel infection control measures. In this review, we focus on the role of metabolism during infection and in resistance to antibiotics and other antimicrobial agents and discuss the possibility that metabolism may be exploited to identify novel targets to treat Acinetobacter infections.","container-title":"Infection and Immunity","DOI":"10.1128/iai.00433-22","ISSN":"0019-9567","issue":"6","journalAbbreviation":"Infect Immun","note":"PMID: 37191522\nPMCID: PMC10269061","page":"e00433-22","source":"PubMed Central","title":"Acinetobacter Metabolism in Infection and Antimicrobial Resistance","volume":"91","author":[{"family":"Ren","given":"Xiaomei"},{"family":"Palmer","given":"Lauren D."}]}},{"id":1871,"uris":["http://zotero.org/users/1918630/items/FHPQ8IPB"],"itemData":{"id":1871,"type":"article-journal","abstract":"For antibiotics with intracellular targets, effective treatment of bacterial infections requires the drug to accumulate to a high concentration inside cells. Bacteria produce a complex cell envelope and possess drug export efflux pumps to limit drug accumulation inside cells. Decreasing cell envelope permeability and increasing efflux pump activity can reduce intracellular accumulation of antibiotics and are commonly seen in antibiotic-resistant strains. Here, we show that the balance between influx and efflux differs depending on bacterial growth phase in Gram-negative bacteria. Accumulation of the fluorescent compound ethidium bromide (EtBr) was measured in Salmonella enterica serovar Typhimurium SL1344 (wild type) and efflux deficient (ΔacrB) strains during growth. In SL1344, EtBr accumulation remained low, regardless of growth phase, and did not correlate with acrAB transcription. EtBr accumulation in the ΔacrB strains was high in exponential phase but dropped sharply later in growth, with no significant difference from that in SL1344 in stationary phase. Low EtBr accumulation in stationary phase was not due to the upregulation of other efflux pumps but instead was due to decreased permeability of the envelope in stationary phase. Transcriptome sequencing (RNA-seq) identified changes in expression of several pathways that remodel the envelope in stationary phase, leading to lower permeability. IMPORTANCE This study shows that efflux is important for maintaining low intracellular accumulation only in actively growing cells and that envelope permeability is the predominant factor in stationary-phase cells. This conclusion means that (i) antibiotics with intracellular targets may be less effective in complex infections with nongrowing or slow-growing bacteria, where intracellular accumulation may be low; (ii) efflux inhibitors may be successful in potentiating the activity of existing antibiotics, but potentially only for bacterial infections where cells are actively growing; and (iii) the remodeling of the cell envelope prior to stationary phase could provide novel drug targets.","container-title":"mBio","DOI":"10.1128/mBio.02608-21","ISSN":"2150-7511","issue":"5","journalAbbreviation":"mBio","language":"eng","note":"PMID: 34634938\nPMCID: PMC8510537","page":"e0260821","source":"PubMed","title":"Efflux Impacts Intracellular Accumulation Only in Actively Growing Bacterial Cells","volume":"12","author":[{"family":"Whittle","given":"Emily E."},{"family":"McNeil","given":"Helen E."},{"family":"Trampari","given":"Eleftheria"},{"family":"Webber","given":"Mark"},{"family":"Overton","given":"Tim W."},{"family":"Blair","given":"Jessica M. A."}],"issued":{"date-parts":[["2021",10,26]]}}}],"schema":"https://github.com/citation-style-language/schema/raw/master/csl-citation.json"} </w:instrText>
      </w:r>
      <w:r w:rsidR="004807A4">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152,153</w:t>
      </w:r>
      <w:r w:rsidR="004807A4">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Future studies of regulatory circuits in </w:t>
      </w:r>
      <w:r w:rsidRPr="005B187E">
        <w:rPr>
          <w:rFonts w:ascii="Times New Roman" w:eastAsia="Times New Roman" w:hAnsi="Times New Roman" w:cs="Times New Roman"/>
          <w:i/>
          <w:iCs/>
          <w:sz w:val="24"/>
          <w:szCs w:val="24"/>
          <w14:ligatures w14:val="none"/>
        </w:rPr>
        <w:t>A. baumannii</w:t>
      </w:r>
      <w:r w:rsidRPr="00ED4992">
        <w:rPr>
          <w:rFonts w:ascii="Times New Roman" w:eastAsia="Times New Roman" w:hAnsi="Times New Roman" w:cs="Times New Roman"/>
          <w:sz w:val="24"/>
          <w:szCs w:val="24"/>
          <w14:ligatures w14:val="none"/>
        </w:rPr>
        <w:t xml:space="preserve"> controlling the expression of efflux pumps could lead to the identification of underlying mechanisms.</w:t>
      </w:r>
      <w:r w:rsidR="005B187E">
        <w:rPr>
          <w:rFonts w:ascii="Times New Roman" w:eastAsia="Times New Roman" w:hAnsi="Times New Roman" w:cs="Times New Roman"/>
          <w:sz w:val="24"/>
          <w:szCs w:val="24"/>
          <w14:ligatures w14:val="none"/>
        </w:rPr>
        <w:t xml:space="preserve"> It is possible that the </w:t>
      </w:r>
      <w:proofErr w:type="spellStart"/>
      <w:r w:rsidR="005B187E">
        <w:rPr>
          <w:rFonts w:ascii="Times New Roman" w:eastAsia="Times New Roman" w:hAnsi="Times New Roman" w:cs="Times New Roman"/>
          <w:sz w:val="24"/>
          <w:szCs w:val="24"/>
          <w14:ligatures w14:val="none"/>
        </w:rPr>
        <w:t>LuxR</w:t>
      </w:r>
      <w:proofErr w:type="spellEnd"/>
      <w:r w:rsidR="005B187E">
        <w:rPr>
          <w:rFonts w:ascii="Times New Roman" w:eastAsia="Times New Roman" w:hAnsi="Times New Roman" w:cs="Times New Roman"/>
          <w:sz w:val="24"/>
          <w:szCs w:val="24"/>
          <w14:ligatures w14:val="none"/>
        </w:rPr>
        <w:t xml:space="preserve"> family transcriptional regulator </w:t>
      </w:r>
      <w:r w:rsidR="0064446E">
        <w:rPr>
          <w:rFonts w:ascii="Times New Roman" w:eastAsia="Times New Roman" w:hAnsi="Times New Roman" w:cs="Times New Roman"/>
          <w:sz w:val="24"/>
          <w:szCs w:val="24"/>
          <w14:ligatures w14:val="none"/>
        </w:rPr>
        <w:t xml:space="preserve">(ABUW_1947) </w:t>
      </w:r>
      <w:r w:rsidR="005B187E">
        <w:rPr>
          <w:rFonts w:ascii="Times New Roman" w:eastAsia="Times New Roman" w:hAnsi="Times New Roman" w:cs="Times New Roman"/>
          <w:sz w:val="24"/>
          <w:szCs w:val="24"/>
          <w14:ligatures w14:val="none"/>
        </w:rPr>
        <w:t xml:space="preserve">and two </w:t>
      </w:r>
      <w:proofErr w:type="spellStart"/>
      <w:r w:rsidR="005B187E">
        <w:rPr>
          <w:rFonts w:ascii="Times New Roman" w:eastAsia="Times New Roman" w:hAnsi="Times New Roman" w:cs="Times New Roman"/>
          <w:sz w:val="24"/>
          <w:szCs w:val="24"/>
          <w14:ligatures w14:val="none"/>
        </w:rPr>
        <w:t>LysR</w:t>
      </w:r>
      <w:proofErr w:type="spellEnd"/>
      <w:r w:rsidR="005B187E">
        <w:rPr>
          <w:rFonts w:ascii="Times New Roman" w:eastAsia="Times New Roman" w:hAnsi="Times New Roman" w:cs="Times New Roman"/>
          <w:sz w:val="24"/>
          <w:szCs w:val="24"/>
          <w14:ligatures w14:val="none"/>
        </w:rPr>
        <w:t xml:space="preserve"> family regulators (ABUW_</w:t>
      </w:r>
      <w:r w:rsidR="0064446E">
        <w:rPr>
          <w:rFonts w:ascii="Times New Roman" w:eastAsia="Times New Roman" w:hAnsi="Times New Roman" w:cs="Times New Roman"/>
          <w:sz w:val="24"/>
          <w:szCs w:val="24"/>
          <w14:ligatures w14:val="none"/>
        </w:rPr>
        <w:t xml:space="preserve">1927 and ABUW_1936) could be involved in the regulation of the </w:t>
      </w:r>
      <w:proofErr w:type="spellStart"/>
      <w:r w:rsidR="0064446E">
        <w:rPr>
          <w:rFonts w:ascii="Times New Roman" w:eastAsia="Times New Roman" w:hAnsi="Times New Roman" w:cs="Times New Roman"/>
          <w:sz w:val="24"/>
          <w:szCs w:val="24"/>
          <w14:ligatures w14:val="none"/>
        </w:rPr>
        <w:t>Amf</w:t>
      </w:r>
      <w:proofErr w:type="spellEnd"/>
      <w:r w:rsidR="0064446E">
        <w:rPr>
          <w:rFonts w:ascii="Times New Roman" w:eastAsia="Times New Roman" w:hAnsi="Times New Roman" w:cs="Times New Roman"/>
          <w:sz w:val="24"/>
          <w:szCs w:val="24"/>
          <w14:ligatures w14:val="none"/>
        </w:rPr>
        <w:t xml:space="preserve"> efflux pumps. Identifying an outer membrane channel that functions with </w:t>
      </w:r>
      <w:proofErr w:type="spellStart"/>
      <w:r w:rsidR="0064446E">
        <w:rPr>
          <w:rFonts w:ascii="Times New Roman" w:eastAsia="Times New Roman" w:hAnsi="Times New Roman" w:cs="Times New Roman"/>
          <w:sz w:val="24"/>
          <w:szCs w:val="24"/>
          <w14:ligatures w14:val="none"/>
        </w:rPr>
        <w:t>AmfAB</w:t>
      </w:r>
      <w:proofErr w:type="spellEnd"/>
      <w:r w:rsidR="0064446E">
        <w:rPr>
          <w:rFonts w:ascii="Times New Roman" w:eastAsia="Times New Roman" w:hAnsi="Times New Roman" w:cs="Times New Roman"/>
          <w:sz w:val="24"/>
          <w:szCs w:val="24"/>
          <w14:ligatures w14:val="none"/>
        </w:rPr>
        <w:t xml:space="preserve"> and/or </w:t>
      </w:r>
      <w:proofErr w:type="spellStart"/>
      <w:r w:rsidR="0064446E">
        <w:rPr>
          <w:rFonts w:ascii="Times New Roman" w:eastAsia="Times New Roman" w:hAnsi="Times New Roman" w:cs="Times New Roman"/>
          <w:sz w:val="24"/>
          <w:szCs w:val="24"/>
          <w14:ligatures w14:val="none"/>
        </w:rPr>
        <w:t>AmfCD</w:t>
      </w:r>
      <w:proofErr w:type="spellEnd"/>
      <w:r w:rsidR="0064446E">
        <w:rPr>
          <w:rFonts w:ascii="Times New Roman" w:eastAsia="Times New Roman" w:hAnsi="Times New Roman" w:cs="Times New Roman"/>
          <w:sz w:val="24"/>
          <w:szCs w:val="24"/>
          <w14:ligatures w14:val="none"/>
        </w:rPr>
        <w:t xml:space="preserve"> could be an important missing piece in understanding the full functionality of these pumps. </w:t>
      </w:r>
    </w:p>
    <w:p w14:paraId="2FA7F80A" w14:textId="7778D1BB" w:rsidR="00ED4992" w:rsidRPr="00ED4992" w:rsidRDefault="00ED4992" w:rsidP="00DE2337">
      <w:pPr>
        <w:spacing w:after="0" w:line="360" w:lineRule="auto"/>
        <w:ind w:firstLine="720"/>
        <w:rPr>
          <w:rFonts w:ascii="Times New Roman" w:eastAsia="Times New Roman" w:hAnsi="Times New Roman" w:cs="Times New Roman"/>
          <w:sz w:val="24"/>
          <w:szCs w:val="24"/>
          <w14:ligatures w14:val="none"/>
        </w:rPr>
      </w:pPr>
      <w:r w:rsidRPr="00ED4992">
        <w:rPr>
          <w:rFonts w:ascii="Times New Roman" w:eastAsia="Times New Roman" w:hAnsi="Times New Roman" w:cs="Times New Roman"/>
          <w:sz w:val="24"/>
          <w:szCs w:val="24"/>
          <w14:ligatures w14:val="none"/>
        </w:rPr>
        <w:t xml:space="preserve">These results highlight complex relationships between antibiotic non-susceptibility and </w:t>
      </w:r>
      <w:r w:rsidRPr="0064446E">
        <w:rPr>
          <w:rFonts w:ascii="Times New Roman" w:eastAsia="Times New Roman" w:hAnsi="Times New Roman" w:cs="Times New Roman"/>
          <w:i/>
          <w:iCs/>
          <w:sz w:val="24"/>
          <w:szCs w:val="24"/>
          <w14:ligatures w14:val="none"/>
        </w:rPr>
        <w:t>A. baumannii</w:t>
      </w:r>
      <w:r w:rsidRPr="00ED4992">
        <w:rPr>
          <w:rFonts w:ascii="Times New Roman" w:eastAsia="Times New Roman" w:hAnsi="Times New Roman" w:cs="Times New Roman"/>
          <w:sz w:val="24"/>
          <w:szCs w:val="24"/>
          <w14:ligatures w14:val="none"/>
        </w:rPr>
        <w:t xml:space="preserve"> metabolism</w:t>
      </w:r>
      <w:r w:rsidR="00CB4893">
        <w:rPr>
          <w:rFonts w:ascii="Times New Roman" w:eastAsia="Times New Roman" w:hAnsi="Times New Roman" w:cs="Times New Roman"/>
          <w:sz w:val="24"/>
          <w:szCs w:val="24"/>
          <w14:ligatures w14:val="none"/>
        </w:rPr>
        <w:t>.</w:t>
      </w:r>
      <w:r w:rsidR="00CB4893">
        <w:rPr>
          <w:rFonts w:ascii="Times New Roman" w:eastAsia="Times New Roman" w:hAnsi="Times New Roman" w:cs="Times New Roman"/>
          <w:sz w:val="24"/>
          <w:szCs w:val="24"/>
          <w14:ligatures w14:val="none"/>
        </w:rPr>
        <w:fldChar w:fldCharType="begin"/>
      </w:r>
      <w:r w:rsidR="002F6F9F">
        <w:rPr>
          <w:rFonts w:ascii="Times New Roman" w:eastAsia="Times New Roman" w:hAnsi="Times New Roman" w:cs="Times New Roman"/>
          <w:sz w:val="24"/>
          <w:szCs w:val="24"/>
          <w14:ligatures w14:val="none"/>
        </w:rPr>
        <w:instrText xml:space="preserve"> ADDIN ZOTERO_ITEM CSL_CITATION {"citationID":"QYfYyWw6","properties":{"formattedCitation":"\\super 153\\nosupersub{}","plainCitation":"153","noteIndex":0},"citationItems":[{"id":1871,"uris":["http://zotero.org/users/1918630/items/FHPQ8IPB"],"itemData":{"id":1871,"type":"article-journal","abstract":"For antibiotics with intracellular targets, effective treatment of bacterial infections requires the drug to accumulate to a high concentration inside cells. Bacteria produce a complex cell envelope and possess drug export efflux pumps to limit drug accumulation inside cells. Decreasing cell envelope permeability and increasing efflux pump activity can reduce intracellular accumulation of antibiotics and are commonly seen in antibiotic-resistant strains. Here, we show that the balance between influx and efflux differs depending on bacterial growth phase in Gram-negative bacteria. Accumulation of the fluorescent compound ethidium bromide (EtBr) was measured in Salmonella enterica serovar Typhimurium SL1344 (wild type) and efflux deficient (ΔacrB) strains during growth. In SL1344, EtBr accumulation remained low, regardless of growth phase, and did not correlate with acrAB transcription. EtBr accumulation in the ΔacrB strains was high in exponential phase but dropped sharply later in growth, with no significant difference from that in SL1344 in stationary phase. Low EtBr accumulation in stationary phase was not due to the upregulation of other efflux pumps but instead was due to decreased permeability of the envelope in stationary phase. Transcriptome sequencing (RNA-seq) identified changes in expression of several pathways that remodel the envelope in stationary phase, leading to lower permeability. IMPORTANCE This study shows that efflux is important for maintaining low intracellular accumulation only in actively growing cells and that envelope permeability is the predominant factor in stationary-phase cells. This conclusion means that (i) antibiotics with intracellular targets may be less effective in complex infections with nongrowing or slow-growing bacteria, where intracellular accumulation may be low; (ii) efflux inhibitors may be successful in potentiating the activity of existing antibiotics, but potentially only for bacterial infections where cells are actively growing; and (iii) the remodeling of the cell envelope prior to stationary phase could provide novel drug targets.","container-title":"mBio","DOI":"10.1128/mBio.02608-21","ISSN":"2150-7511","issue":"5","journalAbbreviation":"mBio","language":"eng","note":"PMID: 34634938\nPMCID: PMC8510537","page":"e0260821","source":"PubMed","title":"Efflux Impacts Intracellular Accumulation Only in Actively Growing Bacterial Cells","volume":"12","author":[{"family":"Whittle","given":"Emily E."},{"family":"McNeil","given":"Helen E."},{"family":"Trampari","given":"Eleftheria"},{"family":"Webber","given":"Mark"},{"family":"Overton","given":"Tim W."},{"family":"Blair","given":"Jessica M. A."}],"issued":{"date-parts":[["2021",10,26]]}}}],"schema":"https://github.com/citation-style-language/schema/raw/master/csl-citation.json"} </w:instrText>
      </w:r>
      <w:r w:rsidR="00CB4893">
        <w:rPr>
          <w:rFonts w:ascii="Times New Roman" w:eastAsia="Times New Roman" w:hAnsi="Times New Roman" w:cs="Times New Roman"/>
          <w:sz w:val="24"/>
          <w:szCs w:val="24"/>
          <w14:ligatures w14:val="none"/>
        </w:rPr>
        <w:fldChar w:fldCharType="separate"/>
      </w:r>
      <w:r w:rsidR="002F6F9F" w:rsidRPr="002F6F9F">
        <w:rPr>
          <w:rFonts w:ascii="Times New Roman" w:hAnsi="Times New Roman" w:cs="Times New Roman"/>
          <w:sz w:val="24"/>
          <w:vertAlign w:val="superscript"/>
        </w:rPr>
        <w:t>153</w:t>
      </w:r>
      <w:r w:rsidR="00CB4893">
        <w:rPr>
          <w:rFonts w:ascii="Times New Roman" w:eastAsia="Times New Roman" w:hAnsi="Times New Roman" w:cs="Times New Roman"/>
          <w:sz w:val="24"/>
          <w:szCs w:val="24"/>
          <w14:ligatures w14:val="none"/>
        </w:rPr>
        <w:fldChar w:fldCharType="end"/>
      </w:r>
      <w:r w:rsidRPr="00ED4992">
        <w:rPr>
          <w:rFonts w:ascii="Times New Roman" w:eastAsia="Times New Roman" w:hAnsi="Times New Roman" w:cs="Times New Roman"/>
          <w:sz w:val="24"/>
          <w:szCs w:val="24"/>
          <w14:ligatures w14:val="none"/>
        </w:rPr>
        <w:t xml:space="preserve"> Metabolomics studies could provide the insights needed for understanding the </w:t>
      </w:r>
      <w:proofErr w:type="spellStart"/>
      <w:r w:rsidRPr="00ED4992">
        <w:rPr>
          <w:rFonts w:ascii="Times New Roman" w:eastAsia="Times New Roman" w:hAnsi="Times New Roman" w:cs="Times New Roman"/>
          <w:sz w:val="24"/>
          <w:szCs w:val="24"/>
          <w14:ligatures w14:val="none"/>
        </w:rPr>
        <w:t>Amf</w:t>
      </w:r>
      <w:proofErr w:type="spellEnd"/>
      <w:r w:rsidRPr="00ED4992">
        <w:rPr>
          <w:rFonts w:ascii="Times New Roman" w:eastAsia="Times New Roman" w:hAnsi="Times New Roman" w:cs="Times New Roman"/>
          <w:sz w:val="24"/>
          <w:szCs w:val="24"/>
          <w14:ligatures w14:val="none"/>
        </w:rPr>
        <w:t xml:space="preserve"> pump–stress mechanisms.</w:t>
      </w:r>
    </w:p>
    <w:p w14:paraId="383BE2BB" w14:textId="5194BCA4" w:rsidR="00922C32" w:rsidRDefault="00922C32" w:rsidP="00C836F0">
      <w:pPr>
        <w:rPr>
          <w:rFonts w:asciiTheme="majorHAnsi" w:hAnsiTheme="majorHAnsi" w:cstheme="majorHAnsi"/>
          <w:sz w:val="24"/>
          <w:szCs w:val="24"/>
          <w:u w:val="single"/>
        </w:rPr>
      </w:pPr>
    </w:p>
    <w:p w14:paraId="69306244" w14:textId="77777777" w:rsidR="00DE2337" w:rsidRPr="00734E96" w:rsidRDefault="00DE2337" w:rsidP="00C836F0">
      <w:pPr>
        <w:rPr>
          <w:rFonts w:asciiTheme="majorHAnsi" w:hAnsiTheme="majorHAnsi" w:cstheme="majorHAnsi"/>
          <w:sz w:val="24"/>
          <w:szCs w:val="24"/>
        </w:rPr>
      </w:pPr>
    </w:p>
    <w:p w14:paraId="6CA979AB" w14:textId="5DD76D40" w:rsidR="00922C32" w:rsidRPr="00734E96" w:rsidRDefault="00922C32" w:rsidP="00C836F0">
      <w:pPr>
        <w:rPr>
          <w:sz w:val="24"/>
          <w:szCs w:val="24"/>
        </w:rPr>
      </w:pPr>
      <w:bookmarkStart w:id="11" w:name="_Hlk155537431"/>
      <w:bookmarkEnd w:id="8"/>
      <w:r w:rsidRPr="00734E96">
        <w:rPr>
          <w:rFonts w:asciiTheme="majorHAnsi" w:hAnsiTheme="majorHAnsi" w:cstheme="majorHAnsi"/>
          <w:b/>
          <w:bCs/>
          <w:sz w:val="24"/>
          <w:szCs w:val="24"/>
        </w:rPr>
        <w:lastRenderedPageBreak/>
        <w:t xml:space="preserve">Chapter </w:t>
      </w:r>
      <w:r w:rsidR="00F01024">
        <w:rPr>
          <w:rFonts w:asciiTheme="majorHAnsi" w:hAnsiTheme="majorHAnsi" w:cstheme="majorHAnsi"/>
          <w:b/>
          <w:bCs/>
          <w:sz w:val="24"/>
          <w:szCs w:val="24"/>
        </w:rPr>
        <w:t>4 :</w:t>
      </w:r>
      <w:r w:rsidRPr="00734E96">
        <w:rPr>
          <w:rFonts w:asciiTheme="majorHAnsi" w:hAnsiTheme="majorHAnsi" w:cstheme="majorHAnsi"/>
          <w:sz w:val="24"/>
          <w:szCs w:val="24"/>
        </w:rPr>
        <w:t xml:space="preserve"> </w:t>
      </w:r>
      <w:r w:rsidRPr="00F01024">
        <w:rPr>
          <w:b/>
          <w:bCs/>
          <w:sz w:val="24"/>
          <w:szCs w:val="24"/>
        </w:rPr>
        <w:t xml:space="preserve">Site-Directed Mutagenesis of RND Transporter AdeG from </w:t>
      </w:r>
      <w:r w:rsidRPr="00F01024">
        <w:rPr>
          <w:b/>
          <w:bCs/>
          <w:i/>
          <w:iCs/>
          <w:sz w:val="24"/>
          <w:szCs w:val="24"/>
        </w:rPr>
        <w:t>Acinetobacter baumannii</w:t>
      </w:r>
      <w:r w:rsidRPr="00F01024">
        <w:rPr>
          <w:b/>
          <w:bCs/>
          <w:sz w:val="24"/>
          <w:szCs w:val="24"/>
        </w:rPr>
        <w:t xml:space="preserve"> Leads to Identification of Amino Acid Residues Essential for Norfloxacin</w:t>
      </w:r>
      <w:r w:rsidR="00E2512A">
        <w:rPr>
          <w:b/>
          <w:bCs/>
          <w:sz w:val="24"/>
          <w:szCs w:val="24"/>
        </w:rPr>
        <w:t xml:space="preserve">, </w:t>
      </w:r>
      <w:r w:rsidRPr="00F01024">
        <w:rPr>
          <w:b/>
          <w:bCs/>
          <w:sz w:val="24"/>
          <w:szCs w:val="24"/>
        </w:rPr>
        <w:t>Nalidixic Acid</w:t>
      </w:r>
      <w:r w:rsidR="00E2512A">
        <w:rPr>
          <w:b/>
          <w:bCs/>
          <w:sz w:val="24"/>
          <w:szCs w:val="24"/>
        </w:rPr>
        <w:t>, and 1-N-phenylnaphthylamine</w:t>
      </w:r>
      <w:r w:rsidRPr="00F01024">
        <w:rPr>
          <w:b/>
          <w:bCs/>
          <w:sz w:val="24"/>
          <w:szCs w:val="24"/>
        </w:rPr>
        <w:t xml:space="preserve"> </w:t>
      </w:r>
      <w:proofErr w:type="gramStart"/>
      <w:r w:rsidRPr="00F01024">
        <w:rPr>
          <w:b/>
          <w:bCs/>
          <w:sz w:val="24"/>
          <w:szCs w:val="24"/>
        </w:rPr>
        <w:t>Efflux</w:t>
      </w:r>
      <w:proofErr w:type="gramEnd"/>
    </w:p>
    <w:p w14:paraId="25744BC7" w14:textId="40B6BBC5" w:rsidR="00922C32" w:rsidRPr="00734E96" w:rsidRDefault="00D732F8" w:rsidP="00C836F0">
      <w:pPr>
        <w:rPr>
          <w:sz w:val="24"/>
          <w:szCs w:val="24"/>
        </w:rPr>
      </w:pPr>
      <w:r>
        <w:rPr>
          <w:sz w:val="24"/>
          <w:szCs w:val="24"/>
          <w:u w:val="single"/>
        </w:rPr>
        <w:t xml:space="preserve">4.1. </w:t>
      </w:r>
      <w:r w:rsidR="00922C32" w:rsidRPr="00734E96">
        <w:rPr>
          <w:sz w:val="24"/>
          <w:szCs w:val="24"/>
          <w:u w:val="single"/>
        </w:rPr>
        <w:t>Abstract</w:t>
      </w:r>
    </w:p>
    <w:p w14:paraId="5E1DE88D" w14:textId="185B317E" w:rsidR="006C31B8" w:rsidRPr="00F224D9" w:rsidRDefault="003E176A" w:rsidP="00060086">
      <w:pPr>
        <w:spacing w:line="360" w:lineRule="auto"/>
        <w:rPr>
          <w:rFonts w:cstheme="minorHAnsi"/>
          <w:sz w:val="24"/>
          <w:szCs w:val="24"/>
        </w:rPr>
      </w:pPr>
      <w:r>
        <w:rPr>
          <w:rFonts w:asciiTheme="majorHAnsi" w:hAnsiTheme="majorHAnsi" w:cstheme="majorHAnsi"/>
          <w:sz w:val="24"/>
          <w:szCs w:val="24"/>
        </w:rPr>
        <w:tab/>
      </w:r>
      <w:r w:rsidRPr="00F224D9">
        <w:rPr>
          <w:rFonts w:cstheme="minorHAnsi"/>
          <w:sz w:val="24"/>
          <w:szCs w:val="24"/>
        </w:rPr>
        <w:t xml:space="preserve">The RND-type transporter AdeG, of the operon AdeFGH, is one of three most prevalent efflux pumps in </w:t>
      </w:r>
      <w:r w:rsidRPr="00F224D9">
        <w:rPr>
          <w:rFonts w:cstheme="minorHAnsi"/>
          <w:i/>
          <w:iCs/>
          <w:sz w:val="24"/>
          <w:szCs w:val="24"/>
        </w:rPr>
        <w:t>Acinetobacter baumannii</w:t>
      </w:r>
      <w:r w:rsidRPr="00F224D9">
        <w:rPr>
          <w:rFonts w:cstheme="minorHAnsi"/>
          <w:sz w:val="24"/>
          <w:szCs w:val="24"/>
        </w:rPr>
        <w:t xml:space="preserve">. AdeFGH is known to </w:t>
      </w:r>
      <w:r w:rsidR="00D2265A">
        <w:rPr>
          <w:rFonts w:cstheme="minorHAnsi"/>
          <w:sz w:val="24"/>
          <w:szCs w:val="24"/>
        </w:rPr>
        <w:t xml:space="preserve">contribute to </w:t>
      </w:r>
      <w:r w:rsidRPr="00F224D9">
        <w:rPr>
          <w:rFonts w:cstheme="minorHAnsi"/>
          <w:sz w:val="24"/>
          <w:szCs w:val="24"/>
        </w:rPr>
        <w:t xml:space="preserve">acquired antibiotic resistance. Overproduction of this pump has been observed in clinical isolates and its efflux efficiency and </w:t>
      </w:r>
      <w:r w:rsidR="000737DA">
        <w:rPr>
          <w:rFonts w:cstheme="minorHAnsi"/>
          <w:sz w:val="24"/>
          <w:szCs w:val="24"/>
        </w:rPr>
        <w:t xml:space="preserve">limited </w:t>
      </w:r>
      <w:r w:rsidRPr="00F224D9">
        <w:rPr>
          <w:rFonts w:cstheme="minorHAnsi"/>
          <w:sz w:val="24"/>
          <w:szCs w:val="24"/>
        </w:rPr>
        <w:t xml:space="preserve">substrate range promotes </w:t>
      </w:r>
      <w:r w:rsidRPr="00F224D9">
        <w:rPr>
          <w:rFonts w:cstheme="minorHAnsi"/>
          <w:i/>
          <w:iCs/>
          <w:sz w:val="24"/>
          <w:szCs w:val="24"/>
        </w:rPr>
        <w:t>A. baumannii</w:t>
      </w:r>
      <w:r w:rsidRPr="00F224D9">
        <w:rPr>
          <w:rFonts w:cstheme="minorHAnsi"/>
          <w:sz w:val="24"/>
          <w:szCs w:val="24"/>
        </w:rPr>
        <w:t xml:space="preserve"> survival under high concentration antibiotic pressure. To </w:t>
      </w:r>
      <w:r w:rsidR="00664018">
        <w:rPr>
          <w:rFonts w:cstheme="minorHAnsi"/>
          <w:sz w:val="24"/>
          <w:szCs w:val="24"/>
        </w:rPr>
        <w:t>gain insi</w:t>
      </w:r>
      <w:r w:rsidR="001F7A3B">
        <w:rPr>
          <w:rFonts w:cstheme="minorHAnsi"/>
          <w:sz w:val="24"/>
          <w:szCs w:val="24"/>
        </w:rPr>
        <w:t>ght</w:t>
      </w:r>
      <w:r w:rsidR="00664018">
        <w:rPr>
          <w:rFonts w:cstheme="minorHAnsi"/>
          <w:sz w:val="24"/>
          <w:szCs w:val="24"/>
        </w:rPr>
        <w:t xml:space="preserve"> </w:t>
      </w:r>
      <w:r w:rsidR="00A27DFD">
        <w:rPr>
          <w:rFonts w:cstheme="minorHAnsi"/>
          <w:sz w:val="24"/>
          <w:szCs w:val="24"/>
        </w:rPr>
        <w:t xml:space="preserve">into </w:t>
      </w:r>
      <w:r w:rsidRPr="00F224D9">
        <w:rPr>
          <w:rFonts w:cstheme="minorHAnsi"/>
          <w:sz w:val="24"/>
          <w:szCs w:val="24"/>
        </w:rPr>
        <w:t>the transporter’s m</w:t>
      </w:r>
      <w:r w:rsidR="00A27DFD">
        <w:rPr>
          <w:rFonts w:cstheme="minorHAnsi"/>
          <w:sz w:val="24"/>
          <w:szCs w:val="24"/>
        </w:rPr>
        <w:t xml:space="preserve">echanism </w:t>
      </w:r>
      <w:r w:rsidRPr="00F224D9">
        <w:rPr>
          <w:rFonts w:cstheme="minorHAnsi"/>
          <w:sz w:val="24"/>
          <w:szCs w:val="24"/>
        </w:rPr>
        <w:t xml:space="preserve">of function, seven single and one double amino acid substitution mutants of the AdeG transporter were constructed and inserted </w:t>
      </w:r>
      <w:r w:rsidR="00520290">
        <w:rPr>
          <w:rFonts w:cstheme="minorHAnsi"/>
          <w:sz w:val="24"/>
          <w:szCs w:val="24"/>
        </w:rPr>
        <w:t>o</w:t>
      </w:r>
      <w:r w:rsidRPr="00F224D9">
        <w:rPr>
          <w:rFonts w:cstheme="minorHAnsi"/>
          <w:sz w:val="24"/>
          <w:szCs w:val="24"/>
        </w:rPr>
        <w:t xml:space="preserve">nto the </w:t>
      </w:r>
      <w:r w:rsidR="00ED77B5">
        <w:rPr>
          <w:rFonts w:cstheme="minorHAnsi"/>
          <w:sz w:val="24"/>
          <w:szCs w:val="24"/>
        </w:rPr>
        <w:t>chromosomes</w:t>
      </w:r>
      <w:r w:rsidR="00520290">
        <w:rPr>
          <w:rFonts w:cstheme="minorHAnsi"/>
          <w:sz w:val="24"/>
          <w:szCs w:val="24"/>
        </w:rPr>
        <w:t xml:space="preserve"> of the </w:t>
      </w:r>
      <w:r w:rsidRPr="00F224D9">
        <w:rPr>
          <w:rFonts w:cstheme="minorHAnsi"/>
          <w:sz w:val="24"/>
          <w:szCs w:val="24"/>
        </w:rPr>
        <w:t xml:space="preserve">RND efflux deficient strains AbΔ3 and AbΔ3-Pore. This study has identified amino acid residues in AdeG that are important for the transport of nalidixic acid, norfloxacin, and the fluorescent probe NPN. </w:t>
      </w:r>
      <w:bookmarkStart w:id="12" w:name="_Hlk155967650"/>
      <w:r w:rsidRPr="00F224D9">
        <w:rPr>
          <w:rFonts w:cstheme="minorHAnsi"/>
          <w:sz w:val="24"/>
          <w:szCs w:val="24"/>
        </w:rPr>
        <w:t xml:space="preserve">We found in 2-fold dilution antibiotic susceptibility assays that norfloxacin export involves the AdeG residues Q83, and I621 and G679, and that nalidixic acid export appears to involve Y725, I621, L138, P136, Q83A, and G679. </w:t>
      </w:r>
      <w:r w:rsidR="006C31B8" w:rsidRPr="00F224D9">
        <w:rPr>
          <w:rFonts w:cstheme="minorHAnsi"/>
          <w:sz w:val="24"/>
          <w:szCs w:val="24"/>
        </w:rPr>
        <w:t>From fluorescent probe uptake assays with increasing concentrations of NPN or increasing concentrations of the inhibitor SLUPP_1377</w:t>
      </w:r>
      <w:r w:rsidR="00C67B89">
        <w:rPr>
          <w:rFonts w:cstheme="minorHAnsi"/>
          <w:sz w:val="24"/>
          <w:szCs w:val="24"/>
        </w:rPr>
        <w:t>,</w:t>
      </w:r>
      <w:r w:rsidR="006C31B8" w:rsidRPr="00F224D9">
        <w:rPr>
          <w:rFonts w:cstheme="minorHAnsi"/>
          <w:sz w:val="24"/>
          <w:szCs w:val="24"/>
        </w:rPr>
        <w:t xml:space="preserve"> we found that AdeG G679I is likely a non-functional </w:t>
      </w:r>
      <w:r w:rsidR="000737DA">
        <w:rPr>
          <w:rFonts w:cstheme="minorHAnsi"/>
          <w:sz w:val="24"/>
          <w:szCs w:val="24"/>
        </w:rPr>
        <w:t>transporter</w:t>
      </w:r>
      <w:r w:rsidR="006C31B8" w:rsidRPr="00F224D9">
        <w:rPr>
          <w:rFonts w:cstheme="minorHAnsi"/>
          <w:sz w:val="24"/>
          <w:szCs w:val="24"/>
        </w:rPr>
        <w:t>. We also found that the AdeG substitutions Q83A, S620A, and Y725A made AdeG more sensitive to inhibition by SLUPP_1377. And lastly, we found that the AdeG mutant L138A appears to be resistant to inhibition by SLUPP_1377, but it also loses NPN efflux efficiency.</w:t>
      </w:r>
      <w:bookmarkEnd w:id="12"/>
      <w:r w:rsidR="006C31B8" w:rsidRPr="00F224D9">
        <w:rPr>
          <w:rFonts w:cstheme="minorHAnsi"/>
          <w:sz w:val="24"/>
          <w:szCs w:val="24"/>
        </w:rPr>
        <w:t xml:space="preserve"> We anticipate these findings will aid in future ration</w:t>
      </w:r>
      <w:r w:rsidR="00C158D7">
        <w:rPr>
          <w:rFonts w:cstheme="minorHAnsi"/>
          <w:sz w:val="24"/>
          <w:szCs w:val="24"/>
        </w:rPr>
        <w:t>al</w:t>
      </w:r>
      <w:r w:rsidR="006C31B8" w:rsidRPr="00F224D9">
        <w:rPr>
          <w:rFonts w:cstheme="minorHAnsi"/>
          <w:sz w:val="24"/>
          <w:szCs w:val="24"/>
        </w:rPr>
        <w:t xml:space="preserve"> efflux pump inhibitor design and further functional characterization of this RND transporter.</w:t>
      </w:r>
    </w:p>
    <w:p w14:paraId="6D8EF9AA" w14:textId="3C6F4D1A" w:rsidR="003E176A" w:rsidRPr="003E176A" w:rsidRDefault="003E176A" w:rsidP="000E1985">
      <w:pPr>
        <w:rPr>
          <w:rFonts w:asciiTheme="majorHAnsi" w:hAnsiTheme="majorHAnsi" w:cstheme="majorHAnsi"/>
          <w:sz w:val="24"/>
          <w:szCs w:val="24"/>
        </w:rPr>
      </w:pPr>
    </w:p>
    <w:p w14:paraId="293BD8F0" w14:textId="611E6F2E" w:rsidR="00922C32" w:rsidRPr="00734E96" w:rsidRDefault="000737DA" w:rsidP="00C836F0">
      <w:pPr>
        <w:rPr>
          <w:sz w:val="24"/>
          <w:szCs w:val="24"/>
        </w:rPr>
      </w:pPr>
      <w:r>
        <w:rPr>
          <w:sz w:val="24"/>
          <w:szCs w:val="24"/>
          <w:u w:val="single"/>
        </w:rPr>
        <w:t xml:space="preserve">4.2. </w:t>
      </w:r>
      <w:r w:rsidR="00922C32" w:rsidRPr="00734E96">
        <w:rPr>
          <w:sz w:val="24"/>
          <w:szCs w:val="24"/>
          <w:u w:val="single"/>
        </w:rPr>
        <w:t>Introduction</w:t>
      </w:r>
    </w:p>
    <w:p w14:paraId="1A45AE81" w14:textId="012308AC" w:rsidR="00112F65" w:rsidRDefault="009E2072" w:rsidP="00112F65">
      <w:pPr>
        <w:spacing w:line="360" w:lineRule="auto"/>
        <w:ind w:firstLine="720"/>
        <w:rPr>
          <w:sz w:val="24"/>
          <w:szCs w:val="24"/>
        </w:rPr>
      </w:pPr>
      <w:r>
        <w:rPr>
          <w:sz w:val="24"/>
          <w:szCs w:val="24"/>
        </w:rPr>
        <w:t xml:space="preserve">Upregulation of RND efflux pumps due to mutations in their regulators is commonly seen in clinical isolates </w:t>
      </w:r>
      <w:r w:rsidR="00CA71A2">
        <w:rPr>
          <w:sz w:val="24"/>
          <w:szCs w:val="24"/>
        </w:rPr>
        <w:t>of pathogenic bacteria.</w:t>
      </w:r>
      <w:r w:rsidR="00CA71A2">
        <w:rPr>
          <w:sz w:val="24"/>
          <w:szCs w:val="24"/>
        </w:rPr>
        <w:fldChar w:fldCharType="begin"/>
      </w:r>
      <w:r w:rsidR="00864355">
        <w:rPr>
          <w:sz w:val="24"/>
          <w:szCs w:val="24"/>
        </w:rPr>
        <w:instrText xml:space="preserve"> ADDIN ZOTERO_ITEM CSL_CITATION {"citationID":"kM45TlSK","properties":{"formattedCitation":"\\super 104\\nosupersub{}","plainCitation":"104","noteIndex":0},"citationItems":[{"id":1799,"uris":["http://zotero.org/users/1918630/items/TFGTTLGG"],"itemData":{"id":1799,"type":"article-journal","abstract":"It is well established that multidrug-resistance efflux pumps encoded by bacteria can confer clinically relevant resistance to antibiotics. It is now understood that these efflux pumps also have a physiological role(s). They can confer resistance to natural substances produced by the host, including bile, hormones and host-defence molecules. In addition, some efflux pumps of the resistance nodulation division (RND) family have been shown to have a role in the colonization and the persistence of bacteria in the host. Here, I present the accumulating evidence that multidrug-resistance efflux pumps have roles in bacterial pathogenicity and propose that these pumps therefore have greater clinical relevance than is usually attributed to them.","container-title":"Nature Reviews. Microbiology","DOI":"10.1038/nrmicro1464","ISSN":"1740-1526","issue":"8","journalAbbreviation":"Nat Rev Microbiol","language":"eng","note":"PMID: 16845433","page":"629-636","source":"PubMed","title":"Multidrug-resistance efflux pumps - not just for resistance","volume":"4","author":[{"family":"Piddock","given":"Laura J. V."}],"issued":{"date-parts":[["2006",8]]}}}],"schema":"https://github.com/citation-style-language/schema/raw/master/csl-citation.json"} </w:instrText>
      </w:r>
      <w:r w:rsidR="00CA71A2">
        <w:rPr>
          <w:sz w:val="24"/>
          <w:szCs w:val="24"/>
        </w:rPr>
        <w:fldChar w:fldCharType="separate"/>
      </w:r>
      <w:r w:rsidR="00864355" w:rsidRPr="00864355">
        <w:rPr>
          <w:rFonts w:ascii="Times New Roman" w:hAnsi="Times New Roman" w:cs="Times New Roman"/>
          <w:sz w:val="24"/>
          <w:szCs w:val="24"/>
          <w:vertAlign w:val="superscript"/>
        </w:rPr>
        <w:t>104</w:t>
      </w:r>
      <w:r w:rsidR="00CA71A2">
        <w:rPr>
          <w:sz w:val="24"/>
          <w:szCs w:val="24"/>
        </w:rPr>
        <w:fldChar w:fldCharType="end"/>
      </w:r>
      <w:r w:rsidR="00CA71A2">
        <w:rPr>
          <w:sz w:val="24"/>
          <w:szCs w:val="24"/>
        </w:rPr>
        <w:t xml:space="preserve"> </w:t>
      </w:r>
      <w:r w:rsidR="00C333C1">
        <w:rPr>
          <w:sz w:val="24"/>
          <w:szCs w:val="24"/>
        </w:rPr>
        <w:t>T</w:t>
      </w:r>
      <w:r w:rsidR="0001032E" w:rsidRPr="00B24A5C">
        <w:rPr>
          <w:sz w:val="24"/>
          <w:szCs w:val="24"/>
        </w:rPr>
        <w:t xml:space="preserve">he </w:t>
      </w:r>
      <w:r w:rsidR="00B24A5C">
        <w:rPr>
          <w:sz w:val="24"/>
          <w:szCs w:val="24"/>
        </w:rPr>
        <w:t xml:space="preserve">RND efflux pump AdeFGH has been seen to play a major role in </w:t>
      </w:r>
      <w:r w:rsidR="00B24A5C">
        <w:rPr>
          <w:i/>
          <w:iCs/>
          <w:sz w:val="24"/>
          <w:szCs w:val="24"/>
        </w:rPr>
        <w:t xml:space="preserve">A. </w:t>
      </w:r>
      <w:proofErr w:type="spellStart"/>
      <w:r w:rsidR="00B24A5C" w:rsidRPr="00B24A5C">
        <w:rPr>
          <w:i/>
          <w:iCs/>
          <w:sz w:val="24"/>
          <w:szCs w:val="24"/>
        </w:rPr>
        <w:t>baumannii’s</w:t>
      </w:r>
      <w:proofErr w:type="spellEnd"/>
      <w:r w:rsidR="00B24A5C">
        <w:rPr>
          <w:i/>
          <w:iCs/>
          <w:sz w:val="24"/>
          <w:szCs w:val="24"/>
        </w:rPr>
        <w:t xml:space="preserve"> </w:t>
      </w:r>
      <w:r w:rsidR="00B24A5C">
        <w:rPr>
          <w:sz w:val="24"/>
          <w:szCs w:val="24"/>
        </w:rPr>
        <w:t>resistance to various antibiotics</w:t>
      </w:r>
      <w:r w:rsidR="00B24A5C">
        <w:rPr>
          <w:sz w:val="24"/>
          <w:szCs w:val="24"/>
        </w:rPr>
        <w:fldChar w:fldCharType="begin"/>
      </w:r>
      <w:r w:rsidR="00625D97">
        <w:rPr>
          <w:sz w:val="24"/>
          <w:szCs w:val="24"/>
        </w:rPr>
        <w:instrText xml:space="preserve"> ADDIN ZOTERO_ITEM CSL_CITATION {"citationID":"YwMJH7QG","properties":{"formattedCitation":"\\super 131\\nosupersub{}","plainCitation":"131","noteIndex":0},"citationItems":[{"id":1456,"uris":["http://zotero.org/users/1918630/items/RYZMXSQ2"],"itemData":{"id":1456,"type":"article-journal","abstract":"ABSTRACT\n            \n              Increased expression of chromosomal genes for resistance-nodulation-cell division (RND)-type efflux systems plays a major role in the multidrug resistance (MDR) of\n              Acinetobacter baumannii\n              . However, the relative contributions of the three most prevalent pumps, AdeABC, AdeFGH, and AdeIJK, have not been evaluated in clinical settings. We have screened 14 MDR clinical isolates shown to be distinct on the basis of multilocus sequence typing (MLST) and pulsed-field gel electrophoresis (PFGE) for the presence and overexpression of the three Ade efflux systems and analyzed the sequences of the regulators AdeRS, a two-component system, for AdeABC and AdeL, a LysR-type regulator, for AdeFGH. Gene\n              adeB\n              was detected in 13 of 14 isolates, and\n              adeG\n              and the intrinsic\n              adeJ\n              gene were detected in all strains. Significant overexpression of\n              adeB\n              was observed in 10 strains, whereas only 7 had moderately increased levels of expression of AdeFGH, and none overexpressed AdeIJK. Thirteen strains had reduced susceptibility to tigecycline, but there was no correlation between tigecycline MICs and the levels of AdeABC expression, suggesting the presence of other mechanisms for tigecycline resistance. No mutations were found in the highly conserved LysR regulator of the nine strains expressing AdeFGH. In contrast, functional mutations were found in conserved domains of AdeRS in all the strains that overexpressed AdeABC with two mutational hot spots, one in AdeS near histidine 149 suggesting convergent evolution and the other in the DNA binding domain of AdeR compatible with horizontal gene transfer. This report outlines the high incidence of AdeABC efflux pump overexpression in MDR\n              A. baumannii\n              as a result of a variety of single mutations in the corresponding two-component regulatory system.","container-title":"Antimicrobial Agents and Chemotherapy","DOI":"10.1128/AAC.02556-12","ISSN":"0066-4804, 1098-6596","issue":"7","journalAbbreviation":"Antimicrob Agents Chemother","language":"en","page":"2989-2995","source":"DOI.org (Crossref)","title":"RND-Type Efflux Pumps in Multidrug-Resistant Clinical Isolates of Acinetobacter baumannii: Major Role for AdeABC Overexpression and AdeRS Mutations","title-short":"RND-Type Efflux Pumps in Multidrug-Resistant Clinical Isolates of Acinetobacter baumannii","volume":"57","author":[{"family":"Yoon","given":"Eun-Jeong"},{"family":"Courvalin","given":"Patrice"},{"family":"Grillot-Courvalin","given":"Catherine"}],"issued":{"date-parts":[["2013",7]]}}}],"schema":"https://github.com/citation-style-language/schema/raw/master/csl-citation.json"} </w:instrText>
      </w:r>
      <w:r w:rsidR="00B24A5C">
        <w:rPr>
          <w:sz w:val="24"/>
          <w:szCs w:val="24"/>
        </w:rPr>
        <w:fldChar w:fldCharType="separate"/>
      </w:r>
      <w:r w:rsidR="00625D97" w:rsidRPr="00625D97">
        <w:rPr>
          <w:rFonts w:ascii="Times New Roman" w:hAnsi="Times New Roman" w:cs="Times New Roman"/>
          <w:sz w:val="24"/>
          <w:vertAlign w:val="superscript"/>
        </w:rPr>
        <w:t>131</w:t>
      </w:r>
      <w:r w:rsidR="00B24A5C">
        <w:rPr>
          <w:sz w:val="24"/>
          <w:szCs w:val="24"/>
        </w:rPr>
        <w:fldChar w:fldCharType="end"/>
      </w:r>
      <w:r w:rsidR="00B24A5C">
        <w:rPr>
          <w:sz w:val="24"/>
          <w:szCs w:val="24"/>
        </w:rPr>
        <w:t>, including</w:t>
      </w:r>
      <w:r w:rsidR="00CE096B">
        <w:rPr>
          <w:sz w:val="24"/>
          <w:szCs w:val="24"/>
        </w:rPr>
        <w:t xml:space="preserve"> chloramphenicol, trimethoprim, tetracycline, tigecycline, clindamycin, and fluoroquinolones.</w:t>
      </w:r>
      <w:r w:rsidR="00CE096B">
        <w:rPr>
          <w:sz w:val="24"/>
          <w:szCs w:val="24"/>
        </w:rPr>
        <w:fldChar w:fldCharType="begin"/>
      </w:r>
      <w:r w:rsidR="00864355">
        <w:rPr>
          <w:sz w:val="24"/>
          <w:szCs w:val="24"/>
        </w:rPr>
        <w:instrText xml:space="preserve"> ADDIN ZOTERO_ITEM CSL_CITATION {"citationID":"bBQOoL3e","properties":{"formattedCitation":"\\super 54\\nosupersub{}","plainCitation":"54","noteIndex":0},"citationItems":[{"id":1789,"uris":["http://zotero.org/users/1918630/items/C3ZBU9AK"],"itemData":{"id":1789,"type":"article-journal","abstract":"Acinetobacter baumannii is a major nosocomial pathogen which frequently develops multidrug resistance by acquisition of antibiotic resistance genes and overexpression of intrinsic efflux systems, such as the RND efflux pumps AdeABC and AdeIJK. A third RND system was characterized by studying spontaneous mutants BM4663 and BM4664, which were selected in the presence of chloramphenicol and norfloxacin, respectively, from the AdeABC- and AdeIJK-defective derivative A. baumannii BM4652. They exhibited enhanced resistance to fluoroquinolones, tetracycline-tigecycline, chloramphenicol, clindamycin, trimethoprim, sulfamethoxazole, sodium dodecyl sulfate, and dyes such as ethidium bromide, safranin O, and acridine orange. Comparison of transcriptomes of mutants with that of their parental strain, using a microarray technology, demonstrated the overexpression of three genes that encoded an RND efflux system, named AdeFGH. Inactivation of AdeFGH in BM4664 restored an antibiotic susceptibility profile identical to that of BM4652, indicating that AdeFGH was cryptic in BM4652 and responsible for multidrug resistance in its mutants. RNA analysis demonstrated that the three genes were cotranscribed. The adeFGH operon was found in 36 out of 40 A. baumannii clinical isolates, but none of the 22 isolates tested overexpressed the pump genes. Spontaneous MDR mutant BM4684, overexpressing adeFGH, was obtained from clinical isolate BM4587, indicating that adeFGH can be overexpressed in a strain harboring adeABC-adeIJK. An open reading frame, coding a LysR-type transcriptional regulator, named adeL, was located upstream from the adeFGH operon and transcribed in the opposite direction. Mutations in adeL were found in the three adeFGH-overexpressing mutants, suggesting that they were responsible for overexpression of AdeFGH.","container-title":"Antimicrobial Agents and Chemotherapy","DOI":"10.1128/AAC.00155-10","ISSN":"0066-4804","issue":"10","journalAbbreviation":"Antimicrob Agents Chemother","note":"PMID: 20696879\nPMCID: PMC2944555","page":"4389-4393","source":"PubMed Central","title":"Overexpression of Resistance-Nodulation-Cell Division Pump AdeFGH Confers Multidrug Resistance in Acinetobacter baumannii","volume":"54","author":[{"family":"Coyne","given":"Sébastien"},{"family":"Rosenfeld","given":"Nicolas"},{"family":"Lambert","given":"Thierry"},{"family":"Courvalin","given":"Patrice"},{"family":"Périchon","given":"Bruno"}],"issued":{"date-parts":[["2010",10]]}}}],"schema":"https://github.com/citation-style-language/schema/raw/master/csl-citation.json"} </w:instrText>
      </w:r>
      <w:r w:rsidR="00CE096B">
        <w:rPr>
          <w:sz w:val="24"/>
          <w:szCs w:val="24"/>
        </w:rPr>
        <w:fldChar w:fldCharType="separate"/>
      </w:r>
      <w:r w:rsidR="00864355" w:rsidRPr="00864355">
        <w:rPr>
          <w:rFonts w:ascii="Times New Roman" w:hAnsi="Times New Roman" w:cs="Times New Roman"/>
          <w:sz w:val="24"/>
          <w:szCs w:val="24"/>
          <w:vertAlign w:val="superscript"/>
        </w:rPr>
        <w:t>54</w:t>
      </w:r>
      <w:r w:rsidR="00CE096B">
        <w:rPr>
          <w:sz w:val="24"/>
          <w:szCs w:val="24"/>
        </w:rPr>
        <w:fldChar w:fldCharType="end"/>
      </w:r>
      <w:r w:rsidR="00B24A5C">
        <w:rPr>
          <w:sz w:val="24"/>
          <w:szCs w:val="24"/>
        </w:rPr>
        <w:t xml:space="preserve"> </w:t>
      </w:r>
      <w:proofErr w:type="spellStart"/>
      <w:r w:rsidR="00430DF5">
        <w:rPr>
          <w:sz w:val="24"/>
          <w:szCs w:val="24"/>
        </w:rPr>
        <w:t>AdeFGH’s</w:t>
      </w:r>
      <w:proofErr w:type="spellEnd"/>
      <w:r w:rsidR="00430DF5">
        <w:rPr>
          <w:sz w:val="24"/>
          <w:szCs w:val="24"/>
        </w:rPr>
        <w:t xml:space="preserve"> association with decreased </w:t>
      </w:r>
      <w:r w:rsidR="00430DF5">
        <w:rPr>
          <w:sz w:val="24"/>
          <w:szCs w:val="24"/>
        </w:rPr>
        <w:lastRenderedPageBreak/>
        <w:t>susceptibility to tigecycline makes it an important research subject due to its clinical relevance</w:t>
      </w:r>
      <w:r w:rsidR="00D31774">
        <w:rPr>
          <w:sz w:val="24"/>
          <w:szCs w:val="24"/>
        </w:rPr>
        <w:fldChar w:fldCharType="begin"/>
      </w:r>
      <w:r w:rsidR="002F6F9F">
        <w:rPr>
          <w:sz w:val="24"/>
          <w:szCs w:val="24"/>
        </w:rPr>
        <w:instrText xml:space="preserve"> ADDIN ZOTERO_ITEM CSL_CITATION {"citationID":"B6s7ICyb","properties":{"formattedCitation":"\\super 154\\nosupersub{}","plainCitation":"154","noteIndex":0},"citationItems":[{"id":1457,"uris":["http://zotero.org/users/1918630/items/MCJEDI9F"],"itemData":{"id":1457,"type":"article-journal","abstract":"Among Acinetobacter spp., A. baumannii is the most frequently implicated in nosocomial infections, in particular in intensive care units. It was initially thought that multidrug resistance (MDR) in this species was due mainly to horizontal acquisition of resistance genes. However, it has recently become obvious that increased expression of chromosomal genes for efflux systems plays a major role in MDR. Among the five superfamilies of pumps, resistance-nodulation-division (RND) systems are the most prevalent in multiply resistant A. baumannii. RND pumps typically exhibit a wide substrate range that can include antibiotics, dyes, biocides, detergents, and antiseptics. Overexpression of AdeABC, secondary to mutations in the adeRS genes encoding a two-component regulatory system, constitutes a major mechanism of multiresistance in A. baumannii. AdeIJK, intrinsic to this species, is responsible for natural resistance, but since overexpression above a certain threshold is toxic for the host, its contribution to acquired resistance is minimal. The recently described AdeFGH, probably regulated by a LysR-type transcriptional regulator, also confers multidrug resistance when overexpressed. Non-RND efflux systems, such as CraA, AmvA, AbeM, and AbeS, have also been characterized for A. baumannii, as have AdeXYZ and AdeDE for other Acinetobacter spp. Finally, acquired narrow-spectrum efflux pumps, such as the major facilitator superfamily (MFS) members TetA, TetB, CmlA, and FloR and the small multidrug resistance (SMR) member QacE in Acinetobacter spp., have been detected and are mainly encoded by mobile genetic elements.","container-title":"Antimicrobial Agents and Chemotherapy","DOI":"10.1128/AAC.01388-10","ISSN":"1098-6596","issue":"3","journalAbbreviation":"Antimicrob Agents Chemother","language":"eng","note":"PMID: 21173183\nPMCID: PMC3067115","page":"947-953","source":"PubMed","title":"Efflux-mediated antibiotic resistance in Acinetobacter spp","volume":"55","author":[{"family":"Coyne","given":"Sébastien"},{"family":"Courvalin","given":"Patrice"},{"family":"Périchon","given":"Bruno"}],"issued":{"date-parts":[["2011",3]]}}}],"schema":"https://github.com/citation-style-language/schema/raw/master/csl-citation.json"} </w:instrText>
      </w:r>
      <w:r w:rsidR="00D31774">
        <w:rPr>
          <w:sz w:val="24"/>
          <w:szCs w:val="24"/>
        </w:rPr>
        <w:fldChar w:fldCharType="separate"/>
      </w:r>
      <w:r w:rsidR="002F6F9F" w:rsidRPr="002F6F9F">
        <w:rPr>
          <w:rFonts w:ascii="Times New Roman" w:hAnsi="Times New Roman" w:cs="Times New Roman"/>
          <w:sz w:val="24"/>
          <w:vertAlign w:val="superscript"/>
        </w:rPr>
        <w:t>154</w:t>
      </w:r>
      <w:r w:rsidR="00D31774">
        <w:rPr>
          <w:sz w:val="24"/>
          <w:szCs w:val="24"/>
        </w:rPr>
        <w:fldChar w:fldCharType="end"/>
      </w:r>
      <w:r w:rsidR="00060086">
        <w:rPr>
          <w:sz w:val="24"/>
          <w:szCs w:val="24"/>
        </w:rPr>
        <w:t xml:space="preserve">, </w:t>
      </w:r>
      <w:r w:rsidR="0001032E">
        <w:rPr>
          <w:sz w:val="24"/>
          <w:szCs w:val="24"/>
        </w:rPr>
        <w:t xml:space="preserve"> </w:t>
      </w:r>
      <w:r w:rsidR="00060086">
        <w:rPr>
          <w:sz w:val="24"/>
          <w:szCs w:val="24"/>
        </w:rPr>
        <w:t xml:space="preserve">as well as the fact that researchers Coyne et al. found the </w:t>
      </w:r>
      <w:proofErr w:type="spellStart"/>
      <w:r w:rsidR="00060086" w:rsidRPr="003A5D91">
        <w:rPr>
          <w:i/>
          <w:iCs/>
          <w:sz w:val="24"/>
          <w:szCs w:val="24"/>
        </w:rPr>
        <w:t>adeFGH</w:t>
      </w:r>
      <w:proofErr w:type="spellEnd"/>
      <w:r w:rsidR="00060086">
        <w:rPr>
          <w:sz w:val="24"/>
          <w:szCs w:val="24"/>
        </w:rPr>
        <w:t xml:space="preserve"> operon in 36 out of 40 </w:t>
      </w:r>
      <w:r w:rsidR="00060086">
        <w:rPr>
          <w:i/>
          <w:iCs/>
          <w:sz w:val="24"/>
          <w:szCs w:val="24"/>
        </w:rPr>
        <w:t>A. baumannii</w:t>
      </w:r>
      <w:r w:rsidR="00060086">
        <w:rPr>
          <w:sz w:val="24"/>
          <w:szCs w:val="24"/>
        </w:rPr>
        <w:t xml:space="preserve"> clinical isolates.</w:t>
      </w:r>
      <w:r w:rsidR="00060086">
        <w:rPr>
          <w:sz w:val="24"/>
          <w:szCs w:val="24"/>
        </w:rPr>
        <w:fldChar w:fldCharType="begin"/>
      </w:r>
      <w:r w:rsidR="00864355">
        <w:rPr>
          <w:sz w:val="24"/>
          <w:szCs w:val="24"/>
        </w:rPr>
        <w:instrText xml:space="preserve"> ADDIN ZOTERO_ITEM CSL_CITATION {"citationID":"ejc6gUpx","properties":{"formattedCitation":"\\super 54\\nosupersub{}","plainCitation":"54","noteIndex":0},"citationItems":[{"id":1789,"uris":["http://zotero.org/users/1918630/items/C3ZBU9AK"],"itemData":{"id":1789,"type":"article-journal","abstract":"Acinetobacter baumannii is a major nosocomial pathogen which frequently develops multidrug resistance by acquisition of antibiotic resistance genes and overexpression of intrinsic efflux systems, such as the RND efflux pumps AdeABC and AdeIJK. A third RND system was characterized by studying spontaneous mutants BM4663 and BM4664, which were selected in the presence of chloramphenicol and norfloxacin, respectively, from the AdeABC- and AdeIJK-defective derivative A. baumannii BM4652. They exhibited enhanced resistance to fluoroquinolones, tetracycline-tigecycline, chloramphenicol, clindamycin, trimethoprim, sulfamethoxazole, sodium dodecyl sulfate, and dyes such as ethidium bromide, safranin O, and acridine orange. Comparison of transcriptomes of mutants with that of their parental strain, using a microarray technology, demonstrated the overexpression of three genes that encoded an RND efflux system, named AdeFGH. Inactivation of AdeFGH in BM4664 restored an antibiotic susceptibility profile identical to that of BM4652, indicating that AdeFGH was cryptic in BM4652 and responsible for multidrug resistance in its mutants. RNA analysis demonstrated that the three genes were cotranscribed. The adeFGH operon was found in 36 out of 40 A. baumannii clinical isolates, but none of the 22 isolates tested overexpressed the pump genes. Spontaneous MDR mutant BM4684, overexpressing adeFGH, was obtained from clinical isolate BM4587, indicating that adeFGH can be overexpressed in a strain harboring adeABC-adeIJK. An open reading frame, coding a LysR-type transcriptional regulator, named adeL, was located upstream from the adeFGH operon and transcribed in the opposite direction. Mutations in adeL were found in the three adeFGH-overexpressing mutants, suggesting that they were responsible for overexpression of AdeFGH.","container-title":"Antimicrobial Agents and Chemotherapy","DOI":"10.1128/AAC.00155-10","ISSN":"0066-4804","issue":"10","journalAbbreviation":"Antimicrob Agents Chemother","note":"PMID: 20696879\nPMCID: PMC2944555","page":"4389-4393","source":"PubMed Central","title":"Overexpression of Resistance-Nodulation-Cell Division Pump AdeFGH Confers Multidrug Resistance in Acinetobacter baumannii","volume":"54","author":[{"family":"Coyne","given":"Sébastien"},{"family":"Rosenfeld","given":"Nicolas"},{"family":"Lambert","given":"Thierry"},{"family":"Courvalin","given":"Patrice"},{"family":"Périchon","given":"Bruno"}],"issued":{"date-parts":[["2010",10]]}}}],"schema":"https://github.com/citation-style-language/schema/raw/master/csl-citation.json"} </w:instrText>
      </w:r>
      <w:r w:rsidR="00060086">
        <w:rPr>
          <w:sz w:val="24"/>
          <w:szCs w:val="24"/>
        </w:rPr>
        <w:fldChar w:fldCharType="separate"/>
      </w:r>
      <w:r w:rsidR="00864355" w:rsidRPr="00864355">
        <w:rPr>
          <w:rFonts w:ascii="Times New Roman" w:hAnsi="Times New Roman" w:cs="Times New Roman"/>
          <w:sz w:val="24"/>
          <w:szCs w:val="24"/>
          <w:vertAlign w:val="superscript"/>
        </w:rPr>
        <w:t>54</w:t>
      </w:r>
      <w:r w:rsidR="00060086">
        <w:rPr>
          <w:sz w:val="24"/>
          <w:szCs w:val="24"/>
        </w:rPr>
        <w:fldChar w:fldCharType="end"/>
      </w:r>
      <w:r w:rsidR="00112F65">
        <w:rPr>
          <w:sz w:val="24"/>
          <w:szCs w:val="24"/>
        </w:rPr>
        <w:tab/>
      </w:r>
    </w:p>
    <w:p w14:paraId="1E2613EE" w14:textId="57C193D7" w:rsidR="001E7CBD" w:rsidRDefault="0028180A" w:rsidP="00112F65">
      <w:pPr>
        <w:spacing w:line="360" w:lineRule="auto"/>
        <w:ind w:firstLine="720"/>
        <w:rPr>
          <w:sz w:val="24"/>
          <w:szCs w:val="24"/>
        </w:rPr>
      </w:pPr>
      <w:r>
        <w:rPr>
          <w:sz w:val="24"/>
          <w:szCs w:val="24"/>
        </w:rPr>
        <w:t xml:space="preserve">In RND transporter proteins, the transmembrane domains </w:t>
      </w:r>
      <w:r w:rsidR="004E2D1D">
        <w:rPr>
          <w:sz w:val="24"/>
          <w:szCs w:val="24"/>
        </w:rPr>
        <w:t>(</w:t>
      </w:r>
      <w:r w:rsidR="004E2D1D">
        <w:rPr>
          <w:b/>
          <w:bCs/>
          <w:sz w:val="24"/>
          <w:szCs w:val="24"/>
        </w:rPr>
        <w:t>Figure</w:t>
      </w:r>
      <w:r w:rsidR="00112F65">
        <w:rPr>
          <w:b/>
          <w:bCs/>
          <w:sz w:val="24"/>
          <w:szCs w:val="24"/>
        </w:rPr>
        <w:t xml:space="preserve"> 1.8</w:t>
      </w:r>
      <w:r w:rsidR="00112F65">
        <w:rPr>
          <w:sz w:val="24"/>
          <w:szCs w:val="24"/>
        </w:rPr>
        <w:t>)</w:t>
      </w:r>
      <w:r w:rsidR="004E2D1D">
        <w:rPr>
          <w:b/>
          <w:bCs/>
          <w:sz w:val="24"/>
          <w:szCs w:val="24"/>
        </w:rPr>
        <w:t xml:space="preserve"> </w:t>
      </w:r>
      <w:r>
        <w:rPr>
          <w:sz w:val="24"/>
          <w:szCs w:val="24"/>
        </w:rPr>
        <w:t xml:space="preserve">carry out proton translocation by way of a proton-relay network composed of conserved protonated </w:t>
      </w:r>
      <w:r w:rsidR="00041D3E">
        <w:rPr>
          <w:sz w:val="24"/>
          <w:szCs w:val="24"/>
        </w:rPr>
        <w:t>amino acid residues.</w:t>
      </w:r>
      <w:r w:rsidR="00041D3E">
        <w:rPr>
          <w:sz w:val="24"/>
          <w:szCs w:val="24"/>
        </w:rPr>
        <w:fldChar w:fldCharType="begin"/>
      </w:r>
      <w:r w:rsidR="002F6F9F">
        <w:rPr>
          <w:sz w:val="24"/>
          <w:szCs w:val="24"/>
        </w:rPr>
        <w:instrText xml:space="preserve"> ADDIN ZOTERO_ITEM CSL_CITATION {"citationID":"a267ohndjr7","properties":{"formattedCitation":"\\super 155\\nosupersub{}","plainCitation":"155","noteIndex":0},"citationItems":[{"id":2151,"uris":["http://zotero.org/users/1918630/items/65HDYSPB"],"itemData":{"id":2151,"type":"article-journal","abstract":"We previously reported the X-ray structures of wild-type Escherichia coli AcrB, a proton motive force-dependent multidrug efflux pump, and its N109A mutant. These structures presumably reflect the resting state of AcrB, which can bind drugs. After ligand binding, a proton may bind to an acidic residue(s) in the transmembrane domain, i.e., Asp407 or Asp408, within the putative network of electrostatically interacting residues, which also include Lys940 and Thr978, and this may initiate a series of conformational changes that result in drug expulsion. Herein we report the X-ray structures of four AcrB mutants, the D407A, D408A, K940A, and T978A mutants, in which the structure of this tight electrostatic network is expected to become disrupted. These mutant proteins revealed remarkably similar conformations, which show striking differences from the previously known conformations of the wild-type protein. For example, the loop containing Phe386 and Phe388, which play a major role in the initial binding of substrates in the central cavity, becomes prominently extended into the center of the cavity, such that binding of large substrate molecules may become difficult. We believe that this new conformation may mimic, at least partially, one of the transient conformations of the transporter during the transport cycle.","container-title":"Journal of Bacteriology","DOI":"10.1128/JB.00684-06","ISSN":"0021-9193","issue":"20","journalAbbreviation":"J Bacteriol","language":"eng","note":"PMID: 17015668\nPMCID: PMC1636240","page":"7290-7296","source":"PubMed","title":"Conformation of the AcrB multidrug efflux pump in mutants of the putative proton relay pathway","volume":"188","author":[{"family":"Su","given":"Chih-Chia"},{"family":"Li","given":"Ming"},{"family":"Gu","given":"Ruoyu"},{"family":"Takatsuka","given":"Yumiko"},{"family":"McDermott","given":"Gerry"},{"family":"Nikaido","given":"Hiroshi"},{"family":"Yu","given":"Edward W."}],"issued":{"date-parts":[["2006",10]]}}}],"schema":"https://github.com/citation-style-language/schema/raw/master/csl-citation.json"} </w:instrText>
      </w:r>
      <w:r w:rsidR="00041D3E">
        <w:rPr>
          <w:sz w:val="24"/>
          <w:szCs w:val="24"/>
        </w:rPr>
        <w:fldChar w:fldCharType="separate"/>
      </w:r>
      <w:r w:rsidR="002F6F9F" w:rsidRPr="002F6F9F">
        <w:rPr>
          <w:rFonts w:ascii="Times New Roman" w:hAnsi="Times New Roman" w:cs="Times New Roman"/>
          <w:sz w:val="24"/>
          <w:vertAlign w:val="superscript"/>
        </w:rPr>
        <w:t>155</w:t>
      </w:r>
      <w:r w:rsidR="00041D3E">
        <w:rPr>
          <w:sz w:val="24"/>
          <w:szCs w:val="24"/>
        </w:rPr>
        <w:fldChar w:fldCharType="end"/>
      </w:r>
      <w:r w:rsidR="00041D3E">
        <w:rPr>
          <w:sz w:val="24"/>
          <w:szCs w:val="24"/>
        </w:rPr>
        <w:t xml:space="preserve"> The proton-relay network is how the RND transporter uses the proton motive force of the inner membrane to drive substrate transport. The other main responsibility of the RND transporter protein is </w:t>
      </w:r>
      <w:r w:rsidR="00B76E54">
        <w:rPr>
          <w:sz w:val="24"/>
          <w:szCs w:val="24"/>
        </w:rPr>
        <w:t xml:space="preserve">the </w:t>
      </w:r>
      <w:r w:rsidR="00041D3E">
        <w:rPr>
          <w:sz w:val="24"/>
          <w:szCs w:val="24"/>
        </w:rPr>
        <w:t>substrate specificit</w:t>
      </w:r>
      <w:r w:rsidR="004E2D1D">
        <w:rPr>
          <w:sz w:val="24"/>
          <w:szCs w:val="24"/>
        </w:rPr>
        <w:t>y</w:t>
      </w:r>
      <w:r w:rsidR="00806449">
        <w:rPr>
          <w:sz w:val="24"/>
          <w:szCs w:val="24"/>
        </w:rPr>
        <w:t xml:space="preserve"> of a pump</w:t>
      </w:r>
      <w:r w:rsidR="001E7CBD">
        <w:rPr>
          <w:sz w:val="24"/>
          <w:szCs w:val="24"/>
        </w:rPr>
        <w:fldChar w:fldCharType="begin"/>
      </w:r>
      <w:r w:rsidR="00864355">
        <w:rPr>
          <w:sz w:val="24"/>
          <w:szCs w:val="24"/>
        </w:rPr>
        <w:instrText xml:space="preserve"> ADDIN ZOTERO_ITEM CSL_CITATION {"citationID":"a1bm49jtku7","properties":{"formattedCitation":"\\super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sidR="001E7CBD">
        <w:rPr>
          <w:sz w:val="24"/>
          <w:szCs w:val="24"/>
        </w:rPr>
        <w:fldChar w:fldCharType="separate"/>
      </w:r>
      <w:r w:rsidR="00864355" w:rsidRPr="00864355">
        <w:rPr>
          <w:rFonts w:ascii="Times New Roman" w:hAnsi="Times New Roman" w:cs="Times New Roman"/>
          <w:sz w:val="24"/>
          <w:szCs w:val="24"/>
          <w:vertAlign w:val="superscript"/>
        </w:rPr>
        <w:t>52</w:t>
      </w:r>
      <w:r w:rsidR="001E7CBD">
        <w:rPr>
          <w:sz w:val="24"/>
          <w:szCs w:val="24"/>
        </w:rPr>
        <w:fldChar w:fldCharType="end"/>
      </w:r>
      <w:r w:rsidR="004E2D1D">
        <w:rPr>
          <w:sz w:val="24"/>
          <w:szCs w:val="24"/>
        </w:rPr>
        <w:t>, localized to the porter domain</w:t>
      </w:r>
      <w:r w:rsidR="00112F65">
        <w:rPr>
          <w:sz w:val="24"/>
          <w:szCs w:val="24"/>
        </w:rPr>
        <w:t>. There are several factors that impact the substrate specificity of transporters, including binding pocket volume, shape, lipophilicity, electrostatic potential, hydration, and distribution of multi-functional sites.</w:t>
      </w:r>
    </w:p>
    <w:p w14:paraId="1D0677F6" w14:textId="247E1837" w:rsidR="003527EB" w:rsidRDefault="007339B5" w:rsidP="003527EB">
      <w:pPr>
        <w:spacing w:line="360" w:lineRule="auto"/>
        <w:ind w:firstLine="720"/>
        <w:rPr>
          <w:sz w:val="24"/>
          <w:szCs w:val="24"/>
          <w:highlight w:val="yellow"/>
        </w:rPr>
      </w:pPr>
      <w:r>
        <w:rPr>
          <w:sz w:val="24"/>
          <w:szCs w:val="24"/>
        </w:rPr>
        <w:t xml:space="preserve">Numerous efflux pump inhibitors have been identified that inhibit </w:t>
      </w:r>
      <w:proofErr w:type="spellStart"/>
      <w:r>
        <w:rPr>
          <w:sz w:val="24"/>
          <w:szCs w:val="24"/>
        </w:rPr>
        <w:t>AcrAB-TolC</w:t>
      </w:r>
      <w:proofErr w:type="spellEnd"/>
      <w:r>
        <w:rPr>
          <w:sz w:val="24"/>
          <w:szCs w:val="24"/>
        </w:rPr>
        <w:t xml:space="preserve"> of </w:t>
      </w:r>
      <w:r>
        <w:rPr>
          <w:i/>
          <w:iCs/>
          <w:sz w:val="24"/>
          <w:szCs w:val="24"/>
        </w:rPr>
        <w:t>E. coli</w:t>
      </w:r>
      <w:r>
        <w:rPr>
          <w:sz w:val="24"/>
          <w:szCs w:val="24"/>
        </w:rPr>
        <w:t>,</w:t>
      </w:r>
      <w:r w:rsidR="003527EB">
        <w:rPr>
          <w:sz w:val="24"/>
          <w:szCs w:val="24"/>
        </w:rPr>
        <w:fldChar w:fldCharType="begin"/>
      </w:r>
      <w:r w:rsidR="00625D97">
        <w:rPr>
          <w:sz w:val="24"/>
          <w:szCs w:val="24"/>
        </w:rPr>
        <w:instrText xml:space="preserve"> ADDIN ZOTERO_ITEM CSL_CITATION {"citationID":"a21qg3qlojm","properties":{"formattedCitation":"\\super 108,109\\nosupersub{}","plainCitation":"108,109","noteIndex":0},"citationItems":[{"id":1000,"uris":["http://zotero.org/users/1918630/items/ILFNP78J"],"itemData":{"id":1000,"type":"article-journal","abstract":"Multidrug efflux is a major contributor to antibiotic resistance in Gram-negative bacterial pathogens. Inhibition of multidrug efflux pumps is a promising approach for reviving the efficacy of existing antibiotics. Previously, inhibitors targeting both the efflux transporter AcrB and the membrane fusion protein AcrA in the Escherichia coli AcrAB-TolC efflux pump were identified. Here we use existing physicochemical property guidelines to generate a filtered library of compounds for computational docking. We then experimentally test the top candidate coumpounds using in vitro binding assays and in vivo potentiation assays in bacterial strains with controllable permeability barriers. We thus identify a new class of inhibitors of E. coli AcrAB-TolC. Six molecules with a shared scaffold were found to potentiate the antimicrobial activity of erythromycin and novobiocin in hyperporinated E. coli cells. Importantly, these six molecules were also active in wild-type strains of both Acinetobacter baumannii and Klebsiella pneumoniae, potentiating the activity of erythromycin and novobiocin up to 8-fold.","container-title":"Biochimica Et Biophysica Acta. General Subjects","DOI":"10.1016/j.bbagen.2020.129546","ISSN":"1872-8006","issue":"6","journalAbbreviation":"Biochim Biophys Acta Gen Subj","language":"eng","note":"PMID: 32032658","page":"129546","source":"PubMed","title":"Discovery of multidrug efflux pump inhibitors with a novel chemical scaffold","volume":"1864","author":[{"family":"Green","given":"Adam T."},{"family":"Moniruzzaman","given":"Mohammad"},{"family":"Cooper","given":"Connor J."},{"family":"Walker","given":"John K."},{"family":"Smith","given":"Jeremy C."},{"family":"Parks","given":"Jerry M."},{"family":"Zgurskaya","given":"Helen I."}],"issued":{"date-parts":[["2020",6]]}}},{"id":968,"uris":["http://zotero.org/users/1918630/items/7K7ABTJU"],"itemData":{"id":968,"type":"article-journal","abstract":"Antibiotic resistance is a major threat to human welfare. Inhibitors of multidrug efflux pumps (EPIs) are promising alternative therapeutics that could revive activities of antibiotics and reduce bacterial virulence. Identification of new druggable sites for inhibition is critical for the development of effective EPIs, especially in light of constantly emerging resistance. Here, we describe EPIs that interact with periplasmic membrane fusion proteins, critical components of efflux pumps that are responsible for the activation of the transporter and the recruitment of the outer-membrane channel. The discovered EPIs bind to AcrA, a component of the prototypical AcrAB-TolC pump, change its structure in vivo, inhibit efflux of fluorescent probes, and potentiate the activities of antibiotics in Escherichia coli and other Gram-negative bacteria. Our findings expand the chemical and mechanistic diversity of EPIs, suggest the mechanism for regulation of the efflux pump assembly and activity, and provide a promising path for reviving the activities of antibiotics in resistant bacteria.","container-title":"ACS Infectious Diseases","DOI":"10.1021/acsinfecdis.6b00167","issue":"1","journalAbbreviation":"ACS Infect. Dis.","note":"publisher: American Chemical Society","page":"89-98","source":"ACS Publications","title":"Reviving Antibiotics: Efflux Pump Inhibitors That Interact with AcrA, a Membrane Fusion Protein of the AcrAB-TolC Multidrug Efflux Pump","title-short":"Reviving Antibiotics","volume":"3","author":[{"family":"Abdali","given":"Narges"},{"family":"Parks","given":"Jerry M."},{"family":"Haynes","given":"Keith M."},{"family":"Chaney","given":"Julie L."},{"family":"Green","given":"Adam T."},{"family":"Wolloscheck","given":"David"},{"family":"Walker","given":"John K."},{"family":"Rybenkov","given":"Valentin V."},{"family":"Baudry","given":"Jerome"},{"family":"Smith","given":"Jeremy C."},{"family":"Zgurskaya","given":"Helen I."}],"issued":{"date-parts":[["2017",1,13]]}}}],"schema":"https://github.com/citation-style-language/schema/raw/master/csl-citation.json"} </w:instrText>
      </w:r>
      <w:r w:rsidR="003527EB">
        <w:rPr>
          <w:sz w:val="24"/>
          <w:szCs w:val="24"/>
        </w:rPr>
        <w:fldChar w:fldCharType="separate"/>
      </w:r>
      <w:r w:rsidR="00625D97" w:rsidRPr="00625D97">
        <w:rPr>
          <w:rFonts w:ascii="Times New Roman" w:hAnsi="Times New Roman" w:cs="Times New Roman"/>
          <w:sz w:val="24"/>
          <w:vertAlign w:val="superscript"/>
        </w:rPr>
        <w:t>108,109</w:t>
      </w:r>
      <w:r w:rsidR="003527EB">
        <w:rPr>
          <w:sz w:val="24"/>
          <w:szCs w:val="24"/>
        </w:rPr>
        <w:fldChar w:fldCharType="end"/>
      </w:r>
      <w:r>
        <w:rPr>
          <w:sz w:val="24"/>
          <w:szCs w:val="24"/>
        </w:rPr>
        <w:t xml:space="preserve"> but there have only been a few studies of AdeFGH inhibitor candidates.</w:t>
      </w:r>
      <w:r w:rsidR="00410DB9">
        <w:rPr>
          <w:sz w:val="24"/>
          <w:szCs w:val="24"/>
        </w:rPr>
        <w:fldChar w:fldCharType="begin"/>
      </w:r>
      <w:r w:rsidR="002F6F9F">
        <w:rPr>
          <w:sz w:val="24"/>
          <w:szCs w:val="24"/>
        </w:rPr>
        <w:instrText xml:space="preserve"> ADDIN ZOTERO_ITEM CSL_CITATION {"citationID":"a1jv6n3m5di","properties":{"formattedCitation":"\\super 156\\nosupersub{}","plainCitation":"156","noteIndex":0},"citationItems":[{"id":2145,"uris":["http://zotero.org/users/1918630/items/S76VBGU2"],"itemData":{"id":2145,"type":"article-journal","abstract":"With the advent of antibiotics, bacterial infections were supposed to be a thing of past. However, this instead led to the selection and evolution of bacteria with mechanisms to counter the action of antibiotics. Antibiotic efflux is one of the major mechanisms, whereby bacteria pump out the antibiotics from their cellular interior to the external environment using special transporter proteins called efflux pumps. Inhibiting these pumps seems to be an attractive strategy at a time when novel antibiotic supplies are dwindling. Molecules capable of inhibiting these pumps, known as efflux pump inhibitors (EPIs), have been viewed as potential therapeutic agents that can rejuvenate the activity of antibiotics that are no longer effective against bacterial pathogens. EPIs follow some general mechanisms of efflux inhibition and are derived from various natural as well as synthetic sources. This review focuses on EPIs and identifies the challenges that have kept these futuristic therapeutics away from the commercial realm so far.","container-title":"The Indian Journal of Medical Research","DOI":"10.4103/ijmr.IJMR_2079_17","ISSN":"0971-5916","issue":"2","journalAbbreviation":"Indian J Med Res","note":"PMID: 31219077\nPMCID: PMC6563736","page":"129-145","source":"PubMed Central","title":"Efflux pump inhibitors for bacterial pathogens: From bench to bedside","title-short":"Efflux pump inhibitors for bacterial pathogens","volume":"149","author":[{"family":"Sharma","given":"Atin"},{"family":"Gupta","given":"Vivek Kumar"},{"family":"Pathania","given":"Ranjana"}],"issued":{"date-parts":[["2019",2]]}}}],"schema":"https://github.com/citation-style-language/schema/raw/master/csl-citation.json"} </w:instrText>
      </w:r>
      <w:r w:rsidR="00410DB9">
        <w:rPr>
          <w:sz w:val="24"/>
          <w:szCs w:val="24"/>
        </w:rPr>
        <w:fldChar w:fldCharType="separate"/>
      </w:r>
      <w:r w:rsidR="002F6F9F" w:rsidRPr="002F6F9F">
        <w:rPr>
          <w:rFonts w:ascii="Times New Roman" w:hAnsi="Times New Roman" w:cs="Times New Roman"/>
          <w:sz w:val="24"/>
          <w:vertAlign w:val="superscript"/>
        </w:rPr>
        <w:t>156</w:t>
      </w:r>
      <w:r w:rsidR="00410DB9">
        <w:rPr>
          <w:sz w:val="24"/>
          <w:szCs w:val="24"/>
        </w:rPr>
        <w:fldChar w:fldCharType="end"/>
      </w:r>
      <w:r>
        <w:rPr>
          <w:sz w:val="24"/>
          <w:szCs w:val="24"/>
        </w:rPr>
        <w:t xml:space="preserve"> The well studied </w:t>
      </w:r>
      <w:r w:rsidRPr="009951E6">
        <w:rPr>
          <w:rFonts w:ascii="Times New Roman" w:hAnsi="Times New Roman" w:cs="Times New Roman"/>
          <w:color w:val="000000" w:themeColor="text1"/>
          <w:sz w:val="24"/>
          <w:szCs w:val="24"/>
        </w:rPr>
        <w:t>PAβN</w:t>
      </w:r>
      <w:r>
        <w:rPr>
          <w:rFonts w:ascii="Times New Roman" w:hAnsi="Times New Roman" w:cs="Times New Roman"/>
          <w:color w:val="000000" w:themeColor="text1"/>
          <w:sz w:val="24"/>
          <w:szCs w:val="24"/>
        </w:rPr>
        <w:t xml:space="preserve"> efflux pump inhibitor (EPI) has been shown to inhibit AdeFGH and increases </w:t>
      </w:r>
      <w:r>
        <w:rPr>
          <w:rFonts w:ascii="Times New Roman" w:hAnsi="Times New Roman" w:cs="Times New Roman"/>
          <w:i/>
          <w:iCs/>
          <w:color w:val="000000" w:themeColor="text1"/>
          <w:sz w:val="24"/>
          <w:szCs w:val="24"/>
        </w:rPr>
        <w:t xml:space="preserve">A. </w:t>
      </w:r>
      <w:proofErr w:type="spellStart"/>
      <w:r>
        <w:rPr>
          <w:rFonts w:ascii="Times New Roman" w:hAnsi="Times New Roman" w:cs="Times New Roman"/>
          <w:i/>
          <w:iCs/>
          <w:color w:val="000000" w:themeColor="text1"/>
          <w:sz w:val="24"/>
          <w:szCs w:val="24"/>
        </w:rPr>
        <w:t>baumannii</w:t>
      </w:r>
      <w:r>
        <w:rPr>
          <w:rFonts w:ascii="Times New Roman" w:hAnsi="Times New Roman" w:cs="Times New Roman"/>
          <w:color w:val="000000" w:themeColor="text1"/>
          <w:sz w:val="24"/>
          <w:szCs w:val="24"/>
        </w:rPr>
        <w:t>’s</w:t>
      </w:r>
      <w:proofErr w:type="spellEnd"/>
      <w:r>
        <w:rPr>
          <w:rFonts w:ascii="Times New Roman" w:hAnsi="Times New Roman" w:cs="Times New Roman"/>
          <w:color w:val="000000" w:themeColor="text1"/>
          <w:sz w:val="24"/>
          <w:szCs w:val="24"/>
        </w:rPr>
        <w:t xml:space="preserve"> susceptibility to trimethoprim, chloramphenicol, and clindamycin.</w:t>
      </w:r>
      <w:r w:rsidR="00410DB9">
        <w:rPr>
          <w:rFonts w:ascii="Times New Roman" w:hAnsi="Times New Roman" w:cs="Times New Roman"/>
          <w:color w:val="000000" w:themeColor="text1"/>
          <w:sz w:val="24"/>
          <w:szCs w:val="24"/>
        </w:rPr>
        <w:fldChar w:fldCharType="begin"/>
      </w:r>
      <w:r w:rsidR="002F6F9F">
        <w:rPr>
          <w:rFonts w:ascii="Times New Roman" w:hAnsi="Times New Roman" w:cs="Times New Roman"/>
          <w:color w:val="000000" w:themeColor="text1"/>
          <w:sz w:val="24"/>
          <w:szCs w:val="24"/>
        </w:rPr>
        <w:instrText xml:space="preserve"> ADDIN ZOTERO_ITEM CSL_CITATION {"citationID":"a186sjais0i","properties":{"formattedCitation":"\\super 157\\nosupersub{}","plainCitation":"157","noteIndex":0},"citationItems":[{"id":2148,"uris":["http://zotero.org/users/1918630/items/M9NQWDQJ"],"itemData":{"id":2148,"type":"article-journal","abstract":"Antibiotic resistance represents a significant threat to the modern healthcare provision. The ESKAPEE pathogens (Enterococcus faecium., Staphylococcus aureus, Klebsiella pneumoniae, Acinetobacter baumannii, Pseudomonas aeruginosa, Enterobacter spp. and Escherichia coli), in particular, have proven to be especially challenging to treat, due to their intrinsic and acquired ability to rapidly develop resistance mechanisms in response to environmental threats. The development of biofilm has been characterised as an essential contributing factor towards antimicrobial-resistance and tolerance. Several studies have implicated the involvement of efflux pumps in antibiotic resistance, both directly, via drug extrusion and indirectly, through the formation of biofilm. As a result, the underlying mechanism of these pumps has attracted considerable interest due to the potential of targeting these protein structures and developing novel adjunct therapies. Subsequent investigations have revealed the ability of efflux pump-inhibitors (EPIs) to block drug-extrusion and disrupt biofilm formation, thereby, potentiating antibiotics and reversing resistance of pathogen towards them. This review will discuss the potential of EPIs as a possible solution to antimicrobial resistance, examining different challenges to the design of these compounds, with an emphasis on Gram-negative ESKAPEE pathogens.","container-title":"Antibiotics (Basel, Switzerland)","DOI":"10.3390/antibiotics8040229","ISSN":"2079-6382","issue":"4","journalAbbreviation":"Antibiotics (Basel)","language":"eng","note":"PMID: 31752382\nPMCID: PMC6963839","page":"229","source":"PubMed","title":"Effectiveness of Efflux Pump Inhibitors as Biofilm Disruptors and Resistance Breakers in Gram-Negative (ESKAPEE) Bacteria","volume":"8","author":[{"family":"Reza","given":"Akif"},{"family":"Sutton","given":"J. Mark"},{"family":"Rahman","given":"Khondaker Miraz"}],"issued":{"date-parts":[["2019",11,19]]}}}],"schema":"https://github.com/citation-style-language/schema/raw/master/csl-citation.json"} </w:instrText>
      </w:r>
      <w:r w:rsidR="00410DB9">
        <w:rPr>
          <w:rFonts w:ascii="Times New Roman" w:hAnsi="Times New Roman" w:cs="Times New Roman"/>
          <w:color w:val="000000" w:themeColor="text1"/>
          <w:sz w:val="24"/>
          <w:szCs w:val="24"/>
        </w:rPr>
        <w:fldChar w:fldCharType="separate"/>
      </w:r>
      <w:r w:rsidR="002F6F9F" w:rsidRPr="002F6F9F">
        <w:rPr>
          <w:rFonts w:ascii="Times New Roman" w:hAnsi="Times New Roman" w:cs="Times New Roman"/>
          <w:sz w:val="24"/>
          <w:vertAlign w:val="superscript"/>
        </w:rPr>
        <w:t>157</w:t>
      </w:r>
      <w:r w:rsidR="00410DB9">
        <w:rPr>
          <w:rFonts w:ascii="Times New Roman" w:hAnsi="Times New Roman" w:cs="Times New Roman"/>
          <w:color w:val="000000" w:themeColor="text1"/>
          <w:sz w:val="24"/>
          <w:szCs w:val="24"/>
        </w:rPr>
        <w:fldChar w:fldCharType="end"/>
      </w:r>
      <w:r w:rsidR="00410DB9">
        <w:rPr>
          <w:rFonts w:ascii="Times New Roman" w:hAnsi="Times New Roman" w:cs="Times New Roman"/>
          <w:color w:val="000000" w:themeColor="text1"/>
          <w:sz w:val="24"/>
          <w:szCs w:val="24"/>
        </w:rPr>
        <w:t xml:space="preserve"> Additionally, two quinolone-based compounds were found to potentiate chloramphenicol more than 16-fold in Ab5075-CHL, a strain of </w:t>
      </w:r>
      <w:r w:rsidR="00410DB9">
        <w:rPr>
          <w:rFonts w:ascii="Times New Roman" w:hAnsi="Times New Roman" w:cs="Times New Roman"/>
          <w:i/>
          <w:iCs/>
          <w:color w:val="000000" w:themeColor="text1"/>
          <w:sz w:val="24"/>
          <w:szCs w:val="24"/>
        </w:rPr>
        <w:t>A. baumannii</w:t>
      </w:r>
      <w:r w:rsidR="00410DB9">
        <w:rPr>
          <w:rFonts w:ascii="Times New Roman" w:hAnsi="Times New Roman" w:cs="Times New Roman"/>
          <w:color w:val="000000" w:themeColor="text1"/>
          <w:sz w:val="24"/>
          <w:szCs w:val="24"/>
        </w:rPr>
        <w:t xml:space="preserve"> that overexpresses AdeG.</w:t>
      </w:r>
      <w:r w:rsidR="00410DB9">
        <w:rPr>
          <w:rFonts w:ascii="Times New Roman" w:hAnsi="Times New Roman" w:cs="Times New Roman"/>
          <w:color w:val="000000" w:themeColor="text1"/>
          <w:sz w:val="24"/>
          <w:szCs w:val="24"/>
        </w:rPr>
        <w:fldChar w:fldCharType="begin"/>
      </w:r>
      <w:r w:rsidR="002F6F9F">
        <w:rPr>
          <w:rFonts w:ascii="Times New Roman" w:hAnsi="Times New Roman" w:cs="Times New Roman"/>
          <w:color w:val="000000" w:themeColor="text1"/>
          <w:sz w:val="24"/>
          <w:szCs w:val="24"/>
        </w:rPr>
        <w:instrText xml:space="preserve"> ADDIN ZOTERO_ITEM CSL_CITATION {"citationID":"a15jv5p8229","properties":{"formattedCitation":"\\super 158\\nosupersub{}","plainCitation":"158","noteIndex":0},"citationItems":[{"id":2143,"uris":["http://zotero.org/users/1918630/items/KEU7DNW7"],"itemData":{"id":2143,"type":"webpage","container-title":"King's College London","language":"en","title":"Development and evaluation of bacterial efflux pump inhibitors","URL":"https://kclpure.kcl.ac.uk/portal/en/studentTheses/development-and-evaluation-of-bacterial-efflux-pump-inhibitors","author":[{"family":"Zhu","given":"Yiling"}],"accessed":{"date-parts":[["2024",1,31]]},"issued":{"date-parts":[["2019",10,1]]}}}],"schema":"https://github.com/citation-style-language/schema/raw/master/csl-citation.json"} </w:instrText>
      </w:r>
      <w:r w:rsidR="00410DB9">
        <w:rPr>
          <w:rFonts w:ascii="Times New Roman" w:hAnsi="Times New Roman" w:cs="Times New Roman"/>
          <w:color w:val="000000" w:themeColor="text1"/>
          <w:sz w:val="24"/>
          <w:szCs w:val="24"/>
        </w:rPr>
        <w:fldChar w:fldCharType="separate"/>
      </w:r>
      <w:r w:rsidR="002F6F9F" w:rsidRPr="002F6F9F">
        <w:rPr>
          <w:rFonts w:ascii="Times New Roman" w:hAnsi="Times New Roman" w:cs="Times New Roman"/>
          <w:sz w:val="24"/>
          <w:vertAlign w:val="superscript"/>
        </w:rPr>
        <w:t>158</w:t>
      </w:r>
      <w:r w:rsidR="00410DB9">
        <w:rPr>
          <w:rFonts w:ascii="Times New Roman" w:hAnsi="Times New Roman" w:cs="Times New Roman"/>
          <w:color w:val="000000" w:themeColor="text1"/>
          <w:sz w:val="24"/>
          <w:szCs w:val="24"/>
        </w:rPr>
        <w:fldChar w:fldCharType="end"/>
      </w:r>
      <w:r w:rsidR="00410DB9">
        <w:rPr>
          <w:rFonts w:ascii="Times New Roman" w:hAnsi="Times New Roman" w:cs="Times New Roman"/>
          <w:color w:val="000000" w:themeColor="text1"/>
          <w:sz w:val="24"/>
          <w:szCs w:val="24"/>
        </w:rPr>
        <w:t xml:space="preserve"> A previous unpublished study from the Zgurskaya lab found that the compound SLUPP_1377 potentiates the activity of novobioc</w:t>
      </w:r>
      <w:r w:rsidR="006B5F33">
        <w:rPr>
          <w:rFonts w:ascii="Times New Roman" w:hAnsi="Times New Roman" w:cs="Times New Roman"/>
          <w:color w:val="000000" w:themeColor="text1"/>
          <w:sz w:val="24"/>
          <w:szCs w:val="24"/>
        </w:rPr>
        <w:t xml:space="preserve">in in </w:t>
      </w:r>
      <w:r w:rsidR="006B5F33">
        <w:rPr>
          <w:rFonts w:ascii="Times New Roman" w:hAnsi="Times New Roman" w:cs="Times New Roman"/>
          <w:i/>
          <w:iCs/>
          <w:color w:val="000000" w:themeColor="text1"/>
          <w:sz w:val="24"/>
          <w:szCs w:val="24"/>
        </w:rPr>
        <w:t>A. baumannii</w:t>
      </w:r>
      <w:r w:rsidR="006B5F33">
        <w:rPr>
          <w:rFonts w:ascii="Times New Roman" w:hAnsi="Times New Roman" w:cs="Times New Roman"/>
          <w:color w:val="000000" w:themeColor="text1"/>
          <w:sz w:val="24"/>
          <w:szCs w:val="24"/>
        </w:rPr>
        <w:t xml:space="preserve"> strains with </w:t>
      </w:r>
      <w:proofErr w:type="spellStart"/>
      <w:r w:rsidR="006B5F33">
        <w:rPr>
          <w:rFonts w:ascii="Times New Roman" w:hAnsi="Times New Roman" w:cs="Times New Roman"/>
          <w:color w:val="000000" w:themeColor="text1"/>
          <w:sz w:val="24"/>
          <w:szCs w:val="24"/>
        </w:rPr>
        <w:t>AdeIJK</w:t>
      </w:r>
      <w:proofErr w:type="spellEnd"/>
      <w:r w:rsidR="006B5F33">
        <w:rPr>
          <w:rFonts w:ascii="Times New Roman" w:hAnsi="Times New Roman" w:cs="Times New Roman"/>
          <w:color w:val="000000" w:themeColor="text1"/>
          <w:sz w:val="24"/>
          <w:szCs w:val="24"/>
        </w:rPr>
        <w:t xml:space="preserve"> overproduction as well as in the </w:t>
      </w:r>
      <w:proofErr w:type="spellStart"/>
      <w:r w:rsidR="006B5F33">
        <w:rPr>
          <w:rFonts w:ascii="Times New Roman" w:hAnsi="Times New Roman" w:cs="Times New Roman"/>
          <w:color w:val="000000" w:themeColor="text1"/>
          <w:sz w:val="24"/>
          <w:szCs w:val="24"/>
        </w:rPr>
        <w:t>hyperporinated</w:t>
      </w:r>
      <w:proofErr w:type="spellEnd"/>
      <w:r w:rsidR="006B5F33">
        <w:rPr>
          <w:rFonts w:ascii="Times New Roman" w:hAnsi="Times New Roman" w:cs="Times New Roman"/>
          <w:color w:val="000000" w:themeColor="text1"/>
          <w:sz w:val="24"/>
          <w:szCs w:val="24"/>
        </w:rPr>
        <w:t xml:space="preserve"> wild-type strain ATCC17978. After further testing, the SLUPP_1377 compound</w:t>
      </w:r>
      <w:r w:rsidR="00410DB9">
        <w:rPr>
          <w:rFonts w:ascii="Times New Roman" w:hAnsi="Times New Roman" w:cs="Times New Roman"/>
          <w:color w:val="000000" w:themeColor="text1"/>
          <w:sz w:val="24"/>
          <w:szCs w:val="24"/>
        </w:rPr>
        <w:t xml:space="preserve"> </w:t>
      </w:r>
      <w:r w:rsidR="006B5F33">
        <w:rPr>
          <w:rFonts w:ascii="Times New Roman" w:hAnsi="Times New Roman" w:cs="Times New Roman"/>
          <w:color w:val="000000" w:themeColor="text1"/>
          <w:sz w:val="24"/>
          <w:szCs w:val="24"/>
        </w:rPr>
        <w:t xml:space="preserve">was also found to inhibit AdeFGH. </w:t>
      </w:r>
      <w:r w:rsidR="003527EB">
        <w:rPr>
          <w:sz w:val="24"/>
          <w:szCs w:val="24"/>
        </w:rPr>
        <w:t xml:space="preserve">It is currently hypothesized that this inhibitor binds in a site which is different from the substrate binding site. </w:t>
      </w:r>
      <w:r w:rsidR="006B5F33">
        <w:rPr>
          <w:rFonts w:ascii="Times New Roman" w:hAnsi="Times New Roman" w:cs="Times New Roman"/>
          <w:color w:val="000000" w:themeColor="text1"/>
          <w:sz w:val="24"/>
          <w:szCs w:val="24"/>
        </w:rPr>
        <w:t xml:space="preserve">The mechanism of action of this EPI is not yet known, but the following study aims to investigate its inhibition mechanism by testing SLUPP_1377 against various </w:t>
      </w:r>
      <w:proofErr w:type="gramStart"/>
      <w:r w:rsidR="006B5F33">
        <w:rPr>
          <w:rFonts w:ascii="Times New Roman" w:hAnsi="Times New Roman" w:cs="Times New Roman"/>
          <w:color w:val="000000" w:themeColor="text1"/>
          <w:sz w:val="24"/>
          <w:szCs w:val="24"/>
        </w:rPr>
        <w:t>site-directed</w:t>
      </w:r>
      <w:proofErr w:type="gramEnd"/>
      <w:r w:rsidR="006B5F33">
        <w:rPr>
          <w:rFonts w:ascii="Times New Roman" w:hAnsi="Times New Roman" w:cs="Times New Roman"/>
          <w:color w:val="000000" w:themeColor="text1"/>
          <w:sz w:val="24"/>
          <w:szCs w:val="24"/>
        </w:rPr>
        <w:t xml:space="preserve"> mutant AdeG transporters. Through these studies we have been able to </w:t>
      </w:r>
      <w:r w:rsidR="006715AC">
        <w:rPr>
          <w:rFonts w:ascii="Times New Roman" w:hAnsi="Times New Roman" w:cs="Times New Roman"/>
          <w:color w:val="000000" w:themeColor="text1"/>
          <w:sz w:val="24"/>
          <w:szCs w:val="24"/>
        </w:rPr>
        <w:t>identify</w:t>
      </w:r>
      <w:r w:rsidR="006B5F33">
        <w:rPr>
          <w:rFonts w:ascii="Times New Roman" w:hAnsi="Times New Roman" w:cs="Times New Roman"/>
          <w:color w:val="000000" w:themeColor="text1"/>
          <w:sz w:val="24"/>
          <w:szCs w:val="24"/>
        </w:rPr>
        <w:t xml:space="preserve"> specific AdeG binding pocket residues that </w:t>
      </w:r>
      <w:r w:rsidR="003527EB">
        <w:rPr>
          <w:rFonts w:ascii="Times New Roman" w:hAnsi="Times New Roman" w:cs="Times New Roman"/>
          <w:color w:val="000000" w:themeColor="text1"/>
          <w:sz w:val="24"/>
          <w:szCs w:val="24"/>
        </w:rPr>
        <w:t>define its substrate specificity</w:t>
      </w:r>
      <w:r w:rsidR="006715AC">
        <w:rPr>
          <w:rFonts w:ascii="Times New Roman" w:hAnsi="Times New Roman" w:cs="Times New Roman"/>
          <w:color w:val="000000" w:themeColor="text1"/>
          <w:sz w:val="24"/>
          <w:szCs w:val="24"/>
        </w:rPr>
        <w:t xml:space="preserve"> and impact inhibition activity of SLUPP</w:t>
      </w:r>
      <w:r w:rsidR="008C4B67">
        <w:rPr>
          <w:rFonts w:ascii="Times New Roman" w:hAnsi="Times New Roman" w:cs="Times New Roman"/>
          <w:color w:val="000000" w:themeColor="text1"/>
          <w:sz w:val="24"/>
          <w:szCs w:val="24"/>
        </w:rPr>
        <w:t>_</w:t>
      </w:r>
      <w:r w:rsidR="006715AC">
        <w:rPr>
          <w:rFonts w:ascii="Times New Roman" w:hAnsi="Times New Roman" w:cs="Times New Roman"/>
          <w:color w:val="000000" w:themeColor="text1"/>
          <w:sz w:val="24"/>
          <w:szCs w:val="24"/>
        </w:rPr>
        <w:t>1377</w:t>
      </w:r>
      <w:r w:rsidR="008C4B67">
        <w:rPr>
          <w:rFonts w:ascii="Times New Roman" w:hAnsi="Times New Roman" w:cs="Times New Roman"/>
          <w:color w:val="000000" w:themeColor="text1"/>
          <w:sz w:val="24"/>
          <w:szCs w:val="24"/>
        </w:rPr>
        <w:t>.</w:t>
      </w:r>
    </w:p>
    <w:p w14:paraId="5C28D387" w14:textId="1EFDD386" w:rsidR="006715AC" w:rsidRDefault="006715AC" w:rsidP="006715AC">
      <w:pPr>
        <w:spacing w:line="360" w:lineRule="auto"/>
        <w:ind w:firstLine="720"/>
        <w:rPr>
          <w:rFonts w:ascii="Times New Roman" w:hAnsi="Times New Roman" w:cs="Times New Roman"/>
          <w:sz w:val="24"/>
          <w:szCs w:val="24"/>
        </w:rPr>
      </w:pPr>
      <w:r>
        <w:rPr>
          <w:sz w:val="24"/>
          <w:szCs w:val="24"/>
        </w:rPr>
        <w:t>There is currently no crystal structure of AdeG available so a homology model was generated using MODELLER version 10.1</w:t>
      </w:r>
      <w:r>
        <w:rPr>
          <w:sz w:val="24"/>
          <w:szCs w:val="24"/>
        </w:rPr>
        <w:fldChar w:fldCharType="begin"/>
      </w:r>
      <w:r w:rsidR="002F6F9F">
        <w:rPr>
          <w:sz w:val="24"/>
          <w:szCs w:val="24"/>
        </w:rPr>
        <w:instrText xml:space="preserve"> ADDIN ZOTERO_ITEM CSL_CITATION {"citationID":"a2frkr8a6im","properties":{"formattedCitation":"\\super 159\\nosupersub{}","plainCitation":"159","noteIndex":0},"citationItems":[{"id":2187,"uris":["http://zotero.org/users/1918630/items/RQYMMK5Q"],"itemData":{"id":2187,"type":"article-journal","abstract":"Comparative protein structure modeling predicts the three-dimensional structure of a given protein sequence (target) based primarily on its alignment to one or more proteins of known structure (templates). The prediction process consists of fold assignment, target-template alignment, model building, and model evaluation. This unit describes how to calculate comparative models using the program MODELLER and how to use the ModBase database of such models, and discusses all four steps of comparative modeling, frequently observed errors, and some applications. Modeling lactate dehydrogenase from Trichomonas vaginalis (TvLDH) is described as an example. The download and installation of the MODELLER software is also described. © 2016 by John Wiley &amp; Sons, Inc.","container-title":"Current Protocols in Bioinformatics","DOI":"10.1002/cpbi.3","ISSN":"1934-340X","journalAbbreviation":"Curr Protoc Bioinformatics","language":"eng","note":"PMID: 27322406\nPMCID: PMC5031415","page":"5.6.1-5.6.37","source":"PubMed","title":"Comparative Protein Structure Modeling Using MODELLER","volume":"54","author":[{"family":"Webb","given":"Benjamin"},{"family":"Sali","given":"Andrej"}],"issued":{"date-parts":[["2016",6,20]]}}}],"schema":"https://github.com/citation-style-language/schema/raw/master/csl-citation.json"} </w:instrText>
      </w:r>
      <w:r>
        <w:rPr>
          <w:sz w:val="24"/>
          <w:szCs w:val="24"/>
        </w:rPr>
        <w:fldChar w:fldCharType="separate"/>
      </w:r>
      <w:r w:rsidR="002F6F9F" w:rsidRPr="002F6F9F">
        <w:rPr>
          <w:rFonts w:ascii="Times New Roman" w:hAnsi="Times New Roman" w:cs="Times New Roman"/>
          <w:sz w:val="24"/>
          <w:vertAlign w:val="superscript"/>
        </w:rPr>
        <w:t>159</w:t>
      </w:r>
      <w:r>
        <w:rPr>
          <w:sz w:val="24"/>
          <w:szCs w:val="24"/>
        </w:rPr>
        <w:fldChar w:fldCharType="end"/>
      </w:r>
      <w:r>
        <w:rPr>
          <w:sz w:val="24"/>
          <w:szCs w:val="24"/>
        </w:rPr>
        <w:t>, the amino acid sequence of AdeG (</w:t>
      </w:r>
      <w:r w:rsidRPr="009951E6">
        <w:rPr>
          <w:rFonts w:ascii="Times New Roman" w:hAnsi="Times New Roman" w:cs="Times New Roman"/>
          <w:sz w:val="24"/>
          <w:szCs w:val="24"/>
        </w:rPr>
        <w:t>ATCC 17978, Gen Bank Accession Code WP_001027060.1</w:t>
      </w:r>
      <w:r>
        <w:rPr>
          <w:rFonts w:ascii="Times New Roman" w:hAnsi="Times New Roman" w:cs="Times New Roman"/>
          <w:sz w:val="24"/>
          <w:szCs w:val="24"/>
        </w:rPr>
        <w:t xml:space="preserve">), and </w:t>
      </w:r>
      <w:r>
        <w:rPr>
          <w:sz w:val="24"/>
          <w:szCs w:val="24"/>
        </w:rPr>
        <w:t xml:space="preserve"> </w:t>
      </w:r>
      <w:proofErr w:type="spellStart"/>
      <w:r>
        <w:rPr>
          <w:sz w:val="24"/>
          <w:szCs w:val="24"/>
        </w:rPr>
        <w:t>MexB</w:t>
      </w:r>
      <w:proofErr w:type="spellEnd"/>
      <w:r>
        <w:rPr>
          <w:sz w:val="24"/>
          <w:szCs w:val="24"/>
        </w:rPr>
        <w:t xml:space="preserve"> of </w:t>
      </w:r>
      <w:r>
        <w:rPr>
          <w:i/>
          <w:iCs/>
          <w:sz w:val="24"/>
          <w:szCs w:val="24"/>
        </w:rPr>
        <w:lastRenderedPageBreak/>
        <w:t>Pseudomonas aeruginosa</w:t>
      </w:r>
      <w:r>
        <w:rPr>
          <w:sz w:val="24"/>
          <w:szCs w:val="24"/>
        </w:rPr>
        <w:t xml:space="preserve"> as a template (</w:t>
      </w:r>
      <w:r w:rsidR="00507C98">
        <w:rPr>
          <w:sz w:val="24"/>
          <w:szCs w:val="24"/>
        </w:rPr>
        <w:t>PDB code 3W9I).</w:t>
      </w:r>
      <w:r>
        <w:rPr>
          <w:sz w:val="24"/>
          <w:szCs w:val="24"/>
        </w:rPr>
        <w:t xml:space="preserve">  </w:t>
      </w:r>
      <w:r w:rsidR="00824A43">
        <w:rPr>
          <w:sz w:val="24"/>
          <w:szCs w:val="24"/>
        </w:rPr>
        <w:t>The following AdeG single amino acid substitution muta</w:t>
      </w:r>
      <w:r w:rsidR="008107A8">
        <w:rPr>
          <w:sz w:val="24"/>
          <w:szCs w:val="24"/>
        </w:rPr>
        <w:t>tions</w:t>
      </w:r>
      <w:r w:rsidR="00824A43">
        <w:rPr>
          <w:sz w:val="24"/>
          <w:szCs w:val="24"/>
        </w:rPr>
        <w:t xml:space="preserve"> were  selected by </w:t>
      </w:r>
      <w:r>
        <w:rPr>
          <w:sz w:val="24"/>
          <w:szCs w:val="24"/>
        </w:rPr>
        <w:t xml:space="preserve">using </w:t>
      </w:r>
      <w:r w:rsidR="00824A43">
        <w:rPr>
          <w:sz w:val="24"/>
          <w:szCs w:val="24"/>
        </w:rPr>
        <w:t xml:space="preserve">molecular docking </w:t>
      </w:r>
      <w:r>
        <w:rPr>
          <w:sz w:val="24"/>
          <w:szCs w:val="24"/>
        </w:rPr>
        <w:t xml:space="preserve">and molecular dynamics </w:t>
      </w:r>
      <w:r w:rsidR="00824A43">
        <w:rPr>
          <w:sz w:val="24"/>
          <w:szCs w:val="24"/>
        </w:rPr>
        <w:t>simulations</w:t>
      </w:r>
      <w:r w:rsidR="008107A8">
        <w:rPr>
          <w:sz w:val="24"/>
          <w:szCs w:val="24"/>
        </w:rPr>
        <w:t xml:space="preserve"> with chloramphenicol and SLUPP_1377</w:t>
      </w:r>
      <w:r w:rsidR="00507C98">
        <w:rPr>
          <w:sz w:val="24"/>
          <w:szCs w:val="24"/>
        </w:rPr>
        <w:t xml:space="preserve">. </w:t>
      </w:r>
    </w:p>
    <w:p w14:paraId="1E28AB13" w14:textId="0775352B" w:rsidR="00734E96" w:rsidRPr="00734E96" w:rsidRDefault="00813C90" w:rsidP="00C836F0">
      <w:pPr>
        <w:rPr>
          <w:b/>
          <w:bCs/>
          <w:sz w:val="24"/>
          <w:szCs w:val="24"/>
        </w:rPr>
      </w:pPr>
      <w:r w:rsidRPr="00813C90">
        <w:rPr>
          <w:noProof/>
          <w:sz w:val="24"/>
          <w:szCs w:val="24"/>
        </w:rPr>
        <w:drawing>
          <wp:inline distT="0" distB="0" distL="0" distR="0" wp14:anchorId="61254E41" wp14:editId="0A73694D">
            <wp:extent cx="5486400" cy="3084195"/>
            <wp:effectExtent l="0" t="0" r="0" b="1905"/>
            <wp:docPr id="487122695" name="Picture 1" descr="A close-up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122695" name="Picture 1" descr="A close-up of a structure&#10;&#10;Description automatically generated"/>
                    <pic:cNvPicPr/>
                  </pic:nvPicPr>
                  <pic:blipFill>
                    <a:blip r:embed="rId39"/>
                    <a:stretch>
                      <a:fillRect/>
                    </a:stretch>
                  </pic:blipFill>
                  <pic:spPr>
                    <a:xfrm>
                      <a:off x="0" y="0"/>
                      <a:ext cx="5486400" cy="3084195"/>
                    </a:xfrm>
                    <a:prstGeom prst="rect">
                      <a:avLst/>
                    </a:prstGeom>
                  </pic:spPr>
                </pic:pic>
              </a:graphicData>
            </a:graphic>
          </wp:inline>
        </w:drawing>
      </w:r>
      <w:r w:rsidR="00734E96" w:rsidRPr="00734E96">
        <w:rPr>
          <w:sz w:val="24"/>
          <w:szCs w:val="24"/>
        </w:rPr>
        <w:t xml:space="preserve"> </w:t>
      </w:r>
      <w:r w:rsidR="00922C32" w:rsidRPr="00734E96">
        <w:rPr>
          <w:b/>
          <w:bCs/>
          <w:sz w:val="24"/>
          <w:szCs w:val="24"/>
        </w:rPr>
        <w:t>Figure</w:t>
      </w:r>
      <w:r w:rsidR="00734E96">
        <w:rPr>
          <w:sz w:val="24"/>
          <w:szCs w:val="24"/>
        </w:rPr>
        <w:t xml:space="preserve"> </w:t>
      </w:r>
      <w:r w:rsidR="00A9314F" w:rsidRPr="00A9314F">
        <w:rPr>
          <w:b/>
          <w:bCs/>
          <w:sz w:val="24"/>
          <w:szCs w:val="24"/>
        </w:rPr>
        <w:t>4.1</w:t>
      </w:r>
      <w:r w:rsidR="00922C32" w:rsidRPr="00734E96">
        <w:rPr>
          <w:sz w:val="24"/>
          <w:szCs w:val="24"/>
        </w:rPr>
        <w:t xml:space="preserve"> </w:t>
      </w:r>
      <w:bookmarkStart w:id="13" w:name="_Hlk165290926"/>
      <w:r w:rsidR="00922C32" w:rsidRPr="00734E96">
        <w:rPr>
          <w:sz w:val="24"/>
          <w:szCs w:val="24"/>
        </w:rPr>
        <w:t xml:space="preserve">– </w:t>
      </w:r>
      <w:proofErr w:type="spellStart"/>
      <w:r w:rsidR="00B96E2A">
        <w:rPr>
          <w:b/>
          <w:bCs/>
          <w:sz w:val="24"/>
          <w:szCs w:val="24"/>
        </w:rPr>
        <w:t>Pymol</w:t>
      </w:r>
      <w:proofErr w:type="spellEnd"/>
      <w:r w:rsidR="00B96E2A">
        <w:rPr>
          <w:b/>
          <w:bCs/>
          <w:sz w:val="24"/>
          <w:szCs w:val="24"/>
        </w:rPr>
        <w:t xml:space="preserve">-Wizard Mutated </w:t>
      </w:r>
      <w:proofErr w:type="spellStart"/>
      <w:r w:rsidR="00734E96">
        <w:rPr>
          <w:b/>
          <w:bCs/>
          <w:sz w:val="24"/>
          <w:szCs w:val="24"/>
        </w:rPr>
        <w:t>Ade</w:t>
      </w:r>
      <w:r w:rsidR="00B96E2A">
        <w:rPr>
          <w:b/>
          <w:bCs/>
          <w:sz w:val="24"/>
          <w:szCs w:val="24"/>
        </w:rPr>
        <w:t>J</w:t>
      </w:r>
      <w:proofErr w:type="spellEnd"/>
      <w:r w:rsidR="00734E96">
        <w:rPr>
          <w:b/>
          <w:bCs/>
          <w:sz w:val="24"/>
          <w:szCs w:val="24"/>
        </w:rPr>
        <w:t xml:space="preserve"> </w:t>
      </w:r>
      <w:r w:rsidR="00173DAA">
        <w:rPr>
          <w:b/>
          <w:bCs/>
          <w:sz w:val="24"/>
          <w:szCs w:val="24"/>
        </w:rPr>
        <w:t>p</w:t>
      </w:r>
      <w:r w:rsidR="00734E96">
        <w:rPr>
          <w:b/>
          <w:bCs/>
          <w:sz w:val="24"/>
          <w:szCs w:val="24"/>
        </w:rPr>
        <w:t xml:space="preserve">rotomer and </w:t>
      </w:r>
      <w:r w:rsidR="00173DAA">
        <w:rPr>
          <w:b/>
          <w:bCs/>
          <w:sz w:val="24"/>
          <w:szCs w:val="24"/>
        </w:rPr>
        <w:t>s</w:t>
      </w:r>
      <w:r w:rsidR="00734E96">
        <w:rPr>
          <w:b/>
          <w:bCs/>
          <w:sz w:val="24"/>
          <w:szCs w:val="24"/>
        </w:rPr>
        <w:t xml:space="preserve">elect </w:t>
      </w:r>
      <w:r w:rsidR="00B96E2A">
        <w:rPr>
          <w:b/>
          <w:bCs/>
          <w:sz w:val="24"/>
          <w:szCs w:val="24"/>
        </w:rPr>
        <w:t xml:space="preserve">AdeG </w:t>
      </w:r>
      <w:r w:rsidR="00173DAA">
        <w:rPr>
          <w:b/>
          <w:bCs/>
          <w:sz w:val="24"/>
          <w:szCs w:val="24"/>
        </w:rPr>
        <w:t>b</w:t>
      </w:r>
      <w:r w:rsidR="00734E96">
        <w:rPr>
          <w:b/>
          <w:bCs/>
          <w:sz w:val="24"/>
          <w:szCs w:val="24"/>
        </w:rPr>
        <w:t xml:space="preserve">inding </w:t>
      </w:r>
      <w:r w:rsidR="00173DAA">
        <w:rPr>
          <w:b/>
          <w:bCs/>
          <w:sz w:val="24"/>
          <w:szCs w:val="24"/>
        </w:rPr>
        <w:t>p</w:t>
      </w:r>
      <w:r w:rsidR="00734E96">
        <w:rPr>
          <w:b/>
          <w:bCs/>
          <w:sz w:val="24"/>
          <w:szCs w:val="24"/>
        </w:rPr>
        <w:t xml:space="preserve">ocket </w:t>
      </w:r>
      <w:proofErr w:type="gramStart"/>
      <w:r w:rsidR="00173DAA">
        <w:rPr>
          <w:b/>
          <w:bCs/>
          <w:sz w:val="24"/>
          <w:szCs w:val="24"/>
        </w:rPr>
        <w:t>r</w:t>
      </w:r>
      <w:r w:rsidR="00734E96">
        <w:rPr>
          <w:b/>
          <w:bCs/>
          <w:sz w:val="24"/>
          <w:szCs w:val="24"/>
        </w:rPr>
        <w:t>esidues</w:t>
      </w:r>
      <w:bookmarkEnd w:id="13"/>
      <w:proofErr w:type="gramEnd"/>
    </w:p>
    <w:p w14:paraId="7DE6A059" w14:textId="0F991607" w:rsidR="00922C32" w:rsidRDefault="00675BAA" w:rsidP="00C836F0">
      <w:pPr>
        <w:rPr>
          <w:sz w:val="24"/>
          <w:szCs w:val="24"/>
        </w:rPr>
      </w:pPr>
      <w:bookmarkStart w:id="14" w:name="_Hlk165290908"/>
      <w:r>
        <w:rPr>
          <w:sz w:val="24"/>
          <w:szCs w:val="24"/>
        </w:rPr>
        <w:t>(</w:t>
      </w:r>
      <w:r w:rsidRPr="00675BAA">
        <w:rPr>
          <w:b/>
          <w:bCs/>
          <w:sz w:val="24"/>
          <w:szCs w:val="24"/>
        </w:rPr>
        <w:t>A</w:t>
      </w:r>
      <w:r>
        <w:rPr>
          <w:sz w:val="24"/>
          <w:szCs w:val="24"/>
        </w:rPr>
        <w:t xml:space="preserve">) </w:t>
      </w:r>
      <w:r w:rsidR="00734E96" w:rsidRPr="00675BAA">
        <w:rPr>
          <w:sz w:val="24"/>
          <w:szCs w:val="24"/>
        </w:rPr>
        <w:t>A</w:t>
      </w:r>
      <w:r w:rsidR="00813C90" w:rsidRPr="00675BAA">
        <w:rPr>
          <w:sz w:val="24"/>
          <w:szCs w:val="24"/>
        </w:rPr>
        <w:t>n</w:t>
      </w:r>
      <w:r w:rsidR="00734E96">
        <w:rPr>
          <w:sz w:val="24"/>
          <w:szCs w:val="24"/>
        </w:rPr>
        <w:t xml:space="preserve"> </w:t>
      </w:r>
      <w:r w:rsidR="00922C32" w:rsidRPr="00734E96">
        <w:rPr>
          <w:sz w:val="24"/>
          <w:szCs w:val="24"/>
        </w:rPr>
        <w:t>AdeG protomer</w:t>
      </w:r>
      <w:r w:rsidR="00D36A96">
        <w:rPr>
          <w:sz w:val="24"/>
          <w:szCs w:val="24"/>
        </w:rPr>
        <w:t xml:space="preserve"> (</w:t>
      </w:r>
      <w:r w:rsidR="00B96E2A">
        <w:rPr>
          <w:sz w:val="24"/>
          <w:szCs w:val="24"/>
        </w:rPr>
        <w:t>blue</w:t>
      </w:r>
      <w:r w:rsidR="00691C0F">
        <w:rPr>
          <w:sz w:val="24"/>
          <w:szCs w:val="24"/>
        </w:rPr>
        <w:t xml:space="preserve"> ribbon, based on </w:t>
      </w:r>
      <w:proofErr w:type="spellStart"/>
      <w:r w:rsidR="00691C0F">
        <w:rPr>
          <w:sz w:val="24"/>
          <w:szCs w:val="24"/>
        </w:rPr>
        <w:t>AdeJ</w:t>
      </w:r>
      <w:proofErr w:type="spellEnd"/>
      <w:r w:rsidR="00691C0F">
        <w:rPr>
          <w:sz w:val="24"/>
          <w:szCs w:val="24"/>
        </w:rPr>
        <w:t xml:space="preserve"> crystal structure PDB code: 7M4Q) </w:t>
      </w:r>
      <w:r w:rsidR="00922C32" w:rsidRPr="00734E96">
        <w:rPr>
          <w:sz w:val="24"/>
          <w:szCs w:val="24"/>
        </w:rPr>
        <w:t>with</w:t>
      </w:r>
      <w:r>
        <w:rPr>
          <w:sz w:val="24"/>
          <w:szCs w:val="24"/>
        </w:rPr>
        <w:t xml:space="preserve"> (</w:t>
      </w:r>
      <w:r>
        <w:rPr>
          <w:b/>
          <w:bCs/>
          <w:sz w:val="24"/>
          <w:szCs w:val="24"/>
        </w:rPr>
        <w:t>B</w:t>
      </w:r>
      <w:r>
        <w:rPr>
          <w:sz w:val="24"/>
          <w:szCs w:val="24"/>
        </w:rPr>
        <w:t>)</w:t>
      </w:r>
      <w:r w:rsidR="00922C32" w:rsidRPr="00734E96">
        <w:rPr>
          <w:sz w:val="24"/>
          <w:szCs w:val="24"/>
        </w:rPr>
        <w:t xml:space="preserve"> highlighted</w:t>
      </w:r>
      <w:r w:rsidR="00D36A96">
        <w:rPr>
          <w:sz w:val="24"/>
          <w:szCs w:val="24"/>
        </w:rPr>
        <w:t xml:space="preserve"> amino acid residues (</w:t>
      </w:r>
      <w:r w:rsidR="00B96E2A">
        <w:rPr>
          <w:sz w:val="24"/>
          <w:szCs w:val="24"/>
        </w:rPr>
        <w:t>magenta</w:t>
      </w:r>
      <w:r w:rsidR="00D36A96">
        <w:rPr>
          <w:sz w:val="24"/>
          <w:szCs w:val="24"/>
        </w:rPr>
        <w:t xml:space="preserve">) </w:t>
      </w:r>
      <w:r w:rsidR="00691C0F">
        <w:rPr>
          <w:sz w:val="24"/>
          <w:szCs w:val="24"/>
        </w:rPr>
        <w:t>that were targeted</w:t>
      </w:r>
      <w:r w:rsidR="00D36A96">
        <w:rPr>
          <w:sz w:val="24"/>
          <w:szCs w:val="24"/>
        </w:rPr>
        <w:t xml:space="preserve"> in mutagenesis</w:t>
      </w:r>
      <w:r w:rsidR="00B96E2A">
        <w:rPr>
          <w:sz w:val="24"/>
          <w:szCs w:val="24"/>
        </w:rPr>
        <w:t xml:space="preserve"> and labeled G-loop (orange) and F-loop (green).</w:t>
      </w:r>
    </w:p>
    <w:bookmarkEnd w:id="14"/>
    <w:p w14:paraId="3471771C" w14:textId="7FC6AE9B" w:rsidR="00C351D5" w:rsidRDefault="00173DAA" w:rsidP="00C836F0">
      <w:pPr>
        <w:rPr>
          <w:sz w:val="24"/>
          <w:szCs w:val="24"/>
          <w:u w:val="single"/>
        </w:rPr>
      </w:pPr>
      <w:r>
        <w:rPr>
          <w:sz w:val="24"/>
          <w:szCs w:val="24"/>
          <w:u w:val="single"/>
        </w:rPr>
        <w:t xml:space="preserve">4.3. </w:t>
      </w:r>
      <w:r w:rsidR="00922C32" w:rsidRPr="00734E96">
        <w:rPr>
          <w:sz w:val="24"/>
          <w:szCs w:val="24"/>
          <w:u w:val="single"/>
        </w:rPr>
        <w:t>Results</w:t>
      </w:r>
    </w:p>
    <w:p w14:paraId="6260B69A" w14:textId="57FB037F" w:rsidR="009754E4" w:rsidRDefault="009754E4" w:rsidP="009754E4">
      <w:pPr>
        <w:rPr>
          <w:sz w:val="24"/>
          <w:szCs w:val="24"/>
          <w:u w:val="single"/>
        </w:rPr>
      </w:pPr>
      <w:r>
        <w:rPr>
          <w:sz w:val="24"/>
          <w:szCs w:val="24"/>
          <w:u w:val="single"/>
        </w:rPr>
        <w:t>4.3.1. Chromosomal integration and expression of AdeG protein variants</w:t>
      </w:r>
    </w:p>
    <w:p w14:paraId="1EF61F34" w14:textId="28F0872E" w:rsidR="00C41F49" w:rsidRPr="00C41F49" w:rsidRDefault="009754E4" w:rsidP="00A75576">
      <w:pPr>
        <w:spacing w:line="360" w:lineRule="auto"/>
        <w:rPr>
          <w:sz w:val="24"/>
          <w:szCs w:val="24"/>
        </w:rPr>
      </w:pPr>
      <w:r>
        <w:rPr>
          <w:sz w:val="24"/>
          <w:szCs w:val="24"/>
        </w:rPr>
        <w:tab/>
        <w:t xml:space="preserve">Dr. </w:t>
      </w:r>
      <w:proofErr w:type="spellStart"/>
      <w:r w:rsidRPr="008107A8">
        <w:rPr>
          <w:sz w:val="24"/>
          <w:szCs w:val="24"/>
        </w:rPr>
        <w:t>Ayshegul</w:t>
      </w:r>
      <w:proofErr w:type="spellEnd"/>
      <w:r w:rsidRPr="008107A8">
        <w:rPr>
          <w:sz w:val="24"/>
          <w:szCs w:val="24"/>
        </w:rPr>
        <w:t xml:space="preserve"> Saral </w:t>
      </w:r>
      <w:proofErr w:type="spellStart"/>
      <w:r w:rsidRPr="008107A8">
        <w:rPr>
          <w:sz w:val="24"/>
          <w:szCs w:val="24"/>
        </w:rPr>
        <w:t>Sariyer</w:t>
      </w:r>
      <w:proofErr w:type="spellEnd"/>
      <w:r w:rsidRPr="008107A8">
        <w:rPr>
          <w:sz w:val="24"/>
          <w:szCs w:val="24"/>
        </w:rPr>
        <w:t xml:space="preserve"> has constructed </w:t>
      </w:r>
      <w:r w:rsidR="008107A8" w:rsidRPr="008107A8">
        <w:rPr>
          <w:sz w:val="24"/>
          <w:szCs w:val="24"/>
        </w:rPr>
        <w:t>the S620A, A705I, G679I, Y725A, And L138A</w:t>
      </w:r>
      <w:r w:rsidRPr="008107A8">
        <w:rPr>
          <w:sz w:val="24"/>
          <w:szCs w:val="24"/>
        </w:rPr>
        <w:t xml:space="preserve"> muta</w:t>
      </w:r>
      <w:r w:rsidR="00A51F11">
        <w:rPr>
          <w:sz w:val="24"/>
          <w:szCs w:val="24"/>
        </w:rPr>
        <w:t>nts</w:t>
      </w:r>
      <w:r w:rsidRPr="008107A8">
        <w:rPr>
          <w:sz w:val="24"/>
          <w:szCs w:val="24"/>
        </w:rPr>
        <w:t xml:space="preserve"> and I constructed</w:t>
      </w:r>
      <w:r>
        <w:rPr>
          <w:sz w:val="24"/>
          <w:szCs w:val="24"/>
        </w:rPr>
        <w:t xml:space="preserve"> </w:t>
      </w:r>
      <w:r w:rsidR="008107A8">
        <w:rPr>
          <w:sz w:val="24"/>
          <w:szCs w:val="24"/>
        </w:rPr>
        <w:t>the I621A and Q83A m</w:t>
      </w:r>
      <w:r>
        <w:rPr>
          <w:sz w:val="24"/>
          <w:szCs w:val="24"/>
        </w:rPr>
        <w:t>uta</w:t>
      </w:r>
      <w:r w:rsidR="00A51F11">
        <w:rPr>
          <w:sz w:val="24"/>
          <w:szCs w:val="24"/>
        </w:rPr>
        <w:t>nts</w:t>
      </w:r>
      <w:r>
        <w:rPr>
          <w:sz w:val="24"/>
          <w:szCs w:val="24"/>
        </w:rPr>
        <w:t xml:space="preserve"> in the plasmid encoded </w:t>
      </w:r>
      <w:proofErr w:type="spellStart"/>
      <w:r>
        <w:rPr>
          <w:i/>
          <w:iCs/>
          <w:sz w:val="24"/>
          <w:szCs w:val="24"/>
        </w:rPr>
        <w:t>adeG</w:t>
      </w:r>
      <w:proofErr w:type="spellEnd"/>
      <w:r>
        <w:rPr>
          <w:sz w:val="24"/>
          <w:szCs w:val="24"/>
        </w:rPr>
        <w:t xml:space="preserve"> genes</w:t>
      </w:r>
      <w:r w:rsidR="00841EBB">
        <w:rPr>
          <w:sz w:val="24"/>
          <w:szCs w:val="24"/>
        </w:rPr>
        <w:t xml:space="preserve"> (</w:t>
      </w:r>
      <w:r w:rsidR="00841EBB">
        <w:rPr>
          <w:b/>
          <w:bCs/>
          <w:sz w:val="24"/>
          <w:szCs w:val="24"/>
        </w:rPr>
        <w:t>Tables 2.1, 2.2</w:t>
      </w:r>
      <w:r w:rsidR="00841EBB">
        <w:rPr>
          <w:sz w:val="24"/>
          <w:szCs w:val="24"/>
        </w:rPr>
        <w:t>)</w:t>
      </w:r>
      <w:r w:rsidR="00532A6B">
        <w:rPr>
          <w:sz w:val="24"/>
          <w:szCs w:val="24"/>
        </w:rPr>
        <w:t xml:space="preserve">. </w:t>
      </w:r>
      <w:r w:rsidR="00DF1F4F">
        <w:rPr>
          <w:sz w:val="24"/>
          <w:szCs w:val="24"/>
        </w:rPr>
        <w:t xml:space="preserve">The amino acid residues selected for mutagenesis are located in the </w:t>
      </w:r>
      <w:proofErr w:type="gramStart"/>
      <w:r w:rsidR="00DF1F4F">
        <w:rPr>
          <w:sz w:val="24"/>
          <w:szCs w:val="24"/>
        </w:rPr>
        <w:t>proximal</w:t>
      </w:r>
      <w:proofErr w:type="gramEnd"/>
      <w:r w:rsidR="00DF1F4F">
        <w:rPr>
          <w:sz w:val="24"/>
          <w:szCs w:val="24"/>
        </w:rPr>
        <w:t xml:space="preserve"> or distal binding pockets of the AdeG transporter. </w:t>
      </w:r>
      <w:r w:rsidR="00532A6B">
        <w:rPr>
          <w:sz w:val="24"/>
          <w:szCs w:val="24"/>
        </w:rPr>
        <w:t xml:space="preserve">The AdeG residue G679I is located on the F-loop, which makes up part of the proximal binding </w:t>
      </w:r>
      <w:r w:rsidR="00DF1F4F">
        <w:rPr>
          <w:sz w:val="24"/>
          <w:szCs w:val="24"/>
        </w:rPr>
        <w:t>site</w:t>
      </w:r>
      <w:r w:rsidR="00532A6B">
        <w:rPr>
          <w:sz w:val="24"/>
          <w:szCs w:val="24"/>
        </w:rPr>
        <w:t>.</w:t>
      </w:r>
      <w:r w:rsidR="00DF1F4F">
        <w:rPr>
          <w:sz w:val="24"/>
          <w:szCs w:val="24"/>
        </w:rPr>
        <w:fldChar w:fldCharType="begin"/>
      </w:r>
      <w:r w:rsidR="002F6F9F">
        <w:rPr>
          <w:sz w:val="24"/>
          <w:szCs w:val="24"/>
        </w:rPr>
        <w:instrText xml:space="preserve"> ADDIN ZOTERO_ITEM CSL_CITATION {"citationID":"a2lq770j5f8","properties":{"formattedCitation":"\\super 160\\nosupersub{}","plainCitation":"160","noteIndex":0},"citationItems":[{"id":1387,"uris":["http://zotero.org/users/1918630/items/T42N68G9"],"itemData":{"id":1387,"type":"article-journal","container-title":"mBio","DOI":"10.1128/mBio.01295-19","issue":"4","note":"publisher: American Society for Microbiology","page":"e01295-19","source":"journals.asm.org (Atypon)","title":"Cryo-Electron Microscopy Structure of an Acinetobacter baumannii Multidrug Efflux Pump","volume":"10","author":[{"family":"Su","given":"Chih-Chia"},{"family":"Morgan","given":"Christopher E."},{"family":"Kambakam","given":"Sekhar"},{"family":"Rajavel","given":"Malligarjunan"},{"family":"Scott","given":"Harry"},{"family":"Huang","given":"Wei"},{"family":"Emerson","given":"Corey C."},{"family":"Taylor","given":"Derek J."},{"family":"Stewart","given":"Phoebe L."},{"family":"Bonomo","given":"Robert A."},{"family":"Yu","given":"Edward W."}],"issued":{"date-parts":[["2019",7,2]]}}}],"schema":"https://github.com/citation-style-language/schema/raw/master/csl-citation.json"} </w:instrText>
      </w:r>
      <w:r w:rsidR="00DF1F4F">
        <w:rPr>
          <w:sz w:val="24"/>
          <w:szCs w:val="24"/>
        </w:rPr>
        <w:fldChar w:fldCharType="separate"/>
      </w:r>
      <w:r w:rsidR="002F6F9F" w:rsidRPr="002F6F9F">
        <w:rPr>
          <w:rFonts w:ascii="Times New Roman" w:hAnsi="Times New Roman" w:cs="Times New Roman"/>
          <w:sz w:val="24"/>
          <w:vertAlign w:val="superscript"/>
        </w:rPr>
        <w:t>160</w:t>
      </w:r>
      <w:r w:rsidR="00DF1F4F">
        <w:rPr>
          <w:sz w:val="24"/>
          <w:szCs w:val="24"/>
        </w:rPr>
        <w:fldChar w:fldCharType="end"/>
      </w:r>
      <w:r w:rsidR="00532A6B">
        <w:rPr>
          <w:sz w:val="24"/>
          <w:szCs w:val="24"/>
        </w:rPr>
        <w:t xml:space="preserve"> The </w:t>
      </w:r>
      <w:r w:rsidR="00127D9A">
        <w:rPr>
          <w:sz w:val="24"/>
          <w:szCs w:val="24"/>
        </w:rPr>
        <w:t>three</w:t>
      </w:r>
      <w:r w:rsidR="00DF1F4F">
        <w:rPr>
          <w:sz w:val="24"/>
          <w:szCs w:val="24"/>
        </w:rPr>
        <w:t xml:space="preserve"> other residues also located in the proximal binding pocket are Y725A, A705I,</w:t>
      </w:r>
      <w:r w:rsidR="00127D9A">
        <w:rPr>
          <w:sz w:val="24"/>
          <w:szCs w:val="24"/>
        </w:rPr>
        <w:t xml:space="preserve"> and</w:t>
      </w:r>
      <w:r w:rsidR="00DF1F4F">
        <w:rPr>
          <w:sz w:val="24"/>
          <w:szCs w:val="24"/>
        </w:rPr>
        <w:t xml:space="preserve"> Q83A. </w:t>
      </w:r>
      <w:r w:rsidR="00C41610">
        <w:rPr>
          <w:sz w:val="24"/>
          <w:szCs w:val="24"/>
        </w:rPr>
        <w:t xml:space="preserve">The two binding pockets are separated by a </w:t>
      </w:r>
      <w:r w:rsidR="00DF1F4F">
        <w:rPr>
          <w:sz w:val="24"/>
          <w:szCs w:val="24"/>
        </w:rPr>
        <w:t xml:space="preserve">flexible </w:t>
      </w:r>
      <w:r w:rsidR="00C41610">
        <w:rPr>
          <w:sz w:val="24"/>
          <w:szCs w:val="24"/>
        </w:rPr>
        <w:t>switch-loop</w:t>
      </w:r>
      <w:r w:rsidR="00841EBB">
        <w:rPr>
          <w:sz w:val="24"/>
          <w:szCs w:val="24"/>
        </w:rPr>
        <w:fldChar w:fldCharType="begin"/>
      </w:r>
      <w:r w:rsidR="002F6F9F">
        <w:rPr>
          <w:sz w:val="24"/>
          <w:szCs w:val="24"/>
        </w:rPr>
        <w:instrText xml:space="preserve"> ADDIN ZOTERO_ITEM CSL_CITATION {"citationID":"aot4e2gus6","properties":{"formattedCitation":"\\super 161\\nosupersub{}","plainCitation":"161","noteIndex":0},"citationItems":[{"id":2205,"uris":["http://zotero.org/users/1918630/items/9EK3329A"],"itemData":{"id":2205,"type":"article-journal","abstract":"Crystallographic studies show that high-molecular-mass drugs bind to the bacterial multidrug transporter AcrB at a previously unseen ‘proximal’ binding pocket before peristaltic transfer to the known ‘distal’ pocket, whereas low-molecular-mass drugs bind directly to the distal pocket.","container-title":"Nature","DOI":"10.1038/nature10641","ISSN":"1476-4687","issue":"7378","language":"en","license":"2011 Springer Nature Limited","note":"number: 7378\npublisher: Nature Publishing Group","page":"565-569","source":"www.nature.com","title":"Structures of the multidrug exporter AcrB reveal a proximal multisite drug-binding pocket","volume":"480","author":[{"family":"Nakashima","given":"Ryosuke"},{"family":"Sakurai","given":"Keisuke"},{"family":"Yamasaki","given":"Seiji"},{"family":"Nishino","given":"Kunihiko"},{"family":"Yamaguchi","given":"Akihito"}],"issued":{"date-parts":[["2011",12]]}}}],"schema":"https://github.com/citation-style-language/schema/raw/master/csl-citation.json"} </w:instrText>
      </w:r>
      <w:r w:rsidR="00841EBB">
        <w:rPr>
          <w:sz w:val="24"/>
          <w:szCs w:val="24"/>
        </w:rPr>
        <w:fldChar w:fldCharType="separate"/>
      </w:r>
      <w:r w:rsidR="002F6F9F" w:rsidRPr="002F6F9F">
        <w:rPr>
          <w:rFonts w:ascii="Times New Roman" w:hAnsi="Times New Roman" w:cs="Times New Roman"/>
          <w:sz w:val="24"/>
          <w:vertAlign w:val="superscript"/>
        </w:rPr>
        <w:t>161</w:t>
      </w:r>
      <w:r w:rsidR="00841EBB">
        <w:rPr>
          <w:sz w:val="24"/>
          <w:szCs w:val="24"/>
        </w:rPr>
        <w:fldChar w:fldCharType="end"/>
      </w:r>
      <w:r w:rsidR="00DF1F4F">
        <w:rPr>
          <w:sz w:val="24"/>
          <w:szCs w:val="24"/>
        </w:rPr>
        <w:t xml:space="preserve"> and is the location of residue I621A.</w:t>
      </w:r>
      <w:r w:rsidR="00C41F49">
        <w:rPr>
          <w:sz w:val="24"/>
          <w:szCs w:val="24"/>
        </w:rPr>
        <w:t xml:space="preserve"> The residue</w:t>
      </w:r>
      <w:r w:rsidR="00C41610">
        <w:rPr>
          <w:sz w:val="24"/>
          <w:szCs w:val="24"/>
        </w:rPr>
        <w:t>s</w:t>
      </w:r>
      <w:r w:rsidR="00841EBB">
        <w:rPr>
          <w:sz w:val="24"/>
          <w:szCs w:val="24"/>
        </w:rPr>
        <w:t xml:space="preserve"> </w:t>
      </w:r>
      <w:r w:rsidR="00C41F49">
        <w:rPr>
          <w:sz w:val="24"/>
          <w:szCs w:val="24"/>
        </w:rPr>
        <w:t xml:space="preserve"> </w:t>
      </w:r>
      <w:r w:rsidR="00DF1F4F">
        <w:rPr>
          <w:sz w:val="24"/>
          <w:szCs w:val="24"/>
        </w:rPr>
        <w:t xml:space="preserve">S620A and L138A </w:t>
      </w:r>
      <w:r w:rsidR="00841EBB">
        <w:rPr>
          <w:sz w:val="24"/>
          <w:szCs w:val="24"/>
        </w:rPr>
        <w:t xml:space="preserve">are located in the </w:t>
      </w:r>
      <w:r w:rsidR="00DF1F4F">
        <w:rPr>
          <w:sz w:val="24"/>
          <w:szCs w:val="24"/>
        </w:rPr>
        <w:t>distal binding pocket</w:t>
      </w:r>
      <w:r w:rsidR="00012213">
        <w:rPr>
          <w:sz w:val="24"/>
          <w:szCs w:val="24"/>
        </w:rPr>
        <w:t xml:space="preserve"> </w:t>
      </w:r>
      <w:r w:rsidR="00C41F49">
        <w:rPr>
          <w:sz w:val="24"/>
          <w:szCs w:val="24"/>
        </w:rPr>
        <w:t>(</w:t>
      </w:r>
      <w:r w:rsidR="00C41F49">
        <w:rPr>
          <w:b/>
          <w:bCs/>
          <w:sz w:val="24"/>
          <w:szCs w:val="24"/>
        </w:rPr>
        <w:t>Figure 4.1</w:t>
      </w:r>
      <w:r w:rsidR="00C41F49">
        <w:rPr>
          <w:sz w:val="24"/>
          <w:szCs w:val="24"/>
        </w:rPr>
        <w:t>).</w:t>
      </w:r>
    </w:p>
    <w:p w14:paraId="0274B125" w14:textId="77777777" w:rsidR="005B2178" w:rsidRDefault="009754E4" w:rsidP="00D44E6F">
      <w:pPr>
        <w:spacing w:line="360" w:lineRule="auto"/>
        <w:ind w:firstLine="720"/>
        <w:rPr>
          <w:sz w:val="24"/>
          <w:szCs w:val="24"/>
        </w:rPr>
      </w:pPr>
      <w:r>
        <w:rPr>
          <w:sz w:val="24"/>
          <w:szCs w:val="24"/>
        </w:rPr>
        <w:lastRenderedPageBreak/>
        <w:t xml:space="preserve">To analyze functional activities of AdeG mutants, my first goal was to integrate the mutated </w:t>
      </w:r>
      <w:proofErr w:type="spellStart"/>
      <w:r>
        <w:rPr>
          <w:i/>
          <w:iCs/>
          <w:sz w:val="24"/>
          <w:szCs w:val="24"/>
        </w:rPr>
        <w:t>adeG</w:t>
      </w:r>
      <w:proofErr w:type="spellEnd"/>
      <w:r>
        <w:rPr>
          <w:sz w:val="24"/>
          <w:szCs w:val="24"/>
        </w:rPr>
        <w:t xml:space="preserve"> genes into </w:t>
      </w:r>
      <w:r>
        <w:rPr>
          <w:i/>
          <w:iCs/>
          <w:sz w:val="24"/>
          <w:szCs w:val="24"/>
        </w:rPr>
        <w:t>A. baumannii</w:t>
      </w:r>
      <w:r>
        <w:rPr>
          <w:sz w:val="24"/>
          <w:szCs w:val="24"/>
        </w:rPr>
        <w:t xml:space="preserve"> chromosomes. For this purpose, plasmids were</w:t>
      </w:r>
      <w:r w:rsidR="008107A8">
        <w:rPr>
          <w:sz w:val="24"/>
          <w:szCs w:val="24"/>
        </w:rPr>
        <w:t xml:space="preserve"> integrated into the Tn7 site on the chromosome</w:t>
      </w:r>
      <w:r w:rsidR="00FE5307">
        <w:rPr>
          <w:sz w:val="24"/>
          <w:szCs w:val="24"/>
        </w:rPr>
        <w:t xml:space="preserve"> and expressed by growing the cell cultures in the presence of 1% L-arabinose. This amount of L-arabinose is needed to induce expression of the mutant transporters from both the plasmid-borne expression cassette and</w:t>
      </w:r>
      <w:r w:rsidR="008107A8">
        <w:rPr>
          <w:sz w:val="24"/>
          <w:szCs w:val="24"/>
        </w:rPr>
        <w:t xml:space="preserve"> </w:t>
      </w:r>
      <w:r w:rsidR="00FE5307">
        <w:rPr>
          <w:sz w:val="24"/>
          <w:szCs w:val="24"/>
        </w:rPr>
        <w:t xml:space="preserve">the chromosomally integrated efflux pump genes. </w:t>
      </w:r>
      <w:r>
        <w:rPr>
          <w:sz w:val="24"/>
          <w:szCs w:val="24"/>
        </w:rPr>
        <w:t xml:space="preserve"> Chromosomal insertions were confirmed by </w:t>
      </w:r>
      <w:r w:rsidR="00FE5307">
        <w:rPr>
          <w:sz w:val="24"/>
          <w:szCs w:val="24"/>
        </w:rPr>
        <w:t xml:space="preserve">PCR using Ab (17978) </w:t>
      </w:r>
      <w:proofErr w:type="spellStart"/>
      <w:r w:rsidR="00FE5307">
        <w:rPr>
          <w:i/>
          <w:iCs/>
          <w:sz w:val="24"/>
          <w:szCs w:val="24"/>
        </w:rPr>
        <w:t>glmS</w:t>
      </w:r>
      <w:proofErr w:type="spellEnd"/>
      <w:r w:rsidR="00FE5307">
        <w:rPr>
          <w:sz w:val="24"/>
          <w:szCs w:val="24"/>
        </w:rPr>
        <w:t xml:space="preserve"> FWD, Ab (17978) </w:t>
      </w:r>
      <w:proofErr w:type="spellStart"/>
      <w:r w:rsidR="00FE5307">
        <w:rPr>
          <w:i/>
          <w:iCs/>
          <w:sz w:val="24"/>
          <w:szCs w:val="24"/>
        </w:rPr>
        <w:t>glmS</w:t>
      </w:r>
      <w:proofErr w:type="spellEnd"/>
      <w:r w:rsidR="00FE5307">
        <w:rPr>
          <w:sz w:val="24"/>
          <w:szCs w:val="24"/>
        </w:rPr>
        <w:t xml:space="preserve"> REV, and PTn7R primers (</w:t>
      </w:r>
      <w:r w:rsidR="00FE5307">
        <w:rPr>
          <w:b/>
          <w:bCs/>
          <w:sz w:val="24"/>
          <w:szCs w:val="24"/>
        </w:rPr>
        <w:t>Table 2.3</w:t>
      </w:r>
      <w:r w:rsidR="00C653CC">
        <w:rPr>
          <w:sz w:val="24"/>
          <w:szCs w:val="24"/>
        </w:rPr>
        <w:t>), as described</w:t>
      </w:r>
      <w:r w:rsidR="00C653CC" w:rsidRPr="00C653CC">
        <w:rPr>
          <w:sz w:val="24"/>
          <w:szCs w:val="24"/>
        </w:rPr>
        <w:t xml:space="preserve"> </w:t>
      </w:r>
      <w:r w:rsidR="00C653CC">
        <w:rPr>
          <w:sz w:val="24"/>
          <w:szCs w:val="24"/>
        </w:rPr>
        <w:t>before.</w:t>
      </w:r>
      <w:r w:rsidR="00C653CC">
        <w:rPr>
          <w:sz w:val="24"/>
          <w:szCs w:val="24"/>
        </w:rPr>
        <w:fldChar w:fldCharType="begin"/>
      </w:r>
      <w:r w:rsidR="00C653CC">
        <w:rPr>
          <w:sz w:val="24"/>
          <w:szCs w:val="24"/>
        </w:rPr>
        <w:instrText xml:space="preserve"> ADDIN ZOTERO_ITEM CSL_CITATION {"citationID":"pAeM4mX9","properties":{"formattedCitation":"\\super 20\\nosupersub{}","plainCitation":"20","noteIndex":0},"citationItems":[{"id":675,"uris":["http://zotero.org/users/1918630/items/872QDY6W"],"itemData":{"id":675,"type":"article-journal","abstract":"Gram-negative bacteria are notoriously resistant to antibiotics, but the extent of the resistance varies broadly between species. We report that in significant human pathogens Acinetobacter baumannii, Pseudomonas aeruginosa, and Burkholderia spp., the differences in antibiotic resistance are largely defined by their penetration into the cell. For all tested antibiotics, the intracellular penetration was determined by a synergistic relationship between active efflux and the permeability barrier. We found that the outer membrane (OM) and efflux pumps select compounds on the basis of distinct properties and together universally protect bacteria from structurally diverse antibiotics. On the basis of their interactions with the permeability barriers, antibiotics can be divided into four clusters that occupy defined physicochemical spaces. Our results suggest that rules of intracellular penetration are intrinsic to these clusters. The identified specificities in the permeability barriers should help in the designing of successful therapeutic strategies against antibiotic-resistant pathogens., Multidrug-resistant strains of Gram-negative pathogens rapidly spread in clinics. Significant efforts worldwide are currently directed to finding the rules of permeation of antibiotics across two membrane envelopes of these bacteria. This study created the tools for analysis of and identified the major differences in antibacterial activities that distinguish the permeability barriers of P. aeruginosa, A. baumannii, Burkholderia thailandensis, and B. cepacia. We conclude that synergy between active efflux and the outer membrane barrier universally protects Gram-negative bacteria from antibiotics. We also found that the diversity of antibiotics affected by active efflux and outer membrane barriers is broader than previously thought and that antibiotics cluster according to specific biological determinants such as the requirement of specific porins in the OM, targeting of the OM, or specific recognition by efflux pumps. No universal rules of antibiotic permeation into Gram-negative bacteria apparently exist. Our results suggest that antibiotic clusters are defined by specific rules of permeation and that further studies could lead to their discovery.","container-title":"mBio","DOI":"10.1128/mBio.01172-17","ISSN":"2150-7511","issue":"5","journalAbbreviation":"mBio","note":"PMID: 29089426\nPMCID: PMC5666154","source":"PubMed Central","title":"Synergy between Active Efflux and Outer Membrane Diffusion Defines Rules of Antibiotic Permeation into Gram-Negative Bacteria","URL":"https://www.ncbi.nlm.nih.gov/pmc/articles/PMC5666154/","volume":"8","author":[{"family":"Krishnamoorthy","given":"Ganesh"},{"family":"Leus","given":"Inga V."},{"family":"Weeks","given":"Jon W."},{"family":"Wolloscheck","given":"David"},{"family":"Rybenkov","given":"Valentin V."},{"family":"Zgurskaya","given":"Helen I."}],"accessed":{"date-parts":[["2018",2,7]]},"issued":{"date-parts":[["2017",10,31]]}}}],"schema":"https://github.com/citation-style-language/schema/raw/master/csl-citation.json"} </w:instrText>
      </w:r>
      <w:r w:rsidR="00C653CC">
        <w:rPr>
          <w:sz w:val="24"/>
          <w:szCs w:val="24"/>
        </w:rPr>
        <w:fldChar w:fldCharType="separate"/>
      </w:r>
      <w:r w:rsidR="00C653CC" w:rsidRPr="00176906">
        <w:rPr>
          <w:rFonts w:ascii="Times New Roman" w:hAnsi="Times New Roman" w:cs="Times New Roman"/>
          <w:sz w:val="24"/>
          <w:szCs w:val="24"/>
          <w:vertAlign w:val="superscript"/>
        </w:rPr>
        <w:t>20</w:t>
      </w:r>
      <w:r w:rsidR="00C653CC">
        <w:rPr>
          <w:sz w:val="24"/>
          <w:szCs w:val="24"/>
        </w:rPr>
        <w:fldChar w:fldCharType="end"/>
      </w:r>
      <w:r>
        <w:rPr>
          <w:sz w:val="24"/>
          <w:szCs w:val="24"/>
        </w:rPr>
        <w:t xml:space="preserve"> The expression of AdeG protein variants was determined</w:t>
      </w:r>
      <w:r w:rsidR="00FE5307">
        <w:rPr>
          <w:sz w:val="24"/>
          <w:szCs w:val="24"/>
        </w:rPr>
        <w:t xml:space="preserve"> by SDS-PAGE followed by immunoblotting with a custom AdeG monoclonal </w:t>
      </w:r>
      <w:r w:rsidR="00E25441">
        <w:rPr>
          <w:sz w:val="24"/>
          <w:szCs w:val="24"/>
        </w:rPr>
        <w:t>rabbit antibody serum (</w:t>
      </w:r>
      <w:proofErr w:type="spellStart"/>
      <w:r w:rsidR="00E25441">
        <w:rPr>
          <w:sz w:val="24"/>
          <w:szCs w:val="24"/>
        </w:rPr>
        <w:t>Thermo</w:t>
      </w:r>
      <w:proofErr w:type="spellEnd"/>
      <w:r w:rsidR="00E25441">
        <w:rPr>
          <w:sz w:val="24"/>
          <w:szCs w:val="24"/>
        </w:rPr>
        <w:t xml:space="preserve"> Fisher Scientific, Waltham, USA)</w:t>
      </w:r>
      <w:r w:rsidR="00EE326F">
        <w:rPr>
          <w:sz w:val="24"/>
          <w:szCs w:val="24"/>
        </w:rPr>
        <w:t xml:space="preserve"> made using AdeG protein antigen generated in the Zgurskaya lab (see Methods </w:t>
      </w:r>
      <w:r w:rsidR="005F535C">
        <w:rPr>
          <w:b/>
          <w:bCs/>
          <w:sz w:val="24"/>
          <w:szCs w:val="24"/>
        </w:rPr>
        <w:t>2.15</w:t>
      </w:r>
      <w:r w:rsidR="00EE326F">
        <w:rPr>
          <w:sz w:val="24"/>
          <w:szCs w:val="24"/>
        </w:rPr>
        <w:t>) and</w:t>
      </w:r>
      <w:r w:rsidR="00E25441">
        <w:rPr>
          <w:sz w:val="24"/>
          <w:szCs w:val="24"/>
        </w:rPr>
        <w:t xml:space="preserve"> followed by a secondary anti-rabbit immunoglobulin antibody (Sigma-Aldrich, St. Louis, U</w:t>
      </w:r>
      <w:r w:rsidR="00EE326F">
        <w:rPr>
          <w:sz w:val="24"/>
          <w:szCs w:val="24"/>
        </w:rPr>
        <w:t>S</w:t>
      </w:r>
      <w:r w:rsidR="00E25441">
        <w:rPr>
          <w:sz w:val="24"/>
          <w:szCs w:val="24"/>
        </w:rPr>
        <w:t>A</w:t>
      </w:r>
      <w:r w:rsidR="008A1EF9">
        <w:rPr>
          <w:sz w:val="24"/>
          <w:szCs w:val="24"/>
        </w:rPr>
        <w:t>).</w:t>
      </w:r>
      <w:r w:rsidR="00B61F77">
        <w:rPr>
          <w:sz w:val="24"/>
          <w:szCs w:val="24"/>
        </w:rPr>
        <w:t xml:space="preserve"> All AdeG mutants showed expression after a small volume (6 mL) membrane fraction purification (</w:t>
      </w:r>
      <w:r w:rsidR="00B61F77">
        <w:rPr>
          <w:b/>
          <w:bCs/>
          <w:sz w:val="24"/>
          <w:szCs w:val="24"/>
        </w:rPr>
        <w:t>Methods 2.9</w:t>
      </w:r>
      <w:r w:rsidR="00B61F77">
        <w:rPr>
          <w:sz w:val="24"/>
          <w:szCs w:val="24"/>
        </w:rPr>
        <w:t>) (data not shown here). Expression of each mutant was also verified after NPN uptake (</w:t>
      </w:r>
      <w:r w:rsidR="00B61F77">
        <w:rPr>
          <w:b/>
          <w:bCs/>
          <w:sz w:val="24"/>
          <w:szCs w:val="24"/>
        </w:rPr>
        <w:t>Figures 4.</w:t>
      </w:r>
      <w:r w:rsidR="007218E8">
        <w:rPr>
          <w:b/>
          <w:bCs/>
          <w:sz w:val="24"/>
          <w:szCs w:val="24"/>
        </w:rPr>
        <w:t>3</w:t>
      </w:r>
      <w:r w:rsidR="00B61F77">
        <w:rPr>
          <w:b/>
          <w:bCs/>
          <w:sz w:val="24"/>
          <w:szCs w:val="24"/>
        </w:rPr>
        <w:t>, 4.</w:t>
      </w:r>
      <w:r w:rsidR="007218E8">
        <w:rPr>
          <w:b/>
          <w:bCs/>
          <w:sz w:val="24"/>
          <w:szCs w:val="24"/>
        </w:rPr>
        <w:t>10</w:t>
      </w:r>
      <w:r w:rsidR="00B61F77">
        <w:rPr>
          <w:sz w:val="24"/>
          <w:szCs w:val="24"/>
        </w:rPr>
        <w:t>). In conclusion, a</w:t>
      </w:r>
      <w:r w:rsidR="00C653CC">
        <w:rPr>
          <w:sz w:val="24"/>
          <w:szCs w:val="24"/>
        </w:rPr>
        <w:t xml:space="preserve">ll mutant AdeG transporters were successfully integrated into the </w:t>
      </w:r>
      <w:r w:rsidR="00C653CC">
        <w:rPr>
          <w:i/>
          <w:iCs/>
          <w:sz w:val="24"/>
          <w:szCs w:val="24"/>
        </w:rPr>
        <w:t>A. baumannii</w:t>
      </w:r>
      <w:r w:rsidR="00C653CC" w:rsidRPr="00C653CC">
        <w:rPr>
          <w:sz w:val="24"/>
          <w:szCs w:val="24"/>
        </w:rPr>
        <w:t xml:space="preserve"> </w:t>
      </w:r>
      <w:r w:rsidR="00C653CC" w:rsidRPr="00003FCE">
        <w:rPr>
          <w:sz w:val="24"/>
          <w:szCs w:val="24"/>
        </w:rPr>
        <w:t>Δ3</w:t>
      </w:r>
      <w:r w:rsidR="00C653CC">
        <w:rPr>
          <w:sz w:val="24"/>
          <w:szCs w:val="24"/>
        </w:rPr>
        <w:t xml:space="preserve"> chromosome, and</w:t>
      </w:r>
      <w:r w:rsidR="00303335">
        <w:rPr>
          <w:sz w:val="24"/>
          <w:szCs w:val="24"/>
        </w:rPr>
        <w:t xml:space="preserve"> </w:t>
      </w:r>
      <w:r w:rsidR="00704700">
        <w:rPr>
          <w:sz w:val="24"/>
          <w:szCs w:val="24"/>
        </w:rPr>
        <w:t>all had confirmed expression.</w:t>
      </w:r>
      <w:r w:rsidR="00303335">
        <w:rPr>
          <w:sz w:val="24"/>
          <w:szCs w:val="24"/>
        </w:rPr>
        <w:t xml:space="preserve"> </w:t>
      </w:r>
      <w:r w:rsidR="00C653CC">
        <w:rPr>
          <w:sz w:val="24"/>
          <w:szCs w:val="24"/>
        </w:rPr>
        <w:t xml:space="preserve"> </w:t>
      </w:r>
      <w:r w:rsidR="0052578C">
        <w:rPr>
          <w:sz w:val="24"/>
          <w:szCs w:val="24"/>
        </w:rPr>
        <w:tab/>
      </w:r>
      <w:r w:rsidR="00510FCE">
        <w:rPr>
          <w:sz w:val="24"/>
          <w:szCs w:val="24"/>
        </w:rPr>
        <w:t xml:space="preserve"> </w:t>
      </w:r>
    </w:p>
    <w:p w14:paraId="0E54BD5A" w14:textId="478595F9" w:rsidR="005B2178" w:rsidRPr="005B2178" w:rsidRDefault="005B2178" w:rsidP="005B2178">
      <w:pPr>
        <w:spacing w:line="360" w:lineRule="auto"/>
        <w:rPr>
          <w:b/>
          <w:bCs/>
          <w:noProof/>
          <w:sz w:val="24"/>
          <w:szCs w:val="24"/>
        </w:rPr>
      </w:pPr>
      <w:r>
        <w:rPr>
          <w:b/>
          <w:bCs/>
          <w:sz w:val="24"/>
          <w:szCs w:val="24"/>
        </w:rPr>
        <w:t>Table 4.1 -</w:t>
      </w:r>
      <w:r>
        <w:rPr>
          <w:rFonts w:ascii="Times New Roman" w:hAnsi="Times New Roman" w:cs="Times New Roman"/>
          <w:b/>
          <w:bCs/>
          <w:sz w:val="24"/>
          <w:szCs w:val="24"/>
        </w:rPr>
        <w:t xml:space="preserve"> Antibiotic susceptibilities of </w:t>
      </w:r>
      <w:r>
        <w:rPr>
          <w:rFonts w:ascii="Times New Roman" w:hAnsi="Times New Roman" w:cs="Times New Roman"/>
          <w:b/>
          <w:bCs/>
          <w:i/>
          <w:iCs/>
          <w:sz w:val="24"/>
          <w:szCs w:val="24"/>
        </w:rPr>
        <w:t>A. Baumannii</w:t>
      </w:r>
      <w:r>
        <w:rPr>
          <w:rFonts w:ascii="Times New Roman" w:hAnsi="Times New Roman" w:cs="Times New Roman"/>
          <w:b/>
          <w:bCs/>
          <w:sz w:val="24"/>
          <w:szCs w:val="24"/>
        </w:rPr>
        <w:t xml:space="preserve"> </w:t>
      </w:r>
      <w:r w:rsidR="00127D9A" w:rsidRPr="00127D9A">
        <w:rPr>
          <w:rFonts w:cstheme="minorHAnsi"/>
          <w:b/>
          <w:bCs/>
          <w:sz w:val="24"/>
          <w:szCs w:val="24"/>
        </w:rPr>
        <w:t>Δ3-Pore</w:t>
      </w:r>
      <w:r w:rsidR="00127D9A">
        <w:rPr>
          <w:rFonts w:ascii="Times New Roman" w:hAnsi="Times New Roman" w:cs="Times New Roman"/>
          <w:b/>
          <w:bCs/>
          <w:sz w:val="24"/>
          <w:szCs w:val="24"/>
        </w:rPr>
        <w:t xml:space="preserve"> </w:t>
      </w:r>
      <w:r>
        <w:rPr>
          <w:rFonts w:ascii="Times New Roman" w:hAnsi="Times New Roman" w:cs="Times New Roman"/>
          <w:b/>
          <w:bCs/>
          <w:sz w:val="24"/>
          <w:szCs w:val="24"/>
        </w:rPr>
        <w:t>AdeG site-directed mutants</w:t>
      </w:r>
    </w:p>
    <w:tbl>
      <w:tblPr>
        <w:tblStyle w:val="TableGrid"/>
        <w:tblW w:w="7643" w:type="dxa"/>
        <w:jc w:val="center"/>
        <w:tblLayout w:type="fixed"/>
        <w:tblLook w:val="04A0" w:firstRow="1" w:lastRow="0" w:firstColumn="1" w:lastColumn="0" w:noHBand="0" w:noVBand="1"/>
      </w:tblPr>
      <w:tblGrid>
        <w:gridCol w:w="3060"/>
        <w:gridCol w:w="1890"/>
        <w:gridCol w:w="1440"/>
        <w:gridCol w:w="1253"/>
      </w:tblGrid>
      <w:tr w:rsidR="005B2178" w14:paraId="3B0272B5" w14:textId="77777777" w:rsidTr="006B4821">
        <w:trPr>
          <w:jc w:val="center"/>
        </w:trPr>
        <w:tc>
          <w:tcPr>
            <w:tcW w:w="3060" w:type="dxa"/>
            <w:vMerge w:val="restart"/>
            <w:shd w:val="clear" w:color="auto" w:fill="D0CECE" w:themeFill="background2" w:themeFillShade="E6"/>
          </w:tcPr>
          <w:p w14:paraId="51BC9967" w14:textId="77777777" w:rsidR="005B2178" w:rsidRPr="00C81873" w:rsidRDefault="005B2178" w:rsidP="006B4821">
            <w:pPr>
              <w:jc w:val="center"/>
              <w:rPr>
                <w:rFonts w:ascii="Times New Roman" w:hAnsi="Times New Roman" w:cs="Times New Roman"/>
                <w:b/>
                <w:bCs/>
                <w:sz w:val="24"/>
                <w:szCs w:val="24"/>
              </w:rPr>
            </w:pPr>
            <w:bookmarkStart w:id="15" w:name="_Hlk162604158"/>
            <w:r w:rsidRPr="00C81873">
              <w:rPr>
                <w:rFonts w:ascii="Times New Roman" w:hAnsi="Times New Roman" w:cs="Times New Roman"/>
                <w:b/>
                <w:bCs/>
                <w:sz w:val="24"/>
                <w:szCs w:val="24"/>
              </w:rPr>
              <w:t>Strains</w:t>
            </w:r>
          </w:p>
        </w:tc>
        <w:tc>
          <w:tcPr>
            <w:tcW w:w="4583" w:type="dxa"/>
            <w:gridSpan w:val="3"/>
            <w:shd w:val="clear" w:color="auto" w:fill="D0CECE" w:themeFill="background2" w:themeFillShade="E6"/>
          </w:tcPr>
          <w:p w14:paraId="4B55F0C4" w14:textId="77777777" w:rsidR="005B2178" w:rsidRPr="00C81873" w:rsidRDefault="005B2178" w:rsidP="006B4821">
            <w:pPr>
              <w:jc w:val="center"/>
              <w:rPr>
                <w:rFonts w:ascii="Times New Roman" w:hAnsi="Times New Roman" w:cs="Times New Roman"/>
                <w:b/>
                <w:bCs/>
                <w:sz w:val="24"/>
                <w:szCs w:val="24"/>
              </w:rPr>
            </w:pPr>
            <w:r w:rsidRPr="00C81873">
              <w:rPr>
                <w:rFonts w:ascii="Times New Roman" w:hAnsi="Times New Roman" w:cs="Times New Roman"/>
                <w:b/>
                <w:bCs/>
                <w:sz w:val="24"/>
                <w:szCs w:val="24"/>
              </w:rPr>
              <w:t>MICs</w:t>
            </w:r>
            <w:r>
              <w:rPr>
                <w:rFonts w:ascii="Times New Roman" w:hAnsi="Times New Roman" w:cs="Times New Roman"/>
                <w:b/>
                <w:bCs/>
                <w:sz w:val="24"/>
                <w:szCs w:val="24"/>
              </w:rPr>
              <w:t xml:space="preserve"> (µg/mL)</w:t>
            </w:r>
          </w:p>
        </w:tc>
      </w:tr>
      <w:tr w:rsidR="005B2178" w14:paraId="6FBCFF1E" w14:textId="77777777" w:rsidTr="006B4821">
        <w:trPr>
          <w:jc w:val="center"/>
        </w:trPr>
        <w:tc>
          <w:tcPr>
            <w:tcW w:w="3060" w:type="dxa"/>
            <w:vMerge/>
            <w:shd w:val="clear" w:color="auto" w:fill="D0CECE" w:themeFill="background2" w:themeFillShade="E6"/>
          </w:tcPr>
          <w:p w14:paraId="67F76BFC" w14:textId="77777777" w:rsidR="005B2178" w:rsidRPr="00C81873" w:rsidRDefault="005B2178" w:rsidP="006B4821">
            <w:pPr>
              <w:jc w:val="center"/>
              <w:rPr>
                <w:rFonts w:ascii="Times New Roman" w:hAnsi="Times New Roman" w:cs="Times New Roman"/>
                <w:sz w:val="24"/>
                <w:szCs w:val="24"/>
              </w:rPr>
            </w:pPr>
          </w:p>
        </w:tc>
        <w:tc>
          <w:tcPr>
            <w:tcW w:w="1890" w:type="dxa"/>
            <w:shd w:val="clear" w:color="auto" w:fill="D0CECE" w:themeFill="background2" w:themeFillShade="E6"/>
          </w:tcPr>
          <w:p w14:paraId="19F68169" w14:textId="77777777" w:rsidR="005B2178" w:rsidRPr="00C81873" w:rsidRDefault="005B2178" w:rsidP="006B4821">
            <w:pPr>
              <w:jc w:val="center"/>
              <w:rPr>
                <w:rFonts w:ascii="Times New Roman" w:hAnsi="Times New Roman" w:cs="Times New Roman"/>
                <w:sz w:val="24"/>
                <w:szCs w:val="24"/>
              </w:rPr>
            </w:pPr>
            <w:r>
              <w:rPr>
                <w:rFonts w:ascii="Times New Roman" w:hAnsi="Times New Roman" w:cs="Times New Roman"/>
                <w:sz w:val="24"/>
                <w:szCs w:val="24"/>
              </w:rPr>
              <w:t>Chloramphenicol</w:t>
            </w:r>
          </w:p>
        </w:tc>
        <w:tc>
          <w:tcPr>
            <w:tcW w:w="1440" w:type="dxa"/>
            <w:shd w:val="clear" w:color="auto" w:fill="D0CECE" w:themeFill="background2" w:themeFillShade="E6"/>
          </w:tcPr>
          <w:p w14:paraId="20CF4AF9" w14:textId="77777777" w:rsidR="005B2178" w:rsidRPr="00C81873" w:rsidRDefault="005B2178" w:rsidP="006B4821">
            <w:pPr>
              <w:jc w:val="center"/>
              <w:rPr>
                <w:rFonts w:ascii="Times New Roman" w:hAnsi="Times New Roman" w:cs="Times New Roman"/>
                <w:sz w:val="24"/>
                <w:szCs w:val="24"/>
              </w:rPr>
            </w:pPr>
            <w:r>
              <w:rPr>
                <w:rFonts w:ascii="Times New Roman" w:hAnsi="Times New Roman" w:cs="Times New Roman"/>
                <w:sz w:val="24"/>
                <w:szCs w:val="24"/>
              </w:rPr>
              <w:t>Norfloxacin</w:t>
            </w:r>
          </w:p>
        </w:tc>
        <w:tc>
          <w:tcPr>
            <w:tcW w:w="1253" w:type="dxa"/>
            <w:shd w:val="clear" w:color="auto" w:fill="D0CECE" w:themeFill="background2" w:themeFillShade="E6"/>
          </w:tcPr>
          <w:p w14:paraId="4B7C0447" w14:textId="77777777" w:rsidR="005B2178" w:rsidRPr="00C81873" w:rsidRDefault="005B2178" w:rsidP="006B4821">
            <w:pPr>
              <w:jc w:val="center"/>
              <w:rPr>
                <w:rFonts w:ascii="Times New Roman" w:hAnsi="Times New Roman" w:cs="Times New Roman"/>
                <w:sz w:val="24"/>
                <w:szCs w:val="24"/>
              </w:rPr>
            </w:pPr>
            <w:r>
              <w:rPr>
                <w:rFonts w:ascii="Times New Roman" w:hAnsi="Times New Roman" w:cs="Times New Roman"/>
                <w:sz w:val="24"/>
                <w:szCs w:val="24"/>
              </w:rPr>
              <w:t>Nalidixic Acid</w:t>
            </w:r>
          </w:p>
        </w:tc>
      </w:tr>
      <w:tr w:rsidR="005B2178" w14:paraId="5D564B8B" w14:textId="77777777" w:rsidTr="006B4821">
        <w:trPr>
          <w:jc w:val="center"/>
        </w:trPr>
        <w:tc>
          <w:tcPr>
            <w:tcW w:w="3060" w:type="dxa"/>
            <w:vAlign w:val="bottom"/>
          </w:tcPr>
          <w:p w14:paraId="40940E3F" w14:textId="77777777" w:rsidR="005B2178" w:rsidRPr="00C81873"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AbΔ3-pore</w:t>
            </w:r>
          </w:p>
        </w:tc>
        <w:tc>
          <w:tcPr>
            <w:tcW w:w="1890" w:type="dxa"/>
            <w:vAlign w:val="bottom"/>
          </w:tcPr>
          <w:p w14:paraId="0AF3538B" w14:textId="77777777" w:rsidR="005B2178"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440" w:type="dxa"/>
            <w:vAlign w:val="bottom"/>
          </w:tcPr>
          <w:p w14:paraId="33D8A801"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0.25</w:t>
            </w:r>
          </w:p>
        </w:tc>
        <w:tc>
          <w:tcPr>
            <w:tcW w:w="1253" w:type="dxa"/>
            <w:vAlign w:val="bottom"/>
          </w:tcPr>
          <w:p w14:paraId="19B20429"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2</w:t>
            </w:r>
          </w:p>
        </w:tc>
      </w:tr>
      <w:tr w:rsidR="005B2178" w14:paraId="11866CDB" w14:textId="77777777" w:rsidTr="006B4821">
        <w:trPr>
          <w:jc w:val="center"/>
        </w:trPr>
        <w:tc>
          <w:tcPr>
            <w:tcW w:w="3060" w:type="dxa"/>
            <w:vAlign w:val="bottom"/>
          </w:tcPr>
          <w:p w14:paraId="529D0B9B" w14:textId="77777777" w:rsidR="005B2178" w:rsidRPr="00C81873"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AbΔ3-Pore (pAdeFGH)</w:t>
            </w:r>
          </w:p>
        </w:tc>
        <w:tc>
          <w:tcPr>
            <w:tcW w:w="1890" w:type="dxa"/>
            <w:vAlign w:val="bottom"/>
          </w:tcPr>
          <w:p w14:paraId="6DD319AA" w14:textId="77777777" w:rsidR="005B2178"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440" w:type="dxa"/>
            <w:vAlign w:val="bottom"/>
          </w:tcPr>
          <w:p w14:paraId="568C7F39"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w:t>
            </w:r>
          </w:p>
        </w:tc>
        <w:tc>
          <w:tcPr>
            <w:tcW w:w="1253" w:type="dxa"/>
            <w:vAlign w:val="bottom"/>
          </w:tcPr>
          <w:p w14:paraId="66F9A045"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8</w:t>
            </w:r>
          </w:p>
        </w:tc>
      </w:tr>
      <w:tr w:rsidR="005B2178" w14:paraId="795B8BD1" w14:textId="77777777" w:rsidTr="006B4821">
        <w:trPr>
          <w:jc w:val="center"/>
        </w:trPr>
        <w:tc>
          <w:tcPr>
            <w:tcW w:w="3060" w:type="dxa"/>
            <w:vAlign w:val="bottom"/>
          </w:tcPr>
          <w:p w14:paraId="6D0AD5B6"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I621A</w:t>
            </w:r>
          </w:p>
        </w:tc>
        <w:tc>
          <w:tcPr>
            <w:tcW w:w="1890" w:type="dxa"/>
            <w:vAlign w:val="bottom"/>
          </w:tcPr>
          <w:p w14:paraId="53B5A43F" w14:textId="77777777" w:rsidR="005B2178"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440" w:type="dxa"/>
            <w:vAlign w:val="bottom"/>
          </w:tcPr>
          <w:p w14:paraId="7A6AEBE9" w14:textId="77777777" w:rsidR="005B2178" w:rsidRPr="003A0A7F" w:rsidRDefault="005B2178" w:rsidP="006B4821">
            <w:pPr>
              <w:spacing w:line="360" w:lineRule="auto"/>
              <w:jc w:val="center"/>
              <w:rPr>
                <w:rFonts w:ascii="Times New Roman" w:hAnsi="Times New Roman" w:cs="Times New Roman"/>
                <w:b/>
                <w:bCs/>
                <w:sz w:val="24"/>
                <w:szCs w:val="24"/>
                <w:u w:val="single"/>
              </w:rPr>
            </w:pPr>
            <w:r w:rsidRPr="003A0A7F">
              <w:rPr>
                <w:rFonts w:ascii="Times New Roman" w:hAnsi="Times New Roman" w:cs="Times New Roman"/>
                <w:b/>
                <w:bCs/>
                <w:sz w:val="24"/>
                <w:szCs w:val="24"/>
                <w:u w:val="single"/>
              </w:rPr>
              <w:t>0.25</w:t>
            </w:r>
          </w:p>
        </w:tc>
        <w:tc>
          <w:tcPr>
            <w:tcW w:w="1253" w:type="dxa"/>
            <w:vAlign w:val="bottom"/>
          </w:tcPr>
          <w:p w14:paraId="72E9407A" w14:textId="77777777" w:rsidR="005B2178" w:rsidRPr="003A0A7F" w:rsidRDefault="005B2178" w:rsidP="006B4821">
            <w:pPr>
              <w:spacing w:line="360" w:lineRule="auto"/>
              <w:jc w:val="center"/>
              <w:rPr>
                <w:rFonts w:ascii="Times New Roman" w:hAnsi="Times New Roman" w:cs="Times New Roman"/>
                <w:b/>
                <w:bCs/>
                <w:sz w:val="24"/>
                <w:szCs w:val="24"/>
                <w:u w:val="single"/>
              </w:rPr>
            </w:pPr>
            <w:r w:rsidRPr="003A0A7F">
              <w:rPr>
                <w:rFonts w:ascii="Times New Roman" w:hAnsi="Times New Roman" w:cs="Times New Roman"/>
                <w:b/>
                <w:bCs/>
                <w:sz w:val="24"/>
                <w:szCs w:val="24"/>
                <w:u w:val="single"/>
              </w:rPr>
              <w:t>2</w:t>
            </w:r>
          </w:p>
        </w:tc>
      </w:tr>
      <w:tr w:rsidR="005B2178" w14:paraId="3BF06884" w14:textId="77777777" w:rsidTr="006B4821">
        <w:trPr>
          <w:jc w:val="center"/>
        </w:trPr>
        <w:tc>
          <w:tcPr>
            <w:tcW w:w="3060" w:type="dxa"/>
            <w:vAlign w:val="bottom"/>
          </w:tcPr>
          <w:p w14:paraId="480FC8BC"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S620A</w:t>
            </w:r>
          </w:p>
        </w:tc>
        <w:tc>
          <w:tcPr>
            <w:tcW w:w="1890" w:type="dxa"/>
            <w:vAlign w:val="bottom"/>
          </w:tcPr>
          <w:p w14:paraId="2094BF39" w14:textId="77777777" w:rsidR="005B2178"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440" w:type="dxa"/>
            <w:vAlign w:val="bottom"/>
          </w:tcPr>
          <w:p w14:paraId="0578A8E7"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w:t>
            </w:r>
          </w:p>
        </w:tc>
        <w:tc>
          <w:tcPr>
            <w:tcW w:w="1253" w:type="dxa"/>
            <w:vAlign w:val="bottom"/>
          </w:tcPr>
          <w:p w14:paraId="00F46C6E"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8</w:t>
            </w:r>
          </w:p>
        </w:tc>
      </w:tr>
      <w:tr w:rsidR="005B2178" w14:paraId="5103291B" w14:textId="77777777" w:rsidTr="006B4821">
        <w:trPr>
          <w:jc w:val="center"/>
        </w:trPr>
        <w:tc>
          <w:tcPr>
            <w:tcW w:w="3060" w:type="dxa"/>
            <w:vAlign w:val="bottom"/>
          </w:tcPr>
          <w:p w14:paraId="10E65E68"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L138A</w:t>
            </w:r>
          </w:p>
        </w:tc>
        <w:tc>
          <w:tcPr>
            <w:tcW w:w="1890" w:type="dxa"/>
            <w:vAlign w:val="bottom"/>
          </w:tcPr>
          <w:p w14:paraId="70C08189" w14:textId="77777777" w:rsidR="005B2178"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440" w:type="dxa"/>
            <w:vAlign w:val="bottom"/>
          </w:tcPr>
          <w:p w14:paraId="24366918"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w:t>
            </w:r>
          </w:p>
        </w:tc>
        <w:tc>
          <w:tcPr>
            <w:tcW w:w="1253" w:type="dxa"/>
            <w:vAlign w:val="bottom"/>
          </w:tcPr>
          <w:p w14:paraId="566A8F2A"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8</w:t>
            </w:r>
          </w:p>
        </w:tc>
      </w:tr>
      <w:tr w:rsidR="005B2178" w14:paraId="11547FDE" w14:textId="77777777" w:rsidTr="006B4821">
        <w:trPr>
          <w:jc w:val="center"/>
        </w:trPr>
        <w:tc>
          <w:tcPr>
            <w:tcW w:w="3060" w:type="dxa"/>
            <w:vAlign w:val="bottom"/>
          </w:tcPr>
          <w:p w14:paraId="014CCB67"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G679I</w:t>
            </w:r>
          </w:p>
        </w:tc>
        <w:tc>
          <w:tcPr>
            <w:tcW w:w="1890" w:type="dxa"/>
            <w:vAlign w:val="bottom"/>
          </w:tcPr>
          <w:p w14:paraId="7A23D2AE" w14:textId="77777777" w:rsidR="005B2178" w:rsidRPr="00C81873"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440" w:type="dxa"/>
            <w:vAlign w:val="bottom"/>
          </w:tcPr>
          <w:p w14:paraId="4B565A1E" w14:textId="77777777" w:rsidR="005B2178" w:rsidRPr="003A0A7F" w:rsidRDefault="005B2178" w:rsidP="006B4821">
            <w:pPr>
              <w:spacing w:line="360" w:lineRule="auto"/>
              <w:jc w:val="center"/>
              <w:rPr>
                <w:rFonts w:ascii="Times New Roman" w:hAnsi="Times New Roman" w:cs="Times New Roman"/>
                <w:b/>
                <w:bCs/>
                <w:sz w:val="24"/>
                <w:szCs w:val="24"/>
                <w:u w:val="single"/>
              </w:rPr>
            </w:pPr>
            <w:r w:rsidRPr="003A0A7F">
              <w:rPr>
                <w:rFonts w:ascii="Times New Roman" w:hAnsi="Times New Roman" w:cs="Times New Roman"/>
                <w:b/>
                <w:bCs/>
                <w:sz w:val="24"/>
                <w:szCs w:val="24"/>
                <w:u w:val="single"/>
              </w:rPr>
              <w:t>0.125-0.25</w:t>
            </w:r>
          </w:p>
        </w:tc>
        <w:tc>
          <w:tcPr>
            <w:tcW w:w="1253" w:type="dxa"/>
            <w:vAlign w:val="bottom"/>
          </w:tcPr>
          <w:p w14:paraId="4ACC0E7C" w14:textId="77777777" w:rsidR="005B2178" w:rsidRPr="003A0A7F" w:rsidRDefault="005B2178" w:rsidP="006B4821">
            <w:pPr>
              <w:spacing w:line="360" w:lineRule="auto"/>
              <w:jc w:val="center"/>
              <w:rPr>
                <w:rFonts w:ascii="Times New Roman" w:hAnsi="Times New Roman" w:cs="Times New Roman"/>
                <w:b/>
                <w:bCs/>
                <w:sz w:val="24"/>
                <w:szCs w:val="24"/>
                <w:u w:val="single"/>
              </w:rPr>
            </w:pPr>
            <w:r w:rsidRPr="003A0A7F">
              <w:rPr>
                <w:rFonts w:ascii="Times New Roman" w:hAnsi="Times New Roman" w:cs="Times New Roman"/>
                <w:b/>
                <w:bCs/>
                <w:sz w:val="24"/>
                <w:szCs w:val="24"/>
                <w:u w:val="single"/>
              </w:rPr>
              <w:t>1-2</w:t>
            </w:r>
          </w:p>
        </w:tc>
      </w:tr>
      <w:tr w:rsidR="005B2178" w14:paraId="59450035" w14:textId="77777777" w:rsidTr="006B4821">
        <w:trPr>
          <w:jc w:val="center"/>
        </w:trPr>
        <w:tc>
          <w:tcPr>
            <w:tcW w:w="3060" w:type="dxa"/>
            <w:vAlign w:val="bottom"/>
          </w:tcPr>
          <w:p w14:paraId="71BA32CC"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Y725A</w:t>
            </w:r>
          </w:p>
        </w:tc>
        <w:tc>
          <w:tcPr>
            <w:tcW w:w="1890" w:type="dxa"/>
            <w:vAlign w:val="bottom"/>
          </w:tcPr>
          <w:p w14:paraId="0F3BC36F" w14:textId="77777777" w:rsidR="005B2178" w:rsidRPr="00C81873"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440" w:type="dxa"/>
            <w:vAlign w:val="bottom"/>
          </w:tcPr>
          <w:p w14:paraId="02C52E9A"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0.5</w:t>
            </w:r>
          </w:p>
        </w:tc>
        <w:tc>
          <w:tcPr>
            <w:tcW w:w="1253" w:type="dxa"/>
            <w:vAlign w:val="bottom"/>
          </w:tcPr>
          <w:p w14:paraId="6199830A"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4</w:t>
            </w:r>
          </w:p>
        </w:tc>
      </w:tr>
      <w:tr w:rsidR="005B2178" w14:paraId="24CA99A9" w14:textId="77777777" w:rsidTr="006B4821">
        <w:trPr>
          <w:jc w:val="center"/>
        </w:trPr>
        <w:tc>
          <w:tcPr>
            <w:tcW w:w="3060" w:type="dxa"/>
            <w:vAlign w:val="bottom"/>
          </w:tcPr>
          <w:p w14:paraId="4725DF79"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A705I</w:t>
            </w:r>
          </w:p>
        </w:tc>
        <w:tc>
          <w:tcPr>
            <w:tcW w:w="1890" w:type="dxa"/>
            <w:vAlign w:val="bottom"/>
          </w:tcPr>
          <w:p w14:paraId="12FB0638" w14:textId="77777777" w:rsidR="005B2178" w:rsidRPr="00C81873"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440" w:type="dxa"/>
            <w:vAlign w:val="bottom"/>
          </w:tcPr>
          <w:p w14:paraId="432A3CFA"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2</w:t>
            </w:r>
          </w:p>
        </w:tc>
        <w:tc>
          <w:tcPr>
            <w:tcW w:w="1253" w:type="dxa"/>
            <w:vAlign w:val="bottom"/>
          </w:tcPr>
          <w:p w14:paraId="46722A39"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8</w:t>
            </w:r>
          </w:p>
        </w:tc>
      </w:tr>
      <w:tr w:rsidR="005B2178" w14:paraId="59BA00C8" w14:textId="77777777" w:rsidTr="006B4821">
        <w:trPr>
          <w:jc w:val="center"/>
        </w:trPr>
        <w:tc>
          <w:tcPr>
            <w:tcW w:w="3060" w:type="dxa"/>
            <w:vAlign w:val="bottom"/>
          </w:tcPr>
          <w:p w14:paraId="0B75B0C7" w14:textId="77777777" w:rsidR="005B2178" w:rsidRPr="00C81873" w:rsidRDefault="005B2178"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Q83A</w:t>
            </w:r>
          </w:p>
        </w:tc>
        <w:tc>
          <w:tcPr>
            <w:tcW w:w="1890" w:type="dxa"/>
            <w:vAlign w:val="bottom"/>
          </w:tcPr>
          <w:p w14:paraId="3D0B879A" w14:textId="77777777" w:rsidR="005B2178" w:rsidRPr="00C81873" w:rsidRDefault="005B2178"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440" w:type="dxa"/>
            <w:vAlign w:val="bottom"/>
          </w:tcPr>
          <w:p w14:paraId="7E5DF975"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w:t>
            </w:r>
          </w:p>
        </w:tc>
        <w:tc>
          <w:tcPr>
            <w:tcW w:w="1253" w:type="dxa"/>
            <w:vAlign w:val="bottom"/>
          </w:tcPr>
          <w:p w14:paraId="7637E786" w14:textId="77777777" w:rsidR="005B2178" w:rsidRPr="00CC7236" w:rsidRDefault="005B2178"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8</w:t>
            </w:r>
          </w:p>
        </w:tc>
      </w:tr>
    </w:tbl>
    <w:bookmarkEnd w:id="15"/>
    <w:p w14:paraId="3E58520D" w14:textId="20004FE6" w:rsidR="00C82F65" w:rsidRPr="00A75576" w:rsidRDefault="00A75576" w:rsidP="00D44E6F">
      <w:pPr>
        <w:spacing w:line="360" w:lineRule="auto"/>
        <w:ind w:firstLine="720"/>
        <w:rPr>
          <w:sz w:val="24"/>
          <w:szCs w:val="24"/>
        </w:rPr>
      </w:pPr>
      <w:r>
        <w:lastRenderedPageBreak/>
        <w:t>M</w:t>
      </w:r>
      <w:r w:rsidR="00C82F65" w:rsidRPr="00A75576">
        <w:t xml:space="preserve">inimal inhibitory concentrations [µg/mL] of </w:t>
      </w:r>
      <w:r w:rsidR="00C82F65" w:rsidRPr="00A75576">
        <w:rPr>
          <w:rFonts w:asciiTheme="majorHAnsi" w:hAnsiTheme="majorHAnsi" w:cstheme="majorHAnsi"/>
        </w:rPr>
        <w:t>Ab</w:t>
      </w:r>
      <w:r w:rsidR="00C82F65" w:rsidRPr="00A75576">
        <w:t>∆3</w:t>
      </w:r>
      <w:r w:rsidR="00127D9A">
        <w:t>-Pore</w:t>
      </w:r>
      <w:r w:rsidR="00C82F65" w:rsidRPr="00A75576">
        <w:t xml:space="preserve"> cells containing control or AdeG mutant</w:t>
      </w:r>
      <w:r>
        <w:t xml:space="preserve"> </w:t>
      </w:r>
      <w:r w:rsidR="00C82F65" w:rsidRPr="00A75576">
        <w:t xml:space="preserve">plasmids. MIC values that differ by four-fold </w:t>
      </w:r>
      <w:r w:rsidR="00E821FB" w:rsidRPr="00A75576">
        <w:t xml:space="preserve">or more </w:t>
      </w:r>
      <w:r w:rsidR="00C82F65" w:rsidRPr="00A75576">
        <w:t>are shown in underlined bold.</w:t>
      </w:r>
    </w:p>
    <w:p w14:paraId="72503CA3" w14:textId="4A57EFAD" w:rsidR="00973290" w:rsidRPr="00973290" w:rsidRDefault="00973290" w:rsidP="00A50C7C">
      <w:pPr>
        <w:spacing w:line="276" w:lineRule="auto"/>
        <w:rPr>
          <w:sz w:val="24"/>
          <w:szCs w:val="24"/>
          <w:u w:val="single"/>
        </w:rPr>
      </w:pPr>
      <w:r w:rsidRPr="00973290">
        <w:rPr>
          <w:sz w:val="24"/>
          <w:szCs w:val="24"/>
          <w:u w:val="single"/>
        </w:rPr>
        <w:t>4.3.2. Functional characterization of mutant AdeG transporters</w:t>
      </w:r>
    </w:p>
    <w:p w14:paraId="7FDE14E8" w14:textId="3F963393" w:rsidR="00C653CC" w:rsidRDefault="00C40B67" w:rsidP="00973290">
      <w:pPr>
        <w:spacing w:line="360" w:lineRule="auto"/>
        <w:ind w:firstLine="720"/>
        <w:rPr>
          <w:sz w:val="24"/>
          <w:szCs w:val="24"/>
        </w:rPr>
      </w:pPr>
      <w:r w:rsidRPr="00003FCE">
        <w:rPr>
          <w:sz w:val="24"/>
          <w:szCs w:val="24"/>
        </w:rPr>
        <w:t>To test the function of the mutant AdeG transporters in</w:t>
      </w:r>
      <w:r w:rsidRPr="00003FCE">
        <w:rPr>
          <w:i/>
          <w:iCs/>
          <w:sz w:val="24"/>
          <w:szCs w:val="24"/>
        </w:rPr>
        <w:t xml:space="preserve"> A. baumannii</w:t>
      </w:r>
      <w:r w:rsidRPr="00003FCE">
        <w:rPr>
          <w:sz w:val="24"/>
          <w:szCs w:val="24"/>
        </w:rPr>
        <w:t xml:space="preserve"> Δ3</w:t>
      </w:r>
      <w:r w:rsidR="00E50A54">
        <w:rPr>
          <w:sz w:val="24"/>
          <w:szCs w:val="24"/>
        </w:rPr>
        <w:t>-Pore</w:t>
      </w:r>
      <w:r w:rsidRPr="00003FCE">
        <w:rPr>
          <w:sz w:val="24"/>
          <w:szCs w:val="24"/>
        </w:rPr>
        <w:t xml:space="preserve"> cells, an antibiotic susceptibility assay was done using AdeG pump substrates Chloramphenicol (CHL), Norfloxacin (NOR), Nalidixic acid (NAL) </w:t>
      </w:r>
      <w:r w:rsidR="006664FB">
        <w:rPr>
          <w:sz w:val="24"/>
          <w:szCs w:val="24"/>
        </w:rPr>
        <w:t>(</w:t>
      </w:r>
      <w:r w:rsidR="006664FB">
        <w:rPr>
          <w:b/>
          <w:bCs/>
          <w:sz w:val="24"/>
          <w:szCs w:val="24"/>
        </w:rPr>
        <w:t>Table 4.1</w:t>
      </w:r>
      <w:r w:rsidR="006664FB">
        <w:rPr>
          <w:sz w:val="24"/>
          <w:szCs w:val="24"/>
        </w:rPr>
        <w:t>)</w:t>
      </w:r>
      <w:r w:rsidRPr="00003FCE">
        <w:rPr>
          <w:sz w:val="24"/>
          <w:szCs w:val="24"/>
        </w:rPr>
        <w:t xml:space="preserve">. The resulting minimum inhibitory concentrations (MICs) were compared to </w:t>
      </w:r>
      <w:r w:rsidRPr="00003FCE">
        <w:rPr>
          <w:i/>
          <w:iCs/>
          <w:sz w:val="24"/>
          <w:szCs w:val="24"/>
        </w:rPr>
        <w:t>A. baumannii</w:t>
      </w:r>
      <w:r w:rsidRPr="00003FCE">
        <w:rPr>
          <w:sz w:val="24"/>
          <w:szCs w:val="24"/>
        </w:rPr>
        <w:t xml:space="preserve"> Δ3</w:t>
      </w:r>
      <w:r w:rsidR="00E50A54">
        <w:rPr>
          <w:sz w:val="24"/>
          <w:szCs w:val="24"/>
        </w:rPr>
        <w:t>-Pore</w:t>
      </w:r>
      <w:r w:rsidRPr="00003FCE">
        <w:rPr>
          <w:sz w:val="24"/>
          <w:szCs w:val="24"/>
        </w:rPr>
        <w:t xml:space="preserve"> cells expressing an empty plasmid (pTJ1-MCS) or WT AdeFGH (p</w:t>
      </w:r>
      <w:r w:rsidR="00A17C95">
        <w:rPr>
          <w:sz w:val="24"/>
          <w:szCs w:val="24"/>
        </w:rPr>
        <w:t>TJ1-</w:t>
      </w:r>
      <w:r w:rsidRPr="00003FCE">
        <w:rPr>
          <w:sz w:val="24"/>
          <w:szCs w:val="24"/>
        </w:rPr>
        <w:t xml:space="preserve">AdeFGH). These two control strains represent the minimum efflux activity (empty plasmid) up to the maximum expected efflux activity (WT AdeFGH). </w:t>
      </w:r>
      <w:r w:rsidR="005F7A8C">
        <w:rPr>
          <w:sz w:val="24"/>
          <w:szCs w:val="24"/>
        </w:rPr>
        <w:t>These experiments were carried out at least twice, and the resulting MIC values were reproducible.</w:t>
      </w:r>
    </w:p>
    <w:p w14:paraId="56DA98A1" w14:textId="0D672AB8" w:rsidR="00CD6302" w:rsidRDefault="00CD6302" w:rsidP="00973290">
      <w:pPr>
        <w:spacing w:line="360" w:lineRule="auto"/>
        <w:ind w:firstLine="720"/>
        <w:rPr>
          <w:sz w:val="24"/>
          <w:szCs w:val="24"/>
        </w:rPr>
      </w:pPr>
      <w:r>
        <w:rPr>
          <w:sz w:val="24"/>
          <w:szCs w:val="24"/>
        </w:rPr>
        <w:t>There were no significant changes in MICs of chloramphenicol in any of the tested strains. This was unexpected since th</w:t>
      </w:r>
      <w:r w:rsidR="009C1934">
        <w:rPr>
          <w:sz w:val="24"/>
          <w:szCs w:val="24"/>
        </w:rPr>
        <w:t>is</w:t>
      </w:r>
      <w:r>
        <w:rPr>
          <w:sz w:val="24"/>
          <w:szCs w:val="24"/>
        </w:rPr>
        <w:t xml:space="preserve"> compound </w:t>
      </w:r>
      <w:r w:rsidR="009C1934">
        <w:rPr>
          <w:sz w:val="24"/>
          <w:szCs w:val="24"/>
        </w:rPr>
        <w:t>is a</w:t>
      </w:r>
      <w:r>
        <w:rPr>
          <w:sz w:val="24"/>
          <w:szCs w:val="24"/>
        </w:rPr>
        <w:t xml:space="preserve"> known substrate of the AdeFGH pump.</w:t>
      </w:r>
      <w:r>
        <w:rPr>
          <w:sz w:val="24"/>
          <w:szCs w:val="24"/>
        </w:rPr>
        <w:fldChar w:fldCharType="begin"/>
      </w:r>
      <w:r w:rsidR="00864355">
        <w:rPr>
          <w:sz w:val="24"/>
          <w:szCs w:val="24"/>
        </w:rPr>
        <w:instrText xml:space="preserve"> ADDIN ZOTERO_ITEM CSL_CITATION {"citationID":"a2c6uj71f6h","properties":{"formattedCitation":"\\super 52\\nosupersub{}","plainCitation":"52","noteIndex":0},"citationItems":[{"id":1173,"uris":["http://zotero.org/users/1918630/items/UM9GT5BB"],"itemData":{"id":1173,"type":"article-journal","abstract":"Antibiotic-resistant Acinetobacter baumannii causes infections that are extremely difficult to treat. A significant role in these resistance profiles is attributed to multidrug efflux pumps, especially those belonging to the resistance-nodulation-cell division (RND) superfamily of transporters. In this study, we analyzed functions and properties of RND efflux pumps in A. baumannii ATCC 17978. This strain is susceptible to antibiotics and does not contain mutations that are commonly selected upon exposure to high concentrations of antibiotics. We constructed derivatives of ATCC 17978 lacking chromosomally encoded RND pumps and complemented these strains by the plasmid-borne genes. We analyzed the substrate selectivities and efficiencies of the individual pumps in the context of native outer membranes and their hyperporinated variants. Our results show that inactivation of AdeIJK provides the strongest potentiation of antibiotic activities, whereas inactivation of AdeFGH triggers the overexpression of AdeAB. The plasmid-borne overproduction complements the hypersusceptible phenotypes of the efflux deletion mutants to the levels of the parental ATCC 17978. Only a few antibiotics strongly benefitted from the overproduction of efflux pumps and antibacterial activities of some of those depended on the synergistic interaction with the low permeability barrier of the outer membrane. Either overproduction or inactivation of efflux pumps change dramatically the lipidome of ATCC 17978. We conclude that efflux pumps of A. baumannii are tightly integrated into physiology of this bacterium and that clinical levels of antibiotic resistance in A. baumannii isolates are unlikely to be reached solely due to the overproduction of RND efflux pumps.IMPORTANCE RND-type efflux pumps are important contributors in development of clinical antibiotic resistance in A. baumannii However, their specific roles and the extent of contribution to antibiotic resistance remain unclear. We analyzed antibacterial activities of antibiotics in strains with different permeability barriers and found that the role of active efflux in antibiotic resistance of A. baumannii is limited to a few select antibiotics. Our results further show that the impact of efflux pump overproduction on antibiotic susceptibility is significantly lower than the previously reported for clinical isolates. Additional mechanisms of resistance, in particular those that improve the permeability barriers of bacterial cells and act synergistically with active efflux pumps are likely involved in antibiotic resistance of clinical A. baumannii isolates.","container-title":"Journal of Bacteriology","DOI":"10.1128/JB.00049-18","ISSN":"1098-5530","issue":"13","journalAbbreviation":"J Bacteriol","language":"eng","note":"PMID: 29661860\nPMCID: PMC5996695","source":"PubMed","title":"Substrate Specificities and Efflux Efficiencies of RND Efflux Pumps of Acinetobacter baumannii","volume":"200","author":[{"family":"Leus","given":"Inga V."},{"family":"Weeks","given":"Jon W."},{"family":"Bonifay","given":"Vincent"},{"family":"Smith","given":"Lauren"},{"family":"Richardson","given":"Sophie"},{"family":"Zgurskaya","given":"Helen I."}],"issued":{"date-parts":[["2018",7,1]]}}}],"schema":"https://github.com/citation-style-language/schema/raw/master/csl-citation.json"} </w:instrText>
      </w:r>
      <w:r>
        <w:rPr>
          <w:sz w:val="24"/>
          <w:szCs w:val="24"/>
        </w:rPr>
        <w:fldChar w:fldCharType="separate"/>
      </w:r>
      <w:r w:rsidR="00864355" w:rsidRPr="00864355">
        <w:rPr>
          <w:rFonts w:ascii="Times New Roman" w:hAnsi="Times New Roman" w:cs="Times New Roman"/>
          <w:sz w:val="24"/>
          <w:szCs w:val="24"/>
          <w:vertAlign w:val="superscript"/>
        </w:rPr>
        <w:t>52</w:t>
      </w:r>
      <w:r>
        <w:rPr>
          <w:sz w:val="24"/>
          <w:szCs w:val="24"/>
        </w:rPr>
        <w:fldChar w:fldCharType="end"/>
      </w:r>
      <w:r>
        <w:rPr>
          <w:sz w:val="24"/>
          <w:szCs w:val="24"/>
        </w:rPr>
        <w:t xml:space="preserve">  On the other hand, norfloxacin had a 4-8-fold increase in MIC</w:t>
      </w:r>
      <w:r w:rsidR="00DA7823">
        <w:rPr>
          <w:sz w:val="24"/>
          <w:szCs w:val="24"/>
        </w:rPr>
        <w:t xml:space="preserve"> and nalidixic acid had an 8-fold MIC increase in the WT (Ab</w:t>
      </w:r>
      <w:r w:rsidR="00DA7823" w:rsidRPr="00003FCE">
        <w:rPr>
          <w:sz w:val="24"/>
          <w:szCs w:val="24"/>
        </w:rPr>
        <w:t>Δ3</w:t>
      </w:r>
      <w:r w:rsidR="00DA7823">
        <w:rPr>
          <w:sz w:val="24"/>
          <w:szCs w:val="24"/>
        </w:rPr>
        <w:t>(pAdeFGH)) strain compared to the negative control (Ab</w:t>
      </w:r>
      <w:r w:rsidR="00DA7823" w:rsidRPr="00003FCE">
        <w:rPr>
          <w:sz w:val="24"/>
          <w:szCs w:val="24"/>
        </w:rPr>
        <w:t>Δ3</w:t>
      </w:r>
      <w:r w:rsidR="00DA7823">
        <w:rPr>
          <w:sz w:val="24"/>
          <w:szCs w:val="24"/>
        </w:rPr>
        <w:t>(pTJ1-MCS)</w:t>
      </w:r>
      <w:r w:rsidR="00CC004C">
        <w:rPr>
          <w:sz w:val="24"/>
          <w:szCs w:val="24"/>
        </w:rPr>
        <w:t>)</w:t>
      </w:r>
      <w:r w:rsidR="00DA7823">
        <w:rPr>
          <w:sz w:val="24"/>
          <w:szCs w:val="24"/>
        </w:rPr>
        <w:t>.</w:t>
      </w:r>
    </w:p>
    <w:p w14:paraId="12C210FA" w14:textId="0DEAE643" w:rsidR="00CC004C" w:rsidRDefault="00C40B67" w:rsidP="00041B30">
      <w:pPr>
        <w:spacing w:line="360" w:lineRule="auto"/>
        <w:rPr>
          <w:sz w:val="24"/>
          <w:szCs w:val="24"/>
        </w:rPr>
      </w:pPr>
      <w:r>
        <w:rPr>
          <w:sz w:val="24"/>
          <w:szCs w:val="24"/>
        </w:rPr>
        <w:tab/>
        <w:t xml:space="preserve">The antibiotic susceptibility assays showed </w:t>
      </w:r>
      <w:r w:rsidR="004825E3">
        <w:rPr>
          <w:sz w:val="24"/>
          <w:szCs w:val="24"/>
        </w:rPr>
        <w:t xml:space="preserve">the AdeG mutants I621A and G679I were associated with a complete inability to efflux the pump substrate </w:t>
      </w:r>
      <w:r w:rsidR="00AD111B">
        <w:rPr>
          <w:sz w:val="24"/>
          <w:szCs w:val="24"/>
        </w:rPr>
        <w:t>n</w:t>
      </w:r>
      <w:r w:rsidR="004825E3">
        <w:rPr>
          <w:sz w:val="24"/>
          <w:szCs w:val="24"/>
        </w:rPr>
        <w:t>orfloxacin</w:t>
      </w:r>
      <w:r w:rsidR="00AD111B">
        <w:rPr>
          <w:sz w:val="24"/>
          <w:szCs w:val="24"/>
        </w:rPr>
        <w:t xml:space="preserve"> (NOR)</w:t>
      </w:r>
      <w:r w:rsidR="004825E3">
        <w:rPr>
          <w:sz w:val="24"/>
          <w:szCs w:val="24"/>
        </w:rPr>
        <w:t xml:space="preserve"> </w:t>
      </w:r>
      <w:r w:rsidR="005F7A8C">
        <w:rPr>
          <w:sz w:val="24"/>
          <w:szCs w:val="24"/>
        </w:rPr>
        <w:t xml:space="preserve">and nalidixic acid (NAL) </w:t>
      </w:r>
      <w:r w:rsidR="004825E3">
        <w:rPr>
          <w:sz w:val="24"/>
          <w:szCs w:val="24"/>
        </w:rPr>
        <w:t>compared to WT</w:t>
      </w:r>
      <w:r w:rsidR="00AD111B">
        <w:rPr>
          <w:sz w:val="24"/>
          <w:szCs w:val="24"/>
        </w:rPr>
        <w:t>, with each mutant pump showing a 4- to 8- fold decreasing in MIC. This suggests that the AdeG I621A</w:t>
      </w:r>
      <w:r w:rsidR="00E50A54">
        <w:rPr>
          <w:sz w:val="24"/>
          <w:szCs w:val="24"/>
        </w:rPr>
        <w:t xml:space="preserve"> </w:t>
      </w:r>
      <w:r w:rsidR="00AD111B">
        <w:rPr>
          <w:sz w:val="24"/>
          <w:szCs w:val="24"/>
        </w:rPr>
        <w:t xml:space="preserve">and G679I mutants </w:t>
      </w:r>
      <w:r w:rsidR="005F7A8C">
        <w:rPr>
          <w:sz w:val="24"/>
          <w:szCs w:val="24"/>
        </w:rPr>
        <w:t>lost their ability</w:t>
      </w:r>
      <w:r w:rsidR="00AD111B">
        <w:rPr>
          <w:sz w:val="24"/>
          <w:szCs w:val="24"/>
        </w:rPr>
        <w:t xml:space="preserve"> to efflux norfloxacin </w:t>
      </w:r>
      <w:r w:rsidR="005F7A8C">
        <w:rPr>
          <w:sz w:val="24"/>
          <w:szCs w:val="24"/>
        </w:rPr>
        <w:t>and nalidixic acid</w:t>
      </w:r>
      <w:r w:rsidR="00AD111B">
        <w:rPr>
          <w:sz w:val="24"/>
          <w:szCs w:val="24"/>
        </w:rPr>
        <w:t>. This made cells hosting the mutant pumps more susceptible to norfloxacin</w:t>
      </w:r>
      <w:r w:rsidR="005F7A8C">
        <w:rPr>
          <w:sz w:val="24"/>
          <w:szCs w:val="24"/>
        </w:rPr>
        <w:t xml:space="preserve"> and nalidixic acid</w:t>
      </w:r>
      <w:r w:rsidR="00AD111B">
        <w:rPr>
          <w:sz w:val="24"/>
          <w:szCs w:val="24"/>
        </w:rPr>
        <w:t xml:space="preserve">, thus the lower MIC values. </w:t>
      </w:r>
      <w:r w:rsidR="00E50A54">
        <w:rPr>
          <w:sz w:val="24"/>
          <w:szCs w:val="24"/>
        </w:rPr>
        <w:t xml:space="preserve">The AdeG mutant Y725A showed a 2-fold higher susceptibility to both norfloxacin and nalidixic acid, suggesting that the Y725A substitution results in a slightly lower efflux ability. The remaining AdeG mutants (S620A, A705I, Q83A, and L138A) demonstrated antibiotic susceptibilities similar to WT AdeFGH. </w:t>
      </w:r>
    </w:p>
    <w:p w14:paraId="77F1ED60" w14:textId="77777777" w:rsidR="002E75D5" w:rsidRDefault="002E75D5" w:rsidP="00041B30">
      <w:pPr>
        <w:spacing w:line="360" w:lineRule="auto"/>
        <w:rPr>
          <w:sz w:val="24"/>
          <w:szCs w:val="24"/>
        </w:rPr>
      </w:pPr>
    </w:p>
    <w:p w14:paraId="2155F4F1" w14:textId="77777777" w:rsidR="002E75D5" w:rsidRDefault="002E75D5" w:rsidP="00041B30">
      <w:pPr>
        <w:spacing w:line="360" w:lineRule="auto"/>
        <w:rPr>
          <w:sz w:val="24"/>
          <w:szCs w:val="24"/>
        </w:rPr>
      </w:pPr>
    </w:p>
    <w:p w14:paraId="07354675" w14:textId="5705C0CB" w:rsidR="00A75576" w:rsidRPr="00CC004C" w:rsidRDefault="006349DC" w:rsidP="00041B30">
      <w:pPr>
        <w:spacing w:line="360" w:lineRule="auto"/>
        <w:rPr>
          <w:sz w:val="24"/>
          <w:szCs w:val="24"/>
        </w:rPr>
      </w:pPr>
      <w:r>
        <w:rPr>
          <w:sz w:val="24"/>
          <w:szCs w:val="24"/>
          <w:u w:val="single"/>
        </w:rPr>
        <w:lastRenderedPageBreak/>
        <w:t>4.3.</w:t>
      </w:r>
      <w:r w:rsidR="004F705E">
        <w:rPr>
          <w:sz w:val="24"/>
          <w:szCs w:val="24"/>
          <w:u w:val="single"/>
        </w:rPr>
        <w:t>3</w:t>
      </w:r>
      <w:r>
        <w:rPr>
          <w:sz w:val="24"/>
          <w:szCs w:val="24"/>
          <w:u w:val="single"/>
        </w:rPr>
        <w:t xml:space="preserve">. Kinetic </w:t>
      </w:r>
      <w:r w:rsidR="004F705E">
        <w:rPr>
          <w:sz w:val="24"/>
          <w:szCs w:val="24"/>
          <w:u w:val="single"/>
        </w:rPr>
        <w:t>a</w:t>
      </w:r>
      <w:r>
        <w:rPr>
          <w:sz w:val="24"/>
          <w:szCs w:val="24"/>
          <w:u w:val="single"/>
        </w:rPr>
        <w:t xml:space="preserve">nalysis of mutant AdeG </w:t>
      </w:r>
      <w:r w:rsidR="004F705E">
        <w:rPr>
          <w:sz w:val="24"/>
          <w:szCs w:val="24"/>
          <w:u w:val="single"/>
        </w:rPr>
        <w:t>t</w:t>
      </w:r>
      <w:r>
        <w:rPr>
          <w:sz w:val="24"/>
          <w:szCs w:val="24"/>
          <w:u w:val="single"/>
        </w:rPr>
        <w:t>ransporters</w:t>
      </w:r>
    </w:p>
    <w:p w14:paraId="3F4C8919" w14:textId="256CE728" w:rsidR="00920A0F" w:rsidRDefault="00920A0F" w:rsidP="00920A0F">
      <w:pPr>
        <w:spacing w:line="360" w:lineRule="auto"/>
        <w:ind w:firstLine="720"/>
        <w:rPr>
          <w:sz w:val="24"/>
          <w:szCs w:val="24"/>
        </w:rPr>
      </w:pPr>
      <w:r w:rsidRPr="00C158D7">
        <w:rPr>
          <w:rFonts w:cstheme="minorHAnsi"/>
          <w:sz w:val="24"/>
          <w:szCs w:val="24"/>
        </w:rPr>
        <w:t>Next, the kinetics of the AdeG mutants’ ability to efflux NPN was measured (</w:t>
      </w:r>
      <w:r w:rsidRPr="00C158D7">
        <w:rPr>
          <w:rFonts w:cstheme="minorHAnsi"/>
          <w:b/>
          <w:bCs/>
          <w:sz w:val="24"/>
          <w:szCs w:val="24"/>
        </w:rPr>
        <w:t>Figure 4.</w:t>
      </w:r>
      <w:r w:rsidR="00E026FE">
        <w:rPr>
          <w:rFonts w:cstheme="minorHAnsi"/>
          <w:b/>
          <w:bCs/>
          <w:sz w:val="24"/>
          <w:szCs w:val="24"/>
        </w:rPr>
        <w:t>3</w:t>
      </w:r>
      <w:r w:rsidRPr="00C158D7">
        <w:rPr>
          <w:rFonts w:cstheme="minorHAnsi"/>
          <w:sz w:val="24"/>
          <w:szCs w:val="24"/>
        </w:rPr>
        <w:t>). This uptake assay was conducted by preparing a non-b</w:t>
      </w:r>
      <w:r>
        <w:rPr>
          <w:rFonts w:ascii="Cambria Math" w:hAnsi="Cambria Math" w:cs="Times New Roman"/>
          <w:sz w:val="24"/>
          <w:szCs w:val="24"/>
        </w:rPr>
        <w:t xml:space="preserve">inding 96 well plate with HMG buffer containing 0-16 </w:t>
      </w:r>
      <w:r w:rsidRPr="00545FE3">
        <w:rPr>
          <w:rFonts w:cstheme="minorHAnsi"/>
          <w:sz w:val="24"/>
          <w:szCs w:val="24"/>
        </w:rPr>
        <w:t>μM</w:t>
      </w:r>
      <w:r>
        <w:rPr>
          <w:rFonts w:cstheme="minorHAnsi"/>
          <w:sz w:val="24"/>
          <w:szCs w:val="24"/>
        </w:rPr>
        <w:t xml:space="preserve"> of NPN. After 3 fluorescence readings without cells, 100 </w:t>
      </w:r>
      <w:proofErr w:type="spellStart"/>
      <w:r w:rsidRPr="00545FE3">
        <w:rPr>
          <w:rFonts w:cstheme="minorHAnsi"/>
          <w:sz w:val="24"/>
          <w:szCs w:val="24"/>
        </w:rPr>
        <w:t>μ</w:t>
      </w:r>
      <w:r>
        <w:rPr>
          <w:rFonts w:cstheme="minorHAnsi"/>
          <w:sz w:val="24"/>
          <w:szCs w:val="24"/>
        </w:rPr>
        <w:t>L</w:t>
      </w:r>
      <w:proofErr w:type="spellEnd"/>
      <w:r>
        <w:rPr>
          <w:rFonts w:cstheme="minorHAnsi"/>
          <w:sz w:val="24"/>
          <w:szCs w:val="24"/>
        </w:rPr>
        <w:t xml:space="preserve"> of OD</w:t>
      </w:r>
      <w:r>
        <w:rPr>
          <w:rFonts w:cstheme="minorHAnsi"/>
          <w:sz w:val="24"/>
          <w:szCs w:val="24"/>
          <w:vertAlign w:val="subscript"/>
        </w:rPr>
        <w:t>600</w:t>
      </w:r>
      <w:r>
        <w:rPr>
          <w:rFonts w:cstheme="minorHAnsi"/>
          <w:sz w:val="24"/>
          <w:szCs w:val="24"/>
        </w:rPr>
        <w:t xml:space="preserve"> = 1.0 cells were injected into the wells, one strain at a time, with each run going for about 10 minutes. The data sets were normalized by subtracting the first no-cell RFU reading from each well’s time course. The data sets were then fitted using a script written for </w:t>
      </w:r>
      <w:proofErr w:type="spellStart"/>
      <w:r>
        <w:rPr>
          <w:rFonts w:cstheme="minorHAnsi"/>
          <w:sz w:val="24"/>
          <w:szCs w:val="24"/>
        </w:rPr>
        <w:t>MatLab</w:t>
      </w:r>
      <w:proofErr w:type="spellEnd"/>
      <w:r>
        <w:rPr>
          <w:rFonts w:cstheme="minorHAnsi"/>
          <w:sz w:val="24"/>
          <w:szCs w:val="24"/>
        </w:rPr>
        <w:t xml:space="preserve"> and the resulting fitted data sets were plotted as [NPN]</w:t>
      </w:r>
      <w:r w:rsidRPr="00273AB0">
        <w:rPr>
          <w:rFonts w:cstheme="minorHAnsi"/>
          <w:sz w:val="24"/>
          <w:szCs w:val="24"/>
          <w:vertAlign w:val="subscript"/>
        </w:rPr>
        <w:t>in</w:t>
      </w:r>
      <w:r>
        <w:rPr>
          <w:rFonts w:cstheme="minorHAnsi"/>
          <w:sz w:val="24"/>
          <w:szCs w:val="24"/>
        </w:rPr>
        <w:t xml:space="preserve">, </w:t>
      </w:r>
      <w:r w:rsidRPr="00545FE3">
        <w:rPr>
          <w:rFonts w:cstheme="minorHAnsi"/>
          <w:sz w:val="24"/>
          <w:szCs w:val="24"/>
        </w:rPr>
        <w:t>μM</w:t>
      </w:r>
      <w:r>
        <w:rPr>
          <w:rFonts w:cstheme="minorHAnsi"/>
          <w:sz w:val="24"/>
          <w:szCs w:val="24"/>
        </w:rPr>
        <w:t xml:space="preserve"> versus time, seconds.</w:t>
      </w:r>
      <w:r w:rsidR="00CC004C">
        <w:rPr>
          <w:rFonts w:cstheme="minorHAnsi"/>
          <w:sz w:val="24"/>
          <w:szCs w:val="24"/>
        </w:rPr>
        <w:fldChar w:fldCharType="begin"/>
      </w:r>
      <w:r w:rsidR="00625D97">
        <w:rPr>
          <w:rFonts w:cstheme="minorHAnsi"/>
          <w:sz w:val="24"/>
          <w:szCs w:val="24"/>
        </w:rPr>
        <w:instrText xml:space="preserve"> ADDIN ZOTERO_ITEM CSL_CITATION {"citationID":"aegh3vki3t","properties":{"formattedCitation":"\\super 122\\nosupersub{}","plainCitation":"122","noteIndex":0},"citationItems":[{"id":678,"uris":["http://zotero.org/users/1918630/items/DEDYYF6V"],"itemData":{"id":678,"type":"article-journal","abstract":"Cell envelopes of many bacteria consist of two membranes studded with efflux transporters. Such organization protects bacteria from the environment and gives rise to multidrug resistance. We report a kinetic model that accurately describes the permeation properties of this system. The model predicts complex non-linear patterns of drug uptake complete with a bifurcation, which recapitulate the known experimental anomalies. We introduce two kinetic parameters, the efflux and barrier constants, which replace those of Michaelis and Menten for trans-envelope transport. Both compound permeation and efflux display transitions, which delineate regimes of efficient and inefficient efflux. The first transition is related to saturation of the transporter by the compound and the second one behaves as a bifurcation and involves saturation of the outer membrane barrier. The bifurcation was experimentally observed in live bacteria. We further found that active efflux of a drug can be orders of magnitude faster than its diffusion into a cell and that the efficacy of a drug depends both on its transport properties and therapeutic potency. This analysis reveals novel physical principles in the behavior of the cellular envelope, creates a framework for quantification of small molecule permeation into bacteria, and should invigorate structure-activity studies of novel antibiotics.","container-title":"PLoS ONE","DOI":"10.1371/journal.pone.0184671","ISSN":"1932-6203","issue":"9","journalAbbreviation":"PLoS One","note":"PMID: 28926596\nPMCID: PMC5604995","source":"PubMed Central","title":"Bifurcation kinetics of drug uptake by Gram-negative bacteria","URL":"https://www.ncbi.nlm.nih.gov/pmc/articles/PMC5604995/","volume":"12","author":[{"family":"Westfall","given":"David A."},{"family":"Krishnamoorthy","given":"Ganesh"},{"family":"Wolloscheck","given":"David"},{"family":"Sarkar","given":"Rupa"},{"family":"Zgurskaya","given":"Helen I."},{"family":"Rybenkov","given":"Valentin V."}],"accessed":{"date-parts":[["2018",1,23]]},"issued":{"date-parts":[["2017",9,19]]}}}],"schema":"https://github.com/citation-style-language/schema/raw/master/csl-citation.json"} </w:instrText>
      </w:r>
      <w:r w:rsidR="00CC004C">
        <w:rPr>
          <w:rFonts w:cstheme="minorHAnsi"/>
          <w:sz w:val="24"/>
          <w:szCs w:val="24"/>
        </w:rPr>
        <w:fldChar w:fldCharType="separate"/>
      </w:r>
      <w:r w:rsidR="00625D97" w:rsidRPr="00625D97">
        <w:rPr>
          <w:rFonts w:ascii="Times New Roman" w:hAnsi="Times New Roman" w:cs="Times New Roman"/>
          <w:sz w:val="24"/>
          <w:vertAlign w:val="superscript"/>
        </w:rPr>
        <w:t>122</w:t>
      </w:r>
      <w:r w:rsidR="00CC004C">
        <w:rPr>
          <w:rFonts w:cstheme="minorHAnsi"/>
          <w:sz w:val="24"/>
          <w:szCs w:val="24"/>
        </w:rPr>
        <w:fldChar w:fldCharType="end"/>
      </w:r>
      <w:r>
        <w:rPr>
          <w:rFonts w:cstheme="minorHAnsi"/>
          <w:sz w:val="24"/>
          <w:szCs w:val="24"/>
        </w:rPr>
        <w:t xml:space="preserve"> The controls used for this kinetics uptake assay were the same as the inhibition uptake assay: Ab</w:t>
      </w:r>
      <w:r w:rsidRPr="0023411E">
        <w:rPr>
          <w:sz w:val="24"/>
          <w:szCs w:val="24"/>
        </w:rPr>
        <w:t>Δ3-Pore</w:t>
      </w:r>
      <w:r>
        <w:rPr>
          <w:sz w:val="24"/>
          <w:szCs w:val="24"/>
        </w:rPr>
        <w:t xml:space="preserve"> (negative control) and Ab</w:t>
      </w:r>
      <w:r w:rsidRPr="0023411E">
        <w:rPr>
          <w:sz w:val="24"/>
          <w:szCs w:val="24"/>
        </w:rPr>
        <w:t>Δ3-Pore</w:t>
      </w:r>
      <w:r w:rsidR="00004181">
        <w:rPr>
          <w:sz w:val="24"/>
          <w:szCs w:val="24"/>
        </w:rPr>
        <w:t xml:space="preserve"> </w:t>
      </w:r>
      <w:r>
        <w:rPr>
          <w:sz w:val="24"/>
          <w:szCs w:val="24"/>
        </w:rPr>
        <w:t xml:space="preserve">(pAdeFGH) (positive control). </w:t>
      </w:r>
    </w:p>
    <w:p w14:paraId="1EFCDA50" w14:textId="71C97BFE" w:rsidR="00920A0F" w:rsidRDefault="00920A0F" w:rsidP="00920A0F">
      <w:pPr>
        <w:spacing w:line="360" w:lineRule="auto"/>
        <w:ind w:firstLine="720"/>
        <w:rPr>
          <w:rFonts w:cstheme="minorHAnsi"/>
          <w:sz w:val="24"/>
          <w:szCs w:val="24"/>
        </w:rPr>
      </w:pPr>
      <w:r>
        <w:rPr>
          <w:sz w:val="24"/>
          <w:szCs w:val="24"/>
        </w:rPr>
        <w:t xml:space="preserve">For most of the AdeG mutants, there was no noticeable NPN accumulation until at least 4 </w:t>
      </w:r>
      <w:r w:rsidRPr="00545FE3">
        <w:rPr>
          <w:rFonts w:cstheme="minorHAnsi"/>
          <w:sz w:val="24"/>
          <w:szCs w:val="24"/>
        </w:rPr>
        <w:t>μM</w:t>
      </w:r>
      <w:r>
        <w:rPr>
          <w:rFonts w:cstheme="minorHAnsi"/>
          <w:sz w:val="24"/>
          <w:szCs w:val="24"/>
        </w:rPr>
        <w:t xml:space="preserve"> NPN. The increase from 4 </w:t>
      </w:r>
      <w:r w:rsidRPr="00545FE3">
        <w:rPr>
          <w:rFonts w:cstheme="minorHAnsi"/>
          <w:sz w:val="24"/>
          <w:szCs w:val="24"/>
        </w:rPr>
        <w:t>μM</w:t>
      </w:r>
      <w:r>
        <w:rPr>
          <w:rFonts w:cstheme="minorHAnsi"/>
          <w:sz w:val="24"/>
          <w:szCs w:val="24"/>
        </w:rPr>
        <w:t xml:space="preserve"> NPN to 8</w:t>
      </w:r>
      <w:r w:rsidRPr="00FC2373">
        <w:rPr>
          <w:rFonts w:cstheme="minorHAnsi"/>
          <w:sz w:val="24"/>
          <w:szCs w:val="24"/>
        </w:rPr>
        <w:t xml:space="preserve"> </w:t>
      </w:r>
      <w:r w:rsidRPr="00545FE3">
        <w:rPr>
          <w:rFonts w:cstheme="minorHAnsi"/>
          <w:sz w:val="24"/>
          <w:szCs w:val="24"/>
        </w:rPr>
        <w:t>μM</w:t>
      </w:r>
      <w:r>
        <w:rPr>
          <w:rFonts w:cstheme="minorHAnsi"/>
          <w:sz w:val="24"/>
          <w:szCs w:val="24"/>
        </w:rPr>
        <w:t xml:space="preserve"> NPN saw a small jump in </w:t>
      </w:r>
      <w:r w:rsidR="007A6B72">
        <w:rPr>
          <w:rFonts w:cstheme="minorHAnsi"/>
          <w:sz w:val="24"/>
          <w:szCs w:val="24"/>
        </w:rPr>
        <w:t xml:space="preserve">the steady-state levels of </w:t>
      </w:r>
      <w:r>
        <w:rPr>
          <w:rFonts w:cstheme="minorHAnsi"/>
          <w:sz w:val="24"/>
          <w:szCs w:val="24"/>
        </w:rPr>
        <w:t>NPN accumulation, with AdeG mutants I621A and G679I (</w:t>
      </w:r>
      <w:r>
        <w:rPr>
          <w:rFonts w:cstheme="minorHAnsi"/>
          <w:b/>
          <w:bCs/>
          <w:sz w:val="24"/>
          <w:szCs w:val="24"/>
        </w:rPr>
        <w:t>Figure 4.</w:t>
      </w:r>
      <w:r w:rsidR="00E026FE">
        <w:rPr>
          <w:rFonts w:cstheme="minorHAnsi"/>
          <w:b/>
          <w:bCs/>
          <w:sz w:val="24"/>
          <w:szCs w:val="24"/>
        </w:rPr>
        <w:t>3</w:t>
      </w:r>
      <w:r>
        <w:rPr>
          <w:rFonts w:cstheme="minorHAnsi"/>
          <w:b/>
          <w:bCs/>
          <w:sz w:val="24"/>
          <w:szCs w:val="24"/>
        </w:rPr>
        <w:t>-</w:t>
      </w:r>
      <w:r w:rsidR="00004181">
        <w:rPr>
          <w:rFonts w:cstheme="minorHAnsi"/>
          <w:b/>
          <w:bCs/>
          <w:sz w:val="24"/>
          <w:szCs w:val="24"/>
        </w:rPr>
        <w:t>F</w:t>
      </w:r>
      <w:r>
        <w:rPr>
          <w:rFonts w:cstheme="minorHAnsi"/>
          <w:b/>
          <w:bCs/>
          <w:sz w:val="24"/>
          <w:szCs w:val="24"/>
        </w:rPr>
        <w:t xml:space="preserve">, </w:t>
      </w:r>
      <w:r w:rsidR="00004181">
        <w:rPr>
          <w:rFonts w:cstheme="minorHAnsi"/>
          <w:b/>
          <w:bCs/>
          <w:sz w:val="24"/>
          <w:szCs w:val="24"/>
        </w:rPr>
        <w:t>H</w:t>
      </w:r>
      <w:r w:rsidRPr="00CD35DD">
        <w:rPr>
          <w:rFonts w:cstheme="minorHAnsi"/>
          <w:sz w:val="24"/>
          <w:szCs w:val="24"/>
        </w:rPr>
        <w:t>)</w:t>
      </w:r>
      <w:r>
        <w:rPr>
          <w:rFonts w:cstheme="minorHAnsi"/>
          <w:b/>
          <w:bCs/>
          <w:sz w:val="24"/>
          <w:szCs w:val="24"/>
        </w:rPr>
        <w:t xml:space="preserve"> </w:t>
      </w:r>
      <w:r>
        <w:rPr>
          <w:rFonts w:cstheme="minorHAnsi"/>
          <w:sz w:val="24"/>
          <w:szCs w:val="24"/>
        </w:rPr>
        <w:t xml:space="preserve">showing the largest </w:t>
      </w:r>
      <w:r w:rsidR="007A6B72">
        <w:rPr>
          <w:rFonts w:cstheme="minorHAnsi"/>
          <w:sz w:val="24"/>
          <w:szCs w:val="24"/>
        </w:rPr>
        <w:t xml:space="preserve">increase </w:t>
      </w:r>
      <w:r>
        <w:rPr>
          <w:rFonts w:cstheme="minorHAnsi"/>
          <w:sz w:val="24"/>
          <w:szCs w:val="24"/>
        </w:rPr>
        <w:t>in NPN accumulation. These two AdeG mutants also showed the highest maximum NPN accumulation at 16</w:t>
      </w:r>
      <w:r w:rsidRPr="00FC2373">
        <w:rPr>
          <w:rFonts w:cstheme="minorHAnsi"/>
          <w:sz w:val="24"/>
          <w:szCs w:val="24"/>
        </w:rPr>
        <w:t xml:space="preserve"> </w:t>
      </w:r>
      <w:r w:rsidRPr="00545FE3">
        <w:rPr>
          <w:rFonts w:cstheme="minorHAnsi"/>
          <w:sz w:val="24"/>
          <w:szCs w:val="24"/>
        </w:rPr>
        <w:t>μM</w:t>
      </w:r>
      <w:r>
        <w:rPr>
          <w:rFonts w:cstheme="minorHAnsi"/>
          <w:sz w:val="24"/>
          <w:szCs w:val="24"/>
        </w:rPr>
        <w:t xml:space="preserve"> NPN at almost 50K </w:t>
      </w:r>
      <w:r w:rsidR="0073198E">
        <w:rPr>
          <w:rFonts w:cstheme="minorHAnsi"/>
          <w:sz w:val="24"/>
          <w:szCs w:val="24"/>
        </w:rPr>
        <w:t>RFU</w:t>
      </w:r>
      <w:r>
        <w:rPr>
          <w:rFonts w:cstheme="minorHAnsi"/>
          <w:sz w:val="24"/>
          <w:szCs w:val="24"/>
        </w:rPr>
        <w:t xml:space="preserve">. AdeG mutants I621A and G679I exhibiting NPN uptake profiles similar to the negative </w:t>
      </w:r>
      <w:r w:rsidR="00666FDC">
        <w:rPr>
          <w:rFonts w:cstheme="minorHAnsi"/>
          <w:sz w:val="24"/>
          <w:szCs w:val="24"/>
        </w:rPr>
        <w:t>Ab</w:t>
      </w:r>
      <w:r w:rsidR="00666FDC" w:rsidRPr="0023411E">
        <w:rPr>
          <w:sz w:val="24"/>
          <w:szCs w:val="24"/>
        </w:rPr>
        <w:t>Δ3-Pore</w:t>
      </w:r>
      <w:r w:rsidR="00666FDC">
        <w:rPr>
          <w:sz w:val="24"/>
          <w:szCs w:val="24"/>
        </w:rPr>
        <w:t xml:space="preserve"> </w:t>
      </w:r>
      <w:r>
        <w:rPr>
          <w:rFonts w:cstheme="minorHAnsi"/>
          <w:sz w:val="24"/>
          <w:szCs w:val="24"/>
        </w:rPr>
        <w:t>control suggests that these mutant pumps have a significant impairment to their ability to efflux NPN compared to other mutants. The AdeG mutants S620A and Y725A (</w:t>
      </w:r>
      <w:r>
        <w:rPr>
          <w:rFonts w:cstheme="minorHAnsi"/>
          <w:b/>
          <w:bCs/>
          <w:sz w:val="24"/>
          <w:szCs w:val="24"/>
        </w:rPr>
        <w:t>Figure 4.</w:t>
      </w:r>
      <w:r w:rsidR="00E026FE">
        <w:rPr>
          <w:rFonts w:cstheme="minorHAnsi"/>
          <w:b/>
          <w:bCs/>
          <w:sz w:val="24"/>
          <w:szCs w:val="24"/>
        </w:rPr>
        <w:t>3</w:t>
      </w:r>
      <w:r>
        <w:rPr>
          <w:rFonts w:cstheme="minorHAnsi"/>
          <w:b/>
          <w:bCs/>
          <w:sz w:val="24"/>
          <w:szCs w:val="24"/>
        </w:rPr>
        <w:t xml:space="preserve">-C, </w:t>
      </w:r>
      <w:r w:rsidR="00004181">
        <w:rPr>
          <w:rFonts w:cstheme="minorHAnsi"/>
          <w:b/>
          <w:bCs/>
          <w:sz w:val="24"/>
          <w:szCs w:val="24"/>
        </w:rPr>
        <w:t>G</w:t>
      </w:r>
      <w:r>
        <w:rPr>
          <w:rFonts w:cstheme="minorHAnsi"/>
          <w:sz w:val="24"/>
          <w:szCs w:val="24"/>
        </w:rPr>
        <w:t>) exhibited NPN uptake profiles more similar to the positive control, but with higher NPN accumulation. This suggests that the AdeG mutants S620A and Y725A have an impaired ability to efflux NPN, but not to the degree of I621A and G679I. The AdeG mutants A705I, Q83A, and L138A (</w:t>
      </w:r>
      <w:r>
        <w:rPr>
          <w:rFonts w:cstheme="minorHAnsi"/>
          <w:b/>
          <w:bCs/>
          <w:sz w:val="24"/>
          <w:szCs w:val="24"/>
        </w:rPr>
        <w:t>Figure 4.</w:t>
      </w:r>
      <w:r w:rsidR="00E026FE">
        <w:rPr>
          <w:rFonts w:cstheme="minorHAnsi"/>
          <w:b/>
          <w:bCs/>
          <w:sz w:val="24"/>
          <w:szCs w:val="24"/>
        </w:rPr>
        <w:t>3</w:t>
      </w:r>
      <w:r>
        <w:rPr>
          <w:rFonts w:cstheme="minorHAnsi"/>
          <w:b/>
          <w:bCs/>
          <w:sz w:val="24"/>
          <w:szCs w:val="24"/>
        </w:rPr>
        <w:t xml:space="preserve">-D, E, </w:t>
      </w:r>
      <w:r w:rsidR="00004181">
        <w:rPr>
          <w:rFonts w:cstheme="minorHAnsi"/>
          <w:b/>
          <w:bCs/>
          <w:sz w:val="24"/>
          <w:szCs w:val="24"/>
        </w:rPr>
        <w:t>I</w:t>
      </w:r>
      <w:r>
        <w:rPr>
          <w:rFonts w:cstheme="minorHAnsi"/>
          <w:sz w:val="24"/>
          <w:szCs w:val="24"/>
        </w:rPr>
        <w:t>) showed NPN uptake profiles most similar to WT, with the mutant Q83A even showing what appears to be improved efflux of 16</w:t>
      </w:r>
      <w:r w:rsidRPr="00CD35DD">
        <w:rPr>
          <w:rFonts w:cstheme="minorHAnsi"/>
          <w:sz w:val="24"/>
          <w:szCs w:val="24"/>
        </w:rPr>
        <w:t xml:space="preserve"> </w:t>
      </w:r>
      <w:r w:rsidRPr="00545FE3">
        <w:rPr>
          <w:rFonts w:cstheme="minorHAnsi"/>
          <w:sz w:val="24"/>
          <w:szCs w:val="24"/>
        </w:rPr>
        <w:t>μM</w:t>
      </w:r>
      <w:r>
        <w:rPr>
          <w:rFonts w:cstheme="minorHAnsi"/>
          <w:sz w:val="24"/>
          <w:szCs w:val="24"/>
        </w:rPr>
        <w:t xml:space="preserve"> NPN, compared to the WT.</w:t>
      </w:r>
    </w:p>
    <w:p w14:paraId="344785EE" w14:textId="77777777" w:rsidR="004F705E" w:rsidRDefault="004F705E" w:rsidP="00920A0F">
      <w:pPr>
        <w:spacing w:line="360" w:lineRule="auto"/>
        <w:ind w:firstLine="720"/>
        <w:rPr>
          <w:rFonts w:cstheme="minorHAnsi"/>
          <w:sz w:val="24"/>
          <w:szCs w:val="24"/>
        </w:rPr>
      </w:pPr>
    </w:p>
    <w:p w14:paraId="40FC9B6D" w14:textId="77777777" w:rsidR="004F705E" w:rsidRDefault="004F705E" w:rsidP="00920A0F">
      <w:pPr>
        <w:spacing w:line="360" w:lineRule="auto"/>
        <w:ind w:firstLine="720"/>
        <w:rPr>
          <w:rFonts w:cstheme="minorHAnsi"/>
          <w:sz w:val="24"/>
          <w:szCs w:val="24"/>
        </w:rPr>
      </w:pPr>
    </w:p>
    <w:p w14:paraId="5E480EE4" w14:textId="77777777" w:rsidR="00CC004C" w:rsidRDefault="00CC004C" w:rsidP="00920A0F">
      <w:pPr>
        <w:spacing w:line="360" w:lineRule="auto"/>
        <w:ind w:firstLine="720"/>
        <w:rPr>
          <w:rFonts w:cstheme="minorHAnsi"/>
          <w:sz w:val="24"/>
          <w:szCs w:val="24"/>
        </w:rPr>
      </w:pPr>
    </w:p>
    <w:p w14:paraId="21B318AC" w14:textId="77777777" w:rsidR="00CC004C" w:rsidRDefault="00CC004C" w:rsidP="00920A0F">
      <w:pPr>
        <w:spacing w:line="360" w:lineRule="auto"/>
        <w:ind w:firstLine="720"/>
        <w:rPr>
          <w:rFonts w:cstheme="minorHAnsi"/>
          <w:sz w:val="24"/>
          <w:szCs w:val="24"/>
        </w:rPr>
      </w:pPr>
    </w:p>
    <w:p w14:paraId="48C74A61" w14:textId="77777777" w:rsidR="00CC004C" w:rsidRDefault="00CC004C" w:rsidP="00920A0F">
      <w:pPr>
        <w:spacing w:line="360" w:lineRule="auto"/>
        <w:ind w:firstLine="720"/>
        <w:rPr>
          <w:rFonts w:cstheme="minorHAnsi"/>
          <w:sz w:val="24"/>
          <w:szCs w:val="24"/>
        </w:rPr>
      </w:pPr>
    </w:p>
    <w:p w14:paraId="70E6FDD8" w14:textId="77777777" w:rsidR="004F705E" w:rsidRDefault="004F705E" w:rsidP="00920A0F">
      <w:pPr>
        <w:spacing w:line="360" w:lineRule="auto"/>
        <w:ind w:firstLine="720"/>
        <w:rPr>
          <w:rFonts w:cstheme="minorHAnsi"/>
          <w:sz w:val="24"/>
          <w:szCs w:val="24"/>
        </w:rPr>
      </w:pPr>
    </w:p>
    <w:p w14:paraId="73E0D78C" w14:textId="77777777" w:rsidR="0073198E" w:rsidRDefault="0073198E" w:rsidP="0073198E">
      <w:pPr>
        <w:spacing w:line="360" w:lineRule="auto"/>
        <w:rPr>
          <w:rFonts w:cstheme="minorHAnsi"/>
          <w:sz w:val="24"/>
          <w:szCs w:val="24"/>
        </w:rPr>
      </w:pPr>
      <w:r w:rsidRPr="00B56D61">
        <w:rPr>
          <w:rFonts w:cstheme="minorHAnsi"/>
          <w:noProof/>
          <w:sz w:val="24"/>
          <w:szCs w:val="24"/>
        </w:rPr>
        <w:drawing>
          <wp:inline distT="0" distB="0" distL="0" distR="0" wp14:anchorId="4DBA7A57" wp14:editId="46FEA86C">
            <wp:extent cx="5486400" cy="1496290"/>
            <wp:effectExtent l="0" t="0" r="0" b="8890"/>
            <wp:docPr id="2043729208" name="Picture 1" descr="A diagram of a t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48663" name="Picture 1" descr="A diagram of a test&#10;&#10;Description automatically generated with medium confidence"/>
                    <pic:cNvPicPr/>
                  </pic:nvPicPr>
                  <pic:blipFill rotWithShape="1">
                    <a:blip r:embed="rId40"/>
                    <a:srcRect b="14625"/>
                    <a:stretch/>
                  </pic:blipFill>
                  <pic:spPr bwMode="auto">
                    <a:xfrm>
                      <a:off x="0" y="0"/>
                      <a:ext cx="5486400" cy="1496290"/>
                    </a:xfrm>
                    <a:prstGeom prst="rect">
                      <a:avLst/>
                    </a:prstGeom>
                    <a:ln>
                      <a:noFill/>
                    </a:ln>
                    <a:extLst>
                      <a:ext uri="{53640926-AAD7-44D8-BBD7-CCE9431645EC}">
                        <a14:shadowObscured xmlns:a14="http://schemas.microsoft.com/office/drawing/2010/main"/>
                      </a:ext>
                    </a:extLst>
                  </pic:spPr>
                </pic:pic>
              </a:graphicData>
            </a:graphic>
          </wp:inline>
        </w:drawing>
      </w:r>
      <w:r w:rsidRPr="000E1164">
        <w:rPr>
          <w:rFonts w:cstheme="minorHAnsi"/>
          <w:sz w:val="24"/>
          <w:szCs w:val="24"/>
        </w:rPr>
        <w:t xml:space="preserve"> </w:t>
      </w:r>
    </w:p>
    <w:p w14:paraId="13BA1C35" w14:textId="0E4224CB" w:rsidR="0073198E" w:rsidRDefault="0073198E" w:rsidP="0073198E">
      <w:pPr>
        <w:rPr>
          <w:b/>
          <w:bCs/>
          <w:sz w:val="24"/>
          <w:szCs w:val="24"/>
        </w:rPr>
      </w:pPr>
      <w:r>
        <w:rPr>
          <w:b/>
          <w:bCs/>
          <w:sz w:val="24"/>
          <w:szCs w:val="24"/>
        </w:rPr>
        <w:t>Figure 4.2 –AdeG e</w:t>
      </w:r>
      <w:r w:rsidRPr="00B675DC">
        <w:rPr>
          <w:b/>
          <w:bCs/>
          <w:sz w:val="24"/>
          <w:szCs w:val="24"/>
        </w:rPr>
        <w:t>xpression in</w:t>
      </w:r>
      <w:r>
        <w:rPr>
          <w:b/>
          <w:bCs/>
          <w:sz w:val="24"/>
          <w:szCs w:val="24"/>
        </w:rPr>
        <w:t xml:space="preserve"> </w:t>
      </w:r>
      <w:r w:rsidRPr="00153F5E">
        <w:rPr>
          <w:b/>
          <w:bCs/>
          <w:i/>
          <w:iCs/>
          <w:sz w:val="24"/>
          <w:szCs w:val="24"/>
        </w:rPr>
        <w:t>A</w:t>
      </w:r>
      <w:r w:rsidRPr="00B675DC">
        <w:rPr>
          <w:b/>
          <w:bCs/>
          <w:i/>
          <w:iCs/>
          <w:sz w:val="24"/>
          <w:szCs w:val="24"/>
        </w:rPr>
        <w:t xml:space="preserve">. baumannii </w:t>
      </w:r>
      <w:r w:rsidRPr="00B675DC">
        <w:rPr>
          <w:b/>
          <w:bCs/>
          <w:sz w:val="24"/>
          <w:szCs w:val="24"/>
        </w:rPr>
        <w:t>Δ3-Pore</w:t>
      </w:r>
      <w:r>
        <w:rPr>
          <w:b/>
          <w:bCs/>
          <w:sz w:val="24"/>
          <w:szCs w:val="24"/>
        </w:rPr>
        <w:t xml:space="preserve"> cells at time of NPN (0-16 µM ) uptake</w:t>
      </w:r>
    </w:p>
    <w:p w14:paraId="65D8EAF4" w14:textId="329024A2" w:rsidR="0073198E" w:rsidRDefault="0073198E" w:rsidP="0073198E">
      <w:pPr>
        <w:rPr>
          <w:sz w:val="24"/>
          <w:szCs w:val="24"/>
        </w:rPr>
      </w:pPr>
      <w:r>
        <w:rPr>
          <w:sz w:val="24"/>
          <w:szCs w:val="24"/>
        </w:rPr>
        <w:t xml:space="preserve">Whole cell expression of the AdeG mutants in </w:t>
      </w:r>
      <w:r>
        <w:rPr>
          <w:i/>
          <w:iCs/>
          <w:sz w:val="24"/>
          <w:szCs w:val="24"/>
        </w:rPr>
        <w:t xml:space="preserve">A. </w:t>
      </w:r>
      <w:r w:rsidRPr="0023411E">
        <w:rPr>
          <w:i/>
          <w:iCs/>
          <w:sz w:val="24"/>
          <w:szCs w:val="24"/>
        </w:rPr>
        <w:t>baumannii</w:t>
      </w:r>
      <w:r w:rsidRPr="0023411E">
        <w:rPr>
          <w:b/>
          <w:bCs/>
          <w:sz w:val="24"/>
          <w:szCs w:val="24"/>
        </w:rPr>
        <w:t xml:space="preserve"> </w:t>
      </w:r>
      <w:r w:rsidRPr="0023411E">
        <w:rPr>
          <w:sz w:val="24"/>
          <w:szCs w:val="24"/>
        </w:rPr>
        <w:t>Δ3-Pore cells</w:t>
      </w:r>
      <w:r>
        <w:rPr>
          <w:sz w:val="24"/>
          <w:szCs w:val="24"/>
        </w:rPr>
        <w:t xml:space="preserve"> washed in HMG buffer and resuspended to OD</w:t>
      </w:r>
      <w:r>
        <w:rPr>
          <w:sz w:val="24"/>
          <w:szCs w:val="24"/>
          <w:vertAlign w:val="subscript"/>
        </w:rPr>
        <w:t>600</w:t>
      </w:r>
      <w:r>
        <w:rPr>
          <w:sz w:val="24"/>
          <w:szCs w:val="24"/>
        </w:rPr>
        <w:t xml:space="preserve"> 1.0 +/- 0.05. AdeG protein was expressed in cells with permeabilized outer membranes. Plasmid expression of the AdeFGH operon was induced by 1% L-arabinose. Lysed cells were separated by SDS-PAGE on 12% gels and visualized by 1:5,000 anti-AdeG antibody serum. </w:t>
      </w:r>
    </w:p>
    <w:p w14:paraId="4A411EEF" w14:textId="77777777" w:rsidR="00920A0F" w:rsidRDefault="00920A0F" w:rsidP="00041B30">
      <w:pPr>
        <w:spacing w:line="360" w:lineRule="auto"/>
        <w:rPr>
          <w:sz w:val="24"/>
          <w:szCs w:val="24"/>
        </w:rPr>
      </w:pPr>
    </w:p>
    <w:p w14:paraId="6C504E86" w14:textId="22197E64" w:rsidR="001B6825" w:rsidRDefault="00004181" w:rsidP="001B6825">
      <w:pPr>
        <w:rPr>
          <w:b/>
          <w:bCs/>
          <w:sz w:val="24"/>
          <w:szCs w:val="24"/>
        </w:rPr>
      </w:pPr>
      <w:r w:rsidRPr="00004181">
        <w:rPr>
          <w:noProof/>
        </w:rPr>
        <w:lastRenderedPageBreak/>
        <w:drawing>
          <wp:inline distT="0" distB="0" distL="0" distR="0" wp14:anchorId="52890325" wp14:editId="34BC42FF">
            <wp:extent cx="7915604" cy="5387008"/>
            <wp:effectExtent l="6985" t="0" r="0" b="0"/>
            <wp:docPr id="528245729"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45729" name="Picture 1" descr="A graph of a graph&#10;&#10;Description automatically generated with medium confidence"/>
                    <pic:cNvPicPr/>
                  </pic:nvPicPr>
                  <pic:blipFill>
                    <a:blip r:embed="rId41"/>
                    <a:stretch>
                      <a:fillRect/>
                    </a:stretch>
                  </pic:blipFill>
                  <pic:spPr>
                    <a:xfrm rot="16200000">
                      <a:off x="0" y="0"/>
                      <a:ext cx="7929195" cy="5396258"/>
                    </a:xfrm>
                    <a:prstGeom prst="rect">
                      <a:avLst/>
                    </a:prstGeom>
                  </pic:spPr>
                </pic:pic>
              </a:graphicData>
            </a:graphic>
          </wp:inline>
        </w:drawing>
      </w:r>
      <w:r w:rsidR="001B6825" w:rsidRPr="00FC2373">
        <w:rPr>
          <w:noProof/>
        </w:rPr>
        <w:t xml:space="preserve"> </w:t>
      </w:r>
      <w:r w:rsidR="001B6825">
        <w:rPr>
          <w:noProof/>
        </w:rPr>
        <w:drawing>
          <wp:anchor distT="0" distB="0" distL="114300" distR="114300" simplePos="0" relativeHeight="251667456" behindDoc="0" locked="0" layoutInCell="1" allowOverlap="1" wp14:anchorId="03C57145" wp14:editId="247E7F3C">
            <wp:simplePos x="0" y="0"/>
            <wp:positionH relativeFrom="column">
              <wp:posOffset>34636</wp:posOffset>
            </wp:positionH>
            <wp:positionV relativeFrom="page">
              <wp:posOffset>8832273</wp:posOffset>
            </wp:positionV>
            <wp:extent cx="5356860" cy="243840"/>
            <wp:effectExtent l="0" t="0" r="0" b="3810"/>
            <wp:wrapSquare wrapText="bothSides"/>
            <wp:docPr id="40382423"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2420" name="Picture 1" descr="A graph of different colored lines&#10;&#10;Description automatically generated with medium confidence"/>
                    <pic:cNvPicPr>
                      <a:picLocks noChangeAspect="1" noChangeArrowheads="1"/>
                    </pic:cNvPicPr>
                  </pic:nvPicPr>
                  <pic:blipFill rotWithShape="1">
                    <a:blip r:embed="rId42">
                      <a:extLst>
                        <a:ext uri="{28A0092B-C50C-407E-A947-70E740481C1C}">
                          <a14:useLocalDpi xmlns:a14="http://schemas.microsoft.com/office/drawing/2010/main" val="0"/>
                        </a:ext>
                      </a:extLst>
                    </a:blip>
                    <a:srcRect t="97123" b="-87"/>
                    <a:stretch/>
                  </pic:blipFill>
                  <pic:spPr bwMode="auto">
                    <a:xfrm>
                      <a:off x="0" y="0"/>
                      <a:ext cx="5356860" cy="243840"/>
                    </a:xfrm>
                    <a:prstGeom prst="rect">
                      <a:avLst/>
                    </a:prstGeom>
                    <a:noFill/>
                    <a:ln>
                      <a:noFill/>
                    </a:ln>
                    <a:extLst>
                      <a:ext uri="{53640926-AAD7-44D8-BBD7-CCE9431645EC}">
                        <a14:shadowObscured xmlns:a14="http://schemas.microsoft.com/office/drawing/2010/main"/>
                      </a:ext>
                    </a:extLst>
                  </pic:spPr>
                </pic:pic>
              </a:graphicData>
            </a:graphic>
          </wp:anchor>
        </w:drawing>
      </w:r>
    </w:p>
    <w:p w14:paraId="5FE14963" w14:textId="399EF9E1" w:rsidR="001B6825" w:rsidRPr="00082EEA" w:rsidRDefault="001B6825" w:rsidP="001B6825">
      <w:pPr>
        <w:rPr>
          <w:b/>
          <w:bCs/>
          <w:sz w:val="24"/>
          <w:szCs w:val="24"/>
        </w:rPr>
      </w:pPr>
      <w:r>
        <w:rPr>
          <w:b/>
          <w:bCs/>
          <w:sz w:val="24"/>
          <w:szCs w:val="24"/>
        </w:rPr>
        <w:lastRenderedPageBreak/>
        <w:t>Figure 4.</w:t>
      </w:r>
      <w:r w:rsidR="00C8515A">
        <w:rPr>
          <w:b/>
          <w:bCs/>
          <w:sz w:val="24"/>
          <w:szCs w:val="24"/>
        </w:rPr>
        <w:t>3</w:t>
      </w:r>
      <w:r w:rsidR="00C8515A">
        <w:rPr>
          <w:sz w:val="24"/>
          <w:szCs w:val="24"/>
        </w:rPr>
        <w:t xml:space="preserve"> </w:t>
      </w:r>
      <w:r>
        <w:rPr>
          <w:sz w:val="24"/>
          <w:szCs w:val="24"/>
        </w:rPr>
        <w:t>-</w:t>
      </w:r>
      <w:r w:rsidRPr="00FF27DE">
        <w:rPr>
          <w:b/>
          <w:bCs/>
          <w:sz w:val="24"/>
          <w:szCs w:val="24"/>
        </w:rPr>
        <w:t xml:space="preserve"> </w:t>
      </w:r>
      <w:r>
        <w:rPr>
          <w:b/>
          <w:bCs/>
          <w:sz w:val="24"/>
          <w:szCs w:val="24"/>
        </w:rPr>
        <w:t>Fluorescence uptake analysis</w:t>
      </w:r>
      <w:r w:rsidRPr="00FF27DE">
        <w:rPr>
          <w:b/>
          <w:bCs/>
          <w:sz w:val="24"/>
          <w:szCs w:val="24"/>
        </w:rPr>
        <w:t xml:space="preserve"> of NPN </w:t>
      </w:r>
      <w:r>
        <w:rPr>
          <w:b/>
          <w:bCs/>
          <w:sz w:val="24"/>
          <w:szCs w:val="24"/>
        </w:rPr>
        <w:t>(0-16 µM) with mutant AdeG transporters</w:t>
      </w:r>
    </w:p>
    <w:p w14:paraId="60C94B95" w14:textId="6BBBF9D9" w:rsidR="001B6825" w:rsidRDefault="001B6825" w:rsidP="001B6825">
      <w:pPr>
        <w:rPr>
          <w:sz w:val="24"/>
          <w:szCs w:val="24"/>
        </w:rPr>
      </w:pPr>
      <w:r>
        <w:rPr>
          <w:rFonts w:asciiTheme="majorHAnsi" w:hAnsiTheme="majorHAnsi" w:cstheme="majorHAnsi"/>
          <w:sz w:val="24"/>
          <w:szCs w:val="24"/>
        </w:rPr>
        <w:t xml:space="preserve">Intracellular accumulation of fluorescent membrane probe NPN. Indicated strains were grown in LB broth and induced with 1% L-arabinose when appropriate. Washed cells were injected into HMG buffer containing 0-16 µM NPN. The resulting fluorescence was monitored continuously for 10 minutes. The uptake data sets were fitted using a script written for </w:t>
      </w:r>
      <w:proofErr w:type="spellStart"/>
      <w:r>
        <w:rPr>
          <w:rFonts w:asciiTheme="majorHAnsi" w:hAnsiTheme="majorHAnsi" w:cstheme="majorHAnsi"/>
          <w:sz w:val="24"/>
          <w:szCs w:val="24"/>
        </w:rPr>
        <w:t>MatLab</w:t>
      </w:r>
      <w:proofErr w:type="spellEnd"/>
      <w:r w:rsidR="00012213">
        <w:rPr>
          <w:rFonts w:asciiTheme="majorHAnsi" w:hAnsiTheme="majorHAnsi" w:cstheme="majorHAnsi"/>
          <w:sz w:val="24"/>
          <w:szCs w:val="24"/>
        </w:rPr>
        <w:t xml:space="preserve"> (</w:t>
      </w:r>
      <w:r w:rsidR="00012213">
        <w:rPr>
          <w:rFonts w:asciiTheme="majorHAnsi" w:hAnsiTheme="majorHAnsi" w:cstheme="majorHAnsi"/>
          <w:b/>
          <w:bCs/>
          <w:sz w:val="24"/>
          <w:szCs w:val="24"/>
        </w:rPr>
        <w:t>Methods 2.13</w:t>
      </w:r>
      <w:r w:rsidR="00012213">
        <w:rPr>
          <w:rFonts w:asciiTheme="majorHAnsi" w:hAnsiTheme="majorHAnsi" w:cstheme="majorHAnsi"/>
          <w:sz w:val="24"/>
          <w:szCs w:val="24"/>
        </w:rPr>
        <w:t>)</w:t>
      </w:r>
      <w:r>
        <w:rPr>
          <w:rFonts w:asciiTheme="majorHAnsi" w:hAnsiTheme="majorHAnsi" w:cstheme="majorHAnsi"/>
          <w:sz w:val="24"/>
          <w:szCs w:val="24"/>
        </w:rPr>
        <w:t>. The plots are changes in fluorescence intensity as a function of time. Error bars are SD (</w:t>
      </w:r>
      <w:r>
        <w:rPr>
          <w:rFonts w:asciiTheme="majorHAnsi" w:hAnsiTheme="majorHAnsi" w:cstheme="majorHAnsi"/>
          <w:i/>
          <w:iCs/>
          <w:sz w:val="24"/>
          <w:szCs w:val="24"/>
        </w:rPr>
        <w:t>n</w:t>
      </w:r>
      <w:r>
        <w:rPr>
          <w:rFonts w:asciiTheme="majorHAnsi" w:hAnsiTheme="majorHAnsi" w:cstheme="majorHAnsi"/>
          <w:sz w:val="24"/>
          <w:szCs w:val="24"/>
        </w:rPr>
        <w:t xml:space="preserve"> = 3). (</w:t>
      </w:r>
      <w:r>
        <w:rPr>
          <w:rFonts w:asciiTheme="majorHAnsi" w:hAnsiTheme="majorHAnsi" w:cstheme="majorHAnsi"/>
          <w:b/>
          <w:bCs/>
          <w:sz w:val="24"/>
          <w:szCs w:val="24"/>
        </w:rPr>
        <w:t>A</w:t>
      </w:r>
      <w:r>
        <w:rPr>
          <w:rFonts w:asciiTheme="majorHAnsi" w:hAnsiTheme="majorHAnsi" w:cstheme="majorHAnsi"/>
          <w:sz w:val="24"/>
          <w:szCs w:val="24"/>
        </w:rPr>
        <w:t>) Ab</w:t>
      </w:r>
      <w:r w:rsidRPr="00932E92">
        <w:rPr>
          <w:sz w:val="24"/>
          <w:szCs w:val="24"/>
        </w:rPr>
        <w:t>∆</w:t>
      </w:r>
      <w:r>
        <w:rPr>
          <w:sz w:val="24"/>
          <w:szCs w:val="24"/>
        </w:rPr>
        <w:t xml:space="preserve">3-Pore </w:t>
      </w:r>
      <w:r>
        <w:rPr>
          <w:rFonts w:asciiTheme="majorHAnsi" w:hAnsiTheme="majorHAnsi" w:cstheme="majorHAnsi"/>
          <w:sz w:val="24"/>
          <w:szCs w:val="24"/>
        </w:rPr>
        <w:t>(</w:t>
      </w:r>
      <w:r>
        <w:rPr>
          <w:rFonts w:asciiTheme="majorHAnsi" w:hAnsiTheme="majorHAnsi" w:cstheme="majorHAnsi"/>
          <w:b/>
          <w:bCs/>
          <w:sz w:val="24"/>
          <w:szCs w:val="24"/>
        </w:rPr>
        <w:t>B</w:t>
      </w:r>
      <w:r>
        <w:rPr>
          <w:rFonts w:asciiTheme="majorHAnsi" w:hAnsiTheme="majorHAnsi" w:cstheme="majorHAnsi"/>
          <w:sz w:val="24"/>
          <w:szCs w:val="24"/>
        </w:rPr>
        <w:t>)</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(pAdeFGH) (</w:t>
      </w:r>
      <w:r>
        <w:rPr>
          <w:b/>
          <w:bCs/>
          <w:sz w:val="24"/>
          <w:szCs w:val="24"/>
        </w:rPr>
        <w:t>C</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S620A) (</w:t>
      </w:r>
      <w:r>
        <w:rPr>
          <w:b/>
          <w:bCs/>
          <w:sz w:val="24"/>
          <w:szCs w:val="24"/>
        </w:rPr>
        <w:t>D</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A705I) (</w:t>
      </w:r>
      <w:r>
        <w:rPr>
          <w:b/>
          <w:bCs/>
          <w:sz w:val="24"/>
          <w:szCs w:val="24"/>
        </w:rPr>
        <w:t>E</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Q83A) (</w:t>
      </w:r>
      <w:r>
        <w:rPr>
          <w:b/>
          <w:bCs/>
          <w:sz w:val="24"/>
          <w:szCs w:val="24"/>
        </w:rPr>
        <w:t>F</w:t>
      </w:r>
      <w:r>
        <w:rPr>
          <w:sz w:val="24"/>
          <w:szCs w:val="24"/>
        </w:rPr>
        <w:t>)</w:t>
      </w:r>
      <w:r w:rsidRPr="002E2D01">
        <w:rPr>
          <w:rFonts w:asciiTheme="majorHAnsi" w:hAnsiTheme="majorHAnsi" w:cstheme="majorHAnsi"/>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I621A) (</w:t>
      </w:r>
      <w:r w:rsidR="00004181">
        <w:rPr>
          <w:b/>
          <w:bCs/>
          <w:sz w:val="24"/>
          <w:szCs w:val="24"/>
        </w:rPr>
        <w:t>G</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Y725A) (</w:t>
      </w:r>
      <w:r w:rsidR="00004181" w:rsidRPr="00004181">
        <w:rPr>
          <w:b/>
          <w:bCs/>
          <w:sz w:val="24"/>
          <w:szCs w:val="24"/>
        </w:rPr>
        <w:t>H</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G679I)  (</w:t>
      </w:r>
      <w:r w:rsidR="00004181">
        <w:rPr>
          <w:b/>
          <w:bCs/>
          <w:sz w:val="24"/>
          <w:szCs w:val="24"/>
        </w:rPr>
        <w:t>I</w:t>
      </w:r>
      <w:r>
        <w:rPr>
          <w:sz w:val="24"/>
          <w:szCs w:val="24"/>
        </w:rPr>
        <w:t xml:space="preserve">) </w:t>
      </w:r>
      <w:r>
        <w:rPr>
          <w:rFonts w:asciiTheme="majorHAnsi" w:hAnsiTheme="majorHAnsi" w:cstheme="majorHAnsi"/>
          <w:sz w:val="24"/>
          <w:szCs w:val="24"/>
        </w:rPr>
        <w:t>Ab</w:t>
      </w:r>
      <w:r w:rsidRPr="00932E92">
        <w:rPr>
          <w:sz w:val="24"/>
          <w:szCs w:val="24"/>
        </w:rPr>
        <w:t>∆</w:t>
      </w:r>
      <w:r>
        <w:rPr>
          <w:sz w:val="24"/>
          <w:szCs w:val="24"/>
        </w:rPr>
        <w:t>3-Pore (pAdeG L138A)</w:t>
      </w:r>
    </w:p>
    <w:p w14:paraId="2F7515B8" w14:textId="38C3C686" w:rsidR="00004181" w:rsidRDefault="00004181" w:rsidP="00586D83">
      <w:pPr>
        <w:jc w:val="center"/>
        <w:rPr>
          <w:sz w:val="24"/>
          <w:szCs w:val="24"/>
        </w:rPr>
      </w:pPr>
      <w:r w:rsidRPr="00004181">
        <w:rPr>
          <w:noProof/>
          <w:sz w:val="24"/>
          <w:szCs w:val="24"/>
        </w:rPr>
        <w:lastRenderedPageBreak/>
        <w:drawing>
          <wp:inline distT="0" distB="0" distL="0" distR="0" wp14:anchorId="295BC605" wp14:editId="47899A87">
            <wp:extent cx="4161782" cy="3162300"/>
            <wp:effectExtent l="0" t="0" r="0" b="0"/>
            <wp:docPr id="777715038" name="Picture 1" descr="A graph of a number of different color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15038" name="Picture 1" descr="A graph of a number of different colored lines"/>
                    <pic:cNvPicPr/>
                  </pic:nvPicPr>
                  <pic:blipFill rotWithShape="1">
                    <a:blip r:embed="rId43"/>
                    <a:srcRect l="1798"/>
                    <a:stretch/>
                  </pic:blipFill>
                  <pic:spPr bwMode="auto">
                    <a:xfrm>
                      <a:off x="0" y="0"/>
                      <a:ext cx="4190575" cy="3184178"/>
                    </a:xfrm>
                    <a:prstGeom prst="rect">
                      <a:avLst/>
                    </a:prstGeom>
                    <a:ln>
                      <a:noFill/>
                    </a:ln>
                    <a:extLst>
                      <a:ext uri="{53640926-AAD7-44D8-BBD7-CCE9431645EC}">
                        <a14:shadowObscured xmlns:a14="http://schemas.microsoft.com/office/drawing/2010/main"/>
                      </a:ext>
                    </a:extLst>
                  </pic:spPr>
                </pic:pic>
              </a:graphicData>
            </a:graphic>
          </wp:inline>
        </w:drawing>
      </w:r>
      <w:r w:rsidRPr="00004181">
        <w:rPr>
          <w:noProof/>
          <w:sz w:val="24"/>
          <w:szCs w:val="24"/>
        </w:rPr>
        <w:drawing>
          <wp:inline distT="0" distB="0" distL="0" distR="0" wp14:anchorId="55F852E6" wp14:editId="1F51E226">
            <wp:extent cx="4247874" cy="3086100"/>
            <wp:effectExtent l="0" t="0" r="635" b="0"/>
            <wp:docPr id="507806880"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06880" name="Picture 1" descr="A graph of different colored lines&#10;&#10;Description automatically generated"/>
                    <pic:cNvPicPr/>
                  </pic:nvPicPr>
                  <pic:blipFill>
                    <a:blip r:embed="rId44"/>
                    <a:stretch>
                      <a:fillRect/>
                    </a:stretch>
                  </pic:blipFill>
                  <pic:spPr>
                    <a:xfrm>
                      <a:off x="0" y="0"/>
                      <a:ext cx="4277701" cy="3107769"/>
                    </a:xfrm>
                    <a:prstGeom prst="rect">
                      <a:avLst/>
                    </a:prstGeom>
                  </pic:spPr>
                </pic:pic>
              </a:graphicData>
            </a:graphic>
          </wp:inline>
        </w:drawing>
      </w:r>
    </w:p>
    <w:p w14:paraId="48B9218E" w14:textId="2141E845" w:rsidR="001B6825" w:rsidRDefault="001B6825" w:rsidP="001B6825">
      <w:pPr>
        <w:rPr>
          <w:b/>
          <w:bCs/>
          <w:sz w:val="24"/>
          <w:szCs w:val="24"/>
        </w:rPr>
      </w:pPr>
      <w:r>
        <w:rPr>
          <w:b/>
          <w:bCs/>
          <w:sz w:val="24"/>
          <w:szCs w:val="24"/>
        </w:rPr>
        <w:t>Figure 4.</w:t>
      </w:r>
      <w:r w:rsidR="00573450">
        <w:rPr>
          <w:b/>
          <w:bCs/>
          <w:sz w:val="24"/>
          <w:szCs w:val="24"/>
        </w:rPr>
        <w:t>4</w:t>
      </w:r>
      <w:r>
        <w:rPr>
          <w:b/>
          <w:bCs/>
          <w:sz w:val="24"/>
          <w:szCs w:val="24"/>
        </w:rPr>
        <w:t xml:space="preserve"> –</w:t>
      </w:r>
      <w:r w:rsidR="00CE66A4">
        <w:rPr>
          <w:b/>
          <w:bCs/>
          <w:sz w:val="24"/>
          <w:szCs w:val="24"/>
        </w:rPr>
        <w:t>S</w:t>
      </w:r>
      <w:r>
        <w:rPr>
          <w:b/>
          <w:bCs/>
          <w:sz w:val="24"/>
          <w:szCs w:val="24"/>
        </w:rPr>
        <w:t xml:space="preserve">teady state accumulation of NPN (0-16 </w:t>
      </w:r>
      <w:r w:rsidRPr="00C158D7">
        <w:rPr>
          <w:rFonts w:cstheme="minorHAnsi"/>
          <w:b/>
          <w:bCs/>
          <w:sz w:val="24"/>
          <w:szCs w:val="24"/>
        </w:rPr>
        <w:t>μM</w:t>
      </w:r>
      <w:r>
        <w:rPr>
          <w:b/>
          <w:bCs/>
          <w:sz w:val="24"/>
          <w:szCs w:val="24"/>
        </w:rPr>
        <w:t>)</w:t>
      </w:r>
      <w:r w:rsidR="00680C9D">
        <w:rPr>
          <w:b/>
          <w:bCs/>
          <w:sz w:val="24"/>
          <w:szCs w:val="24"/>
        </w:rPr>
        <w:t xml:space="preserve"> uptake</w:t>
      </w:r>
    </w:p>
    <w:p w14:paraId="01491F8E" w14:textId="7600D807" w:rsidR="001B6825" w:rsidRDefault="001B6825" w:rsidP="001B6825">
      <w:pPr>
        <w:rPr>
          <w:sz w:val="24"/>
          <w:szCs w:val="24"/>
        </w:rPr>
      </w:pPr>
      <w:r>
        <w:rPr>
          <w:sz w:val="24"/>
          <w:szCs w:val="24"/>
        </w:rPr>
        <w:t>Steady state concentrations of intra cellular NPN plotted against extracellular concentrations of NPN</w:t>
      </w:r>
      <w:r w:rsidR="008D1BBD">
        <w:rPr>
          <w:sz w:val="24"/>
          <w:szCs w:val="24"/>
        </w:rPr>
        <w:t>: (</w:t>
      </w:r>
      <w:r w:rsidR="008D1BBD">
        <w:rPr>
          <w:b/>
          <w:bCs/>
          <w:sz w:val="24"/>
          <w:szCs w:val="24"/>
        </w:rPr>
        <w:t>A</w:t>
      </w:r>
      <w:r w:rsidR="008D1BBD">
        <w:rPr>
          <w:sz w:val="24"/>
          <w:szCs w:val="24"/>
        </w:rPr>
        <w:t>) Low efflux efficiency AdeG mutants and (</w:t>
      </w:r>
      <w:r w:rsidR="008D1BBD">
        <w:rPr>
          <w:b/>
          <w:bCs/>
          <w:sz w:val="24"/>
          <w:szCs w:val="24"/>
        </w:rPr>
        <w:t>B</w:t>
      </w:r>
      <w:r w:rsidR="008D1BBD">
        <w:rPr>
          <w:sz w:val="24"/>
          <w:szCs w:val="24"/>
        </w:rPr>
        <w:t>) High efflux efficiency AdeG mutants.</w:t>
      </w:r>
      <w:r>
        <w:rPr>
          <w:sz w:val="24"/>
          <w:szCs w:val="24"/>
        </w:rPr>
        <w:t xml:space="preserve"> Steady state concentrations were normalized </w:t>
      </w:r>
      <w:r w:rsidR="008D1BBD">
        <w:rPr>
          <w:sz w:val="24"/>
          <w:szCs w:val="24"/>
        </w:rPr>
        <w:t>by subtracting the initial [NPN]in value (µM).</w:t>
      </w:r>
      <w:r>
        <w:rPr>
          <w:sz w:val="24"/>
          <w:szCs w:val="24"/>
        </w:rPr>
        <w:t xml:space="preserve"> </w:t>
      </w:r>
      <w:r w:rsidR="00012213">
        <w:rPr>
          <w:rFonts w:asciiTheme="majorHAnsi" w:hAnsiTheme="majorHAnsi" w:cstheme="majorHAnsi"/>
          <w:sz w:val="24"/>
          <w:szCs w:val="24"/>
        </w:rPr>
        <w:t xml:space="preserve">The steady state data sets were calculated using a script written for </w:t>
      </w:r>
      <w:proofErr w:type="spellStart"/>
      <w:r w:rsidR="00012213">
        <w:rPr>
          <w:rFonts w:asciiTheme="majorHAnsi" w:hAnsiTheme="majorHAnsi" w:cstheme="majorHAnsi"/>
          <w:sz w:val="24"/>
          <w:szCs w:val="24"/>
        </w:rPr>
        <w:t>MatLab</w:t>
      </w:r>
      <w:proofErr w:type="spellEnd"/>
      <w:r w:rsidR="00012213">
        <w:rPr>
          <w:rFonts w:asciiTheme="majorHAnsi" w:hAnsiTheme="majorHAnsi" w:cstheme="majorHAnsi"/>
          <w:sz w:val="24"/>
          <w:szCs w:val="24"/>
        </w:rPr>
        <w:t xml:space="preserve"> (</w:t>
      </w:r>
      <w:r w:rsidR="00012213">
        <w:rPr>
          <w:rFonts w:asciiTheme="majorHAnsi" w:hAnsiTheme="majorHAnsi" w:cstheme="majorHAnsi"/>
          <w:b/>
          <w:bCs/>
          <w:sz w:val="24"/>
          <w:szCs w:val="24"/>
        </w:rPr>
        <w:t>Methods 2.13</w:t>
      </w:r>
      <w:r w:rsidR="00012213">
        <w:rPr>
          <w:rFonts w:asciiTheme="majorHAnsi" w:hAnsiTheme="majorHAnsi" w:cstheme="majorHAnsi"/>
          <w:sz w:val="24"/>
          <w:szCs w:val="24"/>
        </w:rPr>
        <w:t xml:space="preserve">). </w:t>
      </w:r>
      <w:r w:rsidRPr="00FB4B2C">
        <w:rPr>
          <w:sz w:val="24"/>
          <w:szCs w:val="24"/>
        </w:rPr>
        <w:t>Error</w:t>
      </w:r>
      <w:r>
        <w:rPr>
          <w:sz w:val="24"/>
          <w:szCs w:val="24"/>
        </w:rPr>
        <w:t xml:space="preserve"> bars are S</w:t>
      </w:r>
      <w:r w:rsidR="00CC004C">
        <w:rPr>
          <w:sz w:val="24"/>
          <w:szCs w:val="24"/>
        </w:rPr>
        <w:t>D</w:t>
      </w:r>
      <w:r>
        <w:rPr>
          <w:sz w:val="24"/>
          <w:szCs w:val="24"/>
        </w:rPr>
        <w:t xml:space="preserve"> (n=2).</w:t>
      </w:r>
    </w:p>
    <w:p w14:paraId="60DAC41D" w14:textId="21D7813E" w:rsidR="00920A0F" w:rsidRPr="00CC2A7C" w:rsidRDefault="00920A0F" w:rsidP="00CC2A7C">
      <w:pPr>
        <w:spacing w:line="360" w:lineRule="auto"/>
        <w:ind w:firstLine="720"/>
        <w:rPr>
          <w:sz w:val="24"/>
          <w:szCs w:val="24"/>
        </w:rPr>
      </w:pPr>
      <w:bookmarkStart w:id="16" w:name="_Hlk160268359"/>
      <w:r>
        <w:rPr>
          <w:rFonts w:cstheme="minorHAnsi"/>
          <w:sz w:val="24"/>
          <w:szCs w:val="24"/>
        </w:rPr>
        <w:t>Next, we compared the steady state accumulation between the strains based on their kinetics time courses (</w:t>
      </w:r>
      <w:r>
        <w:rPr>
          <w:rFonts w:cstheme="minorHAnsi"/>
          <w:b/>
          <w:bCs/>
          <w:sz w:val="24"/>
          <w:szCs w:val="24"/>
        </w:rPr>
        <w:t>Figure</w:t>
      </w:r>
      <w:r>
        <w:rPr>
          <w:rFonts w:cstheme="minorHAnsi"/>
          <w:sz w:val="24"/>
          <w:szCs w:val="24"/>
        </w:rPr>
        <w:t xml:space="preserve"> </w:t>
      </w:r>
      <w:r>
        <w:rPr>
          <w:rFonts w:cstheme="minorHAnsi"/>
          <w:b/>
          <w:bCs/>
          <w:sz w:val="24"/>
          <w:szCs w:val="24"/>
        </w:rPr>
        <w:t>4.</w:t>
      </w:r>
      <w:r w:rsidR="006664FB">
        <w:rPr>
          <w:rFonts w:cstheme="minorHAnsi"/>
          <w:b/>
          <w:bCs/>
          <w:sz w:val="24"/>
          <w:szCs w:val="24"/>
        </w:rPr>
        <w:t>4</w:t>
      </w:r>
      <w:r>
        <w:rPr>
          <w:rFonts w:cstheme="minorHAnsi"/>
          <w:sz w:val="24"/>
          <w:szCs w:val="24"/>
        </w:rPr>
        <w:t xml:space="preserve">). These concentrations were calculated in </w:t>
      </w:r>
      <w:proofErr w:type="spellStart"/>
      <w:r>
        <w:rPr>
          <w:rFonts w:cstheme="minorHAnsi"/>
          <w:sz w:val="24"/>
          <w:szCs w:val="24"/>
        </w:rPr>
        <w:t>MatLab</w:t>
      </w:r>
      <w:proofErr w:type="spellEnd"/>
      <w:r>
        <w:rPr>
          <w:rFonts w:cstheme="minorHAnsi"/>
          <w:sz w:val="24"/>
          <w:szCs w:val="24"/>
        </w:rPr>
        <w:t xml:space="preserve"> </w:t>
      </w:r>
      <w:r>
        <w:rPr>
          <w:rFonts w:cstheme="minorHAnsi"/>
          <w:sz w:val="24"/>
          <w:szCs w:val="24"/>
        </w:rPr>
        <w:lastRenderedPageBreak/>
        <w:t>using the same script used to calculate the uptake data set fitting</w:t>
      </w:r>
      <w:r w:rsidR="000401B0">
        <w:rPr>
          <w:rFonts w:cstheme="minorHAnsi"/>
          <w:sz w:val="24"/>
          <w:szCs w:val="24"/>
        </w:rPr>
        <w:t>s</w:t>
      </w:r>
      <w:r w:rsidR="003869A5">
        <w:rPr>
          <w:rFonts w:cstheme="minorHAnsi"/>
          <w:sz w:val="24"/>
          <w:szCs w:val="24"/>
        </w:rPr>
        <w:t xml:space="preserve"> </w:t>
      </w:r>
      <w:r w:rsidR="00CC2A7C">
        <w:rPr>
          <w:rFonts w:cstheme="minorHAnsi"/>
          <w:sz w:val="24"/>
          <w:szCs w:val="24"/>
        </w:rPr>
        <w:t>(</w:t>
      </w:r>
      <w:r w:rsidR="000401B0">
        <w:rPr>
          <w:rFonts w:cstheme="minorHAnsi"/>
          <w:b/>
          <w:bCs/>
          <w:sz w:val="24"/>
          <w:szCs w:val="24"/>
        </w:rPr>
        <w:t xml:space="preserve">Methods 2.13, </w:t>
      </w:r>
      <w:r w:rsidR="00CC2A7C">
        <w:rPr>
          <w:rFonts w:cstheme="minorHAnsi"/>
          <w:b/>
          <w:bCs/>
          <w:sz w:val="24"/>
          <w:szCs w:val="24"/>
        </w:rPr>
        <w:t>Figure 4.3</w:t>
      </w:r>
      <w:r w:rsidR="00CC2A7C">
        <w:rPr>
          <w:rFonts w:cstheme="minorHAnsi"/>
          <w:sz w:val="24"/>
          <w:szCs w:val="24"/>
        </w:rPr>
        <w:t>)</w:t>
      </w:r>
      <w:r>
        <w:rPr>
          <w:rFonts w:cstheme="minorHAnsi"/>
          <w:sz w:val="24"/>
          <w:szCs w:val="24"/>
        </w:rPr>
        <w:t xml:space="preserve">. The steady state accumulations were then normalized </w:t>
      </w:r>
      <w:r w:rsidR="00221127">
        <w:rPr>
          <w:rFonts w:cstheme="minorHAnsi"/>
          <w:sz w:val="24"/>
          <w:szCs w:val="24"/>
        </w:rPr>
        <w:t>by subtracting the initial [NPN]</w:t>
      </w:r>
      <w:r w:rsidR="00221127" w:rsidRPr="003A5D91">
        <w:rPr>
          <w:rFonts w:cstheme="minorHAnsi"/>
          <w:sz w:val="24"/>
          <w:szCs w:val="24"/>
          <w:vertAlign w:val="subscript"/>
        </w:rPr>
        <w:t>in</w:t>
      </w:r>
      <w:r w:rsidR="00221127">
        <w:rPr>
          <w:rFonts w:cstheme="minorHAnsi"/>
          <w:sz w:val="24"/>
          <w:szCs w:val="24"/>
        </w:rPr>
        <w:t xml:space="preserve"> value (µM).</w:t>
      </w:r>
      <w:r>
        <w:rPr>
          <w:sz w:val="24"/>
          <w:szCs w:val="24"/>
        </w:rPr>
        <w:t xml:space="preserve"> The normalized steady state curves for the AdeG mutants appear to mostly group</w:t>
      </w:r>
      <w:r w:rsidR="0025244D">
        <w:rPr>
          <w:sz w:val="24"/>
          <w:szCs w:val="24"/>
        </w:rPr>
        <w:t xml:space="preserve"> either above or below the</w:t>
      </w:r>
      <w:r>
        <w:rPr>
          <w:sz w:val="24"/>
          <w:szCs w:val="24"/>
        </w:rPr>
        <w:t xml:space="preserve"> </w:t>
      </w:r>
      <w:r w:rsidR="00BA5453">
        <w:rPr>
          <w:sz w:val="24"/>
          <w:szCs w:val="24"/>
        </w:rPr>
        <w:t xml:space="preserve">cells producing the </w:t>
      </w:r>
      <w:r>
        <w:rPr>
          <w:sz w:val="24"/>
          <w:szCs w:val="24"/>
        </w:rPr>
        <w:t xml:space="preserve">WT </w:t>
      </w:r>
      <w:r w:rsidR="00BA5453">
        <w:rPr>
          <w:sz w:val="24"/>
          <w:szCs w:val="24"/>
        </w:rPr>
        <w:t xml:space="preserve">AdeG </w:t>
      </w:r>
      <w:r>
        <w:rPr>
          <w:sz w:val="24"/>
          <w:szCs w:val="24"/>
        </w:rPr>
        <w:t>(</w:t>
      </w:r>
      <w:r w:rsidR="00221127">
        <w:rPr>
          <w:sz w:val="24"/>
          <w:szCs w:val="24"/>
        </w:rPr>
        <w:t>light green diamonds).</w:t>
      </w:r>
      <w:r w:rsidR="0025244D">
        <w:rPr>
          <w:sz w:val="24"/>
          <w:szCs w:val="24"/>
        </w:rPr>
        <w:t xml:space="preserve"> These two groups have been labeled as “low efficiency” </w:t>
      </w:r>
      <w:r w:rsidR="00345895">
        <w:rPr>
          <w:sz w:val="24"/>
          <w:szCs w:val="24"/>
        </w:rPr>
        <w:t xml:space="preserve">(I621A, G679I, and Y725A) </w:t>
      </w:r>
      <w:r w:rsidR="0025244D">
        <w:rPr>
          <w:sz w:val="24"/>
          <w:szCs w:val="24"/>
        </w:rPr>
        <w:t>and “high efficiency”</w:t>
      </w:r>
      <w:r w:rsidR="00345895">
        <w:rPr>
          <w:sz w:val="24"/>
          <w:szCs w:val="24"/>
        </w:rPr>
        <w:t xml:space="preserve"> (S620A, A705I, Q83A, and L138A)</w:t>
      </w:r>
      <w:r w:rsidR="0025244D">
        <w:rPr>
          <w:sz w:val="24"/>
          <w:szCs w:val="24"/>
        </w:rPr>
        <w:t xml:space="preserve">. Low efficiency AdeG mutants </w:t>
      </w:r>
      <w:r w:rsidR="00CC2A7C">
        <w:rPr>
          <w:sz w:val="24"/>
          <w:szCs w:val="24"/>
        </w:rPr>
        <w:t>(</w:t>
      </w:r>
      <w:r w:rsidR="00CC2A7C">
        <w:rPr>
          <w:b/>
          <w:bCs/>
          <w:sz w:val="24"/>
          <w:szCs w:val="24"/>
        </w:rPr>
        <w:t>Figure 4.4-A)</w:t>
      </w:r>
      <w:r w:rsidR="00345895">
        <w:rPr>
          <w:sz w:val="24"/>
          <w:szCs w:val="24"/>
        </w:rPr>
        <w:t xml:space="preserve"> </w:t>
      </w:r>
      <w:r w:rsidR="00B4627D">
        <w:rPr>
          <w:sz w:val="24"/>
          <w:szCs w:val="24"/>
        </w:rPr>
        <w:t>are distributed</w:t>
      </w:r>
      <w:r w:rsidR="00345895">
        <w:rPr>
          <w:sz w:val="24"/>
          <w:szCs w:val="24"/>
        </w:rPr>
        <w:t xml:space="preserve"> between the </w:t>
      </w:r>
      <w:r w:rsidR="00070392">
        <w:rPr>
          <w:sz w:val="24"/>
          <w:szCs w:val="24"/>
        </w:rPr>
        <w:t>efflux deficient cells (black “x” markers)</w:t>
      </w:r>
      <w:r w:rsidR="00345895">
        <w:rPr>
          <w:sz w:val="24"/>
          <w:szCs w:val="24"/>
        </w:rPr>
        <w:t xml:space="preserve"> </w:t>
      </w:r>
      <w:r w:rsidR="00070392">
        <w:rPr>
          <w:sz w:val="24"/>
          <w:szCs w:val="24"/>
        </w:rPr>
        <w:t>and WT AdeG (light green diamonds)</w:t>
      </w:r>
      <w:r w:rsidR="00CC2A7C">
        <w:rPr>
          <w:sz w:val="24"/>
          <w:szCs w:val="24"/>
        </w:rPr>
        <w:t xml:space="preserve"> and</w:t>
      </w:r>
      <w:r w:rsidR="00CC2A7C" w:rsidRPr="00CC2A7C">
        <w:rPr>
          <w:sz w:val="24"/>
          <w:szCs w:val="24"/>
        </w:rPr>
        <w:t xml:space="preserve"> </w:t>
      </w:r>
      <w:r w:rsidR="00CC2A7C">
        <w:rPr>
          <w:sz w:val="24"/>
          <w:szCs w:val="24"/>
        </w:rPr>
        <w:t>generally showed lower efflux efficiency compared to WT AdeG. Th</w:t>
      </w:r>
      <w:r w:rsidR="00345895">
        <w:rPr>
          <w:sz w:val="24"/>
          <w:szCs w:val="24"/>
        </w:rPr>
        <w:t>e</w:t>
      </w:r>
      <w:r w:rsidR="0025244D">
        <w:rPr>
          <w:sz w:val="24"/>
          <w:szCs w:val="24"/>
        </w:rPr>
        <w:t xml:space="preserve"> high efficiency AdeG mutants</w:t>
      </w:r>
      <w:r w:rsidR="00CC2A7C">
        <w:rPr>
          <w:sz w:val="24"/>
          <w:szCs w:val="24"/>
        </w:rPr>
        <w:t xml:space="preserve"> (</w:t>
      </w:r>
      <w:r w:rsidR="00CC2A7C">
        <w:rPr>
          <w:b/>
          <w:bCs/>
          <w:sz w:val="24"/>
          <w:szCs w:val="24"/>
        </w:rPr>
        <w:t>Figure 4.4-B</w:t>
      </w:r>
      <w:r w:rsidR="00CC2A7C">
        <w:rPr>
          <w:sz w:val="24"/>
          <w:szCs w:val="24"/>
        </w:rPr>
        <w:t>) grouped at or below the WT AdeG levels and</w:t>
      </w:r>
      <w:r w:rsidR="0025244D">
        <w:rPr>
          <w:sz w:val="24"/>
          <w:szCs w:val="24"/>
        </w:rPr>
        <w:t xml:space="preserve"> generally </w:t>
      </w:r>
      <w:r w:rsidR="00CC2A7C">
        <w:rPr>
          <w:sz w:val="24"/>
          <w:szCs w:val="24"/>
        </w:rPr>
        <w:t>demonstrated</w:t>
      </w:r>
      <w:r w:rsidR="0025244D">
        <w:rPr>
          <w:sz w:val="24"/>
          <w:szCs w:val="24"/>
        </w:rPr>
        <w:t xml:space="preserve"> efflux efficiency similar to or higher than WT AdeG</w:t>
      </w:r>
      <w:r w:rsidR="00CC2A7C">
        <w:rPr>
          <w:sz w:val="24"/>
          <w:szCs w:val="24"/>
        </w:rPr>
        <w:t>.</w:t>
      </w:r>
      <w:r w:rsidR="0025244D">
        <w:rPr>
          <w:sz w:val="24"/>
          <w:szCs w:val="24"/>
        </w:rPr>
        <w:t xml:space="preserve"> </w:t>
      </w:r>
      <w:r w:rsidR="00BA5453">
        <w:rPr>
          <w:sz w:val="24"/>
          <w:szCs w:val="24"/>
        </w:rPr>
        <w:t xml:space="preserve">At </w:t>
      </w:r>
      <w:r w:rsidR="0053739E">
        <w:rPr>
          <w:sz w:val="24"/>
          <w:szCs w:val="24"/>
        </w:rPr>
        <w:t xml:space="preserve">the </w:t>
      </w:r>
      <w:r w:rsidR="00BA5453">
        <w:rPr>
          <w:sz w:val="24"/>
          <w:szCs w:val="24"/>
        </w:rPr>
        <w:t>higher</w:t>
      </w:r>
      <w:r>
        <w:rPr>
          <w:sz w:val="24"/>
          <w:szCs w:val="24"/>
        </w:rPr>
        <w:t xml:space="preserve"> 16 </w:t>
      </w:r>
      <w:r w:rsidRPr="00545FE3">
        <w:rPr>
          <w:rFonts w:cstheme="minorHAnsi"/>
          <w:sz w:val="24"/>
          <w:szCs w:val="24"/>
        </w:rPr>
        <w:t>μM</w:t>
      </w:r>
      <w:r>
        <w:rPr>
          <w:rFonts w:cstheme="minorHAnsi"/>
          <w:sz w:val="24"/>
          <w:szCs w:val="24"/>
        </w:rPr>
        <w:t xml:space="preserve"> </w:t>
      </w:r>
      <w:r w:rsidR="0053739E">
        <w:rPr>
          <w:rFonts w:cstheme="minorHAnsi"/>
          <w:sz w:val="24"/>
          <w:szCs w:val="24"/>
        </w:rPr>
        <w:t xml:space="preserve">concentration of </w:t>
      </w:r>
      <w:r>
        <w:rPr>
          <w:rFonts w:cstheme="minorHAnsi"/>
          <w:sz w:val="24"/>
          <w:szCs w:val="24"/>
        </w:rPr>
        <w:t>NPN</w:t>
      </w:r>
      <w:r w:rsidR="0053739E">
        <w:rPr>
          <w:rFonts w:cstheme="minorHAnsi"/>
          <w:sz w:val="24"/>
          <w:szCs w:val="24"/>
        </w:rPr>
        <w:t>,</w:t>
      </w:r>
      <w:r>
        <w:rPr>
          <w:rFonts w:cstheme="minorHAnsi"/>
          <w:sz w:val="24"/>
          <w:szCs w:val="24"/>
        </w:rPr>
        <w:t xml:space="preserve"> the </w:t>
      </w:r>
      <w:r w:rsidR="0053739E">
        <w:rPr>
          <w:rFonts w:cstheme="minorHAnsi"/>
          <w:sz w:val="24"/>
          <w:szCs w:val="24"/>
        </w:rPr>
        <w:t xml:space="preserve">differences between the </w:t>
      </w:r>
      <w:r>
        <w:rPr>
          <w:rFonts w:cstheme="minorHAnsi"/>
          <w:sz w:val="24"/>
          <w:szCs w:val="24"/>
        </w:rPr>
        <w:t xml:space="preserve">mutants </w:t>
      </w:r>
      <w:r w:rsidR="0053739E">
        <w:rPr>
          <w:rFonts w:cstheme="minorHAnsi"/>
          <w:sz w:val="24"/>
          <w:szCs w:val="24"/>
        </w:rPr>
        <w:t xml:space="preserve">became more </w:t>
      </w:r>
      <w:r w:rsidR="00F85E56">
        <w:rPr>
          <w:rFonts w:cstheme="minorHAnsi"/>
          <w:sz w:val="24"/>
          <w:szCs w:val="24"/>
        </w:rPr>
        <w:t>obvious</w:t>
      </w:r>
      <w:r>
        <w:rPr>
          <w:sz w:val="24"/>
          <w:szCs w:val="24"/>
        </w:rPr>
        <w:t>. The only normalized curve shown as having higher steady state accumulation compared to WT was the AdeG</w:t>
      </w:r>
      <w:r w:rsidR="00CC2A7C">
        <w:rPr>
          <w:sz w:val="24"/>
          <w:szCs w:val="24"/>
        </w:rPr>
        <w:t xml:space="preserve"> S620A</w:t>
      </w:r>
      <w:r>
        <w:rPr>
          <w:sz w:val="24"/>
          <w:szCs w:val="24"/>
        </w:rPr>
        <w:t xml:space="preserve"> mutant</w:t>
      </w:r>
      <w:r w:rsidR="00CC2A7C">
        <w:rPr>
          <w:sz w:val="24"/>
          <w:szCs w:val="24"/>
        </w:rPr>
        <w:t xml:space="preserve"> (dark purple)</w:t>
      </w:r>
      <w:r>
        <w:rPr>
          <w:sz w:val="24"/>
          <w:szCs w:val="24"/>
        </w:rPr>
        <w:t xml:space="preserve">. </w:t>
      </w:r>
      <w:r w:rsidR="00CC2A7C">
        <w:rPr>
          <w:rFonts w:cstheme="minorHAnsi"/>
          <w:sz w:val="24"/>
          <w:szCs w:val="24"/>
        </w:rPr>
        <w:t>W</w:t>
      </w:r>
      <w:r>
        <w:rPr>
          <w:rFonts w:cstheme="minorHAnsi"/>
          <w:sz w:val="24"/>
          <w:szCs w:val="24"/>
        </w:rPr>
        <w:t xml:space="preserve">hen the NPN concentration was increased </w:t>
      </w:r>
      <w:r w:rsidR="00CC2A7C">
        <w:rPr>
          <w:rFonts w:cstheme="minorHAnsi"/>
          <w:sz w:val="24"/>
          <w:szCs w:val="24"/>
        </w:rPr>
        <w:t xml:space="preserve">from 8 µM </w:t>
      </w:r>
      <w:r>
        <w:rPr>
          <w:rFonts w:cstheme="minorHAnsi"/>
          <w:sz w:val="24"/>
          <w:szCs w:val="24"/>
        </w:rPr>
        <w:t xml:space="preserve">to 16 </w:t>
      </w:r>
      <w:r w:rsidRPr="00545FE3">
        <w:rPr>
          <w:rFonts w:cstheme="minorHAnsi"/>
          <w:sz w:val="24"/>
          <w:szCs w:val="24"/>
        </w:rPr>
        <w:t>μM</w:t>
      </w:r>
      <w:r>
        <w:rPr>
          <w:rFonts w:cstheme="minorHAnsi"/>
          <w:sz w:val="24"/>
          <w:szCs w:val="24"/>
        </w:rPr>
        <w:t xml:space="preserve">, AdeG </w:t>
      </w:r>
      <w:r w:rsidR="00CC2A7C">
        <w:rPr>
          <w:rFonts w:cstheme="minorHAnsi"/>
          <w:sz w:val="24"/>
          <w:szCs w:val="24"/>
        </w:rPr>
        <w:t>S620A</w:t>
      </w:r>
      <w:r>
        <w:rPr>
          <w:rFonts w:cstheme="minorHAnsi"/>
          <w:sz w:val="24"/>
          <w:szCs w:val="24"/>
        </w:rPr>
        <w:t xml:space="preserve"> had </w:t>
      </w:r>
      <w:r w:rsidR="00CC2A7C">
        <w:rPr>
          <w:rFonts w:cstheme="minorHAnsi"/>
          <w:sz w:val="24"/>
          <w:szCs w:val="24"/>
        </w:rPr>
        <w:t>the</w:t>
      </w:r>
      <w:r>
        <w:rPr>
          <w:rFonts w:cstheme="minorHAnsi"/>
          <w:sz w:val="24"/>
          <w:szCs w:val="24"/>
        </w:rPr>
        <w:t xml:space="preserve"> great</w:t>
      </w:r>
      <w:r w:rsidR="00CC2A7C">
        <w:rPr>
          <w:rFonts w:cstheme="minorHAnsi"/>
          <w:sz w:val="24"/>
          <w:szCs w:val="24"/>
        </w:rPr>
        <w:t>est</w:t>
      </w:r>
      <w:r>
        <w:rPr>
          <w:rFonts w:cstheme="minorHAnsi"/>
          <w:sz w:val="24"/>
          <w:szCs w:val="24"/>
        </w:rPr>
        <w:t xml:space="preserve"> increase in </w:t>
      </w:r>
      <w:r w:rsidR="00CC2A7C">
        <w:rPr>
          <w:rFonts w:cstheme="minorHAnsi"/>
          <w:sz w:val="24"/>
          <w:szCs w:val="24"/>
        </w:rPr>
        <w:t>steady state</w:t>
      </w:r>
      <w:r>
        <w:rPr>
          <w:rFonts w:cstheme="minorHAnsi"/>
          <w:sz w:val="24"/>
          <w:szCs w:val="24"/>
        </w:rPr>
        <w:t xml:space="preserve"> NPN accumulation </w:t>
      </w:r>
      <w:r w:rsidR="00CC2A7C">
        <w:rPr>
          <w:rFonts w:cstheme="minorHAnsi"/>
          <w:sz w:val="24"/>
          <w:szCs w:val="24"/>
        </w:rPr>
        <w:t>of the high efficiency group.</w:t>
      </w:r>
      <w:r>
        <w:rPr>
          <w:rFonts w:cstheme="minorHAnsi"/>
          <w:sz w:val="24"/>
          <w:szCs w:val="24"/>
        </w:rPr>
        <w:t xml:space="preserve"> </w:t>
      </w:r>
    </w:p>
    <w:bookmarkEnd w:id="16"/>
    <w:p w14:paraId="46C3CEA1" w14:textId="77777777" w:rsidR="00920A0F" w:rsidRDefault="00920A0F" w:rsidP="001B6825">
      <w:pPr>
        <w:rPr>
          <w:sz w:val="24"/>
          <w:szCs w:val="24"/>
        </w:rPr>
      </w:pPr>
    </w:p>
    <w:p w14:paraId="7640107A" w14:textId="2E0BB349" w:rsidR="001B6825" w:rsidRDefault="001B6825" w:rsidP="001B6825">
      <w:pPr>
        <w:rPr>
          <w:sz w:val="24"/>
          <w:szCs w:val="24"/>
        </w:rPr>
      </w:pPr>
    </w:p>
    <w:p w14:paraId="48A68505" w14:textId="5F396E67" w:rsidR="008E3C96" w:rsidRPr="00FB4B2C" w:rsidRDefault="00CA0079" w:rsidP="008E3C96">
      <w:pPr>
        <w:jc w:val="center"/>
        <w:rPr>
          <w:sz w:val="24"/>
          <w:szCs w:val="24"/>
        </w:rPr>
      </w:pPr>
      <w:r w:rsidRPr="00CA0079">
        <w:rPr>
          <w:noProof/>
          <w:sz w:val="24"/>
          <w:szCs w:val="24"/>
        </w:rPr>
        <w:lastRenderedPageBreak/>
        <w:drawing>
          <wp:inline distT="0" distB="0" distL="0" distR="0" wp14:anchorId="29F11D9B" wp14:editId="2D740125">
            <wp:extent cx="3906982" cy="2908983"/>
            <wp:effectExtent l="0" t="0" r="0" b="5715"/>
            <wp:docPr id="1770194380" name="Picture 1" descr="A graph of a number of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94380" name="Picture 1" descr="A graph of a number of numbers and a line&#10;&#10;Description automatically generated with medium confidence"/>
                    <pic:cNvPicPr/>
                  </pic:nvPicPr>
                  <pic:blipFill>
                    <a:blip r:embed="rId45"/>
                    <a:stretch>
                      <a:fillRect/>
                    </a:stretch>
                  </pic:blipFill>
                  <pic:spPr>
                    <a:xfrm>
                      <a:off x="0" y="0"/>
                      <a:ext cx="3906982" cy="2908983"/>
                    </a:xfrm>
                    <a:prstGeom prst="rect">
                      <a:avLst/>
                    </a:prstGeom>
                  </pic:spPr>
                </pic:pic>
              </a:graphicData>
            </a:graphic>
          </wp:inline>
        </w:drawing>
      </w:r>
      <w:r w:rsidRPr="00CA0079">
        <w:rPr>
          <w:noProof/>
          <w:sz w:val="24"/>
          <w:szCs w:val="24"/>
        </w:rPr>
        <w:drawing>
          <wp:inline distT="0" distB="0" distL="0" distR="0" wp14:anchorId="394D5B48" wp14:editId="37CAD02B">
            <wp:extent cx="3941618" cy="3014607"/>
            <wp:effectExtent l="0" t="0" r="1905" b="0"/>
            <wp:docPr id="1811686472"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86472" name="Picture 1" descr="A graph of different colored lines&#10;&#10;Description automatically generated"/>
                    <pic:cNvPicPr/>
                  </pic:nvPicPr>
                  <pic:blipFill>
                    <a:blip r:embed="rId46"/>
                    <a:stretch>
                      <a:fillRect/>
                    </a:stretch>
                  </pic:blipFill>
                  <pic:spPr>
                    <a:xfrm>
                      <a:off x="0" y="0"/>
                      <a:ext cx="3955746" cy="3025412"/>
                    </a:xfrm>
                    <a:prstGeom prst="rect">
                      <a:avLst/>
                    </a:prstGeom>
                  </pic:spPr>
                </pic:pic>
              </a:graphicData>
            </a:graphic>
          </wp:inline>
        </w:drawing>
      </w:r>
    </w:p>
    <w:p w14:paraId="12C51BD3" w14:textId="355B5BF5" w:rsidR="001B6825" w:rsidRDefault="001B6825" w:rsidP="001B6825">
      <w:pPr>
        <w:rPr>
          <w:b/>
          <w:bCs/>
          <w:sz w:val="24"/>
          <w:szCs w:val="24"/>
        </w:rPr>
      </w:pPr>
      <w:r>
        <w:rPr>
          <w:b/>
          <w:bCs/>
          <w:sz w:val="24"/>
          <w:szCs w:val="24"/>
        </w:rPr>
        <w:t>Figure 4.</w:t>
      </w:r>
      <w:r w:rsidR="00573450">
        <w:rPr>
          <w:b/>
          <w:bCs/>
          <w:sz w:val="24"/>
          <w:szCs w:val="24"/>
        </w:rPr>
        <w:t>5</w:t>
      </w:r>
      <w:r>
        <w:rPr>
          <w:b/>
          <w:bCs/>
          <w:sz w:val="24"/>
          <w:szCs w:val="24"/>
        </w:rPr>
        <w:t xml:space="preserve"> – Initial rates of NPN (0-16 </w:t>
      </w:r>
      <w:r w:rsidRPr="00C158D7">
        <w:rPr>
          <w:rFonts w:cstheme="minorHAnsi"/>
          <w:b/>
          <w:bCs/>
          <w:sz w:val="24"/>
          <w:szCs w:val="24"/>
        </w:rPr>
        <w:t>μM</w:t>
      </w:r>
      <w:r>
        <w:rPr>
          <w:b/>
          <w:bCs/>
          <w:sz w:val="24"/>
          <w:szCs w:val="24"/>
        </w:rPr>
        <w:t>) uptake</w:t>
      </w:r>
    </w:p>
    <w:p w14:paraId="2EC918BD" w14:textId="0D6737C5" w:rsidR="001B6825" w:rsidRDefault="001B6825" w:rsidP="001B6825">
      <w:pPr>
        <w:rPr>
          <w:sz w:val="24"/>
          <w:szCs w:val="24"/>
        </w:rPr>
      </w:pPr>
      <w:r>
        <w:rPr>
          <w:sz w:val="24"/>
          <w:szCs w:val="24"/>
        </w:rPr>
        <w:t xml:space="preserve">Initial rates of uptake of all </w:t>
      </w:r>
      <w:r>
        <w:rPr>
          <w:i/>
          <w:iCs/>
          <w:sz w:val="24"/>
          <w:szCs w:val="24"/>
        </w:rPr>
        <w:t>A. baumannii</w:t>
      </w:r>
      <w:r>
        <w:rPr>
          <w:sz w:val="24"/>
          <w:szCs w:val="24"/>
        </w:rPr>
        <w:t xml:space="preserve"> </w:t>
      </w:r>
      <w:r w:rsidRPr="005A5764">
        <w:rPr>
          <w:sz w:val="24"/>
          <w:szCs w:val="24"/>
        </w:rPr>
        <w:t>Δ</w:t>
      </w:r>
      <w:r>
        <w:rPr>
          <w:sz w:val="24"/>
          <w:szCs w:val="24"/>
        </w:rPr>
        <w:t>3-Pore AdeG mutant strains and controls</w:t>
      </w:r>
      <w:r w:rsidR="001231A5">
        <w:rPr>
          <w:sz w:val="24"/>
          <w:szCs w:val="24"/>
        </w:rPr>
        <w:t>:</w:t>
      </w:r>
      <w:r w:rsidR="001231A5" w:rsidRPr="001231A5">
        <w:rPr>
          <w:sz w:val="24"/>
          <w:szCs w:val="24"/>
        </w:rPr>
        <w:t xml:space="preserve"> </w:t>
      </w:r>
      <w:r w:rsidR="001231A5">
        <w:rPr>
          <w:sz w:val="24"/>
          <w:szCs w:val="24"/>
        </w:rPr>
        <w:t>(</w:t>
      </w:r>
      <w:r w:rsidR="001231A5">
        <w:rPr>
          <w:b/>
          <w:bCs/>
          <w:sz w:val="24"/>
          <w:szCs w:val="24"/>
        </w:rPr>
        <w:t>A</w:t>
      </w:r>
      <w:r w:rsidR="001231A5">
        <w:rPr>
          <w:sz w:val="24"/>
          <w:szCs w:val="24"/>
        </w:rPr>
        <w:t>) Low efflux efficiency AdeG mutants, (</w:t>
      </w:r>
      <w:r w:rsidR="001231A5">
        <w:rPr>
          <w:b/>
          <w:bCs/>
          <w:sz w:val="24"/>
          <w:szCs w:val="24"/>
        </w:rPr>
        <w:t>B</w:t>
      </w:r>
      <w:r w:rsidR="001231A5">
        <w:rPr>
          <w:sz w:val="24"/>
          <w:szCs w:val="24"/>
        </w:rPr>
        <w:t xml:space="preserve">) High efflux efficiency AdeG mutants. </w:t>
      </w:r>
      <w:r>
        <w:rPr>
          <w:sz w:val="24"/>
          <w:szCs w:val="24"/>
        </w:rPr>
        <w:t xml:space="preserve"> </w:t>
      </w:r>
      <w:r>
        <w:rPr>
          <w:rFonts w:asciiTheme="majorHAnsi" w:hAnsiTheme="majorHAnsi" w:cstheme="majorHAnsi"/>
          <w:sz w:val="24"/>
          <w:szCs w:val="24"/>
        </w:rPr>
        <w:t xml:space="preserve">The uptake data sets were fitted using a script written for </w:t>
      </w:r>
      <w:proofErr w:type="spellStart"/>
      <w:r>
        <w:rPr>
          <w:rFonts w:asciiTheme="majorHAnsi" w:hAnsiTheme="majorHAnsi" w:cstheme="majorHAnsi"/>
          <w:sz w:val="24"/>
          <w:szCs w:val="24"/>
        </w:rPr>
        <w:t>MatLab</w:t>
      </w:r>
      <w:proofErr w:type="spellEnd"/>
      <w:r w:rsidR="00695E42">
        <w:rPr>
          <w:rFonts w:asciiTheme="majorHAnsi" w:hAnsiTheme="majorHAnsi" w:cstheme="majorHAnsi"/>
          <w:sz w:val="24"/>
          <w:szCs w:val="24"/>
        </w:rPr>
        <w:t xml:space="preserve"> (</w:t>
      </w:r>
      <w:r w:rsidR="00695E42">
        <w:rPr>
          <w:rFonts w:asciiTheme="majorHAnsi" w:hAnsiTheme="majorHAnsi" w:cstheme="majorHAnsi"/>
          <w:b/>
          <w:bCs/>
          <w:sz w:val="24"/>
          <w:szCs w:val="24"/>
        </w:rPr>
        <w:t>Methods 2.13</w:t>
      </w:r>
      <w:r w:rsidR="00695E42">
        <w:rPr>
          <w:rFonts w:asciiTheme="majorHAnsi" w:hAnsiTheme="majorHAnsi" w:cstheme="majorHAnsi"/>
          <w:sz w:val="24"/>
          <w:szCs w:val="24"/>
        </w:rPr>
        <w:t>)</w:t>
      </w:r>
      <w:r>
        <w:rPr>
          <w:rFonts w:asciiTheme="majorHAnsi" w:hAnsiTheme="majorHAnsi" w:cstheme="majorHAnsi"/>
          <w:sz w:val="24"/>
          <w:szCs w:val="24"/>
        </w:rPr>
        <w:t xml:space="preserve">. </w:t>
      </w:r>
      <w:r>
        <w:rPr>
          <w:sz w:val="24"/>
          <w:szCs w:val="24"/>
        </w:rPr>
        <w:t>Error bars are S</w:t>
      </w:r>
      <w:r w:rsidR="00695E42">
        <w:rPr>
          <w:sz w:val="24"/>
          <w:szCs w:val="24"/>
        </w:rPr>
        <w:t>D</w:t>
      </w:r>
      <w:r>
        <w:rPr>
          <w:sz w:val="24"/>
          <w:szCs w:val="24"/>
        </w:rPr>
        <w:t xml:space="preserve"> (n = 2).</w:t>
      </w:r>
    </w:p>
    <w:p w14:paraId="25E5E0D3" w14:textId="6F862CEA" w:rsidR="00B4627D" w:rsidRDefault="002E057B" w:rsidP="00B4627D">
      <w:pPr>
        <w:spacing w:line="360" w:lineRule="auto"/>
        <w:ind w:firstLine="720"/>
        <w:rPr>
          <w:sz w:val="24"/>
          <w:szCs w:val="24"/>
        </w:rPr>
      </w:pPr>
      <w:r>
        <w:rPr>
          <w:rFonts w:cstheme="minorHAnsi"/>
          <w:sz w:val="24"/>
          <w:szCs w:val="24"/>
        </w:rPr>
        <w:t xml:space="preserve">We also calculated </w:t>
      </w:r>
      <w:r w:rsidR="00920A0F">
        <w:rPr>
          <w:rFonts w:cstheme="minorHAnsi"/>
          <w:sz w:val="24"/>
          <w:szCs w:val="24"/>
        </w:rPr>
        <w:t xml:space="preserve">the initial rates (Vi) using the same </w:t>
      </w:r>
      <w:r>
        <w:rPr>
          <w:rFonts w:cstheme="minorHAnsi"/>
          <w:sz w:val="24"/>
          <w:szCs w:val="24"/>
        </w:rPr>
        <w:t>model</w:t>
      </w:r>
      <w:r w:rsidR="00920A0F">
        <w:rPr>
          <w:rFonts w:cstheme="minorHAnsi"/>
          <w:sz w:val="24"/>
          <w:szCs w:val="24"/>
        </w:rPr>
        <w:t xml:space="preserve"> in </w:t>
      </w:r>
      <w:proofErr w:type="spellStart"/>
      <w:r w:rsidR="00920A0F">
        <w:rPr>
          <w:rFonts w:cstheme="minorHAnsi"/>
          <w:sz w:val="24"/>
          <w:szCs w:val="24"/>
        </w:rPr>
        <w:t>MatLab</w:t>
      </w:r>
      <w:proofErr w:type="spellEnd"/>
      <w:r w:rsidR="0015659E">
        <w:rPr>
          <w:rFonts w:cstheme="minorHAnsi"/>
          <w:sz w:val="24"/>
          <w:szCs w:val="24"/>
        </w:rPr>
        <w:t xml:space="preserve">. The </w:t>
      </w:r>
      <w:r w:rsidR="00920A0F">
        <w:rPr>
          <w:rFonts w:cstheme="minorHAnsi"/>
          <w:sz w:val="24"/>
          <w:szCs w:val="24"/>
        </w:rPr>
        <w:t>initial rates of the strains were plotted verses external concentration of NPN (</w:t>
      </w:r>
      <w:r w:rsidR="00920A0F">
        <w:rPr>
          <w:rFonts w:cstheme="minorHAnsi"/>
          <w:b/>
          <w:bCs/>
          <w:sz w:val="24"/>
          <w:szCs w:val="24"/>
        </w:rPr>
        <w:t>Figure 4.</w:t>
      </w:r>
      <w:r w:rsidR="006664FB">
        <w:rPr>
          <w:rFonts w:cstheme="minorHAnsi"/>
          <w:b/>
          <w:bCs/>
          <w:sz w:val="24"/>
          <w:szCs w:val="24"/>
        </w:rPr>
        <w:t>5</w:t>
      </w:r>
      <w:r w:rsidR="00920A0F">
        <w:rPr>
          <w:rFonts w:cstheme="minorHAnsi"/>
          <w:sz w:val="24"/>
          <w:szCs w:val="24"/>
        </w:rPr>
        <w:t xml:space="preserve">). </w:t>
      </w:r>
      <w:r w:rsidR="00B4627D">
        <w:rPr>
          <w:rFonts w:cstheme="minorHAnsi"/>
          <w:sz w:val="24"/>
          <w:szCs w:val="24"/>
        </w:rPr>
        <w:t>The initial rates for the low efficiency AdeG mutants (</w:t>
      </w:r>
      <w:r w:rsidR="00B4627D">
        <w:rPr>
          <w:rFonts w:cstheme="minorHAnsi"/>
          <w:b/>
          <w:bCs/>
          <w:sz w:val="24"/>
          <w:szCs w:val="24"/>
        </w:rPr>
        <w:t>Figure 4.5-A</w:t>
      </w:r>
      <w:r w:rsidR="00B4627D">
        <w:rPr>
          <w:rFonts w:cstheme="minorHAnsi"/>
          <w:sz w:val="24"/>
          <w:szCs w:val="24"/>
        </w:rPr>
        <w:t xml:space="preserve">) are distributed </w:t>
      </w:r>
      <w:r w:rsidR="00920A0F">
        <w:rPr>
          <w:rFonts w:cstheme="minorHAnsi"/>
          <w:sz w:val="24"/>
          <w:szCs w:val="24"/>
        </w:rPr>
        <w:t>between the negative control strain (Ab</w:t>
      </w:r>
      <w:r w:rsidR="00920A0F" w:rsidRPr="005A5764">
        <w:rPr>
          <w:sz w:val="24"/>
          <w:szCs w:val="24"/>
        </w:rPr>
        <w:t>Δ</w:t>
      </w:r>
      <w:r w:rsidR="00920A0F">
        <w:rPr>
          <w:sz w:val="24"/>
          <w:szCs w:val="24"/>
        </w:rPr>
        <w:t>3-Pore</w:t>
      </w:r>
      <w:r w:rsidR="00B4627D">
        <w:rPr>
          <w:sz w:val="24"/>
          <w:szCs w:val="24"/>
        </w:rPr>
        <w:t>, black “x” markers</w:t>
      </w:r>
      <w:r w:rsidR="00920A0F">
        <w:rPr>
          <w:sz w:val="24"/>
          <w:szCs w:val="24"/>
        </w:rPr>
        <w:t xml:space="preserve">) and the positive </w:t>
      </w:r>
      <w:r w:rsidR="00920A0F">
        <w:rPr>
          <w:sz w:val="24"/>
          <w:szCs w:val="24"/>
        </w:rPr>
        <w:lastRenderedPageBreak/>
        <w:t>control strain (</w:t>
      </w:r>
      <w:r w:rsidR="00920A0F">
        <w:rPr>
          <w:rFonts w:cstheme="minorHAnsi"/>
          <w:sz w:val="24"/>
          <w:szCs w:val="24"/>
        </w:rPr>
        <w:t>Ab</w:t>
      </w:r>
      <w:r w:rsidR="00920A0F" w:rsidRPr="005A5764">
        <w:rPr>
          <w:sz w:val="24"/>
          <w:szCs w:val="24"/>
        </w:rPr>
        <w:t>Δ</w:t>
      </w:r>
      <w:r w:rsidR="00920A0F">
        <w:rPr>
          <w:sz w:val="24"/>
          <w:szCs w:val="24"/>
        </w:rPr>
        <w:t>3-Pore(pAdeFGH</w:t>
      </w:r>
      <w:r w:rsidR="004F4EB4">
        <w:rPr>
          <w:sz w:val="24"/>
          <w:szCs w:val="24"/>
        </w:rPr>
        <w:t>)</w:t>
      </w:r>
      <w:r w:rsidR="00B4627D">
        <w:rPr>
          <w:sz w:val="24"/>
          <w:szCs w:val="24"/>
        </w:rPr>
        <w:t>, light green diamonds</w:t>
      </w:r>
      <w:r w:rsidR="00920A0F">
        <w:rPr>
          <w:sz w:val="24"/>
          <w:szCs w:val="24"/>
        </w:rPr>
        <w:t>)</w:t>
      </w:r>
      <w:r w:rsidR="007C5DFE">
        <w:rPr>
          <w:sz w:val="24"/>
          <w:szCs w:val="24"/>
        </w:rPr>
        <w:t>. The higher initial rates show that these AdeG mutants are less efficient at exporting NPN than the WT AdeG.</w:t>
      </w:r>
    </w:p>
    <w:p w14:paraId="40E77604" w14:textId="6B5AD1AA" w:rsidR="00B70295" w:rsidRDefault="00B4627D" w:rsidP="00F74BD8">
      <w:pPr>
        <w:spacing w:line="360" w:lineRule="auto"/>
        <w:ind w:firstLine="720"/>
        <w:rPr>
          <w:sz w:val="24"/>
          <w:szCs w:val="24"/>
        </w:rPr>
      </w:pPr>
      <w:r>
        <w:rPr>
          <w:sz w:val="24"/>
          <w:szCs w:val="24"/>
        </w:rPr>
        <w:t>The initial rates for the high efficiency AdeG mutants (</w:t>
      </w:r>
      <w:r>
        <w:rPr>
          <w:b/>
          <w:bCs/>
          <w:sz w:val="24"/>
          <w:szCs w:val="24"/>
        </w:rPr>
        <w:t>Figure 4.5-B</w:t>
      </w:r>
      <w:r>
        <w:rPr>
          <w:sz w:val="24"/>
          <w:szCs w:val="24"/>
        </w:rPr>
        <w:t xml:space="preserve">) are distributed </w:t>
      </w:r>
      <w:r w:rsidR="007C5DFE">
        <w:rPr>
          <w:sz w:val="24"/>
          <w:szCs w:val="24"/>
        </w:rPr>
        <w:t>above and below the WT AdeG cells (light green diamonds). The two AdeG mutants S620A and L138A show initial rates higher than the WT, suggesting that they are less ef</w:t>
      </w:r>
      <w:r w:rsidR="00B70295">
        <w:rPr>
          <w:sz w:val="24"/>
          <w:szCs w:val="24"/>
        </w:rPr>
        <w:t>flux efficient than WT AdeG and the other “high efficiency” mutants.</w:t>
      </w:r>
      <w:r w:rsidR="00563283">
        <w:rPr>
          <w:sz w:val="24"/>
          <w:szCs w:val="24"/>
        </w:rPr>
        <w:t xml:space="preserve"> </w:t>
      </w:r>
      <w:r w:rsidR="00B70295">
        <w:rPr>
          <w:sz w:val="24"/>
          <w:szCs w:val="24"/>
        </w:rPr>
        <w:t xml:space="preserve"> </w:t>
      </w:r>
      <w:r w:rsidR="00563283">
        <w:rPr>
          <w:sz w:val="24"/>
          <w:szCs w:val="24"/>
        </w:rPr>
        <w:t>The AdeG mutant L138A showed the fastest initial rate change. When doubling the external NPN concentration from 8 µM to 16 µM, AdeG L138A saw its initial rate quadruple. This suggests that even though AdeG L138A was efflux efficient at lower NPN concentrations,</w:t>
      </w:r>
      <w:r w:rsidR="00F74BD8">
        <w:rPr>
          <w:sz w:val="24"/>
          <w:szCs w:val="24"/>
        </w:rPr>
        <w:t xml:space="preserve"> 16 µM NPN is likely to be above its K</w:t>
      </w:r>
      <w:r w:rsidR="00F74BD8">
        <w:rPr>
          <w:sz w:val="24"/>
          <w:szCs w:val="24"/>
          <w:vertAlign w:val="subscript"/>
        </w:rPr>
        <w:t>D</w:t>
      </w:r>
      <w:r w:rsidR="00F74BD8">
        <w:rPr>
          <w:sz w:val="24"/>
          <w:szCs w:val="24"/>
        </w:rPr>
        <w:t xml:space="preserve"> resulting in a greater increase in NPN uptake. </w:t>
      </w:r>
      <w:r w:rsidR="00B70295">
        <w:rPr>
          <w:sz w:val="24"/>
          <w:szCs w:val="24"/>
        </w:rPr>
        <w:t>The AdeG mutant A705I show</w:t>
      </w:r>
      <w:r w:rsidR="00CA0079">
        <w:rPr>
          <w:sz w:val="24"/>
          <w:szCs w:val="24"/>
        </w:rPr>
        <w:t>s</w:t>
      </w:r>
      <w:r w:rsidR="00B70295">
        <w:rPr>
          <w:sz w:val="24"/>
          <w:szCs w:val="24"/>
        </w:rPr>
        <w:t xml:space="preserve"> initial rates that line up very closely with the WT AdeG curve, suggesting that th</w:t>
      </w:r>
      <w:r w:rsidR="00CA0079">
        <w:rPr>
          <w:sz w:val="24"/>
          <w:szCs w:val="24"/>
        </w:rPr>
        <w:t>is</w:t>
      </w:r>
      <w:r w:rsidR="00B70295">
        <w:rPr>
          <w:sz w:val="24"/>
          <w:szCs w:val="24"/>
        </w:rPr>
        <w:t xml:space="preserve"> amino acid substitution d</w:t>
      </w:r>
      <w:r w:rsidR="00CA0079">
        <w:rPr>
          <w:sz w:val="24"/>
          <w:szCs w:val="24"/>
        </w:rPr>
        <w:t>id</w:t>
      </w:r>
      <w:r w:rsidR="00B70295">
        <w:rPr>
          <w:sz w:val="24"/>
          <w:szCs w:val="24"/>
        </w:rPr>
        <w:t xml:space="preserve"> not have much impact on the export rate of the transporter.</w:t>
      </w:r>
      <w:r w:rsidR="00CE5DAB">
        <w:rPr>
          <w:sz w:val="24"/>
          <w:szCs w:val="24"/>
        </w:rPr>
        <w:t xml:space="preserve"> The AdeG mutant Q83A appears to have the lowest initial rates across all tested NPN concentrations, suggesting that this single residue substitution</w:t>
      </w:r>
      <w:r w:rsidR="00CA0079">
        <w:rPr>
          <w:sz w:val="24"/>
          <w:szCs w:val="24"/>
        </w:rPr>
        <w:t xml:space="preserve"> slightly</w:t>
      </w:r>
      <w:r w:rsidR="00CE5DAB">
        <w:rPr>
          <w:sz w:val="24"/>
          <w:szCs w:val="24"/>
        </w:rPr>
        <w:t xml:space="preserve"> improves efflux efficiency of the AdeG transporter. </w:t>
      </w:r>
    </w:p>
    <w:p w14:paraId="18F08879" w14:textId="45B0A7E0" w:rsidR="001B6825" w:rsidRPr="001B6825" w:rsidRDefault="001B6825" w:rsidP="00041B30">
      <w:pPr>
        <w:spacing w:line="360" w:lineRule="auto"/>
        <w:rPr>
          <w:sz w:val="24"/>
          <w:szCs w:val="24"/>
          <w:u w:val="single"/>
        </w:rPr>
      </w:pPr>
      <w:r w:rsidRPr="001B6825">
        <w:rPr>
          <w:sz w:val="24"/>
          <w:szCs w:val="24"/>
          <w:u w:val="single"/>
        </w:rPr>
        <w:t>4.3.</w:t>
      </w:r>
      <w:r w:rsidR="004F705E">
        <w:rPr>
          <w:sz w:val="24"/>
          <w:szCs w:val="24"/>
          <w:u w:val="single"/>
        </w:rPr>
        <w:t>4.</w:t>
      </w:r>
      <w:r w:rsidRPr="001B6825">
        <w:rPr>
          <w:sz w:val="24"/>
          <w:szCs w:val="24"/>
          <w:u w:val="single"/>
        </w:rPr>
        <w:t xml:space="preserve"> The effect of mutations in AdeG on the inhibitory activity of SLUPP_1377</w:t>
      </w:r>
    </w:p>
    <w:p w14:paraId="78700BB9" w14:textId="27E7BFF7" w:rsidR="001E22EB" w:rsidRDefault="00952302" w:rsidP="00041B30">
      <w:pPr>
        <w:spacing w:line="360" w:lineRule="auto"/>
        <w:rPr>
          <w:sz w:val="24"/>
          <w:szCs w:val="24"/>
        </w:rPr>
      </w:pPr>
      <w:r>
        <w:rPr>
          <w:sz w:val="24"/>
          <w:szCs w:val="24"/>
        </w:rPr>
        <w:tab/>
      </w:r>
      <w:r w:rsidR="001E22EB" w:rsidRPr="001E22EB">
        <w:rPr>
          <w:sz w:val="24"/>
          <w:szCs w:val="24"/>
        </w:rPr>
        <w:t xml:space="preserve">In an ongoing effort to discover new and effective EPIs, </w:t>
      </w:r>
      <w:r w:rsidR="001E22EB">
        <w:rPr>
          <w:sz w:val="24"/>
          <w:szCs w:val="24"/>
        </w:rPr>
        <w:t>Zgurskaya</w:t>
      </w:r>
      <w:r w:rsidR="001E22EB" w:rsidRPr="001E22EB">
        <w:rPr>
          <w:sz w:val="24"/>
          <w:szCs w:val="24"/>
        </w:rPr>
        <w:t xml:space="preserve"> previously </w:t>
      </w:r>
      <w:r w:rsidR="001E22EB">
        <w:rPr>
          <w:sz w:val="24"/>
          <w:szCs w:val="24"/>
        </w:rPr>
        <w:t>reported</w:t>
      </w:r>
      <w:r w:rsidR="001E22EB" w:rsidRPr="001E22EB">
        <w:rPr>
          <w:sz w:val="24"/>
          <w:szCs w:val="24"/>
        </w:rPr>
        <w:t xml:space="preserve"> a substituted </w:t>
      </w:r>
      <w:proofErr w:type="spellStart"/>
      <w:r w:rsidR="001E22EB" w:rsidRPr="001E22EB">
        <w:rPr>
          <w:sz w:val="24"/>
          <w:szCs w:val="24"/>
        </w:rPr>
        <w:t>phthalanilide</w:t>
      </w:r>
      <w:proofErr w:type="spellEnd"/>
      <w:r w:rsidR="001E22EB" w:rsidRPr="001E22EB">
        <w:rPr>
          <w:sz w:val="24"/>
          <w:szCs w:val="24"/>
        </w:rPr>
        <w:t xml:space="preserve"> NSC-60339 and a substituted </w:t>
      </w:r>
      <w:proofErr w:type="spellStart"/>
      <w:r w:rsidR="001E22EB" w:rsidRPr="001E22EB">
        <w:rPr>
          <w:sz w:val="24"/>
          <w:szCs w:val="24"/>
        </w:rPr>
        <w:t>diaminoquinoline</w:t>
      </w:r>
      <w:proofErr w:type="spellEnd"/>
      <w:r w:rsidR="001E22EB" w:rsidRPr="001E22EB">
        <w:rPr>
          <w:sz w:val="24"/>
          <w:szCs w:val="24"/>
        </w:rPr>
        <w:t xml:space="preserve"> NSC-33353 targeting </w:t>
      </w:r>
      <w:proofErr w:type="spellStart"/>
      <w:r w:rsidR="001E22EB" w:rsidRPr="001E22EB">
        <w:rPr>
          <w:sz w:val="24"/>
          <w:szCs w:val="24"/>
        </w:rPr>
        <w:t>AcrAB-TolC</w:t>
      </w:r>
      <w:proofErr w:type="spellEnd"/>
      <w:r w:rsidR="001E22EB" w:rsidRPr="001E22EB">
        <w:rPr>
          <w:sz w:val="24"/>
          <w:szCs w:val="24"/>
        </w:rPr>
        <w:t xml:space="preserve"> efflux system in </w:t>
      </w:r>
      <w:r w:rsidR="001E22EB" w:rsidRPr="001E22EB">
        <w:rPr>
          <w:i/>
          <w:iCs/>
          <w:sz w:val="24"/>
          <w:szCs w:val="24"/>
        </w:rPr>
        <w:t>E. coli</w:t>
      </w:r>
      <w:r w:rsidR="001E22EB" w:rsidRPr="001E22EB">
        <w:rPr>
          <w:sz w:val="24"/>
          <w:szCs w:val="24"/>
        </w:rPr>
        <w:t>.</w:t>
      </w:r>
      <w:r w:rsidR="00224F5D">
        <w:rPr>
          <w:sz w:val="24"/>
          <w:szCs w:val="24"/>
        </w:rPr>
        <w:fldChar w:fldCharType="begin"/>
      </w:r>
      <w:r w:rsidR="002F6F9F">
        <w:rPr>
          <w:sz w:val="24"/>
          <w:szCs w:val="24"/>
        </w:rPr>
        <w:instrText xml:space="preserve"> ADDIN ZOTERO_ITEM CSL_CITATION {"citationID":"amqr8i4n6r","properties":{"formattedCitation":"\\super 109,162\\nosupersub{}","plainCitation":"109,162","noteIndex":0},"citationItems":[{"id":968,"uris":["http://zotero.org/users/1918630/items/7K7ABTJU"],"itemData":{"id":968,"type":"article-journal","abstract":"Antibiotic resistance is a major threat to human welfare. Inhibitors of multidrug efflux pumps (EPIs) are promising alternative therapeutics that could revive activities of antibiotics and reduce bacterial virulence. Identification of new druggable sites for inhibition is critical for the development of effective EPIs, especially in light of constantly emerging resistance. Here, we describe EPIs that interact with periplasmic membrane fusion proteins, critical components of efflux pumps that are responsible for the activation of the transporter and the recruitment of the outer-membrane channel. The discovered EPIs bind to AcrA, a component of the prototypical AcrAB-TolC pump, change its structure in vivo, inhibit efflux of fluorescent probes, and potentiate the activities of antibiotics in Escherichia coli and other Gram-negative bacteria. Our findings expand the chemical and mechanistic diversity of EPIs, suggest the mechanism for regulation of the efflux pump assembly and activity, and provide a promising path for reviving the activities of antibiotics in resistant bacteria.","container-title":"ACS Infectious Diseases","DOI":"10.1021/acsinfecdis.6b00167","issue":"1","journalAbbreviation":"ACS Infect. Dis.","note":"publisher: American Chemical Society","page":"89-98","source":"ACS Publications","title":"Reviving Antibiotics: Efflux Pump Inhibitors That Interact with AcrA, a Membrane Fusion Protein of the AcrAB-TolC Multidrug Efflux Pump","title-short":"Reviving Antibiotics","volume":"3","author":[{"family":"Abdali","given":"Narges"},{"family":"Parks","given":"Jerry M."},{"family":"Haynes","given":"Keith M."},{"family":"Chaney","given":"Julie L."},{"family":"Green","given":"Adam T."},{"family":"Wolloscheck","given":"David"},{"family":"Walker","given":"John K."},{"family":"Rybenkov","given":"Valentin V."},{"family":"Baudry","given":"Jerome"},{"family":"Smith","given":"Jeremy C."},{"family":"Zgurskaya","given":"Helen I."}],"issued":{"date-parts":[["2017",1,13]]}}},{"id":2235,"uris":["http://zotero.org/users/1918630/items/37ACY8WZ"],"itemData":{"id":2235,"type":"article-journal","abstract":"Antibiotic resistance poses an immediate and growing threat to human health. Multidrug efflux pumps are promising targets for overcoming antibiotic resistance with small-molecule therapeutics. Previously, we identified a diaminoquinoline acrylamide, NSC-33353, as a potent inhibitor of the AcrAB-TolC efflux pump in Escherichia coli. This inhibitor potentiates the antibacterial activities of novobiocin and erythromycin upon binding to the membrane fusion protein AcrA. It is also a substrate for efflux and lacks appreciable intrinsic antibacterial activity of its own in wild-type cells. Here, we have modified the substituents of the cinnamoyl group of NSC-33353, giving rise to analogs that retain the ability to inhibit efflux, lost the features of the efflux substrates, and gained antibacterial activity in wild-type cells. The replacement of the cinnamoyl group with naphthyl isosteres generated compounds that lack antibacterial activity but are both excellent efflux pump inhibitors and substrates. Surprisingly, these inhibitors potentiate the antibacterial activity of novobiocin but not erythromycin. Surface plasmon resonance experiments and molecular docking suggest that the replacement of the cinnamoyl group with naphthyl shifts the affinity of the compounds away from AcrA to the AcrB transporter, making them better efflux substrates and changing their mechanism of inhibition. These results provide new insights into the duality of efflux substrate/inhibitor features in chemical scaffolds that will facilitate the development of new efflux pump inhibitors.","container-title":"ACS infectious diseases","DOI":"10.1021/acsinfecdis.1c00100","ISSN":"2373-8227","issue":"9","journalAbbreviation":"ACS Infect Dis","language":"eng","note":"PMID: 34379382\nPMCID: PMC8668026","page":"2650-2665","source":"PubMed","title":"Mechanistic Duality of Bacterial Efflux Substrates and Inhibitors: Example of Simple Substituted Cinnamoyl and Naphthyl Amides","title-short":"Mechanistic Duality of Bacterial Efflux Substrates and Inhibitors","volume":"7","author":[{"family":"D'Cunha","given":"Napoleon"},{"family":"Moniruzzaman","given":"Mohammad"},{"family":"Haynes","given":"Keith"},{"family":"Malloci","given":"Giuliano"},{"family":"Cooper","given":"Connor J."},{"family":"Margiotta","given":"Enrico"},{"family":"Vargiu","given":"Attilio V."},{"family":"Uddin","given":"Muhammad R."},{"family":"Leus","given":"Inga V."},{"family":"Cao","given":"Feng"},{"family":"Parks","given":"Jerry M."},{"family":"Rybenkov","given":"Valentin V."},{"family":"Ruggerone","given":"Paolo"},{"family":"Zgurskaya","given":"Helen I."},{"family":"Walker","given":"John K."}],"issued":{"date-parts":[["2021",9,10]]}}}],"schema":"https://github.com/citation-style-language/schema/raw/master/csl-citation.json"} </w:instrText>
      </w:r>
      <w:r w:rsidR="00224F5D">
        <w:rPr>
          <w:sz w:val="24"/>
          <w:szCs w:val="24"/>
        </w:rPr>
        <w:fldChar w:fldCharType="separate"/>
      </w:r>
      <w:r w:rsidR="002F6F9F" w:rsidRPr="002F6F9F">
        <w:rPr>
          <w:rFonts w:ascii="Times New Roman" w:hAnsi="Times New Roman" w:cs="Times New Roman"/>
          <w:sz w:val="24"/>
          <w:vertAlign w:val="superscript"/>
        </w:rPr>
        <w:t>109,162</w:t>
      </w:r>
      <w:r w:rsidR="00224F5D">
        <w:rPr>
          <w:sz w:val="24"/>
          <w:szCs w:val="24"/>
        </w:rPr>
        <w:fldChar w:fldCharType="end"/>
      </w:r>
      <w:r w:rsidR="001E22EB" w:rsidRPr="001E22EB">
        <w:rPr>
          <w:sz w:val="24"/>
          <w:szCs w:val="24"/>
        </w:rPr>
        <w:t xml:space="preserve"> These compounds exhibited weak antibacterial activity, improved the potency of antibiotics, and inhibited efflux in a biochemical assay. The attractive profiles of these </w:t>
      </w:r>
      <w:proofErr w:type="spellStart"/>
      <w:r w:rsidR="001E22EB" w:rsidRPr="001E22EB">
        <w:rPr>
          <w:sz w:val="24"/>
          <w:szCs w:val="24"/>
        </w:rPr>
        <w:t>AcrAB-TolC</w:t>
      </w:r>
      <w:proofErr w:type="spellEnd"/>
      <w:r w:rsidR="001E22EB" w:rsidRPr="001E22EB">
        <w:rPr>
          <w:sz w:val="24"/>
          <w:szCs w:val="24"/>
        </w:rPr>
        <w:t xml:space="preserve"> EPIs and the homology between </w:t>
      </w:r>
      <w:r w:rsidR="001E22EB" w:rsidRPr="00A93D1C">
        <w:rPr>
          <w:i/>
          <w:iCs/>
          <w:sz w:val="24"/>
          <w:szCs w:val="24"/>
        </w:rPr>
        <w:t>E. coli</w:t>
      </w:r>
      <w:r w:rsidR="001E22EB" w:rsidRPr="001E22EB">
        <w:rPr>
          <w:sz w:val="24"/>
          <w:szCs w:val="24"/>
        </w:rPr>
        <w:t xml:space="preserve"> AcrB and </w:t>
      </w:r>
      <w:r w:rsidR="001E22EB" w:rsidRPr="00A93D1C">
        <w:rPr>
          <w:i/>
          <w:iCs/>
          <w:sz w:val="24"/>
          <w:szCs w:val="24"/>
        </w:rPr>
        <w:t>A. baumannii</w:t>
      </w:r>
      <w:r w:rsidR="001E22EB" w:rsidRPr="001E22EB">
        <w:rPr>
          <w:sz w:val="24"/>
          <w:szCs w:val="24"/>
        </w:rPr>
        <w:t xml:space="preserve"> Ade</w:t>
      </w:r>
      <w:r w:rsidR="009A7549">
        <w:rPr>
          <w:sz w:val="24"/>
          <w:szCs w:val="24"/>
        </w:rPr>
        <w:t>G</w:t>
      </w:r>
      <w:r w:rsidR="006510CA">
        <w:rPr>
          <w:sz w:val="24"/>
          <w:szCs w:val="24"/>
        </w:rPr>
        <w:t xml:space="preserve"> and AdeJ</w:t>
      </w:r>
      <w:r w:rsidR="006510CA">
        <w:rPr>
          <w:sz w:val="24"/>
          <w:szCs w:val="24"/>
        </w:rPr>
        <w:fldChar w:fldCharType="begin"/>
      </w:r>
      <w:r w:rsidR="002F6F9F">
        <w:rPr>
          <w:sz w:val="24"/>
          <w:szCs w:val="24"/>
        </w:rPr>
        <w:instrText xml:space="preserve"> ADDIN ZOTERO_ITEM CSL_CITATION {"citationID":"a1oushjaqfh","properties":{"formattedCitation":"\\super 45,163\\nosupersub{}","plainCitation":"45,163","noteIndex":0},"citationItems":[{"id":1829,"uris":["http://zotero.org/users/1918630/items/49A5K388"],"itemData":{"id":1829,"type":"article-journal","abstract":"Infections arising from multidrug-r esistant pathogenic bacteria are spreading rapidly throughout the world and threaten to become untreatable. The origins of resistance are numerous and complex, but one underlying factor is the capacity of bacteria to rapidly export drugs through the intrinsic activity of efflux pumps. In this Review , we describe recent advances that have increased our understanding of the structures and molecular mechanisms of multidrug efflux pumps in bacteria. Clinical and laboratory data indicate that efflux pumps function not only in the drug extrusion process but also in virulence and the adaptive responses that contribute to antimicrobial resistance during infection. The emerging picture of the structure, function and regulation of efflux pumps suggests opportunities for countering their activities.","container-title":"Nature Reviews Microbiology","DOI":"10.1038/s41579-018-0048-6","ISSN":"1740-1526, 1740-1534","issue":"9","journalAbbreviation":"Nat Rev Microbiol","language":"en","page":"523-539","source":"DOI.org (Crossref)","title":"Multidrug efflux pumps: structure, function and regulation","title-short":"Multidrug efflux pumps","volume":"16","author":[{"family":"Du","given":"Dijun"},{"family":"Wang-Kan","given":"Xuan"},{"family":"Neuberger","given":"Arthur"},{"family":"Van Veen","given":"Hendrik W."},{"family":"Pos","given":"Klaas M."},{"family":"Piddock","given":"Laura J. V."},{"family":"Luisi","given":"Ben F."}],"issued":{"date-parts":[["2018",9]]}}},{"id":2243,"uris":["http://zotero.org/users/1918630/items/9A2BBP4N"],"itemData":{"id":2243,"type":"article-journal","abstract":"In the fight against antibiotic resistance, drugs that target resistance mechanisms in bacteria can be used to restore the therapeutic effectiveness of antibiotics. The multidrug resistance efflux complex AcrAB-TolC is the most clinically relevant efflux pump in Enterobacterales and is a target for drug discovery. Inhibition of the pump protein AcrB allows the intracellular accumulation of a wide variety of antibiotics, effectively restoring their therapeutic potency. To facilitate the development of AcrB efflux inhibitors, it is desirable to discover the native substrates of the pump, as these could be chemically modified to become inhibitors. We analyzed the native substrate profile of AcrB in Escherichia coli MG1655 and Salmonella enterica serovar Typhimurium SL1344 using an untargeted metabolomics approach. We analyzed the endo- and exometabolome of the wild-type strain and their respective AcrB loss-of-function mutants (AcrB D408A) to determine the metabolites that are native substrates of AcrB. Although there is 95% homology between the AcrB proteins of S. Typhimurium and E. coli, we observed mostly different metabolic responses in the exometabolomes of the S. Typhimurium and E. coli AcrB D408A mutants relative to those in the wild type, potentially indicating a differential metabolic adaptation to the same mutation in these two species. Additionally, we uncovered metabolite classes that could be involved in virulence of S. Typhimurium and a potential natural substrate of AcrB common to both species.\nIMPORTANCE Multidrug-resistant Gram-negative bacteria pose a global threat to human health. The AcrB efflux pump confers inherent and evolved drug resistance to Enterobacterales, including Escherichia coli and Salmonella enterica serovar Typhimurium. We provide insights into the physiological role of AcrB: (i) we observe that loss of AcrB function in two highly related species, E. coli and S. Typhimurium, has different biological effects despite AcrB conferring drug resistance to the same groups of antibiotics in both species, and (ii) we identify potential natural substrates of AcrB, some of which are in metabolite classes implicated in the virulence of S. Typhimurium. Molecules that inhibit multidrug efflux potentiate the activity of old, licensed, and new antibiotics. The additional significance of our research is in providing data about the identity of potential natural substrates of AcrB in both species. Data on these will facilitate the discovery of, and/or could be chemically modified to become, new efflux inhibitors.","container-title":"mBio","DOI":"10.1128/mbio.00109-21","issue":"2","note":"publisher: American Society for Microbiology","page":"10.1128/mbio.00109-21","source":"journals.asm.org (Atypon)","title":"Metabolomics Reveal Potential Natural Substrates of AcrB in Escherichia coli and Salmonella enterica Serovar Typhimurium","volume":"12","author":[{"family":"Wang-Kan","given":"Xuan"},{"family":"Rodríguez-Blanco","given":"Giovanny"},{"family":"Southam","given":"Andrew D."},{"family":"Winder","given":"Catherine L."},{"family":"Dunn","given":"Warwick B."},{"family":"Ivens","given":"Alasdair"},{"family":"Piddock","given":"Laura J. V."}],"issued":{"date-parts":[["2021",3,30]]}}}],"schema":"https://github.com/citation-style-language/schema/raw/master/csl-citation.json"} </w:instrText>
      </w:r>
      <w:r w:rsidR="006510CA">
        <w:rPr>
          <w:sz w:val="24"/>
          <w:szCs w:val="24"/>
        </w:rPr>
        <w:fldChar w:fldCharType="separate"/>
      </w:r>
      <w:r w:rsidR="002F6F9F" w:rsidRPr="002F6F9F">
        <w:rPr>
          <w:rFonts w:ascii="Times New Roman" w:hAnsi="Times New Roman" w:cs="Times New Roman"/>
          <w:sz w:val="24"/>
          <w:vertAlign w:val="superscript"/>
        </w:rPr>
        <w:t>45,163</w:t>
      </w:r>
      <w:r w:rsidR="006510CA">
        <w:rPr>
          <w:sz w:val="24"/>
          <w:szCs w:val="24"/>
        </w:rPr>
        <w:fldChar w:fldCharType="end"/>
      </w:r>
      <w:r w:rsidR="001E22EB" w:rsidRPr="001E22EB">
        <w:rPr>
          <w:sz w:val="24"/>
          <w:szCs w:val="24"/>
        </w:rPr>
        <w:t xml:space="preserve"> has prompted us to initiate efforts in designing inhibitors that target major RND efflux systems, </w:t>
      </w:r>
      <w:r w:rsidR="009A7549">
        <w:rPr>
          <w:sz w:val="24"/>
          <w:szCs w:val="24"/>
        </w:rPr>
        <w:t>including</w:t>
      </w:r>
      <w:r w:rsidR="001E22EB" w:rsidRPr="001E22EB">
        <w:rPr>
          <w:sz w:val="24"/>
          <w:szCs w:val="24"/>
        </w:rPr>
        <w:t xml:space="preserve"> Ade</w:t>
      </w:r>
      <w:r w:rsidR="009A7549">
        <w:rPr>
          <w:sz w:val="24"/>
          <w:szCs w:val="24"/>
        </w:rPr>
        <w:t>FGH</w:t>
      </w:r>
      <w:r w:rsidR="001E22EB" w:rsidRPr="001E22EB">
        <w:rPr>
          <w:sz w:val="24"/>
          <w:szCs w:val="24"/>
        </w:rPr>
        <w:t xml:space="preserve"> in </w:t>
      </w:r>
      <w:r w:rsidR="001E22EB" w:rsidRPr="001E22EB">
        <w:rPr>
          <w:i/>
          <w:iCs/>
          <w:sz w:val="24"/>
          <w:szCs w:val="24"/>
        </w:rPr>
        <w:t>A. baumannii</w:t>
      </w:r>
      <w:r w:rsidR="001E22EB" w:rsidRPr="001E22EB">
        <w:rPr>
          <w:sz w:val="24"/>
          <w:szCs w:val="24"/>
        </w:rPr>
        <w:t>.</w:t>
      </w:r>
    </w:p>
    <w:p w14:paraId="68E7648C" w14:textId="3CA77B20" w:rsidR="00F451E9" w:rsidRDefault="00F451E9" w:rsidP="00F451E9">
      <w:pPr>
        <w:spacing w:line="360" w:lineRule="auto"/>
        <w:jc w:val="center"/>
        <w:rPr>
          <w:sz w:val="24"/>
          <w:szCs w:val="24"/>
        </w:rPr>
      </w:pPr>
      <w:r>
        <w:rPr>
          <w:noProof/>
        </w:rPr>
        <w:lastRenderedPageBreak/>
        <w:drawing>
          <wp:inline distT="0" distB="0" distL="0" distR="0" wp14:anchorId="002B3E5D" wp14:editId="1604310E">
            <wp:extent cx="2741935" cy="2024380"/>
            <wp:effectExtent l="0" t="0" r="0" b="0"/>
            <wp:docPr id="48" name="Picture 1" descr="Picture">
              <a:extLst xmlns:a="http://schemas.openxmlformats.org/drawingml/2006/main">
                <a:ext uri="{FF2B5EF4-FFF2-40B4-BE49-F238E27FC236}">
                  <a16:creationId xmlns:a16="http://schemas.microsoft.com/office/drawing/2014/main" id="{00000000-0008-0000-0000-00003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descr="Picture">
                      <a:extLst>
                        <a:ext uri="{FF2B5EF4-FFF2-40B4-BE49-F238E27FC236}">
                          <a16:creationId xmlns:a16="http://schemas.microsoft.com/office/drawing/2014/main" id="{00000000-0008-0000-0000-000030000000}"/>
                        </a:ext>
                      </a:extLst>
                    </pic:cNvPr>
                    <pic:cNvPicPr>
                      <a:picLocks noChangeAspect="1"/>
                    </pic:cNvPicPr>
                  </pic:nvPicPr>
                  <pic:blipFill>
                    <a:blip r:embed="rId47"/>
                    <a:stretch>
                      <a:fillRect/>
                    </a:stretch>
                  </pic:blipFill>
                  <pic:spPr>
                    <a:xfrm>
                      <a:off x="0" y="0"/>
                      <a:ext cx="2741935" cy="2024380"/>
                    </a:xfrm>
                    <a:prstGeom prst="rect">
                      <a:avLst/>
                    </a:prstGeom>
                  </pic:spPr>
                </pic:pic>
              </a:graphicData>
            </a:graphic>
          </wp:inline>
        </w:drawing>
      </w:r>
    </w:p>
    <w:p w14:paraId="7312A9EC" w14:textId="036E0A89" w:rsidR="006510CA" w:rsidRDefault="006510CA" w:rsidP="006510CA">
      <w:pPr>
        <w:rPr>
          <w:b/>
          <w:bCs/>
          <w:sz w:val="24"/>
          <w:szCs w:val="24"/>
        </w:rPr>
      </w:pPr>
      <w:r>
        <w:rPr>
          <w:b/>
          <w:bCs/>
          <w:sz w:val="24"/>
          <w:szCs w:val="24"/>
        </w:rPr>
        <w:t>Figure 4.</w:t>
      </w:r>
      <w:r w:rsidR="00312221">
        <w:rPr>
          <w:b/>
          <w:bCs/>
          <w:sz w:val="24"/>
          <w:szCs w:val="24"/>
        </w:rPr>
        <w:t>6</w:t>
      </w:r>
      <w:r>
        <w:rPr>
          <w:b/>
          <w:bCs/>
          <w:sz w:val="24"/>
          <w:szCs w:val="24"/>
        </w:rPr>
        <w:t xml:space="preserve"> – Structure of putative efflux pump inhibitor SLUPP_1377</w:t>
      </w:r>
    </w:p>
    <w:p w14:paraId="32BD19C8" w14:textId="262034EB" w:rsidR="006510CA" w:rsidRPr="00042322" w:rsidRDefault="00F451E9" w:rsidP="00041B30">
      <w:pPr>
        <w:spacing w:line="360" w:lineRule="auto"/>
        <w:rPr>
          <w:sz w:val="24"/>
          <w:szCs w:val="24"/>
          <w:lang w:val="fr-FR"/>
        </w:rPr>
      </w:pPr>
      <w:proofErr w:type="spellStart"/>
      <w:r w:rsidRPr="00042322">
        <w:rPr>
          <w:sz w:val="24"/>
          <w:szCs w:val="24"/>
          <w:lang w:val="fr-FR"/>
        </w:rPr>
        <w:t>Molecule</w:t>
      </w:r>
      <w:proofErr w:type="spellEnd"/>
      <w:r w:rsidRPr="00042322">
        <w:rPr>
          <w:sz w:val="24"/>
          <w:szCs w:val="24"/>
          <w:lang w:val="fr-FR"/>
        </w:rPr>
        <w:t xml:space="preserve"> </w:t>
      </w:r>
      <w:proofErr w:type="spellStart"/>
      <w:proofErr w:type="gramStart"/>
      <w:r w:rsidRPr="00042322">
        <w:rPr>
          <w:sz w:val="24"/>
          <w:szCs w:val="24"/>
          <w:lang w:val="fr-FR"/>
        </w:rPr>
        <w:t>name</w:t>
      </w:r>
      <w:proofErr w:type="spellEnd"/>
      <w:r w:rsidRPr="00042322">
        <w:rPr>
          <w:sz w:val="24"/>
          <w:szCs w:val="24"/>
          <w:lang w:val="fr-FR"/>
        </w:rPr>
        <w:t>:</w:t>
      </w:r>
      <w:proofErr w:type="gramEnd"/>
      <w:r w:rsidRPr="00042322">
        <w:rPr>
          <w:sz w:val="24"/>
          <w:szCs w:val="24"/>
          <w:lang w:val="fr-FR"/>
        </w:rPr>
        <w:t xml:space="preserve"> OU-0000008, </w:t>
      </w:r>
      <w:proofErr w:type="spellStart"/>
      <w:r w:rsidRPr="00042322">
        <w:rPr>
          <w:sz w:val="24"/>
          <w:szCs w:val="24"/>
          <w:lang w:val="fr-FR"/>
        </w:rPr>
        <w:t>Synonym</w:t>
      </w:r>
      <w:proofErr w:type="spellEnd"/>
      <w:r w:rsidRPr="00042322">
        <w:rPr>
          <w:sz w:val="24"/>
          <w:szCs w:val="24"/>
          <w:lang w:val="fr-FR"/>
        </w:rPr>
        <w:t>: SLUPP-0001377</w:t>
      </w:r>
    </w:p>
    <w:p w14:paraId="250372D5" w14:textId="77777777" w:rsidR="0004025C" w:rsidRDefault="00952302" w:rsidP="007D61DA">
      <w:pPr>
        <w:spacing w:line="360" w:lineRule="auto"/>
        <w:ind w:firstLine="720"/>
        <w:rPr>
          <w:sz w:val="24"/>
          <w:szCs w:val="24"/>
        </w:rPr>
      </w:pPr>
      <w:r>
        <w:rPr>
          <w:sz w:val="24"/>
          <w:szCs w:val="24"/>
        </w:rPr>
        <w:t xml:space="preserve">Dr. Rushikesh Tambat </w:t>
      </w:r>
      <w:r w:rsidR="003A7570">
        <w:rPr>
          <w:sz w:val="24"/>
          <w:szCs w:val="24"/>
        </w:rPr>
        <w:t xml:space="preserve">has identified SLUPP_1377  as an inhibitor of AdeFGH. </w:t>
      </w:r>
      <w:r w:rsidR="00853003">
        <w:rPr>
          <w:sz w:val="24"/>
          <w:szCs w:val="24"/>
        </w:rPr>
        <w:t>He</w:t>
      </w:r>
      <w:r w:rsidR="003A7570">
        <w:rPr>
          <w:sz w:val="24"/>
          <w:szCs w:val="24"/>
        </w:rPr>
        <w:t xml:space="preserve"> </w:t>
      </w:r>
      <w:r w:rsidR="005D58D8">
        <w:rPr>
          <w:sz w:val="24"/>
          <w:szCs w:val="24"/>
        </w:rPr>
        <w:t xml:space="preserve">determined </w:t>
      </w:r>
      <w:r>
        <w:rPr>
          <w:sz w:val="24"/>
          <w:szCs w:val="24"/>
        </w:rPr>
        <w:t xml:space="preserve">the minimum potentiating concentration of SLUPP_1377 that decreases the MICS of chloramphenicol, erythromycin, or nalidixic acid </w:t>
      </w:r>
      <w:r w:rsidR="00AA784B">
        <w:rPr>
          <w:sz w:val="24"/>
          <w:szCs w:val="24"/>
        </w:rPr>
        <w:t>by four-fold (MPC</w:t>
      </w:r>
      <w:r w:rsidR="00AA784B">
        <w:rPr>
          <w:sz w:val="24"/>
          <w:szCs w:val="24"/>
          <w:vertAlign w:val="subscript"/>
        </w:rPr>
        <w:t>4</w:t>
      </w:r>
      <w:r w:rsidR="00AA784B">
        <w:rPr>
          <w:sz w:val="24"/>
          <w:szCs w:val="24"/>
        </w:rPr>
        <w:t>)</w:t>
      </w:r>
      <w:r w:rsidR="005D58D8">
        <w:rPr>
          <w:sz w:val="24"/>
          <w:szCs w:val="24"/>
        </w:rPr>
        <w:t xml:space="preserve"> in Ab</w:t>
      </w:r>
      <w:r w:rsidR="005D58D8" w:rsidRPr="005A5764">
        <w:rPr>
          <w:sz w:val="24"/>
          <w:szCs w:val="24"/>
        </w:rPr>
        <w:t>Δ</w:t>
      </w:r>
      <w:r w:rsidR="005D58D8">
        <w:rPr>
          <w:sz w:val="24"/>
          <w:szCs w:val="24"/>
        </w:rPr>
        <w:t>3</w:t>
      </w:r>
      <w:r w:rsidR="00CA0079">
        <w:rPr>
          <w:sz w:val="24"/>
          <w:szCs w:val="24"/>
        </w:rPr>
        <w:t>-Pore</w:t>
      </w:r>
      <w:r w:rsidR="005D58D8">
        <w:rPr>
          <w:sz w:val="24"/>
          <w:szCs w:val="24"/>
        </w:rPr>
        <w:t xml:space="preserve"> cells </w:t>
      </w:r>
      <w:r w:rsidR="0024499E">
        <w:rPr>
          <w:sz w:val="24"/>
          <w:szCs w:val="24"/>
        </w:rPr>
        <w:t xml:space="preserve">with and without the mutant plasmid-expressed AdeG transporters </w:t>
      </w:r>
      <w:r w:rsidR="005D58D8">
        <w:rPr>
          <w:sz w:val="24"/>
          <w:szCs w:val="24"/>
        </w:rPr>
        <w:t>(</w:t>
      </w:r>
      <w:r w:rsidR="005D58D8">
        <w:rPr>
          <w:b/>
          <w:bCs/>
          <w:sz w:val="24"/>
          <w:szCs w:val="24"/>
        </w:rPr>
        <w:t>Table 4.2</w:t>
      </w:r>
      <w:r w:rsidR="005D58D8">
        <w:rPr>
          <w:sz w:val="24"/>
          <w:szCs w:val="24"/>
        </w:rPr>
        <w:t>)</w:t>
      </w:r>
      <w:r w:rsidR="00AA784B">
        <w:rPr>
          <w:sz w:val="24"/>
          <w:szCs w:val="24"/>
        </w:rPr>
        <w:t>. All three of the above antibiotics are known substrates of the AdeG pum</w:t>
      </w:r>
      <w:r w:rsidR="00073FE4">
        <w:rPr>
          <w:sz w:val="24"/>
          <w:szCs w:val="24"/>
        </w:rPr>
        <w:t>p and they have the same MICs in Ab</w:t>
      </w:r>
      <w:r w:rsidR="00073FE4" w:rsidRPr="005A5764">
        <w:rPr>
          <w:sz w:val="24"/>
          <w:szCs w:val="24"/>
        </w:rPr>
        <w:t>Δ</w:t>
      </w:r>
      <w:r w:rsidR="00073FE4">
        <w:rPr>
          <w:sz w:val="24"/>
          <w:szCs w:val="24"/>
        </w:rPr>
        <w:t>3 as in Ab</w:t>
      </w:r>
      <w:r w:rsidR="00073FE4" w:rsidRPr="005A5764">
        <w:rPr>
          <w:sz w:val="24"/>
          <w:szCs w:val="24"/>
        </w:rPr>
        <w:t>Δ</w:t>
      </w:r>
      <w:r w:rsidR="00073FE4">
        <w:rPr>
          <w:sz w:val="24"/>
          <w:szCs w:val="24"/>
        </w:rPr>
        <w:t>3-Pore, meaning cell permeability does not significantly impact the efficacy of these antibiotics</w:t>
      </w:r>
      <w:r w:rsidR="0024499E">
        <w:rPr>
          <w:sz w:val="24"/>
          <w:szCs w:val="24"/>
        </w:rPr>
        <w:t xml:space="preserve">. </w:t>
      </w:r>
      <w:r w:rsidR="008F0600">
        <w:rPr>
          <w:sz w:val="24"/>
          <w:szCs w:val="24"/>
        </w:rPr>
        <w:t>As expected, there is no difference in SLUPP_1377 MICs and MPC</w:t>
      </w:r>
      <w:r w:rsidR="008F0600">
        <w:rPr>
          <w:sz w:val="24"/>
          <w:szCs w:val="24"/>
          <w:vertAlign w:val="subscript"/>
        </w:rPr>
        <w:t>4</w:t>
      </w:r>
      <w:r w:rsidR="008F0600">
        <w:rPr>
          <w:sz w:val="24"/>
          <w:szCs w:val="24"/>
        </w:rPr>
        <w:t xml:space="preserve"> values in the Ab</w:t>
      </w:r>
      <w:r w:rsidR="008F0600" w:rsidRPr="005A5764">
        <w:rPr>
          <w:sz w:val="24"/>
          <w:szCs w:val="24"/>
        </w:rPr>
        <w:t>Δ</w:t>
      </w:r>
      <w:r w:rsidR="008F0600">
        <w:rPr>
          <w:sz w:val="24"/>
          <w:szCs w:val="24"/>
        </w:rPr>
        <w:t xml:space="preserve">3-Pore strain because there </w:t>
      </w:r>
      <w:r w:rsidR="00CA0079">
        <w:rPr>
          <w:sz w:val="24"/>
          <w:szCs w:val="24"/>
        </w:rPr>
        <w:t>are</w:t>
      </w:r>
      <w:r w:rsidR="008F0600">
        <w:rPr>
          <w:sz w:val="24"/>
          <w:szCs w:val="24"/>
        </w:rPr>
        <w:t xml:space="preserve"> no RND pump</w:t>
      </w:r>
      <w:r w:rsidR="00CA0079">
        <w:rPr>
          <w:sz w:val="24"/>
          <w:szCs w:val="24"/>
        </w:rPr>
        <w:t>s</w:t>
      </w:r>
      <w:r w:rsidR="008F0600">
        <w:rPr>
          <w:sz w:val="24"/>
          <w:szCs w:val="24"/>
        </w:rPr>
        <w:t xml:space="preserve"> for SLUPP_1377 to inhibit. </w:t>
      </w:r>
      <w:r w:rsidR="002D659B">
        <w:rPr>
          <w:sz w:val="24"/>
          <w:szCs w:val="24"/>
        </w:rPr>
        <w:t>The compound SLUPP_1377 potentiated the activity of chloramphenicol in</w:t>
      </w:r>
      <w:r w:rsidR="008F0600">
        <w:rPr>
          <w:sz w:val="24"/>
          <w:szCs w:val="24"/>
        </w:rPr>
        <w:t xml:space="preserve"> the positive control strain</w:t>
      </w:r>
      <w:r w:rsidR="002D659B" w:rsidRPr="002D659B">
        <w:rPr>
          <w:sz w:val="24"/>
          <w:szCs w:val="24"/>
        </w:rPr>
        <w:t xml:space="preserve"> </w:t>
      </w:r>
      <w:r w:rsidR="002D659B">
        <w:rPr>
          <w:sz w:val="24"/>
          <w:szCs w:val="24"/>
        </w:rPr>
        <w:t>Ab</w:t>
      </w:r>
      <w:r w:rsidR="002D659B" w:rsidRPr="005A5764">
        <w:rPr>
          <w:sz w:val="24"/>
          <w:szCs w:val="24"/>
        </w:rPr>
        <w:t>Δ</w:t>
      </w:r>
      <w:r w:rsidR="002D659B">
        <w:rPr>
          <w:sz w:val="24"/>
          <w:szCs w:val="24"/>
        </w:rPr>
        <w:t>3-Pore(pAdeFGH) and had MPC</w:t>
      </w:r>
      <w:r w:rsidR="002D659B">
        <w:rPr>
          <w:sz w:val="24"/>
          <w:szCs w:val="24"/>
          <w:vertAlign w:val="subscript"/>
        </w:rPr>
        <w:t>4</w:t>
      </w:r>
      <w:r w:rsidR="002D659B">
        <w:rPr>
          <w:sz w:val="24"/>
          <w:szCs w:val="24"/>
        </w:rPr>
        <w:t xml:space="preserve"> values 4-fold lower than the respective MIC value.  In the </w:t>
      </w:r>
      <w:r w:rsidR="00853003">
        <w:rPr>
          <w:sz w:val="24"/>
          <w:szCs w:val="24"/>
        </w:rPr>
        <w:t xml:space="preserve">strains producing </w:t>
      </w:r>
      <w:r w:rsidR="002D659B">
        <w:rPr>
          <w:sz w:val="24"/>
          <w:szCs w:val="24"/>
        </w:rPr>
        <w:t>AdeG mutant</w:t>
      </w:r>
      <w:r w:rsidR="00853003">
        <w:rPr>
          <w:sz w:val="24"/>
          <w:szCs w:val="24"/>
        </w:rPr>
        <w:t>s</w:t>
      </w:r>
      <w:r w:rsidR="002D659B">
        <w:rPr>
          <w:sz w:val="24"/>
          <w:szCs w:val="24"/>
        </w:rPr>
        <w:t xml:space="preserve"> </w:t>
      </w:r>
      <w:r w:rsidR="00853003">
        <w:rPr>
          <w:sz w:val="24"/>
          <w:szCs w:val="24"/>
        </w:rPr>
        <w:t xml:space="preserve">described in </w:t>
      </w:r>
      <w:r w:rsidR="00F82D8A">
        <w:rPr>
          <w:sz w:val="24"/>
          <w:szCs w:val="24"/>
        </w:rPr>
        <w:t>Sectio</w:t>
      </w:r>
      <w:r w:rsidR="00312221">
        <w:rPr>
          <w:sz w:val="24"/>
          <w:szCs w:val="24"/>
        </w:rPr>
        <w:t xml:space="preserve">n 4.3.1. </w:t>
      </w:r>
      <w:r w:rsidR="00F82D8A">
        <w:rPr>
          <w:sz w:val="24"/>
          <w:szCs w:val="24"/>
        </w:rPr>
        <w:t>above</w:t>
      </w:r>
      <w:r w:rsidR="002D659B">
        <w:rPr>
          <w:sz w:val="24"/>
          <w:szCs w:val="24"/>
        </w:rPr>
        <w:t xml:space="preserve">, SLUPP_1377 potentiated the activity of chloramphenicol in the AdeG mutants </w:t>
      </w:r>
      <w:r w:rsidR="0004025C">
        <w:rPr>
          <w:sz w:val="24"/>
          <w:szCs w:val="24"/>
        </w:rPr>
        <w:t xml:space="preserve">S620A and Q83A with </w:t>
      </w:r>
      <w:r w:rsidR="0004025C" w:rsidRPr="00431260">
        <w:rPr>
          <w:sz w:val="24"/>
          <w:szCs w:val="24"/>
        </w:rPr>
        <w:t>MPC</w:t>
      </w:r>
      <w:r w:rsidR="0004025C">
        <w:rPr>
          <w:sz w:val="24"/>
          <w:szCs w:val="24"/>
          <w:vertAlign w:val="subscript"/>
        </w:rPr>
        <w:t>4</w:t>
      </w:r>
      <w:r w:rsidR="0004025C">
        <w:rPr>
          <w:sz w:val="24"/>
          <w:szCs w:val="24"/>
        </w:rPr>
        <w:t xml:space="preserve"> values 8-fold</w:t>
      </w:r>
      <w:r w:rsidR="0004025C" w:rsidRPr="0004025C">
        <w:rPr>
          <w:sz w:val="24"/>
          <w:szCs w:val="24"/>
        </w:rPr>
        <w:t xml:space="preserve"> </w:t>
      </w:r>
      <w:r w:rsidR="0004025C">
        <w:rPr>
          <w:sz w:val="24"/>
          <w:szCs w:val="24"/>
        </w:rPr>
        <w:t>lower than their corresponding MIC values.</w:t>
      </w:r>
      <w:r w:rsidR="0004025C" w:rsidRPr="0004025C">
        <w:rPr>
          <w:sz w:val="24"/>
          <w:szCs w:val="24"/>
        </w:rPr>
        <w:t xml:space="preserve"> </w:t>
      </w:r>
      <w:r w:rsidR="0004025C">
        <w:rPr>
          <w:sz w:val="24"/>
          <w:szCs w:val="24"/>
        </w:rPr>
        <w:t>The SLUPP_1377 MPC</w:t>
      </w:r>
      <w:r w:rsidR="0004025C">
        <w:rPr>
          <w:sz w:val="24"/>
          <w:szCs w:val="24"/>
          <w:vertAlign w:val="subscript"/>
        </w:rPr>
        <w:t xml:space="preserve">4 </w:t>
      </w:r>
      <w:r w:rsidR="0004025C">
        <w:rPr>
          <w:sz w:val="24"/>
          <w:szCs w:val="24"/>
        </w:rPr>
        <w:t>values were 4-fold lower than MICs in the AdeG mutants L138A and A705I, and 2-fold lower for Y725A.</w:t>
      </w:r>
      <w:r w:rsidR="00022BC5">
        <w:rPr>
          <w:sz w:val="24"/>
          <w:szCs w:val="24"/>
        </w:rPr>
        <w:t xml:space="preserve"> There was no difference in MPC</w:t>
      </w:r>
      <w:r w:rsidR="00022BC5">
        <w:rPr>
          <w:sz w:val="24"/>
          <w:szCs w:val="24"/>
          <w:vertAlign w:val="subscript"/>
        </w:rPr>
        <w:t xml:space="preserve">4 </w:t>
      </w:r>
      <w:r w:rsidR="00022BC5">
        <w:rPr>
          <w:sz w:val="24"/>
          <w:szCs w:val="24"/>
        </w:rPr>
        <w:t xml:space="preserve">values versus MIC values in </w:t>
      </w:r>
      <w:r w:rsidR="0004025C">
        <w:rPr>
          <w:sz w:val="24"/>
          <w:szCs w:val="24"/>
        </w:rPr>
        <w:t>AdeG mutants I621A and G679I</w:t>
      </w:r>
      <w:r w:rsidR="00022BC5">
        <w:rPr>
          <w:sz w:val="24"/>
          <w:szCs w:val="24"/>
        </w:rPr>
        <w:t>.</w:t>
      </w:r>
      <w:r w:rsidR="000C2B23">
        <w:rPr>
          <w:sz w:val="24"/>
          <w:szCs w:val="24"/>
        </w:rPr>
        <w:t xml:space="preserve"> </w:t>
      </w:r>
    </w:p>
    <w:p w14:paraId="4672C02A" w14:textId="68DE6AE6" w:rsidR="0004025C" w:rsidRDefault="009E238A" w:rsidP="007D61DA">
      <w:pPr>
        <w:spacing w:line="360" w:lineRule="auto"/>
        <w:ind w:firstLine="720"/>
        <w:rPr>
          <w:sz w:val="24"/>
          <w:szCs w:val="24"/>
        </w:rPr>
      </w:pPr>
      <w:r>
        <w:rPr>
          <w:sz w:val="24"/>
          <w:szCs w:val="24"/>
        </w:rPr>
        <w:t xml:space="preserve">SLUPP_1377 potentiated the activity of norfloxacin in the AdeG mutant Q83A with </w:t>
      </w:r>
      <w:r w:rsidRPr="00431260">
        <w:rPr>
          <w:sz w:val="24"/>
          <w:szCs w:val="24"/>
        </w:rPr>
        <w:t>MPC</w:t>
      </w:r>
      <w:r>
        <w:rPr>
          <w:sz w:val="24"/>
          <w:szCs w:val="24"/>
          <w:vertAlign w:val="subscript"/>
        </w:rPr>
        <w:t>4</w:t>
      </w:r>
      <w:r>
        <w:rPr>
          <w:sz w:val="24"/>
          <w:szCs w:val="24"/>
        </w:rPr>
        <w:t xml:space="preserve"> values 32-fold lower than its corresponding MIC value. The AdeG mutant</w:t>
      </w:r>
      <w:r w:rsidR="00FE4A31">
        <w:rPr>
          <w:sz w:val="24"/>
          <w:szCs w:val="24"/>
        </w:rPr>
        <w:t xml:space="preserve"> </w:t>
      </w:r>
      <w:r>
        <w:rPr>
          <w:sz w:val="24"/>
          <w:szCs w:val="24"/>
        </w:rPr>
        <w:t xml:space="preserve">S620A showed </w:t>
      </w:r>
      <w:r w:rsidR="00FE4A31">
        <w:rPr>
          <w:sz w:val="24"/>
          <w:szCs w:val="24"/>
        </w:rPr>
        <w:t xml:space="preserve">an </w:t>
      </w:r>
      <w:r w:rsidRPr="00431260">
        <w:rPr>
          <w:sz w:val="24"/>
          <w:szCs w:val="24"/>
        </w:rPr>
        <w:t>MPC</w:t>
      </w:r>
      <w:r>
        <w:rPr>
          <w:sz w:val="24"/>
          <w:szCs w:val="24"/>
          <w:vertAlign w:val="subscript"/>
        </w:rPr>
        <w:t>4</w:t>
      </w:r>
      <w:r>
        <w:rPr>
          <w:sz w:val="24"/>
          <w:szCs w:val="24"/>
        </w:rPr>
        <w:t xml:space="preserve"> value 16-fold lower. The AdeG mutant</w:t>
      </w:r>
      <w:r w:rsidR="00FE4A31">
        <w:rPr>
          <w:sz w:val="24"/>
          <w:szCs w:val="24"/>
        </w:rPr>
        <w:t>s A705I and</w:t>
      </w:r>
      <w:r>
        <w:rPr>
          <w:sz w:val="24"/>
          <w:szCs w:val="24"/>
        </w:rPr>
        <w:t xml:space="preserve"> L138A showed norfloxacin potentiation similar to WT AdeFGH with </w:t>
      </w:r>
      <w:r w:rsidRPr="00431260">
        <w:rPr>
          <w:sz w:val="24"/>
          <w:szCs w:val="24"/>
        </w:rPr>
        <w:t>MPC</w:t>
      </w:r>
      <w:r>
        <w:rPr>
          <w:sz w:val="24"/>
          <w:szCs w:val="24"/>
          <w:vertAlign w:val="subscript"/>
        </w:rPr>
        <w:t>4</w:t>
      </w:r>
      <w:r>
        <w:rPr>
          <w:sz w:val="24"/>
          <w:szCs w:val="24"/>
        </w:rPr>
        <w:t xml:space="preserve"> values 8-fold lower. </w:t>
      </w:r>
      <w:r>
        <w:rPr>
          <w:sz w:val="24"/>
          <w:szCs w:val="24"/>
        </w:rPr>
        <w:lastRenderedPageBreak/>
        <w:t xml:space="preserve">AdeG mutant Y725A showed an </w:t>
      </w:r>
      <w:r w:rsidRPr="00431260">
        <w:rPr>
          <w:sz w:val="24"/>
          <w:szCs w:val="24"/>
        </w:rPr>
        <w:t>MPC</w:t>
      </w:r>
      <w:r>
        <w:rPr>
          <w:sz w:val="24"/>
          <w:szCs w:val="24"/>
          <w:vertAlign w:val="subscript"/>
        </w:rPr>
        <w:t>4</w:t>
      </w:r>
      <w:r>
        <w:rPr>
          <w:sz w:val="24"/>
          <w:szCs w:val="24"/>
        </w:rPr>
        <w:t xml:space="preserve"> value 4-fold lower. Lastly, the AdeG mutants I621A and G679I showed no difference between </w:t>
      </w:r>
      <w:r w:rsidRPr="00431260">
        <w:rPr>
          <w:sz w:val="24"/>
          <w:szCs w:val="24"/>
        </w:rPr>
        <w:t>MPC</w:t>
      </w:r>
      <w:r>
        <w:rPr>
          <w:sz w:val="24"/>
          <w:szCs w:val="24"/>
          <w:vertAlign w:val="subscript"/>
        </w:rPr>
        <w:t xml:space="preserve">4 </w:t>
      </w:r>
      <w:r>
        <w:rPr>
          <w:sz w:val="24"/>
          <w:szCs w:val="24"/>
        </w:rPr>
        <w:t>and MIC values for norfloxacin.</w:t>
      </w:r>
    </w:p>
    <w:p w14:paraId="741F9079" w14:textId="460DAF03" w:rsidR="009E238A" w:rsidRPr="009E238A" w:rsidRDefault="009E238A" w:rsidP="007D61DA">
      <w:pPr>
        <w:spacing w:line="360" w:lineRule="auto"/>
        <w:ind w:firstLine="720"/>
        <w:rPr>
          <w:sz w:val="24"/>
          <w:szCs w:val="24"/>
        </w:rPr>
      </w:pPr>
      <w:r>
        <w:rPr>
          <w:sz w:val="24"/>
          <w:szCs w:val="24"/>
        </w:rPr>
        <w:t>SLUPP_1377 potentiated the activity of nalidixic acid in AdeG mutants S620A and Q83A</w:t>
      </w:r>
      <w:r w:rsidRPr="009E238A">
        <w:rPr>
          <w:sz w:val="24"/>
          <w:szCs w:val="24"/>
        </w:rPr>
        <w:t xml:space="preserve"> </w:t>
      </w:r>
      <w:r>
        <w:rPr>
          <w:sz w:val="24"/>
          <w:szCs w:val="24"/>
        </w:rPr>
        <w:t xml:space="preserve">with </w:t>
      </w:r>
      <w:r w:rsidRPr="00431260">
        <w:rPr>
          <w:sz w:val="24"/>
          <w:szCs w:val="24"/>
        </w:rPr>
        <w:t>MPC</w:t>
      </w:r>
      <w:r>
        <w:rPr>
          <w:sz w:val="24"/>
          <w:szCs w:val="24"/>
          <w:vertAlign w:val="subscript"/>
        </w:rPr>
        <w:t>4</w:t>
      </w:r>
      <w:r>
        <w:rPr>
          <w:sz w:val="24"/>
          <w:szCs w:val="24"/>
        </w:rPr>
        <w:t xml:space="preserve"> values 8-fold lower than their corresponding MIC values. The AdeG mutants L138A and A705I showed similar nalidixic acid potentiation as WT AdeFGH with </w:t>
      </w:r>
      <w:r w:rsidRPr="00431260">
        <w:rPr>
          <w:sz w:val="24"/>
          <w:szCs w:val="24"/>
        </w:rPr>
        <w:t>MPC</w:t>
      </w:r>
      <w:r>
        <w:rPr>
          <w:sz w:val="24"/>
          <w:szCs w:val="24"/>
          <w:vertAlign w:val="subscript"/>
        </w:rPr>
        <w:t>4</w:t>
      </w:r>
      <w:r>
        <w:rPr>
          <w:sz w:val="24"/>
          <w:szCs w:val="24"/>
        </w:rPr>
        <w:t xml:space="preserve"> values 4-fold lower. The AdeG mutant Y725A </w:t>
      </w:r>
      <w:r w:rsidR="0039406A">
        <w:rPr>
          <w:sz w:val="24"/>
          <w:szCs w:val="24"/>
        </w:rPr>
        <w:t xml:space="preserve">showed an </w:t>
      </w:r>
      <w:r w:rsidR="0039406A" w:rsidRPr="00431260">
        <w:rPr>
          <w:sz w:val="24"/>
          <w:szCs w:val="24"/>
        </w:rPr>
        <w:t>MPC</w:t>
      </w:r>
      <w:r w:rsidR="0039406A">
        <w:rPr>
          <w:sz w:val="24"/>
          <w:szCs w:val="24"/>
          <w:vertAlign w:val="subscript"/>
        </w:rPr>
        <w:t>4</w:t>
      </w:r>
      <w:r w:rsidR="0039406A">
        <w:rPr>
          <w:sz w:val="24"/>
          <w:szCs w:val="24"/>
        </w:rPr>
        <w:t xml:space="preserve"> value 2-fold lower. Lastly, the AdeG mutants I621A and G679I</w:t>
      </w:r>
      <w:r w:rsidR="0039406A" w:rsidRPr="0039406A">
        <w:rPr>
          <w:sz w:val="24"/>
          <w:szCs w:val="24"/>
        </w:rPr>
        <w:t xml:space="preserve"> </w:t>
      </w:r>
      <w:r w:rsidR="0039406A">
        <w:rPr>
          <w:sz w:val="24"/>
          <w:szCs w:val="24"/>
        </w:rPr>
        <w:t xml:space="preserve">showed no difference between </w:t>
      </w:r>
      <w:r w:rsidR="0039406A" w:rsidRPr="00431260">
        <w:rPr>
          <w:sz w:val="24"/>
          <w:szCs w:val="24"/>
        </w:rPr>
        <w:t>MPC</w:t>
      </w:r>
      <w:r w:rsidR="0039406A">
        <w:rPr>
          <w:sz w:val="24"/>
          <w:szCs w:val="24"/>
          <w:vertAlign w:val="subscript"/>
        </w:rPr>
        <w:t xml:space="preserve">4 </w:t>
      </w:r>
      <w:r w:rsidR="0039406A">
        <w:rPr>
          <w:sz w:val="24"/>
          <w:szCs w:val="24"/>
        </w:rPr>
        <w:t xml:space="preserve">and MIC values for nalidixic acid. </w:t>
      </w:r>
    </w:p>
    <w:p w14:paraId="7760523C" w14:textId="456CD71F" w:rsidR="00952302" w:rsidRPr="00022BC5" w:rsidRDefault="000C2B23" w:rsidP="00774395">
      <w:pPr>
        <w:spacing w:line="360" w:lineRule="auto"/>
        <w:ind w:firstLine="720"/>
        <w:rPr>
          <w:sz w:val="24"/>
          <w:szCs w:val="24"/>
        </w:rPr>
      </w:pPr>
      <w:r>
        <w:rPr>
          <w:sz w:val="24"/>
          <w:szCs w:val="24"/>
        </w:rPr>
        <w:t>In conclusion, the AdeG mutant</w:t>
      </w:r>
      <w:r w:rsidR="0039406A">
        <w:rPr>
          <w:sz w:val="24"/>
          <w:szCs w:val="24"/>
        </w:rPr>
        <w:t>s I621A and</w:t>
      </w:r>
      <w:r>
        <w:rPr>
          <w:sz w:val="24"/>
          <w:szCs w:val="24"/>
        </w:rPr>
        <w:t xml:space="preserve"> G679I w</w:t>
      </w:r>
      <w:r w:rsidR="0039406A">
        <w:rPr>
          <w:sz w:val="24"/>
          <w:szCs w:val="24"/>
        </w:rPr>
        <w:t>ere</w:t>
      </w:r>
      <w:r>
        <w:rPr>
          <w:sz w:val="24"/>
          <w:szCs w:val="24"/>
        </w:rPr>
        <w:t xml:space="preserve"> not susceptible to potentiation by SLUPP_1377,</w:t>
      </w:r>
      <w:r w:rsidR="00977A1E">
        <w:rPr>
          <w:sz w:val="24"/>
          <w:szCs w:val="24"/>
        </w:rPr>
        <w:t xml:space="preserve"> which supports the previous results suggesting that they are non-functional mutants. </w:t>
      </w:r>
      <w:r w:rsidR="00774395">
        <w:rPr>
          <w:sz w:val="24"/>
          <w:szCs w:val="24"/>
        </w:rPr>
        <w:t>The AdeG mutant Y725A was slightly less susceptible to potentiation by SLUPP_1377 compared to WT AdeFGH. The AdeG mutants L138A and A705I were as susceptible to</w:t>
      </w:r>
      <w:r w:rsidR="00774395" w:rsidRPr="000C2B23">
        <w:rPr>
          <w:sz w:val="24"/>
          <w:szCs w:val="24"/>
        </w:rPr>
        <w:t xml:space="preserve"> </w:t>
      </w:r>
      <w:r w:rsidR="00774395">
        <w:rPr>
          <w:sz w:val="24"/>
          <w:szCs w:val="24"/>
        </w:rPr>
        <w:t xml:space="preserve">potentiation by SLUPP_1377 as the WT AdeG. Lastly, the AdeG mutants </w:t>
      </w:r>
      <w:r>
        <w:rPr>
          <w:sz w:val="24"/>
          <w:szCs w:val="24"/>
        </w:rPr>
        <w:t xml:space="preserve">S620A </w:t>
      </w:r>
      <w:r w:rsidR="00774395">
        <w:rPr>
          <w:sz w:val="24"/>
          <w:szCs w:val="24"/>
        </w:rPr>
        <w:t xml:space="preserve">and Q83A </w:t>
      </w:r>
      <w:r>
        <w:rPr>
          <w:sz w:val="24"/>
          <w:szCs w:val="24"/>
        </w:rPr>
        <w:t>were the most susceptible to potentiation by SLUPP_1377.</w:t>
      </w:r>
    </w:p>
    <w:p w14:paraId="13121A9D" w14:textId="63C6D3FE" w:rsidR="0047264B" w:rsidRDefault="0047264B" w:rsidP="00041B30">
      <w:pPr>
        <w:spacing w:line="360" w:lineRule="auto"/>
        <w:rPr>
          <w:b/>
          <w:bCs/>
          <w:sz w:val="24"/>
          <w:szCs w:val="24"/>
        </w:rPr>
      </w:pPr>
      <w:r>
        <w:rPr>
          <w:b/>
          <w:bCs/>
          <w:sz w:val="24"/>
          <w:szCs w:val="24"/>
        </w:rPr>
        <w:t>Table 4.2 – MPC</w:t>
      </w:r>
      <w:r>
        <w:rPr>
          <w:b/>
          <w:bCs/>
          <w:sz w:val="24"/>
          <w:szCs w:val="24"/>
          <w:vertAlign w:val="subscript"/>
        </w:rPr>
        <w:t>4</w:t>
      </w:r>
      <w:r>
        <w:rPr>
          <w:b/>
          <w:bCs/>
          <w:sz w:val="24"/>
          <w:szCs w:val="24"/>
        </w:rPr>
        <w:t xml:space="preserve"> </w:t>
      </w:r>
      <w:r w:rsidR="00451C04">
        <w:rPr>
          <w:b/>
          <w:bCs/>
          <w:sz w:val="24"/>
          <w:szCs w:val="24"/>
        </w:rPr>
        <w:t>v</w:t>
      </w:r>
      <w:r>
        <w:rPr>
          <w:b/>
          <w:bCs/>
          <w:sz w:val="24"/>
          <w:szCs w:val="24"/>
        </w:rPr>
        <w:t xml:space="preserve">alues of </w:t>
      </w:r>
      <w:r w:rsidR="00B1648B">
        <w:rPr>
          <w:b/>
          <w:bCs/>
          <w:sz w:val="24"/>
          <w:szCs w:val="24"/>
        </w:rPr>
        <w:t>SLU</w:t>
      </w:r>
      <w:r>
        <w:rPr>
          <w:b/>
          <w:bCs/>
          <w:sz w:val="24"/>
          <w:szCs w:val="24"/>
        </w:rPr>
        <w:t>PP</w:t>
      </w:r>
      <w:r w:rsidR="00451C04">
        <w:rPr>
          <w:b/>
          <w:bCs/>
          <w:sz w:val="24"/>
          <w:szCs w:val="24"/>
        </w:rPr>
        <w:t>_</w:t>
      </w:r>
      <w:r>
        <w:rPr>
          <w:b/>
          <w:bCs/>
          <w:sz w:val="24"/>
          <w:szCs w:val="24"/>
        </w:rPr>
        <w:t xml:space="preserve">1377 with CHL, NOR, and NAL in </w:t>
      </w:r>
      <w:r w:rsidR="00CA0079" w:rsidRPr="00CA0079">
        <w:rPr>
          <w:rFonts w:cstheme="minorHAnsi"/>
          <w:b/>
          <w:bCs/>
          <w:sz w:val="24"/>
          <w:szCs w:val="24"/>
        </w:rPr>
        <w:t>AbΔ3-Pore</w:t>
      </w:r>
      <w:r w:rsidR="00CA0079">
        <w:rPr>
          <w:b/>
          <w:bCs/>
          <w:sz w:val="24"/>
          <w:szCs w:val="24"/>
        </w:rPr>
        <w:t xml:space="preserve"> </w:t>
      </w:r>
      <w:r>
        <w:rPr>
          <w:b/>
          <w:bCs/>
          <w:sz w:val="24"/>
          <w:szCs w:val="24"/>
        </w:rPr>
        <w:t xml:space="preserve">AdeG </w:t>
      </w:r>
      <w:r w:rsidR="00451C04">
        <w:rPr>
          <w:b/>
          <w:bCs/>
          <w:sz w:val="24"/>
          <w:szCs w:val="24"/>
        </w:rPr>
        <w:t>m</w:t>
      </w:r>
      <w:r>
        <w:rPr>
          <w:b/>
          <w:bCs/>
          <w:sz w:val="24"/>
          <w:szCs w:val="24"/>
        </w:rPr>
        <w:t>utants</w:t>
      </w:r>
    </w:p>
    <w:tbl>
      <w:tblPr>
        <w:tblStyle w:val="TableGrid"/>
        <w:tblW w:w="8275" w:type="dxa"/>
        <w:jc w:val="center"/>
        <w:tblLayout w:type="fixed"/>
        <w:tblLook w:val="04A0" w:firstRow="1" w:lastRow="0" w:firstColumn="1" w:lastColumn="0" w:noHBand="0" w:noVBand="1"/>
      </w:tblPr>
      <w:tblGrid>
        <w:gridCol w:w="3055"/>
        <w:gridCol w:w="1620"/>
        <w:gridCol w:w="1170"/>
        <w:gridCol w:w="1260"/>
        <w:gridCol w:w="1170"/>
      </w:tblGrid>
      <w:tr w:rsidR="009C1934" w14:paraId="07D9E840" w14:textId="77777777" w:rsidTr="00CA0079">
        <w:trPr>
          <w:trHeight w:val="286"/>
          <w:jc w:val="center"/>
        </w:trPr>
        <w:tc>
          <w:tcPr>
            <w:tcW w:w="3055" w:type="dxa"/>
            <w:vMerge w:val="restart"/>
            <w:shd w:val="clear" w:color="auto" w:fill="D0CECE" w:themeFill="background2" w:themeFillShade="E6"/>
          </w:tcPr>
          <w:p w14:paraId="167BE472" w14:textId="77777777" w:rsidR="009C1934" w:rsidRPr="00C81873" w:rsidRDefault="009C1934" w:rsidP="006B4821">
            <w:pPr>
              <w:jc w:val="center"/>
              <w:rPr>
                <w:rFonts w:ascii="Times New Roman" w:hAnsi="Times New Roman" w:cs="Times New Roman"/>
                <w:b/>
                <w:bCs/>
                <w:sz w:val="24"/>
                <w:szCs w:val="24"/>
              </w:rPr>
            </w:pPr>
            <w:r w:rsidRPr="00C81873">
              <w:rPr>
                <w:rFonts w:ascii="Times New Roman" w:hAnsi="Times New Roman" w:cs="Times New Roman"/>
                <w:b/>
                <w:bCs/>
                <w:sz w:val="24"/>
                <w:szCs w:val="24"/>
              </w:rPr>
              <w:t>Strains</w:t>
            </w:r>
          </w:p>
        </w:tc>
        <w:tc>
          <w:tcPr>
            <w:tcW w:w="1620" w:type="dxa"/>
            <w:vMerge w:val="restart"/>
            <w:shd w:val="clear" w:color="auto" w:fill="D0CECE" w:themeFill="background2" w:themeFillShade="E6"/>
          </w:tcPr>
          <w:p w14:paraId="29F7B551" w14:textId="77777777" w:rsidR="009C1934" w:rsidRPr="00C81873" w:rsidRDefault="009C1934" w:rsidP="006B4821">
            <w:pPr>
              <w:jc w:val="center"/>
              <w:rPr>
                <w:rFonts w:ascii="Times New Roman" w:hAnsi="Times New Roman" w:cs="Times New Roman"/>
                <w:b/>
                <w:bCs/>
                <w:sz w:val="24"/>
                <w:szCs w:val="24"/>
              </w:rPr>
            </w:pPr>
            <w:r>
              <w:rPr>
                <w:rFonts w:ascii="Times New Roman" w:hAnsi="Times New Roman" w:cs="Times New Roman"/>
                <w:b/>
                <w:bCs/>
                <w:sz w:val="24"/>
                <w:szCs w:val="24"/>
              </w:rPr>
              <w:t xml:space="preserve">SLUPP-1377 (MIC, µM) </w:t>
            </w:r>
          </w:p>
        </w:tc>
        <w:tc>
          <w:tcPr>
            <w:tcW w:w="3600" w:type="dxa"/>
            <w:gridSpan w:val="3"/>
            <w:shd w:val="clear" w:color="auto" w:fill="D0CECE" w:themeFill="background2" w:themeFillShade="E6"/>
          </w:tcPr>
          <w:p w14:paraId="1EF3BE58" w14:textId="77777777" w:rsidR="009C1934" w:rsidRPr="00C81873" w:rsidRDefault="009C1934" w:rsidP="006B4821">
            <w:pPr>
              <w:jc w:val="center"/>
              <w:rPr>
                <w:rFonts w:ascii="Times New Roman" w:hAnsi="Times New Roman" w:cs="Times New Roman"/>
                <w:b/>
                <w:bCs/>
                <w:sz w:val="24"/>
                <w:szCs w:val="24"/>
              </w:rPr>
            </w:pPr>
            <w:r w:rsidRPr="00C81873">
              <w:rPr>
                <w:rFonts w:ascii="Times New Roman" w:hAnsi="Times New Roman" w:cs="Times New Roman"/>
                <w:b/>
                <w:bCs/>
                <w:sz w:val="24"/>
                <w:szCs w:val="24"/>
              </w:rPr>
              <w:t>M</w:t>
            </w:r>
            <w:r>
              <w:rPr>
                <w:rFonts w:ascii="Times New Roman" w:hAnsi="Times New Roman" w:cs="Times New Roman"/>
                <w:b/>
                <w:bCs/>
                <w:sz w:val="24"/>
                <w:szCs w:val="24"/>
              </w:rPr>
              <w:t>P</w:t>
            </w:r>
            <w:r w:rsidRPr="00C81873">
              <w:rPr>
                <w:rFonts w:ascii="Times New Roman" w:hAnsi="Times New Roman" w:cs="Times New Roman"/>
                <w:b/>
                <w:bCs/>
                <w:sz w:val="24"/>
                <w:szCs w:val="24"/>
              </w:rPr>
              <w:t>C</w:t>
            </w:r>
            <w:r w:rsidRPr="00D866B1">
              <w:rPr>
                <w:rFonts w:ascii="Times New Roman" w:hAnsi="Times New Roman" w:cs="Times New Roman"/>
                <w:b/>
                <w:bCs/>
                <w:sz w:val="24"/>
                <w:szCs w:val="24"/>
                <w:vertAlign w:val="subscript"/>
              </w:rPr>
              <w:t>4</w:t>
            </w:r>
            <w:r>
              <w:rPr>
                <w:rFonts w:ascii="Times New Roman" w:hAnsi="Times New Roman" w:cs="Times New Roman"/>
                <w:b/>
                <w:bCs/>
                <w:sz w:val="24"/>
                <w:szCs w:val="24"/>
              </w:rPr>
              <w:t xml:space="preserve"> (µM)</w:t>
            </w:r>
          </w:p>
        </w:tc>
      </w:tr>
      <w:tr w:rsidR="009C1934" w14:paraId="6CB571E8" w14:textId="77777777" w:rsidTr="00CA0079">
        <w:trPr>
          <w:trHeight w:val="154"/>
          <w:jc w:val="center"/>
        </w:trPr>
        <w:tc>
          <w:tcPr>
            <w:tcW w:w="3055" w:type="dxa"/>
            <w:vMerge/>
            <w:shd w:val="clear" w:color="auto" w:fill="D0CECE" w:themeFill="background2" w:themeFillShade="E6"/>
          </w:tcPr>
          <w:p w14:paraId="4DAF8E28" w14:textId="77777777" w:rsidR="009C1934" w:rsidRPr="00C81873" w:rsidRDefault="009C1934" w:rsidP="006B4821">
            <w:pPr>
              <w:jc w:val="center"/>
              <w:rPr>
                <w:rFonts w:ascii="Times New Roman" w:hAnsi="Times New Roman" w:cs="Times New Roman"/>
                <w:sz w:val="24"/>
                <w:szCs w:val="24"/>
              </w:rPr>
            </w:pPr>
          </w:p>
        </w:tc>
        <w:tc>
          <w:tcPr>
            <w:tcW w:w="1620" w:type="dxa"/>
            <w:vMerge/>
            <w:shd w:val="clear" w:color="auto" w:fill="D0CECE" w:themeFill="background2" w:themeFillShade="E6"/>
          </w:tcPr>
          <w:p w14:paraId="62ED6321" w14:textId="77777777" w:rsidR="009C1934" w:rsidRDefault="009C1934" w:rsidP="006B4821">
            <w:pPr>
              <w:jc w:val="center"/>
              <w:rPr>
                <w:rFonts w:ascii="Times New Roman" w:hAnsi="Times New Roman" w:cs="Times New Roman"/>
                <w:sz w:val="24"/>
                <w:szCs w:val="24"/>
              </w:rPr>
            </w:pPr>
          </w:p>
        </w:tc>
        <w:tc>
          <w:tcPr>
            <w:tcW w:w="1170" w:type="dxa"/>
            <w:shd w:val="clear" w:color="auto" w:fill="D0CECE" w:themeFill="background2" w:themeFillShade="E6"/>
          </w:tcPr>
          <w:p w14:paraId="4800D795" w14:textId="0DB7495C" w:rsidR="009C1934" w:rsidRPr="00C81873" w:rsidRDefault="009C1934" w:rsidP="006B4821">
            <w:pPr>
              <w:jc w:val="center"/>
              <w:rPr>
                <w:rFonts w:ascii="Times New Roman" w:hAnsi="Times New Roman" w:cs="Times New Roman"/>
                <w:sz w:val="24"/>
                <w:szCs w:val="24"/>
              </w:rPr>
            </w:pPr>
            <w:r>
              <w:rPr>
                <w:rFonts w:ascii="Times New Roman" w:hAnsi="Times New Roman" w:cs="Times New Roman"/>
                <w:sz w:val="24"/>
                <w:szCs w:val="24"/>
              </w:rPr>
              <w:t>CHL</w:t>
            </w:r>
          </w:p>
        </w:tc>
        <w:tc>
          <w:tcPr>
            <w:tcW w:w="1260" w:type="dxa"/>
            <w:shd w:val="clear" w:color="auto" w:fill="D0CECE" w:themeFill="background2" w:themeFillShade="E6"/>
          </w:tcPr>
          <w:p w14:paraId="635B4CDD" w14:textId="1F9088AC" w:rsidR="009C1934" w:rsidRPr="00C81873" w:rsidRDefault="009C1934" w:rsidP="006B4821">
            <w:pPr>
              <w:jc w:val="center"/>
              <w:rPr>
                <w:rFonts w:ascii="Times New Roman" w:hAnsi="Times New Roman" w:cs="Times New Roman"/>
                <w:sz w:val="24"/>
                <w:szCs w:val="24"/>
              </w:rPr>
            </w:pPr>
            <w:r>
              <w:rPr>
                <w:rFonts w:ascii="Times New Roman" w:hAnsi="Times New Roman" w:cs="Times New Roman"/>
                <w:sz w:val="24"/>
                <w:szCs w:val="24"/>
              </w:rPr>
              <w:t>NOR</w:t>
            </w:r>
          </w:p>
        </w:tc>
        <w:tc>
          <w:tcPr>
            <w:tcW w:w="1170" w:type="dxa"/>
            <w:shd w:val="clear" w:color="auto" w:fill="D0CECE" w:themeFill="background2" w:themeFillShade="E6"/>
          </w:tcPr>
          <w:p w14:paraId="40A09D0A" w14:textId="2FB2B91D" w:rsidR="009C1934" w:rsidRPr="00C81873" w:rsidRDefault="009C1934" w:rsidP="006B4821">
            <w:pPr>
              <w:jc w:val="center"/>
              <w:rPr>
                <w:rFonts w:ascii="Times New Roman" w:hAnsi="Times New Roman" w:cs="Times New Roman"/>
                <w:sz w:val="24"/>
                <w:szCs w:val="24"/>
              </w:rPr>
            </w:pPr>
            <w:r>
              <w:rPr>
                <w:rFonts w:ascii="Times New Roman" w:hAnsi="Times New Roman" w:cs="Times New Roman"/>
                <w:sz w:val="24"/>
                <w:szCs w:val="24"/>
              </w:rPr>
              <w:t>NAL</w:t>
            </w:r>
          </w:p>
        </w:tc>
      </w:tr>
      <w:tr w:rsidR="009C1934" w14:paraId="491B95E1" w14:textId="77777777" w:rsidTr="00CA0079">
        <w:trPr>
          <w:trHeight w:val="429"/>
          <w:jc w:val="center"/>
        </w:trPr>
        <w:tc>
          <w:tcPr>
            <w:tcW w:w="3055" w:type="dxa"/>
            <w:vAlign w:val="center"/>
          </w:tcPr>
          <w:p w14:paraId="07DFB2FE" w14:textId="183982C9" w:rsidR="009C1934" w:rsidRPr="00C81873"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AbΔ3-</w:t>
            </w:r>
            <w:r w:rsidR="00CA0079">
              <w:rPr>
                <w:rFonts w:ascii="Times New Roman" w:hAnsi="Times New Roman" w:cs="Times New Roman"/>
                <w:sz w:val="24"/>
                <w:szCs w:val="24"/>
              </w:rPr>
              <w:t>P</w:t>
            </w:r>
            <w:r>
              <w:rPr>
                <w:rFonts w:ascii="Times New Roman" w:hAnsi="Times New Roman" w:cs="Times New Roman"/>
                <w:sz w:val="24"/>
                <w:szCs w:val="24"/>
              </w:rPr>
              <w:t>ore</w:t>
            </w:r>
          </w:p>
        </w:tc>
        <w:tc>
          <w:tcPr>
            <w:tcW w:w="1620" w:type="dxa"/>
            <w:vAlign w:val="center"/>
          </w:tcPr>
          <w:p w14:paraId="2BE2685B"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3.125</w:t>
            </w:r>
          </w:p>
        </w:tc>
        <w:tc>
          <w:tcPr>
            <w:tcW w:w="1170" w:type="dxa"/>
            <w:vAlign w:val="center"/>
          </w:tcPr>
          <w:p w14:paraId="27CA39BC"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1415B080"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170" w:type="dxa"/>
            <w:vAlign w:val="center"/>
          </w:tcPr>
          <w:p w14:paraId="1F20D1C1"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2E3E8625" w14:textId="77777777" w:rsidTr="00CA0079">
        <w:trPr>
          <w:trHeight w:val="443"/>
          <w:jc w:val="center"/>
        </w:trPr>
        <w:tc>
          <w:tcPr>
            <w:tcW w:w="3055" w:type="dxa"/>
            <w:vAlign w:val="center"/>
          </w:tcPr>
          <w:p w14:paraId="4251BE7E" w14:textId="77777777" w:rsidR="009C1934" w:rsidRPr="00C81873"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AbΔ3-Pore (pAdeFGH)</w:t>
            </w:r>
          </w:p>
        </w:tc>
        <w:tc>
          <w:tcPr>
            <w:tcW w:w="1620" w:type="dxa"/>
            <w:vAlign w:val="center"/>
          </w:tcPr>
          <w:p w14:paraId="5505B4E0"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170" w:type="dxa"/>
            <w:vAlign w:val="center"/>
          </w:tcPr>
          <w:p w14:paraId="56F8CBB1"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21AB28BC"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c>
          <w:tcPr>
            <w:tcW w:w="1170" w:type="dxa"/>
            <w:vAlign w:val="center"/>
          </w:tcPr>
          <w:p w14:paraId="3E466932"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5AE6A030" w14:textId="77777777" w:rsidTr="00CA0079">
        <w:trPr>
          <w:trHeight w:val="443"/>
          <w:jc w:val="center"/>
        </w:trPr>
        <w:tc>
          <w:tcPr>
            <w:tcW w:w="3055" w:type="dxa"/>
            <w:vAlign w:val="center"/>
          </w:tcPr>
          <w:p w14:paraId="2FAD1142"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I621A</w:t>
            </w:r>
          </w:p>
        </w:tc>
        <w:tc>
          <w:tcPr>
            <w:tcW w:w="1620" w:type="dxa"/>
            <w:vAlign w:val="center"/>
          </w:tcPr>
          <w:p w14:paraId="1D7BE653"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3.125</w:t>
            </w:r>
          </w:p>
        </w:tc>
        <w:tc>
          <w:tcPr>
            <w:tcW w:w="1170" w:type="dxa"/>
            <w:vAlign w:val="center"/>
          </w:tcPr>
          <w:p w14:paraId="353FAD5C"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66EA6688"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170" w:type="dxa"/>
            <w:vAlign w:val="center"/>
          </w:tcPr>
          <w:p w14:paraId="496C4D84"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376A2131" w14:textId="77777777" w:rsidTr="00CA0079">
        <w:trPr>
          <w:trHeight w:val="443"/>
          <w:jc w:val="center"/>
        </w:trPr>
        <w:tc>
          <w:tcPr>
            <w:tcW w:w="3055" w:type="dxa"/>
            <w:vAlign w:val="center"/>
          </w:tcPr>
          <w:p w14:paraId="5C9C261B"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S620A</w:t>
            </w:r>
          </w:p>
        </w:tc>
        <w:tc>
          <w:tcPr>
            <w:tcW w:w="1620" w:type="dxa"/>
            <w:vAlign w:val="center"/>
          </w:tcPr>
          <w:p w14:paraId="6D6EBD63"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170" w:type="dxa"/>
            <w:vAlign w:val="center"/>
          </w:tcPr>
          <w:p w14:paraId="4C64682A"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c>
          <w:tcPr>
            <w:tcW w:w="1260" w:type="dxa"/>
            <w:vAlign w:val="center"/>
          </w:tcPr>
          <w:p w14:paraId="42FCEDFF"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0.78</w:t>
            </w:r>
          </w:p>
        </w:tc>
        <w:tc>
          <w:tcPr>
            <w:tcW w:w="1170" w:type="dxa"/>
            <w:vAlign w:val="center"/>
          </w:tcPr>
          <w:p w14:paraId="7C432833"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r>
      <w:tr w:rsidR="009C1934" w14:paraId="46E44B63" w14:textId="77777777" w:rsidTr="00CA0079">
        <w:trPr>
          <w:trHeight w:val="443"/>
          <w:jc w:val="center"/>
        </w:trPr>
        <w:tc>
          <w:tcPr>
            <w:tcW w:w="3055" w:type="dxa"/>
            <w:vAlign w:val="center"/>
          </w:tcPr>
          <w:p w14:paraId="7D882798"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L138A</w:t>
            </w:r>
          </w:p>
        </w:tc>
        <w:tc>
          <w:tcPr>
            <w:tcW w:w="1620" w:type="dxa"/>
            <w:vAlign w:val="center"/>
          </w:tcPr>
          <w:p w14:paraId="6B63E767"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170" w:type="dxa"/>
            <w:vAlign w:val="center"/>
          </w:tcPr>
          <w:p w14:paraId="72B15DEA"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196CD1D2"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c>
          <w:tcPr>
            <w:tcW w:w="1170" w:type="dxa"/>
            <w:vAlign w:val="center"/>
          </w:tcPr>
          <w:p w14:paraId="7EBA29D8"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5D9B39D6" w14:textId="77777777" w:rsidTr="00CA0079">
        <w:trPr>
          <w:trHeight w:val="429"/>
          <w:jc w:val="center"/>
        </w:trPr>
        <w:tc>
          <w:tcPr>
            <w:tcW w:w="3055" w:type="dxa"/>
            <w:vAlign w:val="center"/>
          </w:tcPr>
          <w:p w14:paraId="3F2D01FC"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G679I</w:t>
            </w:r>
          </w:p>
        </w:tc>
        <w:tc>
          <w:tcPr>
            <w:tcW w:w="1620" w:type="dxa"/>
            <w:vAlign w:val="center"/>
          </w:tcPr>
          <w:p w14:paraId="3CB20567"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3.125</w:t>
            </w:r>
          </w:p>
        </w:tc>
        <w:tc>
          <w:tcPr>
            <w:tcW w:w="1170" w:type="dxa"/>
            <w:vAlign w:val="center"/>
          </w:tcPr>
          <w:p w14:paraId="148606A1"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74B90987"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170" w:type="dxa"/>
            <w:vAlign w:val="center"/>
          </w:tcPr>
          <w:p w14:paraId="79AF8556"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680E1567" w14:textId="77777777" w:rsidTr="00CA0079">
        <w:trPr>
          <w:trHeight w:val="443"/>
          <w:jc w:val="center"/>
        </w:trPr>
        <w:tc>
          <w:tcPr>
            <w:tcW w:w="3055" w:type="dxa"/>
            <w:vAlign w:val="center"/>
          </w:tcPr>
          <w:p w14:paraId="2706C1DA"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Y725A</w:t>
            </w:r>
          </w:p>
        </w:tc>
        <w:tc>
          <w:tcPr>
            <w:tcW w:w="1620" w:type="dxa"/>
            <w:vAlign w:val="center"/>
          </w:tcPr>
          <w:p w14:paraId="49478C61"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6.25</w:t>
            </w:r>
          </w:p>
        </w:tc>
        <w:tc>
          <w:tcPr>
            <w:tcW w:w="1170" w:type="dxa"/>
            <w:vAlign w:val="center"/>
          </w:tcPr>
          <w:p w14:paraId="58E14A51"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55ECE08A"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c>
          <w:tcPr>
            <w:tcW w:w="1170" w:type="dxa"/>
            <w:vAlign w:val="center"/>
          </w:tcPr>
          <w:p w14:paraId="7B6EE32C"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52DF60DC" w14:textId="77777777" w:rsidTr="00CA0079">
        <w:trPr>
          <w:trHeight w:val="443"/>
          <w:jc w:val="center"/>
        </w:trPr>
        <w:tc>
          <w:tcPr>
            <w:tcW w:w="3055" w:type="dxa"/>
            <w:vAlign w:val="center"/>
          </w:tcPr>
          <w:p w14:paraId="7F580B86"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A705I</w:t>
            </w:r>
          </w:p>
        </w:tc>
        <w:tc>
          <w:tcPr>
            <w:tcW w:w="1620" w:type="dxa"/>
            <w:vAlign w:val="center"/>
          </w:tcPr>
          <w:p w14:paraId="6FBEFE3A"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170" w:type="dxa"/>
            <w:vAlign w:val="center"/>
          </w:tcPr>
          <w:p w14:paraId="0D2BDC4D"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c>
          <w:tcPr>
            <w:tcW w:w="1260" w:type="dxa"/>
            <w:vAlign w:val="center"/>
          </w:tcPr>
          <w:p w14:paraId="66AF38BB"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c>
          <w:tcPr>
            <w:tcW w:w="1170" w:type="dxa"/>
            <w:vAlign w:val="center"/>
          </w:tcPr>
          <w:p w14:paraId="6B205810"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3.125</w:t>
            </w:r>
          </w:p>
        </w:tc>
      </w:tr>
      <w:tr w:rsidR="009C1934" w14:paraId="55953F69" w14:textId="77777777" w:rsidTr="00CA0079">
        <w:trPr>
          <w:trHeight w:val="443"/>
          <w:jc w:val="center"/>
        </w:trPr>
        <w:tc>
          <w:tcPr>
            <w:tcW w:w="3055" w:type="dxa"/>
            <w:vAlign w:val="center"/>
          </w:tcPr>
          <w:p w14:paraId="5E93CC49" w14:textId="77777777" w:rsidR="009C1934" w:rsidRPr="00C81873" w:rsidRDefault="009C1934" w:rsidP="006B4821">
            <w:pPr>
              <w:spacing w:line="360" w:lineRule="auto"/>
              <w:jc w:val="center"/>
              <w:rPr>
                <w:rFonts w:ascii="Times New Roman" w:hAnsi="Times New Roman" w:cs="Times New Roman"/>
                <w:sz w:val="24"/>
                <w:szCs w:val="24"/>
              </w:rPr>
            </w:pPr>
            <w:r w:rsidRPr="00894EC7">
              <w:rPr>
                <w:rFonts w:ascii="Times New Roman" w:hAnsi="Times New Roman" w:cs="Times New Roman"/>
                <w:sz w:val="24"/>
                <w:szCs w:val="24"/>
              </w:rPr>
              <w:t>AbΔ3</w:t>
            </w:r>
            <w:r>
              <w:rPr>
                <w:rFonts w:ascii="Times New Roman" w:hAnsi="Times New Roman" w:cs="Times New Roman"/>
                <w:sz w:val="24"/>
                <w:szCs w:val="24"/>
              </w:rPr>
              <w:t xml:space="preserve">-Pore </w:t>
            </w:r>
            <w:r w:rsidRPr="00894EC7">
              <w:rPr>
                <w:rFonts w:ascii="Times New Roman" w:hAnsi="Times New Roman" w:cs="Times New Roman"/>
                <w:sz w:val="24"/>
                <w:szCs w:val="24"/>
              </w:rPr>
              <w:t xml:space="preserve">(pAdeG) </w:t>
            </w:r>
            <w:r>
              <w:rPr>
                <w:rFonts w:ascii="Times New Roman" w:hAnsi="Times New Roman" w:cs="Times New Roman"/>
                <w:sz w:val="24"/>
                <w:szCs w:val="24"/>
              </w:rPr>
              <w:t>Q83A</w:t>
            </w:r>
          </w:p>
        </w:tc>
        <w:tc>
          <w:tcPr>
            <w:tcW w:w="1620" w:type="dxa"/>
            <w:vAlign w:val="center"/>
          </w:tcPr>
          <w:p w14:paraId="6710E9BA" w14:textId="77777777" w:rsidR="009C1934" w:rsidRDefault="009C1934" w:rsidP="006B4821">
            <w:pPr>
              <w:spacing w:line="360" w:lineRule="auto"/>
              <w:jc w:val="center"/>
              <w:rPr>
                <w:rFonts w:ascii="Times New Roman" w:hAnsi="Times New Roman" w:cs="Times New Roman"/>
                <w:sz w:val="24"/>
                <w:szCs w:val="24"/>
              </w:rPr>
            </w:pPr>
            <w:r>
              <w:rPr>
                <w:rFonts w:ascii="Times New Roman" w:hAnsi="Times New Roman" w:cs="Times New Roman"/>
                <w:sz w:val="24"/>
                <w:szCs w:val="24"/>
              </w:rPr>
              <w:t>12.5</w:t>
            </w:r>
          </w:p>
        </w:tc>
        <w:tc>
          <w:tcPr>
            <w:tcW w:w="1170" w:type="dxa"/>
            <w:vAlign w:val="center"/>
          </w:tcPr>
          <w:p w14:paraId="0EE38347"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c>
          <w:tcPr>
            <w:tcW w:w="1260" w:type="dxa"/>
            <w:vAlign w:val="center"/>
          </w:tcPr>
          <w:p w14:paraId="492FF430"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0.39</w:t>
            </w:r>
          </w:p>
        </w:tc>
        <w:tc>
          <w:tcPr>
            <w:tcW w:w="1170" w:type="dxa"/>
            <w:vAlign w:val="center"/>
          </w:tcPr>
          <w:p w14:paraId="4FB7B485" w14:textId="77777777" w:rsidR="009C1934" w:rsidRPr="00CC7236" w:rsidRDefault="009C1934" w:rsidP="006B4821">
            <w:pPr>
              <w:spacing w:line="360" w:lineRule="auto"/>
              <w:jc w:val="center"/>
              <w:rPr>
                <w:rFonts w:ascii="Times New Roman" w:hAnsi="Times New Roman" w:cs="Times New Roman"/>
                <w:sz w:val="24"/>
                <w:szCs w:val="24"/>
              </w:rPr>
            </w:pPr>
            <w:r w:rsidRPr="00CC7236">
              <w:rPr>
                <w:rFonts w:ascii="Times New Roman" w:hAnsi="Times New Roman" w:cs="Times New Roman"/>
                <w:sz w:val="24"/>
                <w:szCs w:val="24"/>
              </w:rPr>
              <w:t>1.56</w:t>
            </w:r>
          </w:p>
        </w:tc>
      </w:tr>
    </w:tbl>
    <w:p w14:paraId="5BAFEEED" w14:textId="77777777" w:rsidR="009C1934" w:rsidRDefault="009C1934" w:rsidP="009C1934">
      <w:pPr>
        <w:spacing w:line="360" w:lineRule="auto"/>
        <w:rPr>
          <w:sz w:val="24"/>
          <w:szCs w:val="24"/>
        </w:rPr>
      </w:pPr>
      <w:r w:rsidRPr="009C1934">
        <w:rPr>
          <w:sz w:val="24"/>
          <w:szCs w:val="24"/>
        </w:rPr>
        <w:t xml:space="preserve"> </w:t>
      </w:r>
    </w:p>
    <w:p w14:paraId="38C798BB" w14:textId="7C72D059" w:rsidR="009C1934" w:rsidRPr="00E371F2" w:rsidRDefault="009C1934" w:rsidP="009C1934">
      <w:pPr>
        <w:spacing w:line="360" w:lineRule="auto"/>
        <w:rPr>
          <w:sz w:val="24"/>
          <w:szCs w:val="24"/>
        </w:rPr>
      </w:pPr>
      <w:r>
        <w:rPr>
          <w:sz w:val="24"/>
          <w:szCs w:val="24"/>
        </w:rPr>
        <w:lastRenderedPageBreak/>
        <w:t>MPC</w:t>
      </w:r>
      <w:r>
        <w:rPr>
          <w:sz w:val="24"/>
          <w:szCs w:val="24"/>
          <w:vertAlign w:val="subscript"/>
        </w:rPr>
        <w:t>4</w:t>
      </w:r>
      <w:r>
        <w:rPr>
          <w:sz w:val="24"/>
          <w:szCs w:val="24"/>
        </w:rPr>
        <w:t>: minimal potentiating concentration (MPC), a concentration of compound that decreases minimum inhibitory concentration (MIC) of an antibiotic by 4-fold. CHL – Chloramphenicol, NOR – Norfloxacin, NAL – Nalidixic acid.</w:t>
      </w:r>
    </w:p>
    <w:p w14:paraId="482320F2" w14:textId="5C3B105A" w:rsidR="0047264B" w:rsidRDefault="0047264B" w:rsidP="00041B30">
      <w:pPr>
        <w:spacing w:line="360" w:lineRule="auto"/>
        <w:rPr>
          <w:sz w:val="24"/>
          <w:szCs w:val="24"/>
        </w:rPr>
      </w:pPr>
    </w:p>
    <w:p w14:paraId="4671431F" w14:textId="77777777" w:rsidR="00AD111B" w:rsidRDefault="00AD111B" w:rsidP="00041B30">
      <w:pPr>
        <w:spacing w:line="360" w:lineRule="auto"/>
        <w:rPr>
          <w:sz w:val="24"/>
          <w:szCs w:val="24"/>
        </w:rPr>
      </w:pPr>
    </w:p>
    <w:p w14:paraId="12D6F6E5" w14:textId="59A40552" w:rsidR="00FF27DE" w:rsidRDefault="00FF27DE" w:rsidP="00C836F0">
      <w:pPr>
        <w:rPr>
          <w:sz w:val="24"/>
          <w:szCs w:val="24"/>
        </w:rPr>
      </w:pPr>
    </w:p>
    <w:p w14:paraId="6040FC7F" w14:textId="55812A86" w:rsidR="00EB2FCC" w:rsidRDefault="00EE121F" w:rsidP="00C836F0">
      <w:pPr>
        <w:rPr>
          <w:sz w:val="24"/>
          <w:szCs w:val="24"/>
        </w:rPr>
      </w:pPr>
      <w:r w:rsidRPr="00EE121F">
        <w:rPr>
          <w:noProof/>
        </w:rPr>
        <w:t xml:space="preserve"> </w:t>
      </w:r>
      <w:r w:rsidRPr="00EE121F">
        <w:rPr>
          <w:noProof/>
          <w:sz w:val="24"/>
          <w:szCs w:val="24"/>
        </w:rPr>
        <w:drawing>
          <wp:inline distT="0" distB="0" distL="0" distR="0" wp14:anchorId="126F490F" wp14:editId="3848A225">
            <wp:extent cx="5486400" cy="4252595"/>
            <wp:effectExtent l="0" t="0" r="0" b="0"/>
            <wp:docPr id="848207901" name="Picture 1" descr="A graph of data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207901" name="Picture 1" descr="A graph of data on a white background&#10;&#10;Description automatically generated with medium confidence"/>
                    <pic:cNvPicPr/>
                  </pic:nvPicPr>
                  <pic:blipFill>
                    <a:blip r:embed="rId48"/>
                    <a:stretch>
                      <a:fillRect/>
                    </a:stretch>
                  </pic:blipFill>
                  <pic:spPr>
                    <a:xfrm>
                      <a:off x="0" y="0"/>
                      <a:ext cx="5486400" cy="4252595"/>
                    </a:xfrm>
                    <a:prstGeom prst="rect">
                      <a:avLst/>
                    </a:prstGeom>
                  </pic:spPr>
                </pic:pic>
              </a:graphicData>
            </a:graphic>
          </wp:inline>
        </w:drawing>
      </w:r>
    </w:p>
    <w:p w14:paraId="515A8610" w14:textId="0A7F360B" w:rsidR="00FF27DE" w:rsidRDefault="00FF27DE" w:rsidP="00C836F0">
      <w:pPr>
        <w:rPr>
          <w:b/>
          <w:bCs/>
          <w:sz w:val="24"/>
          <w:szCs w:val="24"/>
        </w:rPr>
      </w:pPr>
      <w:r>
        <w:rPr>
          <w:b/>
          <w:bCs/>
          <w:sz w:val="24"/>
          <w:szCs w:val="24"/>
        </w:rPr>
        <w:t xml:space="preserve">Figure </w:t>
      </w:r>
      <w:r w:rsidR="00CF3098">
        <w:rPr>
          <w:b/>
          <w:bCs/>
          <w:sz w:val="24"/>
          <w:szCs w:val="24"/>
        </w:rPr>
        <w:t>4.</w:t>
      </w:r>
      <w:r w:rsidR="00312221">
        <w:rPr>
          <w:b/>
          <w:bCs/>
          <w:sz w:val="24"/>
          <w:szCs w:val="24"/>
        </w:rPr>
        <w:t>7</w:t>
      </w:r>
      <w:r>
        <w:rPr>
          <w:sz w:val="24"/>
          <w:szCs w:val="24"/>
        </w:rPr>
        <w:t xml:space="preserve"> -</w:t>
      </w:r>
      <w:r w:rsidRPr="00FF27DE">
        <w:rPr>
          <w:b/>
          <w:bCs/>
          <w:sz w:val="24"/>
          <w:szCs w:val="24"/>
        </w:rPr>
        <w:t xml:space="preserve"> </w:t>
      </w:r>
      <w:r w:rsidR="005A5764">
        <w:rPr>
          <w:b/>
          <w:bCs/>
          <w:sz w:val="24"/>
          <w:szCs w:val="24"/>
        </w:rPr>
        <w:t xml:space="preserve">Fluorescence </w:t>
      </w:r>
      <w:r w:rsidR="00451C04">
        <w:rPr>
          <w:b/>
          <w:bCs/>
          <w:sz w:val="24"/>
          <w:szCs w:val="24"/>
        </w:rPr>
        <w:t>u</w:t>
      </w:r>
      <w:r w:rsidR="005A5764">
        <w:rPr>
          <w:b/>
          <w:bCs/>
          <w:sz w:val="24"/>
          <w:szCs w:val="24"/>
        </w:rPr>
        <w:t xml:space="preserve">ptake </w:t>
      </w:r>
      <w:r w:rsidR="00451C04">
        <w:rPr>
          <w:b/>
          <w:bCs/>
          <w:sz w:val="24"/>
          <w:szCs w:val="24"/>
        </w:rPr>
        <w:t>a</w:t>
      </w:r>
      <w:r w:rsidR="005A5764">
        <w:rPr>
          <w:b/>
          <w:bCs/>
          <w:sz w:val="24"/>
          <w:szCs w:val="24"/>
        </w:rPr>
        <w:t>nalysis</w:t>
      </w:r>
      <w:r w:rsidRPr="00FF27DE">
        <w:rPr>
          <w:b/>
          <w:bCs/>
          <w:sz w:val="24"/>
          <w:szCs w:val="24"/>
        </w:rPr>
        <w:t xml:space="preserve"> of NPN </w:t>
      </w:r>
      <w:r>
        <w:rPr>
          <w:b/>
          <w:bCs/>
          <w:sz w:val="24"/>
          <w:szCs w:val="24"/>
        </w:rPr>
        <w:t xml:space="preserve">in </w:t>
      </w:r>
      <w:r w:rsidR="00451C04">
        <w:rPr>
          <w:b/>
          <w:bCs/>
          <w:sz w:val="24"/>
          <w:szCs w:val="24"/>
        </w:rPr>
        <w:t>c</w:t>
      </w:r>
      <w:r>
        <w:rPr>
          <w:b/>
          <w:bCs/>
          <w:sz w:val="24"/>
          <w:szCs w:val="24"/>
        </w:rPr>
        <w:t>ombination with</w:t>
      </w:r>
      <w:r w:rsidR="00312221">
        <w:rPr>
          <w:b/>
          <w:bCs/>
          <w:sz w:val="24"/>
          <w:szCs w:val="24"/>
        </w:rPr>
        <w:t xml:space="preserve"> </w:t>
      </w:r>
      <w:r w:rsidR="00B1648B">
        <w:rPr>
          <w:b/>
          <w:bCs/>
          <w:sz w:val="24"/>
          <w:szCs w:val="24"/>
        </w:rPr>
        <w:t>SLU</w:t>
      </w:r>
      <w:r w:rsidR="00CF3098">
        <w:rPr>
          <w:b/>
          <w:bCs/>
          <w:sz w:val="24"/>
          <w:szCs w:val="24"/>
        </w:rPr>
        <w:t>PP</w:t>
      </w:r>
      <w:r>
        <w:rPr>
          <w:b/>
          <w:bCs/>
          <w:sz w:val="24"/>
          <w:szCs w:val="24"/>
        </w:rPr>
        <w:t>_1377</w:t>
      </w:r>
    </w:p>
    <w:p w14:paraId="036474E7" w14:textId="1DE096C7" w:rsidR="00DC40C4" w:rsidRDefault="00DC40C4" w:rsidP="00C836F0">
      <w:pPr>
        <w:rPr>
          <w:sz w:val="24"/>
          <w:szCs w:val="24"/>
        </w:rPr>
      </w:pPr>
      <w:r>
        <w:rPr>
          <w:rFonts w:asciiTheme="majorHAnsi" w:hAnsiTheme="majorHAnsi" w:cstheme="majorHAnsi"/>
          <w:sz w:val="24"/>
          <w:szCs w:val="24"/>
        </w:rPr>
        <w:t xml:space="preserve">Intracellular accumulation of fluorescent membrane probe NPN. Indicated strains were grown in LB broth and induced with 1% L-arabinose when appropriate. Washed cells were injected into HMG buffer containing 4 µM NPN and 0-25 µM SLUPP_1377. The resulting fluorescence was monitored continuously for 10 minutes. </w:t>
      </w:r>
      <w:r w:rsidR="00EC6C97">
        <w:rPr>
          <w:rFonts w:asciiTheme="majorHAnsi" w:hAnsiTheme="majorHAnsi" w:cstheme="majorHAnsi"/>
          <w:sz w:val="24"/>
          <w:szCs w:val="24"/>
        </w:rPr>
        <w:t xml:space="preserve">The uptake data sets were fitted using a script written for </w:t>
      </w:r>
      <w:proofErr w:type="spellStart"/>
      <w:r w:rsidR="00EC6C97">
        <w:rPr>
          <w:rFonts w:asciiTheme="majorHAnsi" w:hAnsiTheme="majorHAnsi" w:cstheme="majorHAnsi"/>
          <w:sz w:val="24"/>
          <w:szCs w:val="24"/>
        </w:rPr>
        <w:t>MatLab</w:t>
      </w:r>
      <w:proofErr w:type="spellEnd"/>
      <w:r w:rsidR="00EC6C97">
        <w:rPr>
          <w:rFonts w:asciiTheme="majorHAnsi" w:hAnsiTheme="majorHAnsi" w:cstheme="majorHAnsi"/>
          <w:sz w:val="24"/>
          <w:szCs w:val="24"/>
        </w:rPr>
        <w:t xml:space="preserve"> (</w:t>
      </w:r>
      <w:r w:rsidR="00EC6C97">
        <w:rPr>
          <w:rFonts w:asciiTheme="majorHAnsi" w:hAnsiTheme="majorHAnsi" w:cstheme="majorHAnsi"/>
          <w:b/>
          <w:bCs/>
          <w:sz w:val="24"/>
          <w:szCs w:val="24"/>
        </w:rPr>
        <w:t>Methods 2.13</w:t>
      </w:r>
      <w:r w:rsidR="00EC6C97">
        <w:rPr>
          <w:rFonts w:asciiTheme="majorHAnsi" w:hAnsiTheme="majorHAnsi" w:cstheme="majorHAnsi"/>
          <w:sz w:val="24"/>
          <w:szCs w:val="24"/>
        </w:rPr>
        <w:t>)</w:t>
      </w:r>
      <w:r>
        <w:rPr>
          <w:rFonts w:asciiTheme="majorHAnsi" w:hAnsiTheme="majorHAnsi" w:cstheme="majorHAnsi"/>
          <w:sz w:val="24"/>
          <w:szCs w:val="24"/>
        </w:rPr>
        <w:t>. Error bars are SD (</w:t>
      </w:r>
      <w:r>
        <w:rPr>
          <w:rFonts w:asciiTheme="majorHAnsi" w:hAnsiTheme="majorHAnsi" w:cstheme="majorHAnsi"/>
          <w:i/>
          <w:iCs/>
          <w:sz w:val="24"/>
          <w:szCs w:val="24"/>
        </w:rPr>
        <w:t>n</w:t>
      </w:r>
      <w:r>
        <w:rPr>
          <w:rFonts w:asciiTheme="majorHAnsi" w:hAnsiTheme="majorHAnsi" w:cstheme="majorHAnsi"/>
          <w:sz w:val="24"/>
          <w:szCs w:val="24"/>
        </w:rPr>
        <w:t xml:space="preserve"> = </w:t>
      </w:r>
      <w:r w:rsidR="00EB2FCC">
        <w:rPr>
          <w:rFonts w:asciiTheme="majorHAnsi" w:hAnsiTheme="majorHAnsi" w:cstheme="majorHAnsi"/>
          <w:sz w:val="24"/>
          <w:szCs w:val="24"/>
        </w:rPr>
        <w:t>2</w:t>
      </w:r>
      <w:r>
        <w:rPr>
          <w:rFonts w:asciiTheme="majorHAnsi" w:hAnsiTheme="majorHAnsi" w:cstheme="majorHAnsi"/>
          <w:sz w:val="24"/>
          <w:szCs w:val="24"/>
        </w:rPr>
        <w:t>). (</w:t>
      </w:r>
      <w:r>
        <w:rPr>
          <w:rFonts w:asciiTheme="majorHAnsi" w:hAnsiTheme="majorHAnsi" w:cstheme="majorHAnsi"/>
          <w:b/>
          <w:bCs/>
          <w:sz w:val="24"/>
          <w:szCs w:val="24"/>
        </w:rPr>
        <w:t>A</w:t>
      </w:r>
      <w:r>
        <w:rPr>
          <w:rFonts w:asciiTheme="majorHAnsi" w:hAnsiTheme="majorHAnsi" w:cstheme="majorHAnsi"/>
          <w:sz w:val="24"/>
          <w:szCs w:val="24"/>
        </w:rPr>
        <w:t xml:space="preserve">) </w:t>
      </w:r>
      <w:r w:rsidR="006953D6">
        <w:rPr>
          <w:rFonts w:asciiTheme="majorHAnsi" w:hAnsiTheme="majorHAnsi" w:cstheme="majorHAnsi"/>
          <w:sz w:val="24"/>
          <w:szCs w:val="24"/>
        </w:rPr>
        <w:t>Ab</w:t>
      </w:r>
      <w:r w:rsidR="006953D6" w:rsidRPr="00932E92">
        <w:rPr>
          <w:sz w:val="24"/>
          <w:szCs w:val="24"/>
        </w:rPr>
        <w:t>∆</w:t>
      </w:r>
      <w:r w:rsidR="006953D6">
        <w:rPr>
          <w:sz w:val="24"/>
          <w:szCs w:val="24"/>
        </w:rPr>
        <w:t xml:space="preserve">3 </w:t>
      </w:r>
      <w:r>
        <w:rPr>
          <w:rFonts w:asciiTheme="majorHAnsi" w:hAnsiTheme="majorHAnsi" w:cstheme="majorHAnsi"/>
          <w:sz w:val="24"/>
          <w:szCs w:val="24"/>
        </w:rPr>
        <w:t>(</w:t>
      </w:r>
      <w:r>
        <w:rPr>
          <w:rFonts w:asciiTheme="majorHAnsi" w:hAnsiTheme="majorHAnsi" w:cstheme="majorHAnsi"/>
          <w:b/>
          <w:bCs/>
          <w:sz w:val="24"/>
          <w:szCs w:val="24"/>
        </w:rPr>
        <w:t>B</w:t>
      </w:r>
      <w:r>
        <w:rPr>
          <w:rFonts w:asciiTheme="majorHAnsi" w:hAnsiTheme="majorHAnsi" w:cstheme="majorHAnsi"/>
          <w:sz w:val="24"/>
          <w:szCs w:val="24"/>
        </w:rPr>
        <w:t>)</w:t>
      </w:r>
      <w:r>
        <w:rPr>
          <w:sz w:val="24"/>
          <w:szCs w:val="24"/>
        </w:rPr>
        <w:t xml:space="preserve"> </w:t>
      </w:r>
      <w:r w:rsidR="006953D6">
        <w:rPr>
          <w:rFonts w:asciiTheme="majorHAnsi" w:hAnsiTheme="majorHAnsi" w:cstheme="majorHAnsi"/>
          <w:sz w:val="24"/>
          <w:szCs w:val="24"/>
        </w:rPr>
        <w:t>Ab</w:t>
      </w:r>
      <w:r w:rsidR="006953D6" w:rsidRPr="00932E92">
        <w:rPr>
          <w:sz w:val="24"/>
          <w:szCs w:val="24"/>
        </w:rPr>
        <w:t>∆</w:t>
      </w:r>
      <w:r w:rsidR="006953D6">
        <w:rPr>
          <w:sz w:val="24"/>
          <w:szCs w:val="24"/>
        </w:rPr>
        <w:t>3-Pore (</w:t>
      </w:r>
      <w:r w:rsidR="006953D6">
        <w:rPr>
          <w:b/>
          <w:bCs/>
          <w:sz w:val="24"/>
          <w:szCs w:val="24"/>
        </w:rPr>
        <w:t>C</w:t>
      </w:r>
      <w:r w:rsidR="006953D6">
        <w:rPr>
          <w:sz w:val="24"/>
          <w:szCs w:val="24"/>
        </w:rPr>
        <w:t xml:space="preserve">) </w:t>
      </w:r>
      <w:r w:rsidR="006953D6">
        <w:rPr>
          <w:rFonts w:asciiTheme="majorHAnsi" w:hAnsiTheme="majorHAnsi" w:cstheme="majorHAnsi"/>
          <w:sz w:val="24"/>
          <w:szCs w:val="24"/>
        </w:rPr>
        <w:t>Ab</w:t>
      </w:r>
      <w:r w:rsidR="006953D6" w:rsidRPr="00932E92">
        <w:rPr>
          <w:sz w:val="24"/>
          <w:szCs w:val="24"/>
        </w:rPr>
        <w:t>∆</w:t>
      </w:r>
      <w:r w:rsidR="006953D6">
        <w:rPr>
          <w:sz w:val="24"/>
          <w:szCs w:val="24"/>
        </w:rPr>
        <w:t>3</w:t>
      </w:r>
      <w:r w:rsidR="00EC6C97">
        <w:rPr>
          <w:sz w:val="24"/>
          <w:szCs w:val="24"/>
        </w:rPr>
        <w:t xml:space="preserve"> (pAdeFGH)</w:t>
      </w:r>
      <w:r w:rsidR="006953D6">
        <w:rPr>
          <w:sz w:val="24"/>
          <w:szCs w:val="24"/>
        </w:rPr>
        <w:t xml:space="preserve"> </w:t>
      </w:r>
      <w:r>
        <w:rPr>
          <w:sz w:val="24"/>
          <w:szCs w:val="24"/>
        </w:rPr>
        <w:t>(</w:t>
      </w:r>
      <w:r>
        <w:rPr>
          <w:b/>
          <w:bCs/>
          <w:sz w:val="24"/>
          <w:szCs w:val="24"/>
        </w:rPr>
        <w:t>D</w:t>
      </w:r>
      <w:r>
        <w:rPr>
          <w:sz w:val="24"/>
          <w:szCs w:val="24"/>
        </w:rPr>
        <w:t xml:space="preserve">) </w:t>
      </w:r>
      <w:r w:rsidR="006953D6">
        <w:rPr>
          <w:rFonts w:asciiTheme="majorHAnsi" w:hAnsiTheme="majorHAnsi" w:cstheme="majorHAnsi"/>
          <w:sz w:val="24"/>
          <w:szCs w:val="24"/>
        </w:rPr>
        <w:t>Ab</w:t>
      </w:r>
      <w:r w:rsidR="006953D6" w:rsidRPr="00932E92">
        <w:rPr>
          <w:sz w:val="24"/>
          <w:szCs w:val="24"/>
        </w:rPr>
        <w:t>∆</w:t>
      </w:r>
      <w:r w:rsidR="006953D6">
        <w:rPr>
          <w:sz w:val="24"/>
          <w:szCs w:val="24"/>
        </w:rPr>
        <w:t>3-Por</w:t>
      </w:r>
      <w:r w:rsidR="00EC6C97">
        <w:rPr>
          <w:sz w:val="24"/>
          <w:szCs w:val="24"/>
        </w:rPr>
        <w:t>e (pAdeFGH)</w:t>
      </w:r>
    </w:p>
    <w:p w14:paraId="5C6B19F2" w14:textId="23D44B1D" w:rsidR="00EE121F" w:rsidRDefault="00EE121F" w:rsidP="00C836F0">
      <w:pPr>
        <w:rPr>
          <w:sz w:val="24"/>
          <w:szCs w:val="24"/>
        </w:rPr>
      </w:pPr>
      <w:r w:rsidRPr="00EE121F">
        <w:rPr>
          <w:noProof/>
          <w:sz w:val="24"/>
          <w:szCs w:val="24"/>
        </w:rPr>
        <w:lastRenderedPageBreak/>
        <w:drawing>
          <wp:inline distT="0" distB="0" distL="0" distR="0" wp14:anchorId="225269E2" wp14:editId="166C5D2D">
            <wp:extent cx="5486400" cy="1737360"/>
            <wp:effectExtent l="0" t="0" r="0" b="0"/>
            <wp:docPr id="758849264" name="Picture 1"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49264" name="Picture 1" descr="A graph of different types of data&#10;&#10;Description automatically generated with medium confidence"/>
                    <pic:cNvPicPr/>
                  </pic:nvPicPr>
                  <pic:blipFill>
                    <a:blip r:embed="rId49"/>
                    <a:stretch>
                      <a:fillRect/>
                    </a:stretch>
                  </pic:blipFill>
                  <pic:spPr>
                    <a:xfrm>
                      <a:off x="0" y="0"/>
                      <a:ext cx="5486400" cy="1737360"/>
                    </a:xfrm>
                    <a:prstGeom prst="rect">
                      <a:avLst/>
                    </a:prstGeom>
                  </pic:spPr>
                </pic:pic>
              </a:graphicData>
            </a:graphic>
          </wp:inline>
        </w:drawing>
      </w:r>
    </w:p>
    <w:p w14:paraId="6790FD56" w14:textId="0069A98D" w:rsidR="009602CA" w:rsidRDefault="009602CA" w:rsidP="009602CA">
      <w:pPr>
        <w:rPr>
          <w:b/>
          <w:bCs/>
          <w:sz w:val="24"/>
          <w:szCs w:val="24"/>
        </w:rPr>
      </w:pPr>
      <w:r>
        <w:rPr>
          <w:b/>
          <w:bCs/>
          <w:sz w:val="24"/>
          <w:szCs w:val="24"/>
        </w:rPr>
        <w:t>Figure 4</w:t>
      </w:r>
      <w:r w:rsidR="00201008">
        <w:rPr>
          <w:b/>
          <w:bCs/>
          <w:sz w:val="24"/>
          <w:szCs w:val="24"/>
        </w:rPr>
        <w:t>.8</w:t>
      </w:r>
      <w:r>
        <w:rPr>
          <w:b/>
          <w:bCs/>
          <w:sz w:val="24"/>
          <w:szCs w:val="24"/>
        </w:rPr>
        <w:t xml:space="preserve"> – Relative steady state accumulation and initial rates </w:t>
      </w:r>
      <w:r w:rsidR="00EE121F">
        <w:rPr>
          <w:b/>
          <w:bCs/>
          <w:sz w:val="24"/>
          <w:szCs w:val="24"/>
        </w:rPr>
        <w:t>for NPN and SLUPP_1377 optimization</w:t>
      </w:r>
    </w:p>
    <w:p w14:paraId="0B75B549" w14:textId="77777777" w:rsidR="005B5AE2" w:rsidRDefault="009602CA" w:rsidP="00C836F0">
      <w:pPr>
        <w:rPr>
          <w:sz w:val="24"/>
          <w:szCs w:val="24"/>
        </w:rPr>
      </w:pPr>
      <w:r>
        <w:rPr>
          <w:sz w:val="24"/>
          <w:szCs w:val="24"/>
        </w:rPr>
        <w:t>(</w:t>
      </w:r>
      <w:r w:rsidRPr="009602CA">
        <w:rPr>
          <w:b/>
          <w:bCs/>
          <w:sz w:val="24"/>
          <w:szCs w:val="24"/>
        </w:rPr>
        <w:t>A</w:t>
      </w:r>
      <w:r>
        <w:rPr>
          <w:sz w:val="24"/>
          <w:szCs w:val="24"/>
        </w:rPr>
        <w:t xml:space="preserve">) </w:t>
      </w:r>
      <w:r w:rsidR="00213ACA">
        <w:rPr>
          <w:sz w:val="24"/>
          <w:szCs w:val="24"/>
        </w:rPr>
        <w:t>Relative s</w:t>
      </w:r>
      <w:r w:rsidRPr="009602CA">
        <w:rPr>
          <w:sz w:val="24"/>
          <w:szCs w:val="24"/>
        </w:rPr>
        <w:t>teady</w:t>
      </w:r>
      <w:r>
        <w:rPr>
          <w:sz w:val="24"/>
          <w:szCs w:val="24"/>
        </w:rPr>
        <w:t xml:space="preserve"> state </w:t>
      </w:r>
      <w:r w:rsidR="00EC6C97">
        <w:rPr>
          <w:sz w:val="24"/>
          <w:szCs w:val="24"/>
        </w:rPr>
        <w:t>fit</w:t>
      </w:r>
      <w:r>
        <w:rPr>
          <w:sz w:val="24"/>
          <w:szCs w:val="24"/>
        </w:rPr>
        <w:t>s of</w:t>
      </w:r>
      <w:r w:rsidR="00EC6C97">
        <w:rPr>
          <w:sz w:val="24"/>
          <w:szCs w:val="24"/>
        </w:rPr>
        <w:t xml:space="preserve"> </w:t>
      </w:r>
      <w:r>
        <w:rPr>
          <w:sz w:val="24"/>
          <w:szCs w:val="24"/>
        </w:rPr>
        <w:t>intracellular NPN</w:t>
      </w:r>
      <w:r w:rsidR="00EC6C97">
        <w:rPr>
          <w:sz w:val="24"/>
          <w:szCs w:val="24"/>
        </w:rPr>
        <w:t xml:space="preserve"> (fold-change)</w:t>
      </w:r>
      <w:r>
        <w:rPr>
          <w:sz w:val="24"/>
          <w:szCs w:val="24"/>
        </w:rPr>
        <w:t xml:space="preserve"> plotted against extracellular concentrations of SLUPP_1377. Steady state concentrations were normalized by dividing each steady state value by the initial steady state value. </w:t>
      </w:r>
      <w:r w:rsidRPr="00FB4B2C">
        <w:rPr>
          <w:sz w:val="24"/>
          <w:szCs w:val="24"/>
        </w:rPr>
        <w:t>Error</w:t>
      </w:r>
      <w:r>
        <w:rPr>
          <w:sz w:val="24"/>
          <w:szCs w:val="24"/>
        </w:rPr>
        <w:t xml:space="preserve"> bars are Std dev (n=2).</w:t>
      </w:r>
      <w:r w:rsidRPr="009570C4">
        <w:rPr>
          <w:sz w:val="24"/>
          <w:szCs w:val="24"/>
        </w:rPr>
        <w:t xml:space="preserve"> </w:t>
      </w:r>
      <w:r>
        <w:rPr>
          <w:sz w:val="24"/>
          <w:szCs w:val="24"/>
        </w:rPr>
        <w:t>(</w:t>
      </w:r>
      <w:r w:rsidRPr="009602CA">
        <w:rPr>
          <w:b/>
          <w:bCs/>
          <w:sz w:val="24"/>
          <w:szCs w:val="24"/>
        </w:rPr>
        <w:t>B</w:t>
      </w:r>
      <w:r>
        <w:rPr>
          <w:sz w:val="24"/>
          <w:szCs w:val="24"/>
        </w:rPr>
        <w:t xml:space="preserve">) </w:t>
      </w:r>
      <w:r w:rsidR="00EC6C97">
        <w:rPr>
          <w:sz w:val="24"/>
          <w:szCs w:val="24"/>
        </w:rPr>
        <w:t>Relative i</w:t>
      </w:r>
      <w:r w:rsidRPr="009602CA">
        <w:rPr>
          <w:sz w:val="24"/>
          <w:szCs w:val="24"/>
        </w:rPr>
        <w:t>nitial</w:t>
      </w:r>
      <w:r>
        <w:rPr>
          <w:sz w:val="24"/>
          <w:szCs w:val="24"/>
        </w:rPr>
        <w:t xml:space="preserve"> rates of uptake</w:t>
      </w:r>
      <w:r w:rsidR="00213ACA">
        <w:rPr>
          <w:sz w:val="24"/>
          <w:szCs w:val="24"/>
        </w:rPr>
        <w:t xml:space="preserve"> (fold-change) plotted against extracellular concentrations of SLUPP_1377. The initial rates were normalized by dividing each initial rate by the initial rate value at 0 </w:t>
      </w:r>
      <w:r w:rsidR="00F7760A">
        <w:rPr>
          <w:sz w:val="24"/>
          <w:szCs w:val="24"/>
        </w:rPr>
        <w:t>µ</w:t>
      </w:r>
      <w:r w:rsidR="00213ACA">
        <w:rPr>
          <w:sz w:val="24"/>
          <w:szCs w:val="24"/>
        </w:rPr>
        <w:t xml:space="preserve">M SLUPP_1377. </w:t>
      </w:r>
      <w:r>
        <w:rPr>
          <w:sz w:val="24"/>
          <w:szCs w:val="24"/>
        </w:rPr>
        <w:t xml:space="preserve">Error bars are </w:t>
      </w:r>
      <w:r w:rsidR="00213ACA">
        <w:rPr>
          <w:sz w:val="24"/>
          <w:szCs w:val="24"/>
        </w:rPr>
        <w:t>SD</w:t>
      </w:r>
      <w:r>
        <w:rPr>
          <w:sz w:val="24"/>
          <w:szCs w:val="24"/>
        </w:rPr>
        <w:t xml:space="preserve"> (n = 2).</w:t>
      </w:r>
      <w:r w:rsidR="00213ACA">
        <w:rPr>
          <w:rFonts w:asciiTheme="majorHAnsi" w:hAnsiTheme="majorHAnsi" w:cstheme="majorHAnsi"/>
          <w:sz w:val="24"/>
          <w:szCs w:val="24"/>
        </w:rPr>
        <w:t xml:space="preserve"> Both the steady state and initial rate data sets were fitted using a script written for </w:t>
      </w:r>
      <w:proofErr w:type="spellStart"/>
      <w:r w:rsidR="00213ACA">
        <w:rPr>
          <w:rFonts w:asciiTheme="majorHAnsi" w:hAnsiTheme="majorHAnsi" w:cstheme="majorHAnsi"/>
          <w:sz w:val="24"/>
          <w:szCs w:val="24"/>
        </w:rPr>
        <w:t>MatLab</w:t>
      </w:r>
      <w:proofErr w:type="spellEnd"/>
      <w:r w:rsidR="00213ACA">
        <w:rPr>
          <w:rFonts w:asciiTheme="majorHAnsi" w:hAnsiTheme="majorHAnsi" w:cstheme="majorHAnsi"/>
          <w:sz w:val="24"/>
          <w:szCs w:val="24"/>
        </w:rPr>
        <w:t xml:space="preserve"> (</w:t>
      </w:r>
      <w:r w:rsidR="00213ACA">
        <w:rPr>
          <w:rFonts w:asciiTheme="majorHAnsi" w:hAnsiTheme="majorHAnsi" w:cstheme="majorHAnsi"/>
          <w:b/>
          <w:bCs/>
          <w:sz w:val="24"/>
          <w:szCs w:val="24"/>
        </w:rPr>
        <w:t>Methods 2.13</w:t>
      </w:r>
      <w:r w:rsidR="00213ACA">
        <w:rPr>
          <w:rFonts w:asciiTheme="majorHAnsi" w:hAnsiTheme="majorHAnsi" w:cstheme="majorHAnsi"/>
          <w:sz w:val="24"/>
          <w:szCs w:val="24"/>
        </w:rPr>
        <w:t>).</w:t>
      </w:r>
    </w:p>
    <w:p w14:paraId="58B729B0" w14:textId="3E74372E" w:rsidR="00806983" w:rsidRPr="005B5AE2" w:rsidRDefault="00806983" w:rsidP="00C836F0">
      <w:pPr>
        <w:rPr>
          <w:sz w:val="24"/>
          <w:szCs w:val="24"/>
        </w:rPr>
      </w:pPr>
      <w:r w:rsidRPr="00806983">
        <w:rPr>
          <w:sz w:val="24"/>
          <w:szCs w:val="24"/>
          <w:u w:val="single"/>
        </w:rPr>
        <w:t>4.3.</w:t>
      </w:r>
      <w:r w:rsidR="00CC6C40">
        <w:rPr>
          <w:sz w:val="24"/>
          <w:szCs w:val="24"/>
          <w:u w:val="single"/>
        </w:rPr>
        <w:t>5.</w:t>
      </w:r>
      <w:r w:rsidRPr="00806983">
        <w:rPr>
          <w:sz w:val="24"/>
          <w:szCs w:val="24"/>
          <w:u w:val="single"/>
        </w:rPr>
        <w:t xml:space="preserve"> SLUPP_1377 inhibits efflux of NPN in cells overproducing </w:t>
      </w:r>
      <w:proofErr w:type="gramStart"/>
      <w:r w:rsidRPr="00806983">
        <w:rPr>
          <w:sz w:val="24"/>
          <w:szCs w:val="24"/>
          <w:u w:val="single"/>
        </w:rPr>
        <w:t>AdeFGH</w:t>
      </w:r>
      <w:proofErr w:type="gramEnd"/>
    </w:p>
    <w:p w14:paraId="1E741B90" w14:textId="51DEFFF6" w:rsidR="000450A1" w:rsidRDefault="002F6BBD" w:rsidP="00B178A5">
      <w:pPr>
        <w:spacing w:line="360" w:lineRule="auto"/>
        <w:ind w:firstLine="720"/>
        <w:rPr>
          <w:rFonts w:cstheme="minorHAnsi"/>
          <w:sz w:val="24"/>
          <w:szCs w:val="24"/>
        </w:rPr>
      </w:pPr>
      <w:r>
        <w:rPr>
          <w:sz w:val="24"/>
          <w:szCs w:val="24"/>
        </w:rPr>
        <w:t xml:space="preserve">We next measured the intracellular accumulation of the fluorescent probe NPN in combination with SLUPP_1377, a compound </w:t>
      </w:r>
      <w:r w:rsidR="00AD111B">
        <w:rPr>
          <w:sz w:val="24"/>
          <w:szCs w:val="24"/>
        </w:rPr>
        <w:t>suspected</w:t>
      </w:r>
      <w:r>
        <w:rPr>
          <w:sz w:val="24"/>
          <w:szCs w:val="24"/>
        </w:rPr>
        <w:t xml:space="preserve"> to inhibit the efflux activity of AdeG. </w:t>
      </w:r>
      <w:r w:rsidR="00A0018F">
        <w:rPr>
          <w:sz w:val="24"/>
          <w:szCs w:val="24"/>
        </w:rPr>
        <w:t>First the NPN uptake profiles of A</w:t>
      </w:r>
      <w:r w:rsidR="00A0018F">
        <w:rPr>
          <w:rFonts w:asciiTheme="majorHAnsi" w:hAnsiTheme="majorHAnsi" w:cstheme="majorHAnsi"/>
          <w:sz w:val="24"/>
          <w:szCs w:val="24"/>
        </w:rPr>
        <w:t>b</w:t>
      </w:r>
      <w:r w:rsidR="00A0018F" w:rsidRPr="00932E92">
        <w:rPr>
          <w:sz w:val="24"/>
          <w:szCs w:val="24"/>
        </w:rPr>
        <w:t>∆</w:t>
      </w:r>
      <w:r w:rsidR="00A0018F">
        <w:rPr>
          <w:sz w:val="24"/>
          <w:szCs w:val="24"/>
        </w:rPr>
        <w:t xml:space="preserve">3 and </w:t>
      </w:r>
      <w:r w:rsidR="00A0018F">
        <w:rPr>
          <w:rFonts w:asciiTheme="majorHAnsi" w:hAnsiTheme="majorHAnsi" w:cstheme="majorHAnsi"/>
          <w:sz w:val="24"/>
          <w:szCs w:val="24"/>
        </w:rPr>
        <w:t>Ab</w:t>
      </w:r>
      <w:r w:rsidR="00A0018F" w:rsidRPr="00932E92">
        <w:rPr>
          <w:sz w:val="24"/>
          <w:szCs w:val="24"/>
        </w:rPr>
        <w:t>∆</w:t>
      </w:r>
      <w:r w:rsidR="00A0018F">
        <w:rPr>
          <w:sz w:val="24"/>
          <w:szCs w:val="24"/>
        </w:rPr>
        <w:t xml:space="preserve">3-Pore strains, with and without overexpression of pAdeFGH, were examined to see if we could see a concentration dependent trend with the potential inhibitor SLUPP_1377. </w:t>
      </w:r>
      <w:r w:rsidR="001721F5">
        <w:rPr>
          <w:sz w:val="24"/>
          <w:szCs w:val="24"/>
        </w:rPr>
        <w:t xml:space="preserve">The compound </w:t>
      </w:r>
      <w:r w:rsidR="00B1648B">
        <w:rPr>
          <w:sz w:val="24"/>
          <w:szCs w:val="24"/>
        </w:rPr>
        <w:t>SLU</w:t>
      </w:r>
      <w:r w:rsidR="00CF3098">
        <w:rPr>
          <w:sz w:val="24"/>
          <w:szCs w:val="24"/>
        </w:rPr>
        <w:t>PP</w:t>
      </w:r>
      <w:r w:rsidR="001721F5">
        <w:rPr>
          <w:sz w:val="24"/>
          <w:szCs w:val="24"/>
        </w:rPr>
        <w:t xml:space="preserve">_1377 </w:t>
      </w:r>
      <w:r w:rsidR="002F770C">
        <w:rPr>
          <w:sz w:val="24"/>
          <w:szCs w:val="24"/>
        </w:rPr>
        <w:t xml:space="preserve">showed </w:t>
      </w:r>
      <w:r w:rsidR="001721F5">
        <w:rPr>
          <w:sz w:val="24"/>
          <w:szCs w:val="24"/>
        </w:rPr>
        <w:t>inherent fluorescence when measured in wells containing HMG buffer and cells</w:t>
      </w:r>
      <w:r w:rsidR="000450A1">
        <w:rPr>
          <w:sz w:val="24"/>
          <w:szCs w:val="24"/>
        </w:rPr>
        <w:t xml:space="preserve"> (data not shown)</w:t>
      </w:r>
      <w:r w:rsidR="001721F5">
        <w:rPr>
          <w:sz w:val="24"/>
          <w:szCs w:val="24"/>
        </w:rPr>
        <w:t xml:space="preserve">. The fluorescence contribution of </w:t>
      </w:r>
      <w:r w:rsidR="00B1648B">
        <w:rPr>
          <w:sz w:val="24"/>
          <w:szCs w:val="24"/>
        </w:rPr>
        <w:t>SL</w:t>
      </w:r>
      <w:r w:rsidR="00244406">
        <w:rPr>
          <w:sz w:val="24"/>
          <w:szCs w:val="24"/>
        </w:rPr>
        <w:t>U</w:t>
      </w:r>
      <w:r w:rsidR="00CF3098">
        <w:rPr>
          <w:sz w:val="24"/>
          <w:szCs w:val="24"/>
        </w:rPr>
        <w:t>PP</w:t>
      </w:r>
      <w:r w:rsidR="001721F5">
        <w:rPr>
          <w:sz w:val="24"/>
          <w:szCs w:val="24"/>
        </w:rPr>
        <w:t xml:space="preserve">_1377 was removed from the assay by running control wells containing </w:t>
      </w:r>
      <w:r w:rsidR="00B1648B">
        <w:rPr>
          <w:sz w:val="24"/>
          <w:szCs w:val="24"/>
        </w:rPr>
        <w:t>SLU</w:t>
      </w:r>
      <w:r w:rsidR="00CF3098">
        <w:rPr>
          <w:sz w:val="24"/>
          <w:szCs w:val="24"/>
        </w:rPr>
        <w:t>PP</w:t>
      </w:r>
      <w:r w:rsidR="001721F5">
        <w:rPr>
          <w:sz w:val="24"/>
          <w:szCs w:val="24"/>
        </w:rPr>
        <w:t xml:space="preserve">_1377 and cells in HMG buffer (no NPN) alongside experimental wells containing the same </w:t>
      </w:r>
      <w:r w:rsidR="001721F5" w:rsidRPr="00B1648B">
        <w:rPr>
          <w:rFonts w:cstheme="minorHAnsi"/>
          <w:sz w:val="24"/>
          <w:szCs w:val="24"/>
        </w:rPr>
        <w:t xml:space="preserve">concentrations of </w:t>
      </w:r>
      <w:r w:rsidR="00B1648B">
        <w:rPr>
          <w:rFonts w:cstheme="minorHAnsi"/>
          <w:sz w:val="24"/>
          <w:szCs w:val="24"/>
        </w:rPr>
        <w:t>SLUPP</w:t>
      </w:r>
      <w:r w:rsidR="001721F5" w:rsidRPr="00B1648B">
        <w:rPr>
          <w:rFonts w:cstheme="minorHAnsi"/>
          <w:sz w:val="24"/>
          <w:szCs w:val="24"/>
        </w:rPr>
        <w:t>_1377 and cells in HMG buffer, with a final concentration of 4</w:t>
      </w:r>
      <w:r w:rsidR="00994C2D" w:rsidRPr="00B1648B">
        <w:rPr>
          <w:rFonts w:cstheme="minorHAnsi"/>
          <w:sz w:val="24"/>
          <w:szCs w:val="24"/>
        </w:rPr>
        <w:t xml:space="preserve"> μM NPN. </w:t>
      </w:r>
      <w:r w:rsidR="002F770C" w:rsidRPr="00B1648B">
        <w:rPr>
          <w:rFonts w:cstheme="minorHAnsi"/>
          <w:sz w:val="24"/>
          <w:szCs w:val="24"/>
        </w:rPr>
        <w:t>The RFU values from the control wells were subtracted from the experimental NPN wells</w:t>
      </w:r>
      <w:r w:rsidR="00C158D7">
        <w:rPr>
          <w:rFonts w:cstheme="minorHAnsi"/>
          <w:sz w:val="24"/>
          <w:szCs w:val="24"/>
        </w:rPr>
        <w:t xml:space="preserve">. </w:t>
      </w:r>
      <w:r w:rsidR="005A5764" w:rsidRPr="00B1648B">
        <w:rPr>
          <w:rFonts w:cstheme="minorHAnsi"/>
          <w:sz w:val="24"/>
          <w:szCs w:val="24"/>
        </w:rPr>
        <w:t xml:space="preserve">As seen in </w:t>
      </w:r>
      <w:r w:rsidR="00A0018F">
        <w:rPr>
          <w:rFonts w:cstheme="minorHAnsi"/>
          <w:b/>
          <w:bCs/>
          <w:sz w:val="24"/>
          <w:szCs w:val="24"/>
        </w:rPr>
        <w:t>Figure 4.</w:t>
      </w:r>
      <w:r w:rsidR="00312221">
        <w:rPr>
          <w:rFonts w:cstheme="minorHAnsi"/>
          <w:b/>
          <w:bCs/>
          <w:sz w:val="24"/>
          <w:szCs w:val="24"/>
        </w:rPr>
        <w:t>7</w:t>
      </w:r>
      <w:r w:rsidR="00D33B0C">
        <w:rPr>
          <w:rFonts w:cstheme="minorHAnsi"/>
          <w:b/>
          <w:bCs/>
          <w:sz w:val="24"/>
          <w:szCs w:val="24"/>
        </w:rPr>
        <w:t>-A,B</w:t>
      </w:r>
      <w:r w:rsidR="005A5764" w:rsidRPr="00B1648B">
        <w:rPr>
          <w:rFonts w:cstheme="minorHAnsi"/>
          <w:sz w:val="24"/>
          <w:szCs w:val="24"/>
        </w:rPr>
        <w:t>,</w:t>
      </w:r>
      <w:r w:rsidR="000450A1" w:rsidRPr="000450A1">
        <w:rPr>
          <w:rFonts w:cstheme="minorHAnsi"/>
          <w:sz w:val="24"/>
          <w:szCs w:val="24"/>
        </w:rPr>
        <w:t xml:space="preserve"> </w:t>
      </w:r>
      <w:r w:rsidR="000450A1">
        <w:rPr>
          <w:rFonts w:cstheme="minorHAnsi"/>
          <w:sz w:val="24"/>
          <w:szCs w:val="24"/>
        </w:rPr>
        <w:t xml:space="preserve">both </w:t>
      </w:r>
      <w:r w:rsidR="000450A1" w:rsidRPr="00B1648B">
        <w:rPr>
          <w:rFonts w:cstheme="minorHAnsi"/>
          <w:sz w:val="24"/>
          <w:szCs w:val="24"/>
        </w:rPr>
        <w:t xml:space="preserve">the </w:t>
      </w:r>
      <w:r w:rsidR="000450A1">
        <w:rPr>
          <w:rFonts w:cstheme="minorHAnsi"/>
          <w:sz w:val="24"/>
          <w:szCs w:val="24"/>
        </w:rPr>
        <w:t>Ab</w:t>
      </w:r>
      <w:r w:rsidR="000450A1" w:rsidRPr="00B1648B">
        <w:rPr>
          <w:rFonts w:cstheme="minorHAnsi"/>
          <w:sz w:val="24"/>
          <w:szCs w:val="24"/>
        </w:rPr>
        <w:t>Δ3 cells</w:t>
      </w:r>
      <w:r w:rsidR="000450A1">
        <w:rPr>
          <w:rFonts w:cstheme="minorHAnsi"/>
          <w:sz w:val="24"/>
          <w:szCs w:val="24"/>
        </w:rPr>
        <w:t xml:space="preserve"> and the</w:t>
      </w:r>
      <w:r w:rsidR="000450A1" w:rsidRPr="00B1648B">
        <w:rPr>
          <w:rFonts w:cstheme="minorHAnsi"/>
          <w:sz w:val="24"/>
          <w:szCs w:val="24"/>
        </w:rPr>
        <w:t xml:space="preserve"> </w:t>
      </w:r>
      <w:r w:rsidR="000450A1">
        <w:rPr>
          <w:rFonts w:cstheme="minorHAnsi"/>
          <w:sz w:val="24"/>
          <w:szCs w:val="24"/>
        </w:rPr>
        <w:t>Ab</w:t>
      </w:r>
      <w:r w:rsidR="000450A1" w:rsidRPr="00B1648B">
        <w:rPr>
          <w:rFonts w:cstheme="minorHAnsi"/>
          <w:sz w:val="24"/>
          <w:szCs w:val="24"/>
        </w:rPr>
        <w:t>Δ3</w:t>
      </w:r>
      <w:r w:rsidR="00D33B0C" w:rsidRPr="00B1648B">
        <w:rPr>
          <w:rFonts w:cstheme="minorHAnsi"/>
          <w:sz w:val="24"/>
          <w:szCs w:val="24"/>
        </w:rPr>
        <w:t>-P</w:t>
      </w:r>
      <w:r w:rsidR="00D33B0C">
        <w:rPr>
          <w:rFonts w:cstheme="minorHAnsi"/>
          <w:sz w:val="24"/>
          <w:szCs w:val="24"/>
        </w:rPr>
        <w:t>ore</w:t>
      </w:r>
      <w:r w:rsidR="000450A1" w:rsidRPr="00B1648B">
        <w:rPr>
          <w:rFonts w:cstheme="minorHAnsi"/>
          <w:sz w:val="24"/>
          <w:szCs w:val="24"/>
        </w:rPr>
        <w:t xml:space="preserve"> cells</w:t>
      </w:r>
      <w:r w:rsidR="000450A1">
        <w:rPr>
          <w:rFonts w:cstheme="minorHAnsi"/>
          <w:sz w:val="24"/>
          <w:szCs w:val="24"/>
        </w:rPr>
        <w:t xml:space="preserve"> have high levels of NPN accumulation across all concentrations of SLUPP_1377. The increasing NPN accumulation seen when increasing concentration of SLUPP_1377 is likely due to </w:t>
      </w:r>
      <w:r w:rsidR="00D33B0C">
        <w:rPr>
          <w:rFonts w:cstheme="minorHAnsi"/>
          <w:sz w:val="24"/>
          <w:szCs w:val="24"/>
        </w:rPr>
        <w:t xml:space="preserve">the inherent fluorescence of </w:t>
      </w:r>
      <w:r w:rsidR="000450A1">
        <w:rPr>
          <w:rFonts w:cstheme="minorHAnsi"/>
          <w:sz w:val="24"/>
          <w:szCs w:val="24"/>
        </w:rPr>
        <w:t>SLUPP_1377</w:t>
      </w:r>
      <w:r w:rsidR="00D33B0C">
        <w:rPr>
          <w:rFonts w:cstheme="minorHAnsi"/>
          <w:sz w:val="24"/>
          <w:szCs w:val="24"/>
        </w:rPr>
        <w:t xml:space="preserve"> rather than efflux inhibition. The panels in </w:t>
      </w:r>
      <w:r w:rsidR="00D33B0C">
        <w:rPr>
          <w:rFonts w:cstheme="minorHAnsi"/>
          <w:b/>
          <w:bCs/>
          <w:sz w:val="24"/>
          <w:szCs w:val="24"/>
        </w:rPr>
        <w:t xml:space="preserve">Figure </w:t>
      </w:r>
      <w:r w:rsidR="00D33B0C">
        <w:rPr>
          <w:rFonts w:cstheme="minorHAnsi"/>
          <w:b/>
          <w:bCs/>
          <w:sz w:val="24"/>
          <w:szCs w:val="24"/>
        </w:rPr>
        <w:lastRenderedPageBreak/>
        <w:t>4.</w:t>
      </w:r>
      <w:r w:rsidR="00312221">
        <w:rPr>
          <w:rFonts w:cstheme="minorHAnsi"/>
          <w:b/>
          <w:bCs/>
          <w:sz w:val="24"/>
          <w:szCs w:val="24"/>
        </w:rPr>
        <w:t>7</w:t>
      </w:r>
      <w:r w:rsidR="00D33B0C">
        <w:rPr>
          <w:rFonts w:cstheme="minorHAnsi"/>
          <w:b/>
          <w:bCs/>
          <w:sz w:val="24"/>
          <w:szCs w:val="24"/>
        </w:rPr>
        <w:t>-C,D</w:t>
      </w:r>
      <w:r w:rsidR="00D33B0C">
        <w:rPr>
          <w:rFonts w:cstheme="minorHAnsi"/>
          <w:sz w:val="24"/>
          <w:szCs w:val="24"/>
        </w:rPr>
        <w:t xml:space="preserve"> show a concentration dependent intracellular accumulation of NPN in both Ab</w:t>
      </w:r>
      <w:r w:rsidR="00D33B0C" w:rsidRPr="00B1648B">
        <w:rPr>
          <w:rFonts w:cstheme="minorHAnsi"/>
          <w:sz w:val="24"/>
          <w:szCs w:val="24"/>
        </w:rPr>
        <w:t>Δ3</w:t>
      </w:r>
      <w:r w:rsidR="00D33B0C">
        <w:rPr>
          <w:rFonts w:cstheme="minorHAnsi"/>
          <w:sz w:val="24"/>
          <w:szCs w:val="24"/>
        </w:rPr>
        <w:t xml:space="preserve"> and</w:t>
      </w:r>
      <w:r w:rsidR="00D33B0C" w:rsidRPr="00B1648B">
        <w:rPr>
          <w:rFonts w:cstheme="minorHAnsi"/>
          <w:sz w:val="24"/>
          <w:szCs w:val="24"/>
        </w:rPr>
        <w:t xml:space="preserve"> </w:t>
      </w:r>
      <w:r w:rsidR="00D33B0C">
        <w:rPr>
          <w:rFonts w:cstheme="minorHAnsi"/>
          <w:sz w:val="24"/>
          <w:szCs w:val="24"/>
        </w:rPr>
        <w:t>Ab</w:t>
      </w:r>
      <w:r w:rsidR="00D33B0C" w:rsidRPr="00B1648B">
        <w:rPr>
          <w:rFonts w:cstheme="minorHAnsi"/>
          <w:sz w:val="24"/>
          <w:szCs w:val="24"/>
        </w:rPr>
        <w:t>Δ3-P</w:t>
      </w:r>
      <w:r w:rsidR="00D33B0C">
        <w:rPr>
          <w:rFonts w:cstheme="minorHAnsi"/>
          <w:sz w:val="24"/>
          <w:szCs w:val="24"/>
        </w:rPr>
        <w:t>ore</w:t>
      </w:r>
      <w:r w:rsidR="00D33B0C" w:rsidRPr="00B1648B">
        <w:rPr>
          <w:rFonts w:cstheme="minorHAnsi"/>
          <w:sz w:val="24"/>
          <w:szCs w:val="24"/>
        </w:rPr>
        <w:t xml:space="preserve"> cells</w:t>
      </w:r>
      <w:r w:rsidR="00D33B0C">
        <w:rPr>
          <w:rFonts w:cstheme="minorHAnsi"/>
          <w:sz w:val="24"/>
          <w:szCs w:val="24"/>
        </w:rPr>
        <w:t xml:space="preserve">. </w:t>
      </w:r>
    </w:p>
    <w:p w14:paraId="322BF1ED" w14:textId="580882A5" w:rsidR="00DD7C39" w:rsidRDefault="00DD7C39" w:rsidP="00B178A5">
      <w:pPr>
        <w:spacing w:line="360" w:lineRule="auto"/>
        <w:ind w:firstLine="720"/>
        <w:rPr>
          <w:rFonts w:cstheme="minorHAnsi"/>
          <w:sz w:val="24"/>
          <w:szCs w:val="24"/>
        </w:rPr>
      </w:pPr>
      <w:r>
        <w:rPr>
          <w:rFonts w:cstheme="minorHAnsi"/>
          <w:sz w:val="24"/>
          <w:szCs w:val="24"/>
        </w:rPr>
        <w:t>Next, I compared the normalized steady state accumulation between the strains based on their time courses (</w:t>
      </w:r>
      <w:r>
        <w:rPr>
          <w:rFonts w:cstheme="minorHAnsi"/>
          <w:b/>
          <w:bCs/>
          <w:sz w:val="24"/>
          <w:szCs w:val="24"/>
        </w:rPr>
        <w:t>Figure 4.</w:t>
      </w:r>
      <w:r w:rsidR="00201008">
        <w:rPr>
          <w:rFonts w:cstheme="minorHAnsi"/>
          <w:b/>
          <w:bCs/>
          <w:sz w:val="24"/>
          <w:szCs w:val="24"/>
        </w:rPr>
        <w:t>8</w:t>
      </w:r>
      <w:r>
        <w:rPr>
          <w:rFonts w:cstheme="minorHAnsi"/>
          <w:b/>
          <w:bCs/>
          <w:sz w:val="24"/>
          <w:szCs w:val="24"/>
        </w:rPr>
        <w:t>-A</w:t>
      </w:r>
      <w:r>
        <w:rPr>
          <w:rFonts w:cstheme="minorHAnsi"/>
          <w:sz w:val="24"/>
          <w:szCs w:val="24"/>
        </w:rPr>
        <w:t xml:space="preserve">). </w:t>
      </w:r>
      <w:r w:rsidR="00885C03">
        <w:rPr>
          <w:rFonts w:cstheme="minorHAnsi"/>
          <w:sz w:val="24"/>
          <w:szCs w:val="24"/>
        </w:rPr>
        <w:t>This plot shows the relative steady state accumulation of NPN (fold-change) on the y-axis and [SLUPP_1377]</w:t>
      </w:r>
      <w:r w:rsidR="00885C03">
        <w:rPr>
          <w:rFonts w:cstheme="minorHAnsi"/>
          <w:sz w:val="24"/>
          <w:szCs w:val="24"/>
          <w:vertAlign w:val="subscript"/>
        </w:rPr>
        <w:t>out</w:t>
      </w:r>
      <w:r w:rsidR="00885C03">
        <w:rPr>
          <w:rFonts w:cstheme="minorHAnsi"/>
          <w:sz w:val="24"/>
          <w:szCs w:val="24"/>
        </w:rPr>
        <w:t xml:space="preserve"> (µM) on the x-axis. The steady state accumulation data sets were normalized by dividing each value by the initial steady state value. The two efflux deficient strains, Ab</w:t>
      </w:r>
      <w:r w:rsidR="00885C03" w:rsidRPr="00B1648B">
        <w:rPr>
          <w:rFonts w:cstheme="minorHAnsi"/>
          <w:sz w:val="24"/>
          <w:szCs w:val="24"/>
        </w:rPr>
        <w:t>Δ3</w:t>
      </w:r>
      <w:r w:rsidR="00885C03">
        <w:rPr>
          <w:rFonts w:cstheme="minorHAnsi"/>
          <w:sz w:val="24"/>
          <w:szCs w:val="24"/>
        </w:rPr>
        <w:t xml:space="preserve"> and Ab</w:t>
      </w:r>
      <w:r w:rsidR="00885C03" w:rsidRPr="00B1648B">
        <w:rPr>
          <w:rFonts w:cstheme="minorHAnsi"/>
          <w:sz w:val="24"/>
          <w:szCs w:val="24"/>
        </w:rPr>
        <w:t>Δ3</w:t>
      </w:r>
      <w:r w:rsidR="00885C03">
        <w:rPr>
          <w:rFonts w:cstheme="minorHAnsi"/>
          <w:sz w:val="24"/>
          <w:szCs w:val="24"/>
        </w:rPr>
        <w:t>-Pore, did not see a change in relative steady state accumulation with increasing concentrations of SLUPP_1377. This result was expected since SLUPP_1377 is believed to inhibit the RND transporter AdeG, which is not present in either strain. Both strains overproducing AdeFGH did show increased relative steady state accumulation with increasing concentration of inhibitor, but to different degrees. Ab</w:t>
      </w:r>
      <w:r w:rsidR="00885C03" w:rsidRPr="00B1648B">
        <w:rPr>
          <w:rFonts w:cstheme="minorHAnsi"/>
          <w:sz w:val="24"/>
          <w:szCs w:val="24"/>
        </w:rPr>
        <w:t>Δ3</w:t>
      </w:r>
      <w:r w:rsidR="00885C03">
        <w:rPr>
          <w:rFonts w:cstheme="minorHAnsi"/>
          <w:sz w:val="24"/>
          <w:szCs w:val="24"/>
        </w:rPr>
        <w:t>-Pore</w:t>
      </w:r>
      <w:r w:rsidR="0002033C">
        <w:rPr>
          <w:rFonts w:cstheme="minorHAnsi"/>
          <w:sz w:val="24"/>
          <w:szCs w:val="24"/>
        </w:rPr>
        <w:t xml:space="preserve"> </w:t>
      </w:r>
      <w:r w:rsidR="00885C03">
        <w:rPr>
          <w:rFonts w:cstheme="minorHAnsi"/>
          <w:sz w:val="24"/>
          <w:szCs w:val="24"/>
        </w:rPr>
        <w:t>(pAdeFGH) saw a 2-fold increase with 12.5 µM SLUPP_1377 and a 3-fold increase with 25</w:t>
      </w:r>
      <w:r w:rsidR="00885C03" w:rsidRPr="00885C03">
        <w:rPr>
          <w:rFonts w:cstheme="minorHAnsi"/>
          <w:sz w:val="24"/>
          <w:szCs w:val="24"/>
        </w:rPr>
        <w:t xml:space="preserve"> </w:t>
      </w:r>
      <w:r w:rsidR="00885C03">
        <w:rPr>
          <w:rFonts w:cstheme="minorHAnsi"/>
          <w:sz w:val="24"/>
          <w:szCs w:val="24"/>
        </w:rPr>
        <w:t>µM SLUPP_1377. Ab</w:t>
      </w:r>
      <w:r w:rsidR="00885C03" w:rsidRPr="00B1648B">
        <w:rPr>
          <w:rFonts w:cstheme="minorHAnsi"/>
          <w:sz w:val="24"/>
          <w:szCs w:val="24"/>
        </w:rPr>
        <w:t>Δ3</w:t>
      </w:r>
      <w:r w:rsidR="0002033C">
        <w:rPr>
          <w:rFonts w:cstheme="minorHAnsi"/>
          <w:sz w:val="24"/>
          <w:szCs w:val="24"/>
        </w:rPr>
        <w:t xml:space="preserve"> </w:t>
      </w:r>
      <w:r w:rsidR="00885C03">
        <w:rPr>
          <w:rFonts w:cstheme="minorHAnsi"/>
          <w:sz w:val="24"/>
          <w:szCs w:val="24"/>
        </w:rPr>
        <w:t>(pAdeFGH) had a much more dramatic increase with a 7-fold increase with 12.5 µM SLUPP_1377 and with 25</w:t>
      </w:r>
      <w:r w:rsidR="00885C03" w:rsidRPr="00885C03">
        <w:rPr>
          <w:rFonts w:cstheme="minorHAnsi"/>
          <w:sz w:val="24"/>
          <w:szCs w:val="24"/>
        </w:rPr>
        <w:t xml:space="preserve"> </w:t>
      </w:r>
      <w:r w:rsidR="00885C03">
        <w:rPr>
          <w:rFonts w:cstheme="minorHAnsi"/>
          <w:sz w:val="24"/>
          <w:szCs w:val="24"/>
        </w:rPr>
        <w:t>µM SLUPP_1377. The standard deviation error bars were very large for the highest two inhibitor concentrations in Ab</w:t>
      </w:r>
      <w:r w:rsidR="00885C03" w:rsidRPr="00B1648B">
        <w:rPr>
          <w:rFonts w:cstheme="minorHAnsi"/>
          <w:sz w:val="24"/>
          <w:szCs w:val="24"/>
        </w:rPr>
        <w:t>Δ3</w:t>
      </w:r>
      <w:r w:rsidR="0002033C">
        <w:rPr>
          <w:rFonts w:cstheme="minorHAnsi"/>
          <w:sz w:val="24"/>
          <w:szCs w:val="24"/>
        </w:rPr>
        <w:t xml:space="preserve"> </w:t>
      </w:r>
      <w:r w:rsidR="00885C03">
        <w:rPr>
          <w:rFonts w:cstheme="minorHAnsi"/>
          <w:sz w:val="24"/>
          <w:szCs w:val="24"/>
        </w:rPr>
        <w:t>(pAdeFGH) cells</w:t>
      </w:r>
      <w:r w:rsidR="006E1212">
        <w:rPr>
          <w:rFonts w:cstheme="minorHAnsi"/>
          <w:sz w:val="24"/>
          <w:szCs w:val="24"/>
        </w:rPr>
        <w:t xml:space="preserve">, and for this reason we decided to conduct future NPN uptake experiments with </w:t>
      </w:r>
      <w:proofErr w:type="spellStart"/>
      <w:r w:rsidR="006E1212">
        <w:rPr>
          <w:rFonts w:cstheme="minorHAnsi"/>
          <w:sz w:val="24"/>
          <w:szCs w:val="24"/>
        </w:rPr>
        <w:t>porinated</w:t>
      </w:r>
      <w:proofErr w:type="spellEnd"/>
      <w:r w:rsidR="006E1212">
        <w:rPr>
          <w:rFonts w:cstheme="minorHAnsi"/>
          <w:sz w:val="24"/>
          <w:szCs w:val="24"/>
        </w:rPr>
        <w:t xml:space="preserve"> Ab</w:t>
      </w:r>
      <w:r w:rsidR="006E1212" w:rsidRPr="00B1648B">
        <w:rPr>
          <w:rFonts w:cstheme="minorHAnsi"/>
          <w:sz w:val="24"/>
          <w:szCs w:val="24"/>
        </w:rPr>
        <w:t>Δ3</w:t>
      </w:r>
      <w:r w:rsidR="006E1212">
        <w:rPr>
          <w:rFonts w:cstheme="minorHAnsi"/>
          <w:sz w:val="24"/>
          <w:szCs w:val="24"/>
        </w:rPr>
        <w:t xml:space="preserve"> strains. </w:t>
      </w:r>
    </w:p>
    <w:p w14:paraId="560A763F" w14:textId="3F0540FA" w:rsidR="006E1212" w:rsidRPr="006E1212" w:rsidRDefault="006E1212" w:rsidP="00B178A5">
      <w:pPr>
        <w:spacing w:line="360" w:lineRule="auto"/>
        <w:ind w:firstLine="720"/>
        <w:rPr>
          <w:rFonts w:cstheme="minorHAnsi"/>
          <w:sz w:val="24"/>
          <w:szCs w:val="24"/>
        </w:rPr>
      </w:pPr>
      <w:r>
        <w:rPr>
          <w:rFonts w:cstheme="minorHAnsi"/>
          <w:sz w:val="24"/>
          <w:szCs w:val="24"/>
        </w:rPr>
        <w:t>Lastly, initial rates for the NPN uptake in combination with SLUPP_1377 time courses (</w:t>
      </w:r>
      <w:r>
        <w:rPr>
          <w:rFonts w:cstheme="minorHAnsi"/>
          <w:b/>
          <w:bCs/>
          <w:sz w:val="24"/>
          <w:szCs w:val="24"/>
        </w:rPr>
        <w:t>Figure 4.</w:t>
      </w:r>
      <w:r w:rsidR="00201008">
        <w:rPr>
          <w:rFonts w:cstheme="minorHAnsi"/>
          <w:b/>
          <w:bCs/>
          <w:sz w:val="24"/>
          <w:szCs w:val="24"/>
        </w:rPr>
        <w:t>8-</w:t>
      </w:r>
      <w:r>
        <w:rPr>
          <w:rFonts w:cstheme="minorHAnsi"/>
          <w:b/>
          <w:bCs/>
          <w:sz w:val="24"/>
          <w:szCs w:val="24"/>
        </w:rPr>
        <w:t>B</w:t>
      </w:r>
      <w:r w:rsidRPr="006E1212">
        <w:rPr>
          <w:rFonts w:cstheme="minorHAnsi"/>
          <w:sz w:val="24"/>
          <w:szCs w:val="24"/>
        </w:rPr>
        <w:t>)</w:t>
      </w:r>
      <w:r>
        <w:rPr>
          <w:rFonts w:cstheme="minorHAnsi"/>
          <w:b/>
          <w:bCs/>
          <w:sz w:val="24"/>
          <w:szCs w:val="24"/>
        </w:rPr>
        <w:t xml:space="preserve"> </w:t>
      </w:r>
      <w:r>
        <w:rPr>
          <w:rFonts w:cstheme="minorHAnsi"/>
          <w:sz w:val="24"/>
          <w:szCs w:val="24"/>
        </w:rPr>
        <w:t xml:space="preserve">were calculated using a script made for </w:t>
      </w:r>
      <w:proofErr w:type="spellStart"/>
      <w:r>
        <w:rPr>
          <w:rFonts w:cstheme="minorHAnsi"/>
          <w:sz w:val="24"/>
          <w:szCs w:val="24"/>
        </w:rPr>
        <w:t>MatLab</w:t>
      </w:r>
      <w:proofErr w:type="spellEnd"/>
      <w:r>
        <w:rPr>
          <w:rFonts w:cstheme="minorHAnsi"/>
          <w:sz w:val="24"/>
          <w:szCs w:val="24"/>
        </w:rPr>
        <w:t xml:space="preserve"> (</w:t>
      </w:r>
      <w:r>
        <w:rPr>
          <w:rFonts w:cstheme="minorHAnsi"/>
          <w:b/>
          <w:bCs/>
          <w:sz w:val="24"/>
          <w:szCs w:val="24"/>
        </w:rPr>
        <w:t>Methods 2.13</w:t>
      </w:r>
      <w:r>
        <w:rPr>
          <w:rFonts w:cstheme="minorHAnsi"/>
          <w:sz w:val="24"/>
          <w:szCs w:val="24"/>
        </w:rPr>
        <w:t>). The initial rate data sets were normalized by dividing the initial rate value at 0 µM SLUPP_1377 from each initial rate value. Similar to the trends seen in the relative steady state plot (</w:t>
      </w:r>
      <w:r>
        <w:rPr>
          <w:rFonts w:cstheme="minorHAnsi"/>
          <w:b/>
          <w:bCs/>
          <w:sz w:val="24"/>
          <w:szCs w:val="24"/>
        </w:rPr>
        <w:t>Figure 4.</w:t>
      </w:r>
      <w:r w:rsidR="00201008">
        <w:rPr>
          <w:rFonts w:cstheme="minorHAnsi"/>
          <w:b/>
          <w:bCs/>
          <w:sz w:val="24"/>
          <w:szCs w:val="24"/>
        </w:rPr>
        <w:t>8</w:t>
      </w:r>
      <w:r>
        <w:rPr>
          <w:rFonts w:cstheme="minorHAnsi"/>
          <w:b/>
          <w:bCs/>
          <w:sz w:val="24"/>
          <w:szCs w:val="24"/>
        </w:rPr>
        <w:t>-A</w:t>
      </w:r>
      <w:r>
        <w:rPr>
          <w:rFonts w:cstheme="minorHAnsi"/>
          <w:sz w:val="24"/>
          <w:szCs w:val="24"/>
        </w:rPr>
        <w:t>), the two efflux deficient strains, Ab</w:t>
      </w:r>
      <w:r w:rsidRPr="00B1648B">
        <w:rPr>
          <w:rFonts w:cstheme="minorHAnsi"/>
          <w:sz w:val="24"/>
          <w:szCs w:val="24"/>
        </w:rPr>
        <w:t>Δ3</w:t>
      </w:r>
      <w:r>
        <w:rPr>
          <w:rFonts w:cstheme="minorHAnsi"/>
          <w:sz w:val="24"/>
          <w:szCs w:val="24"/>
        </w:rPr>
        <w:t xml:space="preserve"> and Ab</w:t>
      </w:r>
      <w:r w:rsidRPr="00B1648B">
        <w:rPr>
          <w:rFonts w:cstheme="minorHAnsi"/>
          <w:sz w:val="24"/>
          <w:szCs w:val="24"/>
        </w:rPr>
        <w:t>Δ3</w:t>
      </w:r>
      <w:r>
        <w:rPr>
          <w:rFonts w:cstheme="minorHAnsi"/>
          <w:sz w:val="24"/>
          <w:szCs w:val="24"/>
        </w:rPr>
        <w:t>-Pore, had either no change or a slight decrease in relative initial rates. Ab</w:t>
      </w:r>
      <w:r w:rsidRPr="00B1648B">
        <w:rPr>
          <w:rFonts w:cstheme="minorHAnsi"/>
          <w:sz w:val="24"/>
          <w:szCs w:val="24"/>
        </w:rPr>
        <w:t>Δ3</w:t>
      </w:r>
      <w:r>
        <w:rPr>
          <w:rFonts w:cstheme="minorHAnsi"/>
          <w:sz w:val="24"/>
          <w:szCs w:val="24"/>
        </w:rPr>
        <w:t>-Pore</w:t>
      </w:r>
      <w:r w:rsidR="0002033C">
        <w:rPr>
          <w:rFonts w:cstheme="minorHAnsi"/>
          <w:sz w:val="24"/>
          <w:szCs w:val="24"/>
        </w:rPr>
        <w:t xml:space="preserve"> </w:t>
      </w:r>
      <w:r>
        <w:rPr>
          <w:rFonts w:cstheme="minorHAnsi"/>
          <w:sz w:val="24"/>
          <w:szCs w:val="24"/>
        </w:rPr>
        <w:t>(pAdeFGH) did not have a noticeable change in relative initial rate until 25 µM SLUPP_1377 where it had a 4-fold increase. Ab</w:t>
      </w:r>
      <w:r w:rsidRPr="00B1648B">
        <w:rPr>
          <w:rFonts w:cstheme="minorHAnsi"/>
          <w:sz w:val="24"/>
          <w:szCs w:val="24"/>
        </w:rPr>
        <w:t>Δ3</w:t>
      </w:r>
      <w:r w:rsidR="0002033C">
        <w:rPr>
          <w:rFonts w:cstheme="minorHAnsi"/>
          <w:sz w:val="24"/>
          <w:szCs w:val="24"/>
        </w:rPr>
        <w:t xml:space="preserve"> </w:t>
      </w:r>
      <w:r>
        <w:rPr>
          <w:rFonts w:cstheme="minorHAnsi"/>
          <w:sz w:val="24"/>
          <w:szCs w:val="24"/>
        </w:rPr>
        <w:t xml:space="preserve">(pAdeFGH) </w:t>
      </w:r>
      <w:r w:rsidR="000C0410">
        <w:rPr>
          <w:rFonts w:cstheme="minorHAnsi"/>
          <w:sz w:val="24"/>
          <w:szCs w:val="24"/>
        </w:rPr>
        <w:t xml:space="preserve">had noticeable changes to its initial rates starting at 6.25 µM SLUPP_1377 with a 3.5-fold increase, a 7.5-fold increase at 12.5 µM SLUPP_1377, and </w:t>
      </w:r>
      <w:proofErr w:type="gramStart"/>
      <w:r w:rsidR="000C0410">
        <w:rPr>
          <w:rFonts w:cstheme="minorHAnsi"/>
          <w:sz w:val="24"/>
          <w:szCs w:val="24"/>
        </w:rPr>
        <w:t>a</w:t>
      </w:r>
      <w:proofErr w:type="gramEnd"/>
      <w:r w:rsidR="000C0410">
        <w:rPr>
          <w:rFonts w:cstheme="minorHAnsi"/>
          <w:sz w:val="24"/>
          <w:szCs w:val="24"/>
        </w:rPr>
        <w:t xml:space="preserve"> 8.5-fold increase at 25 µM SLUPP_1377, thus indicating a significant loss of efflux efficiency. This plot shows that the strain Ab</w:t>
      </w:r>
      <w:r w:rsidR="000C0410" w:rsidRPr="00B1648B">
        <w:rPr>
          <w:rFonts w:cstheme="minorHAnsi"/>
          <w:sz w:val="24"/>
          <w:szCs w:val="24"/>
        </w:rPr>
        <w:t>Δ3</w:t>
      </w:r>
      <w:r w:rsidR="0002033C">
        <w:rPr>
          <w:rFonts w:cstheme="minorHAnsi"/>
          <w:sz w:val="24"/>
          <w:szCs w:val="24"/>
        </w:rPr>
        <w:t xml:space="preserve"> </w:t>
      </w:r>
      <w:r w:rsidR="000C0410">
        <w:rPr>
          <w:rFonts w:cstheme="minorHAnsi"/>
          <w:sz w:val="24"/>
          <w:szCs w:val="24"/>
        </w:rPr>
        <w:t xml:space="preserve">(pAdeFGH) had by far the most dramatic increase in relative initial rates with increasing concentrations of </w:t>
      </w:r>
      <w:r w:rsidR="000C0410">
        <w:rPr>
          <w:rFonts w:cstheme="minorHAnsi"/>
          <w:sz w:val="24"/>
          <w:szCs w:val="24"/>
        </w:rPr>
        <w:lastRenderedPageBreak/>
        <w:t>inhibitor, suggesting that out of the four tested strains it had the highest sensitivity to efflux inhibition by SLUPP_1377.</w:t>
      </w:r>
    </w:p>
    <w:p w14:paraId="724F2B11" w14:textId="3214FFE2" w:rsidR="008E203F" w:rsidRPr="008534C9" w:rsidRDefault="0002033C" w:rsidP="00F95365">
      <w:pPr>
        <w:rPr>
          <w:sz w:val="24"/>
          <w:szCs w:val="24"/>
        </w:rPr>
      </w:pPr>
      <w:r w:rsidRPr="00325A35">
        <w:rPr>
          <w:noProof/>
          <w:sz w:val="24"/>
          <w:szCs w:val="24"/>
        </w:rPr>
        <w:lastRenderedPageBreak/>
        <w:drawing>
          <wp:anchor distT="0" distB="0" distL="114300" distR="114300" simplePos="0" relativeHeight="251651072" behindDoc="0" locked="0" layoutInCell="1" allowOverlap="1" wp14:anchorId="6565FAD7" wp14:editId="5D2B092D">
            <wp:simplePos x="0" y="0"/>
            <wp:positionH relativeFrom="column">
              <wp:posOffset>457200</wp:posOffset>
            </wp:positionH>
            <wp:positionV relativeFrom="page">
              <wp:posOffset>8937201</wp:posOffset>
            </wp:positionV>
            <wp:extent cx="4419600" cy="167640"/>
            <wp:effectExtent l="0" t="0" r="0" b="3810"/>
            <wp:wrapNone/>
            <wp:docPr id="1768722633" name="Picture 1768722633">
              <a:extLst xmlns:a="http://schemas.openxmlformats.org/drawingml/2006/main">
                <a:ext uri="{FF2B5EF4-FFF2-40B4-BE49-F238E27FC236}">
                  <a16:creationId xmlns:a16="http://schemas.microsoft.com/office/drawing/2014/main" id="{22B6673F-6E89-9592-C7C4-2A9D62DF2E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2B6673F-6E89-9592-C7C4-2A9D62DF2E60}"/>
                        </a:ext>
                      </a:extLst>
                    </pic:cNvPr>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4419600" cy="167640"/>
                    </a:xfrm>
                    <a:prstGeom prst="rect">
                      <a:avLst/>
                    </a:prstGeom>
                  </pic:spPr>
                </pic:pic>
              </a:graphicData>
            </a:graphic>
            <wp14:sizeRelH relativeFrom="margin">
              <wp14:pctWidth>0</wp14:pctWidth>
            </wp14:sizeRelH>
            <wp14:sizeRelV relativeFrom="margin">
              <wp14:pctHeight>0</wp14:pctHeight>
            </wp14:sizeRelV>
          </wp:anchor>
        </w:drawing>
      </w:r>
      <w:r w:rsidRPr="0002033C">
        <w:rPr>
          <w:noProof/>
          <w:sz w:val="24"/>
          <w:szCs w:val="24"/>
        </w:rPr>
        <w:drawing>
          <wp:inline distT="0" distB="0" distL="0" distR="0" wp14:anchorId="5B7E4DA5" wp14:editId="74FDA43C">
            <wp:extent cx="8087198" cy="5300672"/>
            <wp:effectExtent l="2540" t="0" r="0" b="0"/>
            <wp:docPr id="1675667004"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67004" name="Picture 1" descr="A graph of different colored lines&#10;&#10;Description automatically generated with medium confidence"/>
                    <pic:cNvPicPr/>
                  </pic:nvPicPr>
                  <pic:blipFill>
                    <a:blip r:embed="rId51"/>
                    <a:stretch>
                      <a:fillRect/>
                    </a:stretch>
                  </pic:blipFill>
                  <pic:spPr>
                    <a:xfrm rot="16200000">
                      <a:off x="0" y="0"/>
                      <a:ext cx="8128936" cy="5328029"/>
                    </a:xfrm>
                    <a:prstGeom prst="rect">
                      <a:avLst/>
                    </a:prstGeom>
                  </pic:spPr>
                </pic:pic>
              </a:graphicData>
            </a:graphic>
          </wp:inline>
        </w:drawing>
      </w:r>
    </w:p>
    <w:p w14:paraId="55E7C44D" w14:textId="2E6DE7C5" w:rsidR="003F4DE3" w:rsidRPr="00082EEA" w:rsidRDefault="005B4B77" w:rsidP="005B4B77">
      <w:pPr>
        <w:rPr>
          <w:b/>
          <w:bCs/>
          <w:sz w:val="24"/>
          <w:szCs w:val="24"/>
        </w:rPr>
      </w:pPr>
      <w:r>
        <w:rPr>
          <w:b/>
          <w:bCs/>
          <w:sz w:val="24"/>
          <w:szCs w:val="24"/>
        </w:rPr>
        <w:lastRenderedPageBreak/>
        <w:t xml:space="preserve">Figure </w:t>
      </w:r>
      <w:r w:rsidR="00244406">
        <w:rPr>
          <w:b/>
          <w:bCs/>
          <w:sz w:val="24"/>
          <w:szCs w:val="24"/>
        </w:rPr>
        <w:t>4.</w:t>
      </w:r>
      <w:r w:rsidR="00201008">
        <w:rPr>
          <w:b/>
          <w:bCs/>
          <w:sz w:val="24"/>
          <w:szCs w:val="24"/>
        </w:rPr>
        <w:t>9</w:t>
      </w:r>
      <w:r w:rsidR="00244406">
        <w:rPr>
          <w:b/>
          <w:bCs/>
          <w:sz w:val="24"/>
          <w:szCs w:val="24"/>
        </w:rPr>
        <w:t xml:space="preserve"> </w:t>
      </w:r>
      <w:r>
        <w:rPr>
          <w:sz w:val="24"/>
          <w:szCs w:val="24"/>
        </w:rPr>
        <w:t>-</w:t>
      </w:r>
      <w:r w:rsidRPr="00FF27DE">
        <w:rPr>
          <w:b/>
          <w:bCs/>
          <w:sz w:val="24"/>
          <w:szCs w:val="24"/>
        </w:rPr>
        <w:t xml:space="preserve"> </w:t>
      </w:r>
      <w:r>
        <w:rPr>
          <w:b/>
          <w:bCs/>
          <w:sz w:val="24"/>
          <w:szCs w:val="24"/>
        </w:rPr>
        <w:t xml:space="preserve">Fluorescence </w:t>
      </w:r>
      <w:r w:rsidR="00451C04">
        <w:rPr>
          <w:b/>
          <w:bCs/>
          <w:sz w:val="24"/>
          <w:szCs w:val="24"/>
        </w:rPr>
        <w:t>u</w:t>
      </w:r>
      <w:r>
        <w:rPr>
          <w:b/>
          <w:bCs/>
          <w:sz w:val="24"/>
          <w:szCs w:val="24"/>
        </w:rPr>
        <w:t xml:space="preserve">ptake </w:t>
      </w:r>
      <w:r w:rsidR="00451C04">
        <w:rPr>
          <w:b/>
          <w:bCs/>
          <w:sz w:val="24"/>
          <w:szCs w:val="24"/>
        </w:rPr>
        <w:t>a</w:t>
      </w:r>
      <w:r>
        <w:rPr>
          <w:b/>
          <w:bCs/>
          <w:sz w:val="24"/>
          <w:szCs w:val="24"/>
        </w:rPr>
        <w:t>nalysis</w:t>
      </w:r>
      <w:r w:rsidRPr="00FF27DE">
        <w:rPr>
          <w:b/>
          <w:bCs/>
          <w:sz w:val="24"/>
          <w:szCs w:val="24"/>
        </w:rPr>
        <w:t xml:space="preserve"> of NPN </w:t>
      </w:r>
      <w:r w:rsidR="00452111">
        <w:rPr>
          <w:b/>
          <w:bCs/>
          <w:sz w:val="24"/>
          <w:szCs w:val="24"/>
        </w:rPr>
        <w:t xml:space="preserve">and </w:t>
      </w:r>
      <w:r w:rsidR="00B1648B">
        <w:rPr>
          <w:b/>
          <w:bCs/>
          <w:sz w:val="24"/>
          <w:szCs w:val="24"/>
        </w:rPr>
        <w:t>SLUPP</w:t>
      </w:r>
      <w:r>
        <w:rPr>
          <w:b/>
          <w:bCs/>
          <w:sz w:val="24"/>
          <w:szCs w:val="24"/>
        </w:rPr>
        <w:t>_1377</w:t>
      </w:r>
      <w:r w:rsidR="00082EEA">
        <w:rPr>
          <w:b/>
          <w:bCs/>
          <w:sz w:val="24"/>
          <w:szCs w:val="24"/>
        </w:rPr>
        <w:t xml:space="preserve"> </w:t>
      </w:r>
      <w:r w:rsidR="00452111">
        <w:rPr>
          <w:b/>
          <w:bCs/>
          <w:sz w:val="24"/>
          <w:szCs w:val="24"/>
        </w:rPr>
        <w:t xml:space="preserve">in </w:t>
      </w:r>
      <w:r w:rsidR="00452111" w:rsidRPr="00452111">
        <w:rPr>
          <w:b/>
          <w:bCs/>
          <w:sz w:val="24"/>
          <w:szCs w:val="24"/>
        </w:rPr>
        <w:t>Ab∆3-Pore</w:t>
      </w:r>
      <w:r w:rsidR="00452111">
        <w:rPr>
          <w:b/>
          <w:bCs/>
          <w:sz w:val="24"/>
          <w:szCs w:val="24"/>
        </w:rPr>
        <w:t xml:space="preserve"> </w:t>
      </w:r>
      <w:r w:rsidR="00451C04">
        <w:rPr>
          <w:b/>
          <w:bCs/>
          <w:sz w:val="24"/>
          <w:szCs w:val="24"/>
        </w:rPr>
        <w:t>c</w:t>
      </w:r>
      <w:r w:rsidR="00452111">
        <w:rPr>
          <w:b/>
          <w:bCs/>
          <w:sz w:val="24"/>
          <w:szCs w:val="24"/>
        </w:rPr>
        <w:t xml:space="preserve">ells </w:t>
      </w:r>
      <w:r w:rsidR="00451C04">
        <w:rPr>
          <w:b/>
          <w:bCs/>
          <w:sz w:val="24"/>
          <w:szCs w:val="24"/>
        </w:rPr>
        <w:t>e</w:t>
      </w:r>
      <w:r w:rsidR="00452111">
        <w:rPr>
          <w:b/>
          <w:bCs/>
          <w:sz w:val="24"/>
          <w:szCs w:val="24"/>
        </w:rPr>
        <w:t>xpressing</w:t>
      </w:r>
      <w:r w:rsidR="00452111" w:rsidRPr="00452111">
        <w:rPr>
          <w:b/>
          <w:bCs/>
          <w:sz w:val="24"/>
          <w:szCs w:val="24"/>
        </w:rPr>
        <w:t xml:space="preserve"> </w:t>
      </w:r>
      <w:r w:rsidR="00451C04">
        <w:rPr>
          <w:b/>
          <w:bCs/>
          <w:sz w:val="24"/>
          <w:szCs w:val="24"/>
        </w:rPr>
        <w:t>m</w:t>
      </w:r>
      <w:r w:rsidR="00082EEA">
        <w:rPr>
          <w:b/>
          <w:bCs/>
          <w:sz w:val="24"/>
          <w:szCs w:val="24"/>
        </w:rPr>
        <w:t xml:space="preserve">utant AdeG </w:t>
      </w:r>
      <w:proofErr w:type="gramStart"/>
      <w:r w:rsidR="00451C04">
        <w:rPr>
          <w:b/>
          <w:bCs/>
          <w:sz w:val="24"/>
          <w:szCs w:val="24"/>
        </w:rPr>
        <w:t>t</w:t>
      </w:r>
      <w:r w:rsidR="00082EEA">
        <w:rPr>
          <w:b/>
          <w:bCs/>
          <w:sz w:val="24"/>
          <w:szCs w:val="24"/>
        </w:rPr>
        <w:t>ransporters</w:t>
      </w:r>
      <w:proofErr w:type="gramEnd"/>
    </w:p>
    <w:p w14:paraId="26A24C95" w14:textId="72E9B3C6" w:rsidR="00502723" w:rsidRDefault="00452111" w:rsidP="000619F6">
      <w:pPr>
        <w:rPr>
          <w:noProof/>
        </w:rPr>
      </w:pPr>
      <w:r>
        <w:rPr>
          <w:rFonts w:asciiTheme="majorHAnsi" w:hAnsiTheme="majorHAnsi" w:cstheme="majorHAnsi"/>
          <w:sz w:val="24"/>
          <w:szCs w:val="24"/>
        </w:rPr>
        <w:t xml:space="preserve">Intracellular accumulation of fluorescent membrane probe NPN. Indicated strains were grown in LB broth and induced with 1% L-arabinose when appropriate. Washed cells were injected into HMG buffer containing 4 µM NPN and 0-25 µM SLUPP_1377. The resulting fluorescence was monitored continuously for 10 minutes. </w:t>
      </w:r>
      <w:r w:rsidR="008A3E24">
        <w:rPr>
          <w:rFonts w:asciiTheme="majorHAnsi" w:hAnsiTheme="majorHAnsi" w:cstheme="majorHAnsi"/>
          <w:sz w:val="24"/>
          <w:szCs w:val="24"/>
        </w:rPr>
        <w:t xml:space="preserve">The uptake data sets were </w:t>
      </w:r>
      <w:r w:rsidR="00B955FA">
        <w:rPr>
          <w:rFonts w:asciiTheme="majorHAnsi" w:hAnsiTheme="majorHAnsi" w:cstheme="majorHAnsi"/>
          <w:sz w:val="24"/>
          <w:szCs w:val="24"/>
        </w:rPr>
        <w:t>fitted</w:t>
      </w:r>
      <w:r w:rsidR="008A3E24">
        <w:rPr>
          <w:rFonts w:asciiTheme="majorHAnsi" w:hAnsiTheme="majorHAnsi" w:cstheme="majorHAnsi"/>
          <w:sz w:val="24"/>
          <w:szCs w:val="24"/>
        </w:rPr>
        <w:t xml:space="preserve"> using a script written for </w:t>
      </w:r>
      <w:proofErr w:type="spellStart"/>
      <w:r w:rsidR="008A3E24">
        <w:rPr>
          <w:rFonts w:asciiTheme="majorHAnsi" w:hAnsiTheme="majorHAnsi" w:cstheme="majorHAnsi"/>
          <w:sz w:val="24"/>
          <w:szCs w:val="24"/>
        </w:rPr>
        <w:t>MatLab</w:t>
      </w:r>
      <w:proofErr w:type="spellEnd"/>
      <w:r w:rsidR="008A3E24">
        <w:rPr>
          <w:rFonts w:asciiTheme="majorHAnsi" w:hAnsiTheme="majorHAnsi" w:cstheme="majorHAnsi"/>
          <w:sz w:val="24"/>
          <w:szCs w:val="24"/>
        </w:rPr>
        <w:t xml:space="preserve">. </w:t>
      </w:r>
      <w:r>
        <w:rPr>
          <w:rFonts w:asciiTheme="majorHAnsi" w:hAnsiTheme="majorHAnsi" w:cstheme="majorHAnsi"/>
          <w:sz w:val="24"/>
          <w:szCs w:val="24"/>
        </w:rPr>
        <w:t>The plots are changes in fluorescence intensity as a function of time. Error bars are S</w:t>
      </w:r>
      <w:r w:rsidR="000619F6">
        <w:rPr>
          <w:rFonts w:asciiTheme="majorHAnsi" w:hAnsiTheme="majorHAnsi" w:cstheme="majorHAnsi"/>
          <w:sz w:val="24"/>
          <w:szCs w:val="24"/>
        </w:rPr>
        <w:t>E</w:t>
      </w:r>
      <w:r>
        <w:rPr>
          <w:rFonts w:asciiTheme="majorHAnsi" w:hAnsiTheme="majorHAnsi" w:cstheme="majorHAnsi"/>
          <w:sz w:val="24"/>
          <w:szCs w:val="24"/>
        </w:rPr>
        <w:t xml:space="preserve"> (</w:t>
      </w:r>
      <w:r>
        <w:rPr>
          <w:rFonts w:asciiTheme="majorHAnsi" w:hAnsiTheme="majorHAnsi" w:cstheme="majorHAnsi"/>
          <w:i/>
          <w:iCs/>
          <w:sz w:val="24"/>
          <w:szCs w:val="24"/>
        </w:rPr>
        <w:t>n</w:t>
      </w:r>
      <w:r>
        <w:rPr>
          <w:rFonts w:asciiTheme="majorHAnsi" w:hAnsiTheme="majorHAnsi" w:cstheme="majorHAnsi"/>
          <w:sz w:val="24"/>
          <w:szCs w:val="24"/>
        </w:rPr>
        <w:t xml:space="preserve"> = </w:t>
      </w:r>
      <w:r w:rsidR="000619F6">
        <w:rPr>
          <w:rFonts w:asciiTheme="majorHAnsi" w:hAnsiTheme="majorHAnsi" w:cstheme="majorHAnsi"/>
          <w:sz w:val="24"/>
          <w:szCs w:val="24"/>
        </w:rPr>
        <w:t>4</w:t>
      </w:r>
      <w:r>
        <w:rPr>
          <w:rFonts w:asciiTheme="majorHAnsi" w:hAnsiTheme="majorHAnsi" w:cstheme="majorHAnsi"/>
          <w:sz w:val="24"/>
          <w:szCs w:val="24"/>
        </w:rPr>
        <w:t xml:space="preserve">). </w:t>
      </w:r>
      <w:r w:rsidR="000619F6">
        <w:rPr>
          <w:rFonts w:asciiTheme="majorHAnsi" w:hAnsiTheme="majorHAnsi" w:cstheme="majorHAnsi"/>
          <w:sz w:val="24"/>
          <w:szCs w:val="24"/>
        </w:rPr>
        <w:t>(</w:t>
      </w:r>
      <w:r w:rsidR="000619F6">
        <w:rPr>
          <w:rFonts w:asciiTheme="majorHAnsi" w:hAnsiTheme="majorHAnsi" w:cstheme="majorHAnsi"/>
          <w:b/>
          <w:bCs/>
          <w:sz w:val="24"/>
          <w:szCs w:val="24"/>
        </w:rPr>
        <w:t>A</w:t>
      </w:r>
      <w:r w:rsidR="000619F6">
        <w:rPr>
          <w:rFonts w:asciiTheme="majorHAnsi" w:hAnsiTheme="majorHAnsi" w:cstheme="majorHAnsi"/>
          <w:sz w:val="24"/>
          <w:szCs w:val="24"/>
        </w:rPr>
        <w:t>) Ab</w:t>
      </w:r>
      <w:r w:rsidR="000619F6" w:rsidRPr="00932E92">
        <w:rPr>
          <w:sz w:val="24"/>
          <w:szCs w:val="24"/>
        </w:rPr>
        <w:t>∆</w:t>
      </w:r>
      <w:r w:rsidR="000619F6">
        <w:rPr>
          <w:sz w:val="24"/>
          <w:szCs w:val="24"/>
        </w:rPr>
        <w:t xml:space="preserve">3-Pore </w:t>
      </w:r>
      <w:r w:rsidR="000619F6">
        <w:rPr>
          <w:rFonts w:asciiTheme="majorHAnsi" w:hAnsiTheme="majorHAnsi" w:cstheme="majorHAnsi"/>
          <w:sz w:val="24"/>
          <w:szCs w:val="24"/>
        </w:rPr>
        <w:t>(</w:t>
      </w:r>
      <w:r w:rsidR="000619F6">
        <w:rPr>
          <w:rFonts w:asciiTheme="majorHAnsi" w:hAnsiTheme="majorHAnsi" w:cstheme="majorHAnsi"/>
          <w:b/>
          <w:bCs/>
          <w:sz w:val="24"/>
          <w:szCs w:val="24"/>
        </w:rPr>
        <w:t>B</w:t>
      </w:r>
      <w:r w:rsidR="000619F6">
        <w:rPr>
          <w:rFonts w:asciiTheme="majorHAnsi" w:hAnsiTheme="majorHAnsi" w:cstheme="majorHAnsi"/>
          <w:sz w:val="24"/>
          <w:szCs w:val="24"/>
        </w:rPr>
        <w:t>)</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(pAdeFGH) (</w:t>
      </w:r>
      <w:r w:rsidR="000619F6">
        <w:rPr>
          <w:b/>
          <w:bCs/>
          <w:sz w:val="24"/>
          <w:szCs w:val="24"/>
        </w:rPr>
        <w:t>C</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S620A) (</w:t>
      </w:r>
      <w:r w:rsidR="000619F6">
        <w:rPr>
          <w:b/>
          <w:bCs/>
          <w:sz w:val="24"/>
          <w:szCs w:val="24"/>
        </w:rPr>
        <w:t>D</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A705I) (</w:t>
      </w:r>
      <w:r w:rsidR="000619F6">
        <w:rPr>
          <w:b/>
          <w:bCs/>
          <w:sz w:val="24"/>
          <w:szCs w:val="24"/>
        </w:rPr>
        <w:t>E</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Q83A) (</w:t>
      </w:r>
      <w:r w:rsidR="000619F6">
        <w:rPr>
          <w:b/>
          <w:bCs/>
          <w:sz w:val="24"/>
          <w:szCs w:val="24"/>
        </w:rPr>
        <w:t>F</w:t>
      </w:r>
      <w:r w:rsidR="000619F6">
        <w:rPr>
          <w:sz w:val="24"/>
          <w:szCs w:val="24"/>
        </w:rPr>
        <w:t>)</w:t>
      </w:r>
      <w:r w:rsidR="000619F6" w:rsidRPr="002E2D01">
        <w:rPr>
          <w:rFonts w:asciiTheme="majorHAnsi" w:hAnsiTheme="majorHAnsi" w:cstheme="majorHAnsi"/>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I621A) (</w:t>
      </w:r>
      <w:r w:rsidR="0002033C">
        <w:rPr>
          <w:b/>
          <w:bCs/>
          <w:sz w:val="24"/>
          <w:szCs w:val="24"/>
        </w:rPr>
        <w:t>G</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Y725A) (</w:t>
      </w:r>
      <w:r w:rsidR="0002033C">
        <w:rPr>
          <w:b/>
          <w:bCs/>
          <w:sz w:val="24"/>
          <w:szCs w:val="24"/>
        </w:rPr>
        <w:t>H</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G679I)  (</w:t>
      </w:r>
      <w:r w:rsidR="0002033C">
        <w:rPr>
          <w:b/>
          <w:bCs/>
          <w:sz w:val="24"/>
          <w:szCs w:val="24"/>
        </w:rPr>
        <w:t>I</w:t>
      </w:r>
      <w:r w:rsidR="000619F6">
        <w:rPr>
          <w:sz w:val="24"/>
          <w:szCs w:val="24"/>
        </w:rPr>
        <w:t xml:space="preserve">) </w:t>
      </w:r>
      <w:r w:rsidR="000619F6">
        <w:rPr>
          <w:rFonts w:asciiTheme="majorHAnsi" w:hAnsiTheme="majorHAnsi" w:cstheme="majorHAnsi"/>
          <w:sz w:val="24"/>
          <w:szCs w:val="24"/>
        </w:rPr>
        <w:t>Ab</w:t>
      </w:r>
      <w:r w:rsidR="000619F6" w:rsidRPr="00932E92">
        <w:rPr>
          <w:sz w:val="24"/>
          <w:szCs w:val="24"/>
        </w:rPr>
        <w:t>∆</w:t>
      </w:r>
      <w:r w:rsidR="000619F6">
        <w:rPr>
          <w:sz w:val="24"/>
          <w:szCs w:val="24"/>
        </w:rPr>
        <w:t>3-Pore (pAdeG L138A)</w:t>
      </w:r>
      <w:r w:rsidR="00B56D61" w:rsidRPr="00B56D61">
        <w:rPr>
          <w:noProof/>
        </w:rPr>
        <w:t xml:space="preserve"> </w:t>
      </w:r>
    </w:p>
    <w:p w14:paraId="67AA3393" w14:textId="251EB8BF" w:rsidR="00153F5E" w:rsidRDefault="00B56D61" w:rsidP="000619F6">
      <w:pPr>
        <w:rPr>
          <w:rFonts w:cstheme="minorHAnsi"/>
          <w:sz w:val="24"/>
          <w:szCs w:val="24"/>
        </w:rPr>
      </w:pPr>
      <w:r w:rsidRPr="00B56D61">
        <w:rPr>
          <w:rFonts w:cstheme="minorHAnsi"/>
          <w:noProof/>
          <w:sz w:val="24"/>
          <w:szCs w:val="24"/>
        </w:rPr>
        <w:drawing>
          <wp:inline distT="0" distB="0" distL="0" distR="0" wp14:anchorId="3F396988" wp14:editId="689A98E6">
            <wp:extent cx="5486400" cy="1766455"/>
            <wp:effectExtent l="0" t="0" r="0" b="5715"/>
            <wp:docPr id="2070172845"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72845" name="Picture 1" descr="A close-up of a test&#10;&#10;Description automatically generated"/>
                    <pic:cNvPicPr/>
                  </pic:nvPicPr>
                  <pic:blipFill rotWithShape="1">
                    <a:blip r:embed="rId52"/>
                    <a:srcRect b="14247"/>
                    <a:stretch/>
                  </pic:blipFill>
                  <pic:spPr bwMode="auto">
                    <a:xfrm>
                      <a:off x="0" y="0"/>
                      <a:ext cx="5486400" cy="1766455"/>
                    </a:xfrm>
                    <a:prstGeom prst="rect">
                      <a:avLst/>
                    </a:prstGeom>
                    <a:ln>
                      <a:noFill/>
                    </a:ln>
                    <a:extLst>
                      <a:ext uri="{53640926-AAD7-44D8-BBD7-CCE9431645EC}">
                        <a14:shadowObscured xmlns:a14="http://schemas.microsoft.com/office/drawing/2010/main"/>
                      </a:ext>
                    </a:extLst>
                  </pic:spPr>
                </pic:pic>
              </a:graphicData>
            </a:graphic>
          </wp:inline>
        </w:drawing>
      </w:r>
    </w:p>
    <w:p w14:paraId="07896D0A" w14:textId="416281BE" w:rsidR="00153F5E" w:rsidRDefault="00153F5E" w:rsidP="00153F5E">
      <w:pPr>
        <w:rPr>
          <w:b/>
          <w:bCs/>
          <w:sz w:val="24"/>
          <w:szCs w:val="24"/>
        </w:rPr>
      </w:pPr>
      <w:r>
        <w:rPr>
          <w:b/>
          <w:bCs/>
          <w:sz w:val="24"/>
          <w:szCs w:val="24"/>
        </w:rPr>
        <w:t>Figure 4.</w:t>
      </w:r>
      <w:r w:rsidR="00201008">
        <w:rPr>
          <w:b/>
          <w:bCs/>
          <w:sz w:val="24"/>
          <w:szCs w:val="24"/>
        </w:rPr>
        <w:t>10</w:t>
      </w:r>
      <w:r>
        <w:rPr>
          <w:b/>
          <w:bCs/>
          <w:sz w:val="24"/>
          <w:szCs w:val="24"/>
        </w:rPr>
        <w:t xml:space="preserve"> –AdeG </w:t>
      </w:r>
      <w:r w:rsidR="00451C04">
        <w:rPr>
          <w:b/>
          <w:bCs/>
          <w:sz w:val="24"/>
          <w:szCs w:val="24"/>
        </w:rPr>
        <w:t>e</w:t>
      </w:r>
      <w:r w:rsidRPr="00B675DC">
        <w:rPr>
          <w:b/>
          <w:bCs/>
          <w:sz w:val="24"/>
          <w:szCs w:val="24"/>
        </w:rPr>
        <w:t>xpression in</w:t>
      </w:r>
      <w:r>
        <w:rPr>
          <w:b/>
          <w:bCs/>
          <w:sz w:val="24"/>
          <w:szCs w:val="24"/>
        </w:rPr>
        <w:t xml:space="preserve"> </w:t>
      </w:r>
      <w:r w:rsidRPr="00153F5E">
        <w:rPr>
          <w:b/>
          <w:bCs/>
          <w:i/>
          <w:iCs/>
          <w:sz w:val="24"/>
          <w:szCs w:val="24"/>
        </w:rPr>
        <w:t>A</w:t>
      </w:r>
      <w:r w:rsidRPr="00B675DC">
        <w:rPr>
          <w:b/>
          <w:bCs/>
          <w:i/>
          <w:iCs/>
          <w:sz w:val="24"/>
          <w:szCs w:val="24"/>
        </w:rPr>
        <w:t xml:space="preserve">. baumannii </w:t>
      </w:r>
      <w:r w:rsidRPr="00B675DC">
        <w:rPr>
          <w:b/>
          <w:bCs/>
          <w:sz w:val="24"/>
          <w:szCs w:val="24"/>
        </w:rPr>
        <w:t>Δ3-Pore</w:t>
      </w:r>
      <w:r>
        <w:rPr>
          <w:b/>
          <w:bCs/>
          <w:sz w:val="24"/>
          <w:szCs w:val="24"/>
        </w:rPr>
        <w:t xml:space="preserve"> cells at time of NPN + SLUPP_1377 </w:t>
      </w:r>
      <w:r w:rsidR="00451C04">
        <w:rPr>
          <w:b/>
          <w:bCs/>
          <w:sz w:val="24"/>
          <w:szCs w:val="24"/>
        </w:rPr>
        <w:t>u</w:t>
      </w:r>
      <w:r>
        <w:rPr>
          <w:b/>
          <w:bCs/>
          <w:sz w:val="24"/>
          <w:szCs w:val="24"/>
        </w:rPr>
        <w:t>ptake</w:t>
      </w:r>
    </w:p>
    <w:p w14:paraId="27C5644B" w14:textId="77777777" w:rsidR="00B27B14" w:rsidRDefault="007B5115" w:rsidP="007B5115">
      <w:pPr>
        <w:rPr>
          <w:sz w:val="24"/>
          <w:szCs w:val="24"/>
        </w:rPr>
      </w:pPr>
      <w:r>
        <w:rPr>
          <w:sz w:val="24"/>
          <w:szCs w:val="24"/>
        </w:rPr>
        <w:t xml:space="preserve">Whole cell expression of the AdeG mutants in </w:t>
      </w:r>
      <w:r>
        <w:rPr>
          <w:i/>
          <w:iCs/>
          <w:sz w:val="24"/>
          <w:szCs w:val="24"/>
        </w:rPr>
        <w:t xml:space="preserve">A. </w:t>
      </w:r>
      <w:r w:rsidRPr="0023411E">
        <w:rPr>
          <w:i/>
          <w:iCs/>
          <w:sz w:val="24"/>
          <w:szCs w:val="24"/>
        </w:rPr>
        <w:t>baumannii</w:t>
      </w:r>
      <w:r w:rsidRPr="0023411E">
        <w:rPr>
          <w:b/>
          <w:bCs/>
          <w:sz w:val="24"/>
          <w:szCs w:val="24"/>
        </w:rPr>
        <w:t xml:space="preserve"> </w:t>
      </w:r>
      <w:r w:rsidRPr="0023411E">
        <w:rPr>
          <w:sz w:val="24"/>
          <w:szCs w:val="24"/>
        </w:rPr>
        <w:t>Δ3-Pore cells</w:t>
      </w:r>
      <w:r>
        <w:rPr>
          <w:sz w:val="24"/>
          <w:szCs w:val="24"/>
        </w:rPr>
        <w:t xml:space="preserve"> washed in HMG buffer and resuspended to OD</w:t>
      </w:r>
      <w:r>
        <w:rPr>
          <w:sz w:val="24"/>
          <w:szCs w:val="24"/>
          <w:vertAlign w:val="subscript"/>
        </w:rPr>
        <w:t>600</w:t>
      </w:r>
      <w:r>
        <w:rPr>
          <w:sz w:val="24"/>
          <w:szCs w:val="24"/>
        </w:rPr>
        <w:t xml:space="preserve"> 1.0 +/- 0.05. AdeG protein was expressed in cells with permeabilized outer membranes. Plasmid expression of the AdeFGH operon was induced by 1% L-arabinose. Lysed cells were separated by SDS-PAGE on 12% gels and visualized by 1:5,000 anti-AdeG antibody serum</w:t>
      </w:r>
      <w:r w:rsidR="00806983">
        <w:rPr>
          <w:sz w:val="24"/>
          <w:szCs w:val="24"/>
        </w:rPr>
        <w:t>.</w:t>
      </w:r>
    </w:p>
    <w:p w14:paraId="63BA0A24" w14:textId="6746F22C" w:rsidR="00403FBC" w:rsidRPr="00B27B14" w:rsidRDefault="00403FBC" w:rsidP="007B5115">
      <w:pPr>
        <w:rPr>
          <w:sz w:val="24"/>
          <w:szCs w:val="24"/>
        </w:rPr>
      </w:pPr>
      <w:r w:rsidRPr="00403FBC">
        <w:rPr>
          <w:sz w:val="24"/>
          <w:szCs w:val="24"/>
          <w:u w:val="single"/>
        </w:rPr>
        <w:t>4.3</w:t>
      </w:r>
      <w:r w:rsidR="00CC6C40">
        <w:rPr>
          <w:sz w:val="24"/>
          <w:szCs w:val="24"/>
          <w:u w:val="single"/>
        </w:rPr>
        <w:t xml:space="preserve">.6. </w:t>
      </w:r>
      <w:r w:rsidRPr="00403FBC">
        <w:rPr>
          <w:sz w:val="24"/>
          <w:szCs w:val="24"/>
          <w:u w:val="single"/>
        </w:rPr>
        <w:t>Mutations in the substrate binding pockets of AdeG change inhibition efficiency of SLUPP_1377</w:t>
      </w:r>
    </w:p>
    <w:p w14:paraId="7ED760DA" w14:textId="52F0B889" w:rsidR="003B4F13" w:rsidRDefault="00F1590D" w:rsidP="00D17DEC">
      <w:pPr>
        <w:spacing w:line="360" w:lineRule="auto"/>
        <w:rPr>
          <w:rStyle w:val="cf01"/>
          <w:rFonts w:asciiTheme="minorHAnsi" w:hAnsiTheme="minorHAnsi" w:cstheme="minorHAnsi"/>
          <w:sz w:val="24"/>
          <w:szCs w:val="24"/>
        </w:rPr>
      </w:pPr>
      <w:r>
        <w:rPr>
          <w:rStyle w:val="cf01"/>
          <w:rFonts w:asciiTheme="minorHAnsi" w:hAnsiTheme="minorHAnsi" w:cstheme="minorHAnsi"/>
          <w:sz w:val="24"/>
          <w:szCs w:val="24"/>
        </w:rPr>
        <w:tab/>
        <w:t xml:space="preserve">One </w:t>
      </w:r>
      <w:r w:rsidRPr="003B4F13">
        <w:rPr>
          <w:rStyle w:val="cf01"/>
          <w:rFonts w:asciiTheme="minorHAnsi" w:hAnsiTheme="minorHAnsi" w:cstheme="minorHAnsi"/>
          <w:sz w:val="24"/>
          <w:szCs w:val="24"/>
        </w:rPr>
        <w:t>of the challenges</w:t>
      </w:r>
      <w:r>
        <w:rPr>
          <w:rStyle w:val="cf01"/>
          <w:rFonts w:asciiTheme="minorHAnsi" w:hAnsiTheme="minorHAnsi" w:cstheme="minorHAnsi"/>
          <w:sz w:val="24"/>
          <w:szCs w:val="24"/>
        </w:rPr>
        <w:t xml:space="preserve"> faced during the development of efflux pump inhibitors (EPIs) </w:t>
      </w:r>
      <w:r w:rsidR="003B4F13">
        <w:rPr>
          <w:rStyle w:val="cf01"/>
          <w:rFonts w:asciiTheme="minorHAnsi" w:hAnsiTheme="minorHAnsi" w:cstheme="minorHAnsi"/>
          <w:sz w:val="24"/>
          <w:szCs w:val="24"/>
        </w:rPr>
        <w:t>comes from targeting</w:t>
      </w:r>
      <w:r>
        <w:rPr>
          <w:rStyle w:val="cf01"/>
          <w:rFonts w:asciiTheme="minorHAnsi" w:hAnsiTheme="minorHAnsi" w:cstheme="minorHAnsi"/>
          <w:sz w:val="24"/>
          <w:szCs w:val="24"/>
        </w:rPr>
        <w:t xml:space="preserve"> the </w:t>
      </w:r>
      <w:r w:rsidR="003B4F13">
        <w:rPr>
          <w:rStyle w:val="cf01"/>
          <w:rFonts w:asciiTheme="minorHAnsi" w:hAnsiTheme="minorHAnsi" w:cstheme="minorHAnsi"/>
          <w:sz w:val="24"/>
          <w:szCs w:val="24"/>
        </w:rPr>
        <w:t xml:space="preserve">highly hydrophobic binding pocket of the transporter. Potential EPI molecules that successfully interact with this region have been characterized by their insolubility or amphiphilicity, as well as issues with their pharmacokinetics and toxicity. </w:t>
      </w:r>
      <w:r w:rsidR="00D17DEC">
        <w:rPr>
          <w:rStyle w:val="cf01"/>
          <w:rFonts w:asciiTheme="minorHAnsi" w:hAnsiTheme="minorHAnsi" w:cstheme="minorHAnsi"/>
          <w:sz w:val="24"/>
          <w:szCs w:val="24"/>
        </w:rPr>
        <w:t xml:space="preserve">Plus, EPIs that bind to substrate binding sites are more likely to have properties similar to pump substrates, resulting in lower inhibition efficiency due to being exported by the pump. </w:t>
      </w:r>
      <w:r w:rsidR="00683487">
        <w:rPr>
          <w:rStyle w:val="cf01"/>
          <w:rFonts w:asciiTheme="minorHAnsi" w:hAnsiTheme="minorHAnsi" w:cstheme="minorHAnsi"/>
          <w:sz w:val="24"/>
          <w:szCs w:val="24"/>
        </w:rPr>
        <w:t>But thanks to published crystal structures of two EPIs bound to major RND transporters (</w:t>
      </w:r>
      <w:proofErr w:type="spellStart"/>
      <w:r w:rsidR="00683487">
        <w:rPr>
          <w:rStyle w:val="cf01"/>
          <w:rFonts w:asciiTheme="minorHAnsi" w:hAnsiTheme="minorHAnsi" w:cstheme="minorHAnsi"/>
          <w:sz w:val="24"/>
          <w:szCs w:val="24"/>
        </w:rPr>
        <w:t>pyranopyridin</w:t>
      </w:r>
      <w:r w:rsidR="00843D9D">
        <w:rPr>
          <w:rStyle w:val="cf01"/>
          <w:rFonts w:asciiTheme="minorHAnsi" w:hAnsiTheme="minorHAnsi" w:cstheme="minorHAnsi"/>
          <w:sz w:val="24"/>
          <w:szCs w:val="24"/>
        </w:rPr>
        <w:t>e</w:t>
      </w:r>
      <w:proofErr w:type="spellEnd"/>
      <w:r w:rsidR="00843D9D">
        <w:rPr>
          <w:rStyle w:val="cf01"/>
          <w:rFonts w:asciiTheme="minorHAnsi" w:hAnsiTheme="minorHAnsi" w:cstheme="minorHAnsi"/>
          <w:sz w:val="24"/>
          <w:szCs w:val="24"/>
        </w:rPr>
        <w:t xml:space="preserve"> core MBX inhibitors</w:t>
      </w:r>
      <w:r w:rsidR="00683487">
        <w:rPr>
          <w:rStyle w:val="cf01"/>
          <w:rFonts w:asciiTheme="minorHAnsi" w:hAnsiTheme="minorHAnsi" w:cstheme="minorHAnsi"/>
          <w:sz w:val="24"/>
          <w:szCs w:val="24"/>
        </w:rPr>
        <w:t xml:space="preserve"> </w:t>
      </w:r>
      <w:r w:rsidR="00683487">
        <w:rPr>
          <w:rStyle w:val="cf01"/>
          <w:rFonts w:asciiTheme="minorHAnsi" w:hAnsiTheme="minorHAnsi" w:cstheme="minorHAnsi"/>
          <w:sz w:val="24"/>
          <w:szCs w:val="24"/>
        </w:rPr>
        <w:lastRenderedPageBreak/>
        <w:t xml:space="preserve">bound to </w:t>
      </w:r>
      <w:r w:rsidR="00683487">
        <w:rPr>
          <w:rStyle w:val="cf01"/>
          <w:rFonts w:asciiTheme="minorHAnsi" w:hAnsiTheme="minorHAnsi" w:cstheme="minorHAnsi"/>
          <w:i/>
          <w:iCs/>
          <w:sz w:val="24"/>
          <w:szCs w:val="24"/>
        </w:rPr>
        <w:t>E. coli</w:t>
      </w:r>
      <w:r w:rsidR="00683487">
        <w:rPr>
          <w:rStyle w:val="cf01"/>
          <w:rFonts w:asciiTheme="minorHAnsi" w:hAnsiTheme="minorHAnsi" w:cstheme="minorHAnsi"/>
          <w:sz w:val="24"/>
          <w:szCs w:val="24"/>
        </w:rPr>
        <w:t>’s AcrB</w:t>
      </w:r>
      <w:r w:rsidR="00683487">
        <w:rPr>
          <w:rStyle w:val="cf01"/>
          <w:rFonts w:asciiTheme="minorHAnsi" w:hAnsiTheme="minorHAnsi" w:cstheme="minorHAnsi"/>
          <w:sz w:val="24"/>
          <w:szCs w:val="24"/>
        </w:rPr>
        <w:fldChar w:fldCharType="begin"/>
      </w:r>
      <w:r w:rsidR="002F6F9F">
        <w:rPr>
          <w:rStyle w:val="cf01"/>
          <w:rFonts w:asciiTheme="minorHAnsi" w:hAnsiTheme="minorHAnsi" w:cstheme="minorHAnsi"/>
          <w:sz w:val="24"/>
          <w:szCs w:val="24"/>
        </w:rPr>
        <w:instrText xml:space="preserve"> ADDIN ZOTERO_ITEM CSL_CITATION {"citationID":"a8j2u0uqbe","properties":{"formattedCitation":"\\super 164\\nosupersub{}","plainCitation":"164","noteIndex":0},"citationItems":[{"id":2248,"uris":["http://zotero.org/users/1918630/items/XW5SL23W"],"itemData":{"id":2248,"type":"article-journal","abstract":"The Escherichia coli AcrAB-TolC efflux pump is the archetype of the resistance nodulation cell division (RND) exporters from Gram-negative bacteria. Overexpression of RND-type efflux pumps is a major factor in multidrug resistance (MDR), which makes these pumps important antibacterial drug discovery targets. We have recently developed novel pyranopyridine-based inhibitors of AcrB, which are orders of magnitude more powerful than the previously known inhibitors. However, further development of such inhibitors has been hindered by the lack of structural information for rational drug design. Although only the soluble, periplasmic part of AcrB binds and exports the ligands, the presence of the membrane-embedded domain in AcrB and its polyspecific binding behavior have made cocrystallization with drugs challenging. To overcome this obstacle, we have engineered and produced a soluble version of AcrB [AcrB periplasmic domain (AcrBper)], which is highly congruent in structure with the periplasmic part of the full-length protein, and is capable of binding substrates and potent inhibitors. Here, we describe the molecular basis for pyranopyridine-based inhibition of AcrB using a combination of cellular, X-ray crystallographic, and molecular dynamics (MD) simulations studies. The pyranopyridines bind within a phenylalanine-rich cage that branches from the deep binding pocket of AcrB, where they form extensive hydrophobic interactions. Moreover, the increasing potency of improved inhibitors correlates with the formation of a delicate protein- and water-mediated hydrogen bond network. These detailed insights provide a molecular platform for the development of novel combinational therapies using efflux pump inhibitors for combating multidrug resistant Gram-negative pathogens.","container-title":"Proceedings of the National Academy of Sciences of the United States of America","DOI":"10.1073/pnas.1602472113","ISSN":"1091-6490","issue":"13","journalAbbreviation":"Proc Natl Acad Sci U S A","language":"eng","note":"PMID: 26976576\nPMCID: PMC4822567","page":"3509-3514","source":"PubMed","title":"Molecular basis for inhibition of AcrB multidrug efflux pump by novel and powerful pyranopyridine derivatives","volume":"113","author":[{"family":"Sjuts","given":"Hanno"},{"family":"Vargiu","given":"Attilio V."},{"family":"Kwasny","given":"Steven M."},{"family":"Nguyen","given":"Son T."},{"family":"Kim","given":"Hong-Suk"},{"family":"Ding","given":"Xiaoyuan"},{"family":"Ornik","given":"Alina R."},{"family":"Ruggerone","given":"Paolo"},{"family":"Bowlin","given":"Terry L."},{"family":"Nikaido","given":"Hiroshi"},{"family":"Pos","given":"Klaas M."},{"family":"Opperman","given":"Timothy J."}],"issued":{"date-parts":[["2016",3,29]]}}}],"schema":"https://github.com/citation-style-language/schema/raw/master/csl-citation.json"} </w:instrText>
      </w:r>
      <w:r w:rsidR="00683487">
        <w:rPr>
          <w:rStyle w:val="cf01"/>
          <w:rFonts w:asciiTheme="minorHAnsi" w:hAnsiTheme="minorHAnsi" w:cstheme="minorHAnsi"/>
          <w:sz w:val="24"/>
          <w:szCs w:val="24"/>
        </w:rPr>
        <w:fldChar w:fldCharType="separate"/>
      </w:r>
      <w:r w:rsidR="002F6F9F" w:rsidRPr="002F6F9F">
        <w:rPr>
          <w:rFonts w:ascii="Times New Roman" w:hAnsi="Times New Roman" w:cs="Times New Roman"/>
          <w:sz w:val="24"/>
          <w:vertAlign w:val="superscript"/>
        </w:rPr>
        <w:t>164</w:t>
      </w:r>
      <w:r w:rsidR="00683487">
        <w:rPr>
          <w:rStyle w:val="cf01"/>
          <w:rFonts w:asciiTheme="minorHAnsi" w:hAnsiTheme="minorHAnsi" w:cstheme="minorHAnsi"/>
          <w:sz w:val="24"/>
          <w:szCs w:val="24"/>
        </w:rPr>
        <w:fldChar w:fldCharType="end"/>
      </w:r>
      <w:r w:rsidR="00683487">
        <w:rPr>
          <w:rStyle w:val="cf01"/>
          <w:rFonts w:asciiTheme="minorHAnsi" w:hAnsiTheme="minorHAnsi" w:cstheme="minorHAnsi"/>
          <w:sz w:val="24"/>
          <w:szCs w:val="24"/>
        </w:rPr>
        <w:t xml:space="preserve">, and </w:t>
      </w:r>
      <w:r w:rsidR="00843D9D">
        <w:rPr>
          <w:rStyle w:val="cf01"/>
          <w:rFonts w:asciiTheme="minorHAnsi" w:hAnsiTheme="minorHAnsi" w:cstheme="minorHAnsi"/>
          <w:sz w:val="24"/>
          <w:szCs w:val="24"/>
        </w:rPr>
        <w:t xml:space="preserve">pyridopyrimidine derivatives bound to </w:t>
      </w:r>
      <w:r w:rsidR="00843D9D">
        <w:rPr>
          <w:rStyle w:val="cf01"/>
          <w:rFonts w:asciiTheme="minorHAnsi" w:hAnsiTheme="minorHAnsi" w:cstheme="minorHAnsi"/>
          <w:i/>
          <w:iCs/>
          <w:sz w:val="24"/>
          <w:szCs w:val="24"/>
        </w:rPr>
        <w:t>E.coli</w:t>
      </w:r>
      <w:r w:rsidR="00843D9D">
        <w:rPr>
          <w:rStyle w:val="cf01"/>
          <w:rFonts w:asciiTheme="minorHAnsi" w:hAnsiTheme="minorHAnsi" w:cstheme="minorHAnsi"/>
          <w:sz w:val="24"/>
          <w:szCs w:val="24"/>
        </w:rPr>
        <w:t xml:space="preserve">’s AcrB and </w:t>
      </w:r>
      <w:r w:rsidR="00843D9D">
        <w:rPr>
          <w:rStyle w:val="cf01"/>
          <w:rFonts w:asciiTheme="minorHAnsi" w:hAnsiTheme="minorHAnsi" w:cstheme="minorHAnsi"/>
          <w:i/>
          <w:iCs/>
          <w:sz w:val="24"/>
          <w:szCs w:val="24"/>
        </w:rPr>
        <w:t xml:space="preserve">P. </w:t>
      </w:r>
      <w:proofErr w:type="spellStart"/>
      <w:r w:rsidR="00843D9D">
        <w:rPr>
          <w:rStyle w:val="cf01"/>
          <w:rFonts w:asciiTheme="minorHAnsi" w:hAnsiTheme="minorHAnsi" w:cstheme="minorHAnsi"/>
          <w:i/>
          <w:iCs/>
          <w:sz w:val="24"/>
          <w:szCs w:val="24"/>
        </w:rPr>
        <w:t>aeruginosa</w:t>
      </w:r>
      <w:r w:rsidR="00843D9D">
        <w:rPr>
          <w:rStyle w:val="cf01"/>
          <w:rFonts w:asciiTheme="minorHAnsi" w:hAnsiTheme="minorHAnsi" w:cstheme="minorHAnsi"/>
          <w:sz w:val="24"/>
          <w:szCs w:val="24"/>
        </w:rPr>
        <w:t>’s</w:t>
      </w:r>
      <w:proofErr w:type="spellEnd"/>
      <w:r w:rsidR="00843D9D">
        <w:rPr>
          <w:rStyle w:val="cf01"/>
          <w:rFonts w:asciiTheme="minorHAnsi" w:hAnsiTheme="minorHAnsi" w:cstheme="minorHAnsi"/>
          <w:sz w:val="24"/>
          <w:szCs w:val="24"/>
        </w:rPr>
        <w:t xml:space="preserve"> MexB</w:t>
      </w:r>
      <w:r w:rsidR="00843D9D">
        <w:rPr>
          <w:rStyle w:val="cf01"/>
          <w:rFonts w:asciiTheme="minorHAnsi" w:hAnsiTheme="minorHAnsi" w:cstheme="minorHAnsi"/>
          <w:sz w:val="24"/>
          <w:szCs w:val="24"/>
        </w:rPr>
        <w:fldChar w:fldCharType="begin"/>
      </w:r>
      <w:r w:rsidR="002F6F9F">
        <w:rPr>
          <w:rStyle w:val="cf01"/>
          <w:rFonts w:asciiTheme="minorHAnsi" w:hAnsiTheme="minorHAnsi" w:cstheme="minorHAnsi"/>
          <w:sz w:val="24"/>
          <w:szCs w:val="24"/>
        </w:rPr>
        <w:instrText xml:space="preserve"> ADDIN ZOTERO_ITEM CSL_CITATION {"citationID":"a2ij2prblaj","properties":{"formattedCitation":"\\super 165\\nosupersub{}","plainCitation":"165","noteIndex":0},"citationItems":[{"id":2251,"uris":["http://zotero.org/users/1918630/items/3F59Y8SE"],"itemData":{"id":2251,"type":"article-journal","abstract":"The first inhibitor-bound X-ray crystal structures of the bacterial multidrug efflux transporter AcrB and its homologue MexB are presented, with the inhibitor shown to bind the transporter through a narrow hydrophobic pit, thereby preventing rotation of AcrB and MexB monomers.","container-title":"Nature","DOI":"10.1038/nature12300","ISSN":"1476-4687","issue":"7460","language":"en","license":"2013 Springer Nature Limited","note":"publisher: Nature Publishing Group","page":"102-106","source":"www.nature.com","title":"Structural basis for the inhibition of bacterial multidrug exporters","volume":"500","author":[{"family":"Nakashima","given":"Ryosuke"},{"family":"Sakurai","given":"Keisuke"},{"family":"Yamasaki","given":"Seiji"},{"family":"Hayashi","given":"Katsuhiko"},{"family":"Nagata","given":"Chikahiro"},{"family":"Hoshino","given":"Kazuki"},{"family":"Onodera","given":"Yoshikuni"},{"family":"Nishino","given":"Kunihiko"},{"family":"Yamaguchi","given":"Akihito"}],"issued":{"date-parts":[["2013",8]]}}}],"schema":"https://github.com/citation-style-language/schema/raw/master/csl-citation.json"} </w:instrText>
      </w:r>
      <w:r w:rsidR="00843D9D">
        <w:rPr>
          <w:rStyle w:val="cf01"/>
          <w:rFonts w:asciiTheme="minorHAnsi" w:hAnsiTheme="minorHAnsi" w:cstheme="minorHAnsi"/>
          <w:sz w:val="24"/>
          <w:szCs w:val="24"/>
        </w:rPr>
        <w:fldChar w:fldCharType="separate"/>
      </w:r>
      <w:r w:rsidR="002F6F9F" w:rsidRPr="002F6F9F">
        <w:rPr>
          <w:rFonts w:ascii="Times New Roman" w:hAnsi="Times New Roman" w:cs="Times New Roman"/>
          <w:sz w:val="24"/>
          <w:vertAlign w:val="superscript"/>
        </w:rPr>
        <w:t>165</w:t>
      </w:r>
      <w:r w:rsidR="00843D9D">
        <w:rPr>
          <w:rStyle w:val="cf01"/>
          <w:rFonts w:asciiTheme="minorHAnsi" w:hAnsiTheme="minorHAnsi" w:cstheme="minorHAnsi"/>
          <w:sz w:val="24"/>
          <w:szCs w:val="24"/>
        </w:rPr>
        <w:fldChar w:fldCharType="end"/>
      </w:r>
      <w:r w:rsidR="00683487">
        <w:rPr>
          <w:rStyle w:val="cf01"/>
          <w:rFonts w:asciiTheme="minorHAnsi" w:hAnsiTheme="minorHAnsi" w:cstheme="minorHAnsi"/>
          <w:sz w:val="24"/>
          <w:szCs w:val="24"/>
        </w:rPr>
        <w:t xml:space="preserve">) we now </w:t>
      </w:r>
      <w:r w:rsidR="00843D9D">
        <w:rPr>
          <w:rStyle w:val="cf01"/>
          <w:rFonts w:asciiTheme="minorHAnsi" w:hAnsiTheme="minorHAnsi" w:cstheme="minorHAnsi"/>
          <w:sz w:val="24"/>
          <w:szCs w:val="24"/>
        </w:rPr>
        <w:t>know that</w:t>
      </w:r>
      <w:r w:rsidR="00683487">
        <w:rPr>
          <w:rStyle w:val="cf01"/>
          <w:rFonts w:asciiTheme="minorHAnsi" w:hAnsiTheme="minorHAnsi" w:cstheme="minorHAnsi"/>
          <w:sz w:val="24"/>
          <w:szCs w:val="24"/>
        </w:rPr>
        <w:t xml:space="preserve"> EPIs </w:t>
      </w:r>
      <w:r w:rsidR="00DC69A4">
        <w:rPr>
          <w:rStyle w:val="cf01"/>
          <w:rFonts w:asciiTheme="minorHAnsi" w:hAnsiTheme="minorHAnsi" w:cstheme="minorHAnsi"/>
          <w:sz w:val="24"/>
          <w:szCs w:val="24"/>
        </w:rPr>
        <w:t xml:space="preserve">can </w:t>
      </w:r>
      <w:r w:rsidR="00683487">
        <w:rPr>
          <w:rStyle w:val="cf01"/>
          <w:rFonts w:asciiTheme="minorHAnsi" w:hAnsiTheme="minorHAnsi" w:cstheme="minorHAnsi"/>
          <w:sz w:val="24"/>
          <w:szCs w:val="24"/>
        </w:rPr>
        <w:t xml:space="preserve">bind to </w:t>
      </w:r>
      <w:r w:rsidR="00843D9D">
        <w:rPr>
          <w:rStyle w:val="cf01"/>
          <w:rFonts w:asciiTheme="minorHAnsi" w:hAnsiTheme="minorHAnsi" w:cstheme="minorHAnsi"/>
          <w:sz w:val="24"/>
          <w:szCs w:val="24"/>
        </w:rPr>
        <w:t xml:space="preserve">the phenylalanine-rich hydrophobic trap </w:t>
      </w:r>
      <w:r w:rsidR="00DC69A4">
        <w:rPr>
          <w:rStyle w:val="cf01"/>
          <w:rFonts w:asciiTheme="minorHAnsi" w:hAnsiTheme="minorHAnsi" w:cstheme="minorHAnsi"/>
          <w:sz w:val="24"/>
          <w:szCs w:val="24"/>
        </w:rPr>
        <w:t xml:space="preserve">deep </w:t>
      </w:r>
      <w:r w:rsidR="00843D9D">
        <w:rPr>
          <w:rStyle w:val="cf01"/>
          <w:rFonts w:asciiTheme="minorHAnsi" w:hAnsiTheme="minorHAnsi" w:cstheme="minorHAnsi"/>
          <w:sz w:val="24"/>
          <w:szCs w:val="24"/>
        </w:rPr>
        <w:t xml:space="preserve">within the </w:t>
      </w:r>
      <w:r w:rsidR="00DC69A4">
        <w:rPr>
          <w:rStyle w:val="cf01"/>
          <w:rFonts w:asciiTheme="minorHAnsi" w:hAnsiTheme="minorHAnsi" w:cstheme="minorHAnsi"/>
          <w:sz w:val="24"/>
          <w:szCs w:val="24"/>
        </w:rPr>
        <w:t>distal</w:t>
      </w:r>
      <w:r w:rsidR="00843D9D">
        <w:rPr>
          <w:rStyle w:val="cf01"/>
          <w:rFonts w:asciiTheme="minorHAnsi" w:hAnsiTheme="minorHAnsi" w:cstheme="minorHAnsi"/>
          <w:sz w:val="24"/>
          <w:szCs w:val="24"/>
        </w:rPr>
        <w:t xml:space="preserve"> binding pocket</w:t>
      </w:r>
      <w:r w:rsidR="00D17DEC">
        <w:rPr>
          <w:rStyle w:val="cf01"/>
          <w:rFonts w:asciiTheme="minorHAnsi" w:hAnsiTheme="minorHAnsi" w:cstheme="minorHAnsi"/>
          <w:sz w:val="24"/>
          <w:szCs w:val="24"/>
        </w:rPr>
        <w:t>.</w:t>
      </w:r>
      <w:r w:rsidR="00D17DEC">
        <w:rPr>
          <w:rStyle w:val="cf01"/>
          <w:rFonts w:asciiTheme="minorHAnsi" w:hAnsiTheme="minorHAnsi" w:cstheme="minorHAnsi"/>
          <w:sz w:val="24"/>
          <w:szCs w:val="24"/>
        </w:rPr>
        <w:fldChar w:fldCharType="begin"/>
      </w:r>
      <w:r w:rsidR="002F6F9F">
        <w:rPr>
          <w:rStyle w:val="cf01"/>
          <w:rFonts w:asciiTheme="minorHAnsi" w:hAnsiTheme="minorHAnsi" w:cstheme="minorHAnsi"/>
          <w:sz w:val="24"/>
          <w:szCs w:val="24"/>
        </w:rPr>
        <w:instrText xml:space="preserve"> ADDIN ZOTERO_ITEM CSL_CITATION {"citationID":"a2j80f61bmm","properties":{"formattedCitation":"\\super 166\\nosupersub{}","plainCitation":"166","noteIndex":0},"citationItems":[{"id":2245,"uris":["http://zotero.org/users/1918630/items/MC63NVH8"],"itemData":{"id":2245,"type":"article-journal","abstract":"Resistance-nodulation-division (RND) superfamily efflux pumps play a major role in multidrug resistance (MDR) of Gram-negative pathogens by extruding diverse classes of antibiotics from the cell. There has been considerable interest in developing efflux pump inhibitors (EPIs) of RND pumps as adjunctive therapies. The primary challenge in EPI discovery has been the highly hydrophobic, poly-specific substrate binding site of the target. Recent findings have identified the hydrophobic trap, a narrow phenylalanine- lined groove in the substrate-binding site, as the “Achilles heel” of the RND efflux pumps. In this review, we will examine the hydrophobic trap as an EPI target and two chemically distinct series of EPIs that bind there.","container-title":"Research in microbiology","DOI":"10.1016/j.resmic.2017.11.001","ISSN":"0923-2508","issue":"7-8","journalAbbreviation":"Res Microbiol","note":"PMID: 29146106\nPMCID: PMC5949246","page":"393-400","source":"PubMed Central","title":"The hydrophobic trap—the Achilles heel of RND efflux pumps","volume":"169","author":[{"family":"Aron","given":"Zachary"},{"family":"Opperman","given":"Timothy J."}],"issued":{"date-parts":[["2018"]]}}}],"schema":"https://github.com/citation-style-language/schema/raw/master/csl-citation.json"} </w:instrText>
      </w:r>
      <w:r w:rsidR="00D17DEC">
        <w:rPr>
          <w:rStyle w:val="cf01"/>
          <w:rFonts w:asciiTheme="minorHAnsi" w:hAnsiTheme="minorHAnsi" w:cstheme="minorHAnsi"/>
          <w:sz w:val="24"/>
          <w:szCs w:val="24"/>
        </w:rPr>
        <w:fldChar w:fldCharType="separate"/>
      </w:r>
      <w:r w:rsidR="002F6F9F" w:rsidRPr="002F6F9F">
        <w:rPr>
          <w:rFonts w:ascii="Times New Roman" w:hAnsi="Times New Roman" w:cs="Times New Roman"/>
          <w:sz w:val="24"/>
          <w:vertAlign w:val="superscript"/>
        </w:rPr>
        <w:t>166</w:t>
      </w:r>
      <w:r w:rsidR="00D17DEC">
        <w:rPr>
          <w:rStyle w:val="cf01"/>
          <w:rFonts w:asciiTheme="minorHAnsi" w:hAnsiTheme="minorHAnsi" w:cstheme="minorHAnsi"/>
          <w:sz w:val="24"/>
          <w:szCs w:val="24"/>
        </w:rPr>
        <w:fldChar w:fldCharType="end"/>
      </w:r>
      <w:r w:rsidR="00DC69A4">
        <w:rPr>
          <w:rStyle w:val="cf01"/>
          <w:rFonts w:asciiTheme="minorHAnsi" w:hAnsiTheme="minorHAnsi" w:cstheme="minorHAnsi"/>
          <w:sz w:val="24"/>
          <w:szCs w:val="24"/>
        </w:rPr>
        <w:t xml:space="preserve"> This enables the design of EPIs that specifically target this hydrophobic trap</w:t>
      </w:r>
      <w:r w:rsidR="00D17DEC">
        <w:rPr>
          <w:rStyle w:val="cf01"/>
          <w:rFonts w:asciiTheme="minorHAnsi" w:hAnsiTheme="minorHAnsi" w:cstheme="minorHAnsi"/>
          <w:sz w:val="24"/>
          <w:szCs w:val="24"/>
        </w:rPr>
        <w:t xml:space="preserve"> and avoid being exported by the pump. </w:t>
      </w:r>
    </w:p>
    <w:p w14:paraId="048AB63A" w14:textId="5E47D376" w:rsidR="005B4B77" w:rsidRDefault="00403FBC" w:rsidP="00041B30">
      <w:pPr>
        <w:spacing w:line="360" w:lineRule="auto"/>
        <w:rPr>
          <w:rFonts w:ascii="Cambria Math" w:hAnsi="Cambria Math" w:cs="Times New Roman"/>
          <w:sz w:val="24"/>
          <w:szCs w:val="24"/>
        </w:rPr>
      </w:pPr>
      <w:r>
        <w:rPr>
          <w:sz w:val="24"/>
          <w:szCs w:val="24"/>
        </w:rPr>
        <w:tab/>
        <w:t>We next analyzed how mutations in the</w:t>
      </w:r>
      <w:r w:rsidR="000905D5">
        <w:rPr>
          <w:sz w:val="24"/>
          <w:szCs w:val="24"/>
        </w:rPr>
        <w:t xml:space="preserve"> proximal and distal binding </w:t>
      </w:r>
      <w:r>
        <w:rPr>
          <w:sz w:val="24"/>
          <w:szCs w:val="24"/>
        </w:rPr>
        <w:t xml:space="preserve">sites of AdeG affect the efficiency of SLUPP_1377’s action. </w:t>
      </w:r>
      <w:r w:rsidR="000C1DE6">
        <w:rPr>
          <w:sz w:val="24"/>
          <w:szCs w:val="24"/>
        </w:rPr>
        <w:t xml:space="preserve">As a method of measuring efflux activity, the intracellular accumulation of NPN was </w:t>
      </w:r>
      <w:r w:rsidR="00B717C4">
        <w:rPr>
          <w:sz w:val="24"/>
          <w:szCs w:val="24"/>
        </w:rPr>
        <w:t xml:space="preserve">analyzed </w:t>
      </w:r>
      <w:r w:rsidR="000C1DE6">
        <w:rPr>
          <w:sz w:val="24"/>
          <w:szCs w:val="24"/>
        </w:rPr>
        <w:t>in</w:t>
      </w:r>
      <w:r w:rsidR="00B27B14">
        <w:rPr>
          <w:sz w:val="24"/>
          <w:szCs w:val="24"/>
        </w:rPr>
        <w:t xml:space="preserve"> Ab</w:t>
      </w:r>
      <w:r w:rsidR="000C1DE6" w:rsidRPr="005A5764">
        <w:rPr>
          <w:sz w:val="24"/>
          <w:szCs w:val="24"/>
        </w:rPr>
        <w:t>Δ</w:t>
      </w:r>
      <w:r w:rsidR="000C1DE6">
        <w:rPr>
          <w:sz w:val="24"/>
          <w:szCs w:val="24"/>
        </w:rPr>
        <w:t xml:space="preserve">3-Pore cells carrying the mutant AdeFGH operons and compared to NPN uptake of </w:t>
      </w:r>
      <w:r w:rsidR="00B27B14">
        <w:rPr>
          <w:sz w:val="24"/>
          <w:szCs w:val="24"/>
        </w:rPr>
        <w:t>Ab</w:t>
      </w:r>
      <w:r w:rsidR="000C1DE6" w:rsidRPr="005A5764">
        <w:rPr>
          <w:sz w:val="24"/>
          <w:szCs w:val="24"/>
        </w:rPr>
        <w:t>Δ</w:t>
      </w:r>
      <w:r w:rsidR="000C1DE6">
        <w:rPr>
          <w:sz w:val="24"/>
          <w:szCs w:val="24"/>
        </w:rPr>
        <w:t xml:space="preserve">3-Pore (negative control) and </w:t>
      </w:r>
      <w:r w:rsidR="00B27B14">
        <w:rPr>
          <w:sz w:val="24"/>
          <w:szCs w:val="24"/>
        </w:rPr>
        <w:t>Ab</w:t>
      </w:r>
      <w:r w:rsidR="000C1DE6" w:rsidRPr="005A5764">
        <w:rPr>
          <w:sz w:val="24"/>
          <w:szCs w:val="24"/>
        </w:rPr>
        <w:t>Δ</w:t>
      </w:r>
      <w:r w:rsidR="000C1DE6">
        <w:rPr>
          <w:sz w:val="24"/>
          <w:szCs w:val="24"/>
        </w:rPr>
        <w:t>3-Pore</w:t>
      </w:r>
      <w:r w:rsidR="00BA2847">
        <w:rPr>
          <w:sz w:val="24"/>
          <w:szCs w:val="24"/>
        </w:rPr>
        <w:t xml:space="preserve"> </w:t>
      </w:r>
      <w:r w:rsidR="007341CB">
        <w:rPr>
          <w:sz w:val="24"/>
          <w:szCs w:val="24"/>
        </w:rPr>
        <w:t>(</w:t>
      </w:r>
      <w:r w:rsidR="000C1DE6">
        <w:rPr>
          <w:sz w:val="24"/>
          <w:szCs w:val="24"/>
        </w:rPr>
        <w:t>pAdeFGH</w:t>
      </w:r>
      <w:r w:rsidR="007341CB">
        <w:rPr>
          <w:sz w:val="24"/>
          <w:szCs w:val="24"/>
        </w:rPr>
        <w:t>)</w:t>
      </w:r>
      <w:r w:rsidR="000C1DE6">
        <w:rPr>
          <w:sz w:val="24"/>
          <w:szCs w:val="24"/>
        </w:rPr>
        <w:t xml:space="preserve"> (positive control). </w:t>
      </w:r>
      <w:r w:rsidR="00BF502F">
        <w:rPr>
          <w:sz w:val="24"/>
          <w:szCs w:val="24"/>
        </w:rPr>
        <w:t xml:space="preserve">All wells contained the final concentration of 4 </w:t>
      </w:r>
      <w:r w:rsidR="00BF502F">
        <w:rPr>
          <w:rFonts w:ascii="Calibri" w:hAnsi="Calibri" w:cs="Calibri"/>
          <w:sz w:val="24"/>
          <w:szCs w:val="24"/>
        </w:rPr>
        <w:t>μ</w:t>
      </w:r>
      <w:r w:rsidR="00BF502F">
        <w:rPr>
          <w:rFonts w:ascii="Cambria Math" w:hAnsi="Cambria Math" w:cs="Times New Roman"/>
          <w:sz w:val="24"/>
          <w:szCs w:val="24"/>
        </w:rPr>
        <w:t>M</w:t>
      </w:r>
      <w:r w:rsidR="00BF502F">
        <w:rPr>
          <w:sz w:val="24"/>
          <w:szCs w:val="24"/>
        </w:rPr>
        <w:t xml:space="preserve"> NPN. This NPN fluorescence assay was run in combination with </w:t>
      </w:r>
      <w:r w:rsidR="00AD111B">
        <w:rPr>
          <w:sz w:val="24"/>
          <w:szCs w:val="24"/>
        </w:rPr>
        <w:t>increasing c</w:t>
      </w:r>
      <w:r w:rsidR="00BF502F">
        <w:rPr>
          <w:sz w:val="24"/>
          <w:szCs w:val="24"/>
        </w:rPr>
        <w:t xml:space="preserve">oncentrations of </w:t>
      </w:r>
      <w:r w:rsidR="00B1648B">
        <w:rPr>
          <w:sz w:val="24"/>
          <w:szCs w:val="24"/>
        </w:rPr>
        <w:t>SLUPP</w:t>
      </w:r>
      <w:r w:rsidR="00BF502F">
        <w:rPr>
          <w:sz w:val="24"/>
          <w:szCs w:val="24"/>
        </w:rPr>
        <w:t>_1377</w:t>
      </w:r>
      <w:r w:rsidR="00AD111B" w:rsidRPr="00C158D7">
        <w:rPr>
          <w:rFonts w:cstheme="minorHAnsi"/>
          <w:sz w:val="24"/>
          <w:szCs w:val="24"/>
        </w:rPr>
        <w:t>:</w:t>
      </w:r>
      <w:r w:rsidR="00BF502F" w:rsidRPr="00C158D7">
        <w:rPr>
          <w:rFonts w:cstheme="minorHAnsi"/>
          <w:sz w:val="24"/>
          <w:szCs w:val="24"/>
        </w:rPr>
        <w:t xml:space="preserve"> 0 μM</w:t>
      </w:r>
      <w:r w:rsidR="00AD111B" w:rsidRPr="00C158D7">
        <w:rPr>
          <w:rFonts w:cstheme="minorHAnsi"/>
          <w:sz w:val="24"/>
          <w:szCs w:val="24"/>
        </w:rPr>
        <w:t>, 1.56 μM, 3.13 μM, 6.25 μM, 12.5 μM, and</w:t>
      </w:r>
      <w:r w:rsidR="00BF502F" w:rsidRPr="00C158D7">
        <w:rPr>
          <w:rFonts w:cstheme="minorHAnsi"/>
          <w:sz w:val="24"/>
          <w:szCs w:val="24"/>
        </w:rPr>
        <w:t xml:space="preserve"> 25 μM. </w:t>
      </w:r>
    </w:p>
    <w:p w14:paraId="19302724" w14:textId="347DB645" w:rsidR="008C6D93" w:rsidRDefault="00BF502F" w:rsidP="00B21C65">
      <w:pPr>
        <w:spacing w:before="240" w:line="360" w:lineRule="auto"/>
        <w:rPr>
          <w:rFonts w:cstheme="minorHAnsi"/>
          <w:sz w:val="24"/>
          <w:szCs w:val="24"/>
        </w:rPr>
      </w:pPr>
      <w:r>
        <w:rPr>
          <w:rFonts w:ascii="Cambria Math" w:hAnsi="Cambria Math" w:cs="Times New Roman"/>
          <w:sz w:val="24"/>
          <w:szCs w:val="24"/>
        </w:rPr>
        <w:tab/>
      </w:r>
      <w:r w:rsidRPr="0028630E">
        <w:rPr>
          <w:rFonts w:cstheme="minorHAnsi"/>
          <w:sz w:val="24"/>
          <w:szCs w:val="24"/>
        </w:rPr>
        <w:t xml:space="preserve">Most mutants exhibited similar </w:t>
      </w:r>
      <w:r w:rsidR="00201008">
        <w:rPr>
          <w:rFonts w:cstheme="minorHAnsi"/>
          <w:sz w:val="24"/>
          <w:szCs w:val="24"/>
        </w:rPr>
        <w:t xml:space="preserve">steady state </w:t>
      </w:r>
      <w:r w:rsidR="00AD111B" w:rsidRPr="0028630E">
        <w:rPr>
          <w:rFonts w:cstheme="minorHAnsi"/>
          <w:sz w:val="24"/>
          <w:szCs w:val="24"/>
        </w:rPr>
        <w:t>NPN accumulation ([NPN]</w:t>
      </w:r>
      <w:r w:rsidR="00AD111B" w:rsidRPr="0028630E">
        <w:rPr>
          <w:rFonts w:cstheme="minorHAnsi"/>
          <w:sz w:val="24"/>
          <w:szCs w:val="24"/>
          <w:vertAlign w:val="subscript"/>
        </w:rPr>
        <w:t>in</w:t>
      </w:r>
      <w:r w:rsidR="00AD111B" w:rsidRPr="0028630E">
        <w:rPr>
          <w:rFonts w:cstheme="minorHAnsi"/>
          <w:sz w:val="24"/>
          <w:szCs w:val="24"/>
        </w:rPr>
        <w:t xml:space="preserve">, </w:t>
      </w:r>
      <w:r w:rsidR="00AD111B" w:rsidRPr="0028630E">
        <w:rPr>
          <w:rFonts w:cstheme="minorHAnsi"/>
          <w:b/>
          <w:bCs/>
          <w:sz w:val="24"/>
          <w:szCs w:val="24"/>
        </w:rPr>
        <w:t xml:space="preserve">Figure </w:t>
      </w:r>
      <w:r w:rsidR="00B21C65" w:rsidRPr="0028630E">
        <w:rPr>
          <w:rFonts w:cstheme="minorHAnsi"/>
          <w:b/>
          <w:bCs/>
          <w:sz w:val="24"/>
          <w:szCs w:val="24"/>
        </w:rPr>
        <w:t>4.</w:t>
      </w:r>
      <w:r w:rsidR="00201008">
        <w:rPr>
          <w:rFonts w:cstheme="minorHAnsi"/>
          <w:b/>
          <w:bCs/>
          <w:sz w:val="24"/>
          <w:szCs w:val="24"/>
        </w:rPr>
        <w:t>9</w:t>
      </w:r>
      <w:r w:rsidR="00AD111B" w:rsidRPr="0028630E">
        <w:rPr>
          <w:rFonts w:cstheme="minorHAnsi"/>
          <w:sz w:val="24"/>
          <w:szCs w:val="24"/>
        </w:rPr>
        <w:t>)</w:t>
      </w:r>
      <w:r w:rsidRPr="0028630E">
        <w:rPr>
          <w:rFonts w:cstheme="minorHAnsi"/>
          <w:sz w:val="24"/>
          <w:szCs w:val="24"/>
        </w:rPr>
        <w:t xml:space="preserve"> at the highest concentration of </w:t>
      </w:r>
      <w:r w:rsidR="00B1648B" w:rsidRPr="0028630E">
        <w:rPr>
          <w:rFonts w:cstheme="minorHAnsi"/>
          <w:sz w:val="24"/>
          <w:szCs w:val="24"/>
        </w:rPr>
        <w:t>SLUPP</w:t>
      </w:r>
      <w:r w:rsidRPr="0028630E">
        <w:rPr>
          <w:rFonts w:cstheme="minorHAnsi"/>
          <w:sz w:val="24"/>
          <w:szCs w:val="24"/>
        </w:rPr>
        <w:t xml:space="preserve">_1377 (25 μM) to the </w:t>
      </w:r>
      <w:r w:rsidR="00201008">
        <w:rPr>
          <w:rFonts w:cstheme="minorHAnsi"/>
          <w:sz w:val="24"/>
          <w:szCs w:val="24"/>
        </w:rPr>
        <w:t>steady state</w:t>
      </w:r>
      <w:r w:rsidRPr="0028630E">
        <w:rPr>
          <w:rFonts w:cstheme="minorHAnsi"/>
          <w:sz w:val="24"/>
          <w:szCs w:val="24"/>
        </w:rPr>
        <w:t xml:space="preserve"> </w:t>
      </w:r>
      <w:r w:rsidR="00B21C65" w:rsidRPr="0028630E">
        <w:rPr>
          <w:rFonts w:cstheme="minorHAnsi"/>
          <w:sz w:val="24"/>
          <w:szCs w:val="24"/>
        </w:rPr>
        <w:t>NPN accumulation</w:t>
      </w:r>
      <w:r w:rsidRPr="0028630E">
        <w:rPr>
          <w:rFonts w:cstheme="minorHAnsi"/>
          <w:sz w:val="24"/>
          <w:szCs w:val="24"/>
        </w:rPr>
        <w:t xml:space="preserve"> seen in the cells expressing the WT AdeFGH efflux pump (~</w:t>
      </w:r>
      <w:r w:rsidR="00B21C65" w:rsidRPr="0028630E">
        <w:rPr>
          <w:rFonts w:cstheme="minorHAnsi"/>
          <w:sz w:val="24"/>
          <w:szCs w:val="24"/>
        </w:rPr>
        <w:t>14</w:t>
      </w:r>
      <w:r w:rsidRPr="0028630E">
        <w:rPr>
          <w:rFonts w:cstheme="minorHAnsi"/>
          <w:sz w:val="24"/>
          <w:szCs w:val="24"/>
        </w:rPr>
        <w:t>k</w:t>
      </w:r>
      <w:r w:rsidR="0028630E" w:rsidRPr="0028630E">
        <w:rPr>
          <w:rFonts w:cstheme="minorHAnsi"/>
          <w:sz w:val="24"/>
          <w:szCs w:val="24"/>
        </w:rPr>
        <w:t xml:space="preserve"> RFU</w:t>
      </w:r>
      <w:r w:rsidRPr="0028630E">
        <w:rPr>
          <w:rFonts w:cstheme="minorHAnsi"/>
          <w:sz w:val="24"/>
          <w:szCs w:val="24"/>
        </w:rPr>
        <w:t xml:space="preserve">). </w:t>
      </w:r>
      <w:r w:rsidR="005266C7" w:rsidRPr="0028630E">
        <w:rPr>
          <w:rFonts w:cstheme="minorHAnsi"/>
          <w:sz w:val="24"/>
          <w:szCs w:val="24"/>
        </w:rPr>
        <w:t xml:space="preserve">The AdeG A705I mutant showed similar NPN accumulation compared to WT at 25 μM of </w:t>
      </w:r>
      <w:r w:rsidR="00B1648B" w:rsidRPr="0028630E">
        <w:rPr>
          <w:rFonts w:cstheme="minorHAnsi"/>
          <w:sz w:val="24"/>
          <w:szCs w:val="24"/>
        </w:rPr>
        <w:t>SLUPP</w:t>
      </w:r>
      <w:r w:rsidR="005266C7" w:rsidRPr="0028630E">
        <w:rPr>
          <w:rFonts w:cstheme="minorHAnsi"/>
          <w:sz w:val="24"/>
          <w:szCs w:val="24"/>
        </w:rPr>
        <w:t xml:space="preserve">_1377, but 12.5 μM </w:t>
      </w:r>
      <w:r w:rsidR="00B1648B" w:rsidRPr="0028630E">
        <w:rPr>
          <w:rFonts w:cstheme="minorHAnsi"/>
          <w:sz w:val="24"/>
          <w:szCs w:val="24"/>
        </w:rPr>
        <w:t>SLUPP</w:t>
      </w:r>
      <w:r w:rsidR="005266C7" w:rsidRPr="0028630E">
        <w:rPr>
          <w:rFonts w:cstheme="minorHAnsi"/>
          <w:sz w:val="24"/>
          <w:szCs w:val="24"/>
        </w:rPr>
        <w:t>_1377 was n</w:t>
      </w:r>
      <w:r w:rsidR="008C6D93">
        <w:rPr>
          <w:rFonts w:cstheme="minorHAnsi"/>
          <w:sz w:val="24"/>
          <w:szCs w:val="24"/>
        </w:rPr>
        <w:t>ot</w:t>
      </w:r>
      <w:r w:rsidR="005266C7" w:rsidRPr="0028630E">
        <w:rPr>
          <w:rFonts w:cstheme="minorHAnsi"/>
          <w:sz w:val="24"/>
          <w:szCs w:val="24"/>
        </w:rPr>
        <w:t xml:space="preserve"> effective</w:t>
      </w:r>
      <w:r w:rsidR="00B21C65" w:rsidRPr="0028630E">
        <w:rPr>
          <w:rFonts w:cstheme="minorHAnsi"/>
          <w:sz w:val="24"/>
          <w:szCs w:val="24"/>
        </w:rPr>
        <w:t xml:space="preserve"> (</w:t>
      </w:r>
      <w:r w:rsidR="00B21C65" w:rsidRPr="0028630E">
        <w:rPr>
          <w:rFonts w:cstheme="minorHAnsi"/>
          <w:b/>
          <w:bCs/>
          <w:sz w:val="24"/>
          <w:szCs w:val="24"/>
        </w:rPr>
        <w:t>Figure 4.</w:t>
      </w:r>
      <w:r w:rsidR="00201008">
        <w:rPr>
          <w:rFonts w:cstheme="minorHAnsi"/>
          <w:b/>
          <w:bCs/>
          <w:sz w:val="24"/>
          <w:szCs w:val="24"/>
        </w:rPr>
        <w:t>9</w:t>
      </w:r>
      <w:r w:rsidR="00B21C65" w:rsidRPr="0028630E">
        <w:rPr>
          <w:rFonts w:cstheme="minorHAnsi"/>
          <w:b/>
          <w:bCs/>
          <w:sz w:val="24"/>
          <w:szCs w:val="24"/>
        </w:rPr>
        <w:t>-D</w:t>
      </w:r>
      <w:r w:rsidR="00B21C65" w:rsidRPr="0028630E">
        <w:rPr>
          <w:rFonts w:cstheme="minorHAnsi"/>
          <w:sz w:val="24"/>
          <w:szCs w:val="24"/>
        </w:rPr>
        <w:t xml:space="preserve">). </w:t>
      </w:r>
      <w:r w:rsidR="005266C7" w:rsidRPr="0028630E">
        <w:rPr>
          <w:rFonts w:cstheme="minorHAnsi"/>
          <w:sz w:val="24"/>
          <w:szCs w:val="24"/>
        </w:rPr>
        <w:t xml:space="preserve">Unlike in </w:t>
      </w:r>
      <w:r w:rsidR="00A73513" w:rsidRPr="0028630E">
        <w:rPr>
          <w:rFonts w:cstheme="minorHAnsi"/>
          <w:sz w:val="24"/>
          <w:szCs w:val="24"/>
        </w:rPr>
        <w:t>Δ3-Pore</w:t>
      </w:r>
      <w:r w:rsidR="00BB49B2" w:rsidRPr="0028630E">
        <w:rPr>
          <w:rFonts w:cstheme="minorHAnsi"/>
          <w:sz w:val="24"/>
          <w:szCs w:val="24"/>
        </w:rPr>
        <w:t>(</w:t>
      </w:r>
      <w:r w:rsidR="00A73513" w:rsidRPr="0028630E">
        <w:rPr>
          <w:rFonts w:cstheme="minorHAnsi"/>
          <w:sz w:val="24"/>
          <w:szCs w:val="24"/>
        </w:rPr>
        <w:t>pAdeFGH</w:t>
      </w:r>
      <w:r w:rsidR="00BB49B2" w:rsidRPr="0028630E">
        <w:rPr>
          <w:rFonts w:cstheme="minorHAnsi"/>
          <w:sz w:val="24"/>
          <w:szCs w:val="24"/>
        </w:rPr>
        <w:t>)</w:t>
      </w:r>
      <w:r w:rsidR="005266C7" w:rsidRPr="0028630E">
        <w:rPr>
          <w:rFonts w:cstheme="minorHAnsi"/>
          <w:sz w:val="24"/>
          <w:szCs w:val="24"/>
        </w:rPr>
        <w:t xml:space="preserve"> cells, </w:t>
      </w:r>
      <w:r w:rsidR="00836182" w:rsidRPr="0028630E">
        <w:rPr>
          <w:rFonts w:cstheme="minorHAnsi"/>
          <w:sz w:val="24"/>
          <w:szCs w:val="24"/>
        </w:rPr>
        <w:t xml:space="preserve">the intracellular accumulation of NPN in </w:t>
      </w:r>
      <w:r w:rsidR="005266C7" w:rsidRPr="0028630E">
        <w:rPr>
          <w:rFonts w:cstheme="minorHAnsi"/>
          <w:sz w:val="24"/>
          <w:szCs w:val="24"/>
        </w:rPr>
        <w:t xml:space="preserve">AdeG A705I </w:t>
      </w:r>
      <w:r w:rsidR="00836182" w:rsidRPr="0028630E">
        <w:rPr>
          <w:rFonts w:cstheme="minorHAnsi"/>
          <w:sz w:val="24"/>
          <w:szCs w:val="24"/>
        </w:rPr>
        <w:t>cells was not i</w:t>
      </w:r>
      <w:r w:rsidR="008C6D93">
        <w:rPr>
          <w:rFonts w:cstheme="minorHAnsi"/>
          <w:sz w:val="24"/>
          <w:szCs w:val="24"/>
        </w:rPr>
        <w:t>ncreased</w:t>
      </w:r>
      <w:r w:rsidR="00836182" w:rsidRPr="0028630E">
        <w:rPr>
          <w:rFonts w:cstheme="minorHAnsi"/>
          <w:sz w:val="24"/>
          <w:szCs w:val="24"/>
        </w:rPr>
        <w:t xml:space="preserve"> by 12.5 μM </w:t>
      </w:r>
      <w:r w:rsidR="00B1648B" w:rsidRPr="0028630E">
        <w:rPr>
          <w:rFonts w:cstheme="minorHAnsi"/>
          <w:sz w:val="24"/>
          <w:szCs w:val="24"/>
        </w:rPr>
        <w:t>SLUPP</w:t>
      </w:r>
      <w:r w:rsidR="00836182" w:rsidRPr="0028630E">
        <w:rPr>
          <w:rFonts w:cstheme="minorHAnsi"/>
          <w:sz w:val="24"/>
          <w:szCs w:val="24"/>
        </w:rPr>
        <w:t>_1377. This phenotype was also seen in the AdeG mutants Q83A, and Y725A</w:t>
      </w:r>
      <w:r w:rsidR="00B21C65" w:rsidRPr="0028630E">
        <w:rPr>
          <w:rFonts w:cstheme="minorHAnsi"/>
          <w:sz w:val="24"/>
          <w:szCs w:val="24"/>
        </w:rPr>
        <w:t xml:space="preserve"> (</w:t>
      </w:r>
      <w:r w:rsidR="00B21C65" w:rsidRPr="0028630E">
        <w:rPr>
          <w:rFonts w:cstheme="minorHAnsi"/>
          <w:b/>
          <w:bCs/>
          <w:sz w:val="24"/>
          <w:szCs w:val="24"/>
        </w:rPr>
        <w:t>Figure 4.</w:t>
      </w:r>
      <w:r w:rsidR="00201008">
        <w:rPr>
          <w:rFonts w:cstheme="minorHAnsi"/>
          <w:b/>
          <w:bCs/>
          <w:sz w:val="24"/>
          <w:szCs w:val="24"/>
        </w:rPr>
        <w:t>9</w:t>
      </w:r>
      <w:r w:rsidR="00BA2847">
        <w:rPr>
          <w:rFonts w:cstheme="minorHAnsi"/>
          <w:b/>
          <w:bCs/>
          <w:sz w:val="24"/>
          <w:szCs w:val="24"/>
        </w:rPr>
        <w:t>-</w:t>
      </w:r>
      <w:r w:rsidR="00B21C65" w:rsidRPr="0028630E">
        <w:rPr>
          <w:rFonts w:cstheme="minorHAnsi"/>
          <w:b/>
          <w:bCs/>
          <w:sz w:val="24"/>
          <w:szCs w:val="24"/>
        </w:rPr>
        <w:t xml:space="preserve">E, </w:t>
      </w:r>
      <w:r w:rsidR="00BA2847">
        <w:rPr>
          <w:rFonts w:cstheme="minorHAnsi"/>
          <w:b/>
          <w:bCs/>
          <w:sz w:val="24"/>
          <w:szCs w:val="24"/>
        </w:rPr>
        <w:t>G</w:t>
      </w:r>
      <w:r w:rsidR="00B21C65" w:rsidRPr="0028630E">
        <w:rPr>
          <w:rFonts w:cstheme="minorHAnsi"/>
          <w:sz w:val="24"/>
          <w:szCs w:val="24"/>
        </w:rPr>
        <w:t>).</w:t>
      </w:r>
      <w:r w:rsidR="008C6D93">
        <w:rPr>
          <w:rFonts w:cstheme="minorHAnsi"/>
          <w:sz w:val="24"/>
          <w:szCs w:val="24"/>
        </w:rPr>
        <w:t xml:space="preserve"> Thus, for all these mutants only </w:t>
      </w:r>
      <w:r w:rsidR="008C6D93" w:rsidRPr="0028630E">
        <w:rPr>
          <w:rFonts w:cstheme="minorHAnsi"/>
          <w:sz w:val="24"/>
          <w:szCs w:val="24"/>
        </w:rPr>
        <w:t>25 μM of SLUPP_1377</w:t>
      </w:r>
      <w:r w:rsidR="008C6D93">
        <w:rPr>
          <w:rFonts w:cstheme="minorHAnsi"/>
          <w:sz w:val="24"/>
          <w:szCs w:val="24"/>
        </w:rPr>
        <w:t xml:space="preserve"> was enough significantly increase intracellular accumulation of NPN. </w:t>
      </w:r>
    </w:p>
    <w:p w14:paraId="275A028F" w14:textId="31F6812A" w:rsidR="00F0186F" w:rsidRDefault="00F0186F" w:rsidP="00041B30">
      <w:pPr>
        <w:spacing w:line="360" w:lineRule="auto"/>
        <w:rPr>
          <w:rFonts w:ascii="Cambria Math" w:hAnsi="Cambria Math" w:cs="Times New Roman"/>
          <w:sz w:val="24"/>
          <w:szCs w:val="24"/>
        </w:rPr>
      </w:pPr>
      <w:r>
        <w:rPr>
          <w:rFonts w:ascii="Cambria Math" w:hAnsi="Cambria Math" w:cs="Times New Roman"/>
          <w:sz w:val="24"/>
          <w:szCs w:val="24"/>
        </w:rPr>
        <w:tab/>
      </w:r>
      <w:r w:rsidR="00B21C65">
        <w:rPr>
          <w:rFonts w:ascii="Cambria Math" w:hAnsi="Cambria Math" w:cs="Times New Roman"/>
          <w:sz w:val="24"/>
          <w:szCs w:val="24"/>
        </w:rPr>
        <w:t>The AdeG mutant I621A did not have much difference in NPN accumulation with increasing concentrations of SLUPP_1377 (</w:t>
      </w:r>
      <w:r w:rsidR="00B21C65">
        <w:rPr>
          <w:rFonts w:ascii="Cambria Math" w:hAnsi="Cambria Math" w:cs="Times New Roman"/>
          <w:b/>
          <w:bCs/>
          <w:sz w:val="24"/>
          <w:szCs w:val="24"/>
        </w:rPr>
        <w:t>Figure 4.</w:t>
      </w:r>
      <w:r w:rsidR="00201008">
        <w:rPr>
          <w:rFonts w:ascii="Cambria Math" w:hAnsi="Cambria Math" w:cs="Times New Roman"/>
          <w:b/>
          <w:bCs/>
          <w:sz w:val="24"/>
          <w:szCs w:val="24"/>
        </w:rPr>
        <w:t>9</w:t>
      </w:r>
      <w:r w:rsidR="00B21C65">
        <w:rPr>
          <w:rFonts w:ascii="Cambria Math" w:hAnsi="Cambria Math" w:cs="Times New Roman"/>
          <w:b/>
          <w:bCs/>
          <w:sz w:val="24"/>
          <w:szCs w:val="24"/>
        </w:rPr>
        <w:t>-</w:t>
      </w:r>
      <w:r w:rsidR="00BA2847">
        <w:rPr>
          <w:rFonts w:ascii="Cambria Math" w:hAnsi="Cambria Math" w:cs="Times New Roman"/>
          <w:b/>
          <w:bCs/>
          <w:sz w:val="24"/>
          <w:szCs w:val="24"/>
        </w:rPr>
        <w:t>F</w:t>
      </w:r>
      <w:r w:rsidR="00B21C65">
        <w:rPr>
          <w:rFonts w:ascii="Cambria Math" w:hAnsi="Cambria Math" w:cs="Times New Roman"/>
          <w:sz w:val="24"/>
          <w:szCs w:val="24"/>
        </w:rPr>
        <w:t xml:space="preserve">). The NPN accumulation profile of this mutant appears similar to the negative control, but with lower </w:t>
      </w:r>
      <w:r w:rsidR="00E45661">
        <w:rPr>
          <w:rFonts w:ascii="Cambria Math" w:hAnsi="Cambria Math" w:cs="Times New Roman"/>
          <w:sz w:val="24"/>
          <w:szCs w:val="24"/>
        </w:rPr>
        <w:t>RFU</w:t>
      </w:r>
      <w:r w:rsidR="00B21C65">
        <w:rPr>
          <w:rFonts w:ascii="Cambria Math" w:hAnsi="Cambria Math" w:cs="Times New Roman"/>
          <w:sz w:val="24"/>
          <w:szCs w:val="24"/>
        </w:rPr>
        <w:t xml:space="preserve"> values, suggesting the mutant pump is still</w:t>
      </w:r>
      <w:r>
        <w:rPr>
          <w:rFonts w:ascii="Cambria Math" w:hAnsi="Cambria Math" w:cs="Times New Roman"/>
          <w:sz w:val="24"/>
          <w:szCs w:val="24"/>
        </w:rPr>
        <w:t xml:space="preserve"> </w:t>
      </w:r>
      <w:r w:rsidR="00B21C65">
        <w:rPr>
          <w:rFonts w:ascii="Cambria Math" w:hAnsi="Cambria Math" w:cs="Times New Roman"/>
          <w:sz w:val="24"/>
          <w:szCs w:val="24"/>
        </w:rPr>
        <w:t>functional</w:t>
      </w:r>
      <w:r w:rsidR="003B4FED">
        <w:rPr>
          <w:rFonts w:ascii="Cambria Math" w:hAnsi="Cambria Math" w:cs="Times New Roman"/>
          <w:sz w:val="24"/>
          <w:szCs w:val="24"/>
        </w:rPr>
        <w:t>, but SLUPP-</w:t>
      </w:r>
      <w:r w:rsidR="002D6333">
        <w:rPr>
          <w:rFonts w:ascii="Cambria Math" w:hAnsi="Cambria Math" w:cs="Times New Roman"/>
          <w:sz w:val="24"/>
          <w:szCs w:val="24"/>
        </w:rPr>
        <w:t>1377 is no longer active against this AdeG variant</w:t>
      </w:r>
      <w:r w:rsidR="00E45661">
        <w:rPr>
          <w:rFonts w:ascii="Cambria Math" w:hAnsi="Cambria Math" w:cs="Times New Roman"/>
          <w:sz w:val="24"/>
          <w:szCs w:val="24"/>
        </w:rPr>
        <w:t>.</w:t>
      </w:r>
    </w:p>
    <w:p w14:paraId="53DDB071" w14:textId="58C5F2F6" w:rsidR="00836182" w:rsidRDefault="00836182" w:rsidP="00041B30">
      <w:pPr>
        <w:spacing w:line="360" w:lineRule="auto"/>
        <w:rPr>
          <w:rFonts w:ascii="Cambria Math" w:hAnsi="Cambria Math" w:cs="Times New Roman"/>
          <w:sz w:val="24"/>
          <w:szCs w:val="24"/>
        </w:rPr>
      </w:pPr>
      <w:r>
        <w:rPr>
          <w:rFonts w:ascii="Cambria Math" w:hAnsi="Cambria Math" w:cs="Times New Roman"/>
          <w:sz w:val="24"/>
          <w:szCs w:val="24"/>
        </w:rPr>
        <w:tab/>
        <w:t xml:space="preserve">Two of the AdeG mutants showed increased maximum intracellular NPN accumulation, but with quite different accumulation profiles. The accumulation curves of AdeG S620A </w:t>
      </w:r>
      <w:r w:rsidR="00B21C65">
        <w:rPr>
          <w:rFonts w:ascii="Cambria Math" w:hAnsi="Cambria Math" w:cs="Times New Roman"/>
          <w:sz w:val="24"/>
          <w:szCs w:val="24"/>
        </w:rPr>
        <w:t>(</w:t>
      </w:r>
      <w:r w:rsidR="00B21C65">
        <w:rPr>
          <w:rFonts w:ascii="Cambria Math" w:hAnsi="Cambria Math" w:cs="Times New Roman"/>
          <w:b/>
          <w:bCs/>
          <w:sz w:val="24"/>
          <w:szCs w:val="24"/>
        </w:rPr>
        <w:t>Figure 4.</w:t>
      </w:r>
      <w:r w:rsidR="00201008">
        <w:rPr>
          <w:rFonts w:ascii="Cambria Math" w:hAnsi="Cambria Math" w:cs="Times New Roman"/>
          <w:b/>
          <w:bCs/>
          <w:sz w:val="24"/>
          <w:szCs w:val="24"/>
        </w:rPr>
        <w:t>9</w:t>
      </w:r>
      <w:r w:rsidR="00B21C65" w:rsidRPr="00B21C65">
        <w:rPr>
          <w:rFonts w:ascii="Cambria Math" w:hAnsi="Cambria Math" w:cs="Times New Roman"/>
          <w:b/>
          <w:bCs/>
          <w:sz w:val="24"/>
          <w:szCs w:val="24"/>
        </w:rPr>
        <w:t>-C</w:t>
      </w:r>
      <w:r w:rsidR="00B21C65">
        <w:rPr>
          <w:rFonts w:ascii="Cambria Math" w:hAnsi="Cambria Math" w:cs="Times New Roman"/>
          <w:sz w:val="24"/>
          <w:szCs w:val="24"/>
        </w:rPr>
        <w:t xml:space="preserve">) </w:t>
      </w:r>
      <w:r w:rsidRPr="00B21C65">
        <w:rPr>
          <w:rFonts w:ascii="Cambria Math" w:hAnsi="Cambria Math" w:cs="Times New Roman"/>
          <w:sz w:val="24"/>
          <w:szCs w:val="24"/>
        </w:rPr>
        <w:t>had</w:t>
      </w:r>
      <w:r>
        <w:rPr>
          <w:rFonts w:ascii="Cambria Math" w:hAnsi="Cambria Math" w:cs="Times New Roman"/>
          <w:sz w:val="24"/>
          <w:szCs w:val="24"/>
        </w:rPr>
        <w:t xml:space="preserve"> a similar trend to those of </w:t>
      </w:r>
      <w:r w:rsidR="00A73513" w:rsidRPr="005A5764">
        <w:rPr>
          <w:sz w:val="24"/>
          <w:szCs w:val="24"/>
        </w:rPr>
        <w:t>Δ</w:t>
      </w:r>
      <w:r w:rsidR="00A73513">
        <w:rPr>
          <w:sz w:val="24"/>
          <w:szCs w:val="24"/>
        </w:rPr>
        <w:t>3</w:t>
      </w:r>
      <w:r w:rsidR="00B27B14">
        <w:rPr>
          <w:sz w:val="24"/>
          <w:szCs w:val="24"/>
        </w:rPr>
        <w:t>-P</w:t>
      </w:r>
      <w:r w:rsidR="00A73513">
        <w:rPr>
          <w:sz w:val="24"/>
          <w:szCs w:val="24"/>
        </w:rPr>
        <w:t>ore</w:t>
      </w:r>
      <w:r w:rsidR="00BA2847">
        <w:rPr>
          <w:sz w:val="24"/>
          <w:szCs w:val="24"/>
        </w:rPr>
        <w:t xml:space="preserve"> </w:t>
      </w:r>
      <w:r w:rsidR="002D6333">
        <w:rPr>
          <w:sz w:val="24"/>
          <w:szCs w:val="24"/>
        </w:rPr>
        <w:lastRenderedPageBreak/>
        <w:t>(</w:t>
      </w:r>
      <w:r w:rsidR="00A73513">
        <w:rPr>
          <w:sz w:val="24"/>
          <w:szCs w:val="24"/>
        </w:rPr>
        <w:t>pAdeFGH</w:t>
      </w:r>
      <w:r w:rsidR="002D6333">
        <w:rPr>
          <w:sz w:val="24"/>
          <w:szCs w:val="24"/>
        </w:rPr>
        <w:t>)</w:t>
      </w:r>
      <w:r w:rsidR="00A73513">
        <w:rPr>
          <w:rFonts w:ascii="Cambria Math" w:hAnsi="Cambria Math" w:cs="Times New Roman"/>
          <w:sz w:val="24"/>
          <w:szCs w:val="24"/>
        </w:rPr>
        <w:t xml:space="preserve"> </w:t>
      </w:r>
      <w:r>
        <w:rPr>
          <w:rFonts w:ascii="Cambria Math" w:hAnsi="Cambria Math" w:cs="Times New Roman"/>
          <w:sz w:val="24"/>
          <w:szCs w:val="24"/>
        </w:rPr>
        <w:t>cells</w:t>
      </w:r>
      <w:r w:rsidR="00B21C65">
        <w:rPr>
          <w:rFonts w:ascii="Cambria Math" w:hAnsi="Cambria Math" w:cs="Times New Roman"/>
          <w:sz w:val="24"/>
          <w:szCs w:val="24"/>
        </w:rPr>
        <w:t xml:space="preserve"> (</w:t>
      </w:r>
      <w:r w:rsidR="00B21C65">
        <w:rPr>
          <w:rFonts w:ascii="Cambria Math" w:hAnsi="Cambria Math" w:cs="Times New Roman"/>
          <w:b/>
          <w:bCs/>
          <w:sz w:val="24"/>
          <w:szCs w:val="24"/>
        </w:rPr>
        <w:t>Figure 4.</w:t>
      </w:r>
      <w:r w:rsidR="00201008">
        <w:rPr>
          <w:rFonts w:ascii="Cambria Math" w:hAnsi="Cambria Math" w:cs="Times New Roman"/>
          <w:b/>
          <w:bCs/>
          <w:sz w:val="24"/>
          <w:szCs w:val="24"/>
        </w:rPr>
        <w:t>9</w:t>
      </w:r>
      <w:r w:rsidR="00B21C65">
        <w:rPr>
          <w:rFonts w:ascii="Cambria Math" w:hAnsi="Cambria Math" w:cs="Times New Roman"/>
          <w:b/>
          <w:bCs/>
          <w:sz w:val="24"/>
          <w:szCs w:val="24"/>
        </w:rPr>
        <w:t>-B</w:t>
      </w:r>
      <w:r w:rsidR="00B21C65">
        <w:rPr>
          <w:rFonts w:ascii="Cambria Math" w:hAnsi="Cambria Math" w:cs="Times New Roman"/>
          <w:sz w:val="24"/>
          <w:szCs w:val="24"/>
        </w:rPr>
        <w:t>).</w:t>
      </w:r>
      <w:r>
        <w:rPr>
          <w:rFonts w:ascii="Cambria Math" w:hAnsi="Cambria Math" w:cs="Times New Roman"/>
          <w:sz w:val="24"/>
          <w:szCs w:val="24"/>
        </w:rPr>
        <w:t xml:space="preserve"> </w:t>
      </w:r>
      <w:r w:rsidR="00B1648B">
        <w:rPr>
          <w:rFonts w:ascii="Cambria Math" w:hAnsi="Cambria Math" w:cs="Times New Roman"/>
          <w:sz w:val="24"/>
          <w:szCs w:val="24"/>
        </w:rPr>
        <w:t>SLUPP</w:t>
      </w:r>
      <w:r>
        <w:rPr>
          <w:rFonts w:ascii="Cambria Math" w:hAnsi="Cambria Math" w:cs="Times New Roman"/>
          <w:sz w:val="24"/>
          <w:szCs w:val="24"/>
        </w:rPr>
        <w:t>_1377 concentrations 0</w:t>
      </w:r>
      <w:r w:rsidRPr="00836182">
        <w:rPr>
          <w:rFonts w:ascii="Calibri" w:hAnsi="Calibri" w:cs="Calibri"/>
          <w:sz w:val="24"/>
          <w:szCs w:val="24"/>
        </w:rPr>
        <w:t xml:space="preserve"> </w:t>
      </w:r>
      <w:r>
        <w:rPr>
          <w:rFonts w:ascii="Calibri" w:hAnsi="Calibri" w:cs="Calibri"/>
          <w:sz w:val="24"/>
          <w:szCs w:val="24"/>
        </w:rPr>
        <w:t>μ</w:t>
      </w:r>
      <w:r>
        <w:rPr>
          <w:rFonts w:ascii="Cambria Math" w:hAnsi="Cambria Math" w:cs="Times New Roman"/>
          <w:sz w:val="24"/>
          <w:szCs w:val="24"/>
        </w:rPr>
        <w:t xml:space="preserve">M to 6.25 </w:t>
      </w:r>
      <w:r>
        <w:rPr>
          <w:rFonts w:ascii="Calibri" w:hAnsi="Calibri" w:cs="Calibri"/>
          <w:sz w:val="24"/>
          <w:szCs w:val="24"/>
        </w:rPr>
        <w:t>μ</w:t>
      </w:r>
      <w:r>
        <w:rPr>
          <w:rFonts w:ascii="Cambria Math" w:hAnsi="Cambria Math" w:cs="Times New Roman"/>
          <w:sz w:val="24"/>
          <w:szCs w:val="24"/>
        </w:rPr>
        <w:t xml:space="preserve">M had no impact on NPN accumulation. AdeG S620A cells added to wells containing 12.5 </w:t>
      </w:r>
      <w:r>
        <w:rPr>
          <w:rFonts w:ascii="Calibri" w:hAnsi="Calibri" w:cs="Calibri"/>
          <w:sz w:val="24"/>
          <w:szCs w:val="24"/>
        </w:rPr>
        <w:t>μ</w:t>
      </w:r>
      <w:r>
        <w:rPr>
          <w:rFonts w:ascii="Cambria Math" w:hAnsi="Cambria Math" w:cs="Times New Roman"/>
          <w:sz w:val="24"/>
          <w:szCs w:val="24"/>
        </w:rPr>
        <w:t xml:space="preserve">M did </w:t>
      </w:r>
      <w:r w:rsidRPr="00FD2A81">
        <w:rPr>
          <w:rFonts w:cstheme="minorHAnsi"/>
          <w:sz w:val="24"/>
          <w:szCs w:val="24"/>
        </w:rPr>
        <w:t>show</w:t>
      </w:r>
      <w:r w:rsidR="00674528" w:rsidRPr="00FD2A81">
        <w:rPr>
          <w:rFonts w:cstheme="minorHAnsi"/>
          <w:sz w:val="24"/>
          <w:szCs w:val="24"/>
        </w:rPr>
        <w:t xml:space="preserve"> a ~4,000 </w:t>
      </w:r>
      <w:r w:rsidR="002D6333" w:rsidRPr="00FD2A81">
        <w:rPr>
          <w:rFonts w:cstheme="minorHAnsi"/>
          <w:sz w:val="24"/>
          <w:szCs w:val="24"/>
        </w:rPr>
        <w:t xml:space="preserve">RFU </w:t>
      </w:r>
      <w:r w:rsidR="00674528" w:rsidRPr="00FD2A81">
        <w:rPr>
          <w:rFonts w:cstheme="minorHAnsi"/>
          <w:sz w:val="24"/>
          <w:szCs w:val="24"/>
        </w:rPr>
        <w:t>increase</w:t>
      </w:r>
      <w:r w:rsidR="00674528">
        <w:rPr>
          <w:rFonts w:ascii="Cambria Math" w:hAnsi="Cambria Math" w:cs="Times New Roman"/>
          <w:sz w:val="24"/>
          <w:szCs w:val="24"/>
        </w:rPr>
        <w:t xml:space="preserve">, which is about the same increase in </w:t>
      </w:r>
      <w:r w:rsidR="000716EB">
        <w:rPr>
          <w:rFonts w:ascii="Cambria Math" w:hAnsi="Cambria Math" w:cs="Times New Roman"/>
          <w:sz w:val="24"/>
          <w:szCs w:val="24"/>
        </w:rPr>
        <w:t>NPN accumulation</w:t>
      </w:r>
      <w:r w:rsidR="00674528">
        <w:rPr>
          <w:rFonts w:ascii="Cambria Math" w:hAnsi="Cambria Math" w:cs="Times New Roman"/>
          <w:sz w:val="24"/>
          <w:szCs w:val="24"/>
        </w:rPr>
        <w:t xml:space="preserve"> seen in WT AdeFGH cells with 12.5 </w:t>
      </w:r>
      <w:r w:rsidR="00674528">
        <w:rPr>
          <w:rFonts w:ascii="Calibri" w:hAnsi="Calibri" w:cs="Calibri"/>
          <w:sz w:val="24"/>
          <w:szCs w:val="24"/>
        </w:rPr>
        <w:t>μ</w:t>
      </w:r>
      <w:r w:rsidR="00674528">
        <w:rPr>
          <w:rFonts w:ascii="Cambria Math" w:hAnsi="Cambria Math" w:cs="Times New Roman"/>
          <w:sz w:val="24"/>
          <w:szCs w:val="24"/>
        </w:rPr>
        <w:t xml:space="preserve">M </w:t>
      </w:r>
      <w:r w:rsidR="00B1648B">
        <w:rPr>
          <w:rFonts w:ascii="Cambria Math" w:hAnsi="Cambria Math" w:cs="Times New Roman"/>
          <w:sz w:val="24"/>
          <w:szCs w:val="24"/>
        </w:rPr>
        <w:t>SLUPP</w:t>
      </w:r>
      <w:r w:rsidR="00674528">
        <w:rPr>
          <w:rFonts w:ascii="Cambria Math" w:hAnsi="Cambria Math" w:cs="Times New Roman"/>
          <w:sz w:val="24"/>
          <w:szCs w:val="24"/>
        </w:rPr>
        <w:t xml:space="preserve">_1377. Notably, the </w:t>
      </w:r>
      <w:r w:rsidR="000716EB">
        <w:rPr>
          <w:rFonts w:ascii="Cambria Math" w:hAnsi="Cambria Math" w:cs="Times New Roman"/>
          <w:sz w:val="24"/>
          <w:szCs w:val="24"/>
        </w:rPr>
        <w:t>NPN accumulation</w:t>
      </w:r>
      <w:r w:rsidR="00674528">
        <w:rPr>
          <w:rFonts w:ascii="Cambria Math" w:hAnsi="Cambria Math" w:cs="Times New Roman"/>
          <w:sz w:val="24"/>
          <w:szCs w:val="24"/>
        </w:rPr>
        <w:t xml:space="preserve"> in AdeG S620A cells with 25 </w:t>
      </w:r>
      <w:r w:rsidR="00674528">
        <w:rPr>
          <w:rFonts w:ascii="Calibri" w:hAnsi="Calibri" w:cs="Calibri"/>
          <w:sz w:val="24"/>
          <w:szCs w:val="24"/>
        </w:rPr>
        <w:t>μ</w:t>
      </w:r>
      <w:r w:rsidR="00674528">
        <w:rPr>
          <w:rFonts w:ascii="Cambria Math" w:hAnsi="Cambria Math" w:cs="Times New Roman"/>
          <w:sz w:val="24"/>
          <w:szCs w:val="24"/>
        </w:rPr>
        <w:t xml:space="preserve">M </w:t>
      </w:r>
      <w:r w:rsidR="00B1648B">
        <w:rPr>
          <w:rFonts w:ascii="Cambria Math" w:hAnsi="Cambria Math" w:cs="Times New Roman"/>
          <w:sz w:val="24"/>
          <w:szCs w:val="24"/>
        </w:rPr>
        <w:t>SLUPP</w:t>
      </w:r>
      <w:r w:rsidR="00674528">
        <w:rPr>
          <w:rFonts w:ascii="Cambria Math" w:hAnsi="Cambria Math" w:cs="Times New Roman"/>
          <w:sz w:val="24"/>
          <w:szCs w:val="24"/>
        </w:rPr>
        <w:t xml:space="preserve">_1377 saw an increase of </w:t>
      </w:r>
      <w:r w:rsidR="00674528" w:rsidRPr="00FD2A81">
        <w:rPr>
          <w:rFonts w:cstheme="minorHAnsi"/>
          <w:sz w:val="24"/>
          <w:szCs w:val="24"/>
        </w:rPr>
        <w:t xml:space="preserve">~6,000 </w:t>
      </w:r>
      <w:r w:rsidR="00574ED1" w:rsidRPr="00FD2A81">
        <w:rPr>
          <w:rFonts w:cstheme="minorHAnsi"/>
          <w:sz w:val="24"/>
          <w:szCs w:val="24"/>
        </w:rPr>
        <w:t>RFU</w:t>
      </w:r>
      <w:r w:rsidR="00574ED1">
        <w:rPr>
          <w:rFonts w:ascii="Cambria Math" w:hAnsi="Cambria Math" w:cs="Times New Roman"/>
          <w:sz w:val="24"/>
          <w:szCs w:val="24"/>
        </w:rPr>
        <w:t xml:space="preserve"> </w:t>
      </w:r>
      <w:r w:rsidR="00674528">
        <w:rPr>
          <w:rFonts w:ascii="Cambria Math" w:hAnsi="Cambria Math" w:cs="Times New Roman"/>
          <w:sz w:val="24"/>
          <w:szCs w:val="24"/>
        </w:rPr>
        <w:t xml:space="preserve">compared to the ~1,500 </w:t>
      </w:r>
      <w:r w:rsidR="000716EB">
        <w:rPr>
          <w:rFonts w:ascii="Calibri" w:hAnsi="Calibri" w:cs="Calibri"/>
          <w:sz w:val="24"/>
          <w:szCs w:val="24"/>
        </w:rPr>
        <w:t>μ</w:t>
      </w:r>
      <w:r w:rsidR="000716EB">
        <w:rPr>
          <w:rFonts w:ascii="Cambria Math" w:hAnsi="Cambria Math" w:cs="Times New Roman"/>
          <w:sz w:val="24"/>
          <w:szCs w:val="24"/>
        </w:rPr>
        <w:t>M</w:t>
      </w:r>
      <w:r w:rsidR="00674528">
        <w:rPr>
          <w:rFonts w:ascii="Cambria Math" w:hAnsi="Cambria Math" w:cs="Times New Roman"/>
          <w:sz w:val="24"/>
          <w:szCs w:val="24"/>
        </w:rPr>
        <w:t xml:space="preserve"> increase in </w:t>
      </w:r>
      <w:r w:rsidR="00A73513" w:rsidRPr="005A5764">
        <w:rPr>
          <w:sz w:val="24"/>
          <w:szCs w:val="24"/>
        </w:rPr>
        <w:t>Δ</w:t>
      </w:r>
      <w:r w:rsidR="00A73513">
        <w:rPr>
          <w:sz w:val="24"/>
          <w:szCs w:val="24"/>
        </w:rPr>
        <w:t>3-Pore</w:t>
      </w:r>
      <w:r w:rsidR="00E45661">
        <w:rPr>
          <w:sz w:val="24"/>
          <w:szCs w:val="24"/>
        </w:rPr>
        <w:t>(</w:t>
      </w:r>
      <w:r w:rsidR="00A73513">
        <w:rPr>
          <w:sz w:val="24"/>
          <w:szCs w:val="24"/>
        </w:rPr>
        <w:t>pAdeFGH</w:t>
      </w:r>
      <w:r w:rsidR="00E45661">
        <w:rPr>
          <w:sz w:val="24"/>
          <w:szCs w:val="24"/>
        </w:rPr>
        <w:t>)</w:t>
      </w:r>
      <w:r w:rsidR="00674528">
        <w:rPr>
          <w:rFonts w:ascii="Cambria Math" w:hAnsi="Cambria Math" w:cs="Times New Roman"/>
          <w:sz w:val="24"/>
          <w:szCs w:val="24"/>
        </w:rPr>
        <w:t xml:space="preserve"> cells. It appears that 25 </w:t>
      </w:r>
      <w:r w:rsidR="00674528">
        <w:rPr>
          <w:rFonts w:ascii="Calibri" w:hAnsi="Calibri" w:cs="Calibri"/>
          <w:sz w:val="24"/>
          <w:szCs w:val="24"/>
        </w:rPr>
        <w:t>μ</w:t>
      </w:r>
      <w:r w:rsidR="00674528">
        <w:rPr>
          <w:rFonts w:ascii="Cambria Math" w:hAnsi="Cambria Math" w:cs="Times New Roman"/>
          <w:sz w:val="24"/>
          <w:szCs w:val="24"/>
        </w:rPr>
        <w:t xml:space="preserve">M </w:t>
      </w:r>
      <w:r w:rsidR="00B1648B">
        <w:rPr>
          <w:rFonts w:ascii="Cambria Math" w:hAnsi="Cambria Math" w:cs="Times New Roman"/>
          <w:sz w:val="24"/>
          <w:szCs w:val="24"/>
        </w:rPr>
        <w:t>SLUPP</w:t>
      </w:r>
      <w:r w:rsidR="00674528">
        <w:rPr>
          <w:rFonts w:ascii="Cambria Math" w:hAnsi="Cambria Math" w:cs="Times New Roman"/>
          <w:sz w:val="24"/>
          <w:szCs w:val="24"/>
        </w:rPr>
        <w:t>_1377 may be more effective at inhibiting efflux in the mutant AdeG S620A cells</w:t>
      </w:r>
      <w:r w:rsidR="000716EB">
        <w:rPr>
          <w:rFonts w:ascii="Cambria Math" w:hAnsi="Cambria Math" w:cs="Times New Roman"/>
          <w:sz w:val="24"/>
          <w:szCs w:val="24"/>
        </w:rPr>
        <w:t xml:space="preserve"> compared to the WT AdeG pump</w:t>
      </w:r>
      <w:r w:rsidR="00674528">
        <w:rPr>
          <w:rFonts w:ascii="Cambria Math" w:hAnsi="Cambria Math" w:cs="Times New Roman"/>
          <w:sz w:val="24"/>
          <w:szCs w:val="24"/>
        </w:rPr>
        <w:t xml:space="preserve">. </w:t>
      </w:r>
    </w:p>
    <w:p w14:paraId="75A5EEF0" w14:textId="7AF64FE5" w:rsidR="003A5D91" w:rsidRPr="00FF251A" w:rsidRDefault="00674528" w:rsidP="00041B30">
      <w:pPr>
        <w:spacing w:line="360" w:lineRule="auto"/>
        <w:rPr>
          <w:rFonts w:cstheme="minorHAnsi"/>
          <w:b/>
          <w:bCs/>
          <w:sz w:val="24"/>
          <w:szCs w:val="24"/>
        </w:rPr>
      </w:pPr>
      <w:r w:rsidRPr="00FF251A">
        <w:rPr>
          <w:rFonts w:cstheme="minorHAnsi"/>
          <w:sz w:val="24"/>
          <w:szCs w:val="24"/>
        </w:rPr>
        <w:tab/>
      </w:r>
      <w:r w:rsidR="00DB72F8" w:rsidRPr="00FF251A">
        <w:rPr>
          <w:rFonts w:cstheme="minorHAnsi"/>
          <w:sz w:val="24"/>
          <w:szCs w:val="24"/>
        </w:rPr>
        <w:t>The MIC values (</w:t>
      </w:r>
      <w:r w:rsidR="00DB72F8" w:rsidRPr="00FF251A">
        <w:rPr>
          <w:rFonts w:cstheme="minorHAnsi"/>
          <w:b/>
          <w:bCs/>
          <w:sz w:val="24"/>
          <w:szCs w:val="24"/>
        </w:rPr>
        <w:t>Table 4.</w:t>
      </w:r>
      <w:r w:rsidR="00DB72F8" w:rsidRPr="0066782C">
        <w:rPr>
          <w:rFonts w:cstheme="minorHAnsi"/>
          <w:b/>
          <w:bCs/>
          <w:sz w:val="24"/>
          <w:szCs w:val="24"/>
        </w:rPr>
        <w:t>1</w:t>
      </w:r>
      <w:r w:rsidR="00DB72F8" w:rsidRPr="00FF251A">
        <w:rPr>
          <w:rFonts w:cstheme="minorHAnsi"/>
          <w:sz w:val="24"/>
          <w:szCs w:val="24"/>
        </w:rPr>
        <w:t>) and NPN uptake (</w:t>
      </w:r>
      <w:r w:rsidR="00DB72F8" w:rsidRPr="00FF251A">
        <w:rPr>
          <w:rFonts w:cstheme="minorHAnsi"/>
          <w:b/>
          <w:bCs/>
          <w:sz w:val="24"/>
          <w:szCs w:val="24"/>
        </w:rPr>
        <w:t xml:space="preserve">Figure </w:t>
      </w:r>
      <w:r w:rsidR="00906677" w:rsidRPr="00FF251A">
        <w:rPr>
          <w:rFonts w:cstheme="minorHAnsi"/>
          <w:b/>
          <w:bCs/>
          <w:sz w:val="24"/>
          <w:szCs w:val="24"/>
        </w:rPr>
        <w:t>4.3</w:t>
      </w:r>
      <w:r w:rsidR="00906677" w:rsidRPr="00FF251A">
        <w:rPr>
          <w:rFonts w:cstheme="minorHAnsi"/>
          <w:sz w:val="24"/>
          <w:szCs w:val="24"/>
        </w:rPr>
        <w:t>)</w:t>
      </w:r>
      <w:r w:rsidR="00906677" w:rsidRPr="00FF251A">
        <w:rPr>
          <w:rFonts w:cstheme="minorHAnsi"/>
          <w:b/>
          <w:bCs/>
          <w:sz w:val="24"/>
          <w:szCs w:val="24"/>
        </w:rPr>
        <w:t xml:space="preserve"> </w:t>
      </w:r>
      <w:r w:rsidR="00DB72F8" w:rsidRPr="00FF251A">
        <w:rPr>
          <w:rFonts w:cstheme="minorHAnsi"/>
          <w:sz w:val="24"/>
          <w:szCs w:val="24"/>
        </w:rPr>
        <w:t>showed that AdeG mutant G679I lost its efflux activity</w:t>
      </w:r>
      <w:r w:rsidR="00FF251A" w:rsidRPr="00FF251A">
        <w:rPr>
          <w:rFonts w:cstheme="minorHAnsi"/>
          <w:sz w:val="24"/>
          <w:szCs w:val="24"/>
        </w:rPr>
        <w:t>. In agreement with those results, I found that cells overproducing this mutant resemble the negative control</w:t>
      </w:r>
      <w:r w:rsidR="00FF251A" w:rsidRPr="00FF251A">
        <w:rPr>
          <w:rFonts w:cstheme="minorHAnsi"/>
          <w:b/>
          <w:bCs/>
          <w:sz w:val="24"/>
          <w:szCs w:val="24"/>
        </w:rPr>
        <w:t xml:space="preserve"> </w:t>
      </w:r>
      <w:r w:rsidRPr="00FF251A">
        <w:rPr>
          <w:rFonts w:cstheme="minorHAnsi"/>
          <w:sz w:val="24"/>
          <w:szCs w:val="24"/>
        </w:rPr>
        <w:t xml:space="preserve">cells more than the cells with fully functioning WT AdeG </w:t>
      </w:r>
      <w:r w:rsidR="00FF251A" w:rsidRPr="00FF251A">
        <w:rPr>
          <w:rFonts w:cstheme="minorHAnsi"/>
          <w:sz w:val="24"/>
          <w:szCs w:val="24"/>
        </w:rPr>
        <w:t>transporter (</w:t>
      </w:r>
      <w:r w:rsidR="00FF251A" w:rsidRPr="00FF251A">
        <w:rPr>
          <w:rFonts w:cstheme="minorHAnsi"/>
          <w:b/>
          <w:bCs/>
          <w:sz w:val="24"/>
          <w:szCs w:val="24"/>
        </w:rPr>
        <w:t>Figure 4.</w:t>
      </w:r>
      <w:r w:rsidR="00201008">
        <w:rPr>
          <w:rFonts w:cstheme="minorHAnsi"/>
          <w:b/>
          <w:bCs/>
          <w:sz w:val="24"/>
          <w:szCs w:val="24"/>
        </w:rPr>
        <w:t>9</w:t>
      </w:r>
      <w:r w:rsidR="00FF251A" w:rsidRPr="00FF251A">
        <w:rPr>
          <w:rFonts w:cstheme="minorHAnsi"/>
          <w:sz w:val="24"/>
          <w:szCs w:val="24"/>
        </w:rPr>
        <w:t>).</w:t>
      </w:r>
      <w:r w:rsidRPr="00FF251A">
        <w:rPr>
          <w:rFonts w:cstheme="minorHAnsi"/>
          <w:sz w:val="24"/>
          <w:szCs w:val="24"/>
        </w:rPr>
        <w:t xml:space="preserve"> AdeG G679I had the highest maximum </w:t>
      </w:r>
      <w:r w:rsidR="000716EB" w:rsidRPr="00FF251A">
        <w:rPr>
          <w:rFonts w:cstheme="minorHAnsi"/>
          <w:sz w:val="24"/>
          <w:szCs w:val="24"/>
        </w:rPr>
        <w:t>NPN accumulation</w:t>
      </w:r>
      <w:r w:rsidRPr="00FF251A">
        <w:rPr>
          <w:rFonts w:cstheme="minorHAnsi"/>
          <w:sz w:val="24"/>
          <w:szCs w:val="24"/>
        </w:rPr>
        <w:t xml:space="preserve"> of all the mutants at about 17,000 </w:t>
      </w:r>
      <w:r w:rsidR="00096046" w:rsidRPr="00FF251A">
        <w:rPr>
          <w:rFonts w:cstheme="minorHAnsi"/>
          <w:sz w:val="24"/>
          <w:szCs w:val="24"/>
        </w:rPr>
        <w:t>RFU</w:t>
      </w:r>
      <w:r w:rsidRPr="00FF251A">
        <w:rPr>
          <w:rFonts w:cstheme="minorHAnsi"/>
          <w:sz w:val="24"/>
          <w:szCs w:val="24"/>
        </w:rPr>
        <w:t>, which is similar to the negative control max of ~18,000</w:t>
      </w:r>
      <w:r w:rsidR="000716EB" w:rsidRPr="00FF251A">
        <w:rPr>
          <w:rFonts w:cstheme="minorHAnsi"/>
          <w:sz w:val="24"/>
          <w:szCs w:val="24"/>
        </w:rPr>
        <w:t xml:space="preserve"> </w:t>
      </w:r>
      <w:r w:rsidR="00096046" w:rsidRPr="00FF251A">
        <w:rPr>
          <w:rFonts w:cstheme="minorHAnsi"/>
          <w:sz w:val="24"/>
          <w:szCs w:val="24"/>
        </w:rPr>
        <w:t>RFU</w:t>
      </w:r>
      <w:r w:rsidRPr="00FF251A">
        <w:rPr>
          <w:rFonts w:cstheme="minorHAnsi"/>
          <w:sz w:val="24"/>
          <w:szCs w:val="24"/>
        </w:rPr>
        <w:t>. In both the AdeG G679I mutant and A</w:t>
      </w:r>
      <w:r w:rsidR="00A74F2A" w:rsidRPr="00FF251A">
        <w:rPr>
          <w:rFonts w:cstheme="minorHAnsi"/>
          <w:sz w:val="24"/>
          <w:szCs w:val="24"/>
        </w:rPr>
        <w:t>b</w:t>
      </w:r>
      <w:r w:rsidRPr="00FF251A">
        <w:rPr>
          <w:rFonts w:cstheme="minorHAnsi"/>
          <w:sz w:val="24"/>
          <w:szCs w:val="24"/>
        </w:rPr>
        <w:t>Δ3</w:t>
      </w:r>
      <w:r w:rsidR="00FD2A81">
        <w:rPr>
          <w:rFonts w:cstheme="minorHAnsi"/>
          <w:sz w:val="24"/>
          <w:szCs w:val="24"/>
        </w:rPr>
        <w:t>-</w:t>
      </w:r>
      <w:r w:rsidRPr="00FF251A">
        <w:rPr>
          <w:rFonts w:cstheme="minorHAnsi"/>
          <w:sz w:val="24"/>
          <w:szCs w:val="24"/>
        </w:rPr>
        <w:t xml:space="preserve">Pore cells lacking the AdeFGH pump, the cells with the highest NPN accumulation were </w:t>
      </w:r>
      <w:r w:rsidR="00FF251A" w:rsidRPr="00FF251A">
        <w:rPr>
          <w:rFonts w:cstheme="minorHAnsi"/>
          <w:sz w:val="24"/>
          <w:szCs w:val="24"/>
        </w:rPr>
        <w:t>those i</w:t>
      </w:r>
      <w:r w:rsidRPr="00FF251A">
        <w:rPr>
          <w:rFonts w:cstheme="minorHAnsi"/>
          <w:sz w:val="24"/>
          <w:szCs w:val="24"/>
        </w:rPr>
        <w:t xml:space="preserve">n wells with 0 μM </w:t>
      </w:r>
      <w:r w:rsidR="00B1648B" w:rsidRPr="00FF251A">
        <w:rPr>
          <w:rFonts w:cstheme="minorHAnsi"/>
          <w:sz w:val="24"/>
          <w:szCs w:val="24"/>
        </w:rPr>
        <w:t>SLUPP</w:t>
      </w:r>
      <w:r w:rsidRPr="00FF251A">
        <w:rPr>
          <w:rFonts w:cstheme="minorHAnsi"/>
          <w:sz w:val="24"/>
          <w:szCs w:val="24"/>
        </w:rPr>
        <w:t>_1377.</w:t>
      </w:r>
      <w:r w:rsidR="003A2646" w:rsidRPr="00FF251A">
        <w:rPr>
          <w:rFonts w:cstheme="minorHAnsi"/>
          <w:sz w:val="24"/>
          <w:szCs w:val="24"/>
        </w:rPr>
        <w:t xml:space="preserve"> The AdeG G679I mutant also followed the no efflux trend where increasing concentrations of </w:t>
      </w:r>
      <w:r w:rsidR="00B1648B" w:rsidRPr="00FF251A">
        <w:rPr>
          <w:rFonts w:cstheme="minorHAnsi"/>
          <w:sz w:val="24"/>
          <w:szCs w:val="24"/>
        </w:rPr>
        <w:t>SLUPP</w:t>
      </w:r>
      <w:r w:rsidR="003A2646" w:rsidRPr="00FF251A">
        <w:rPr>
          <w:rFonts w:cstheme="minorHAnsi"/>
          <w:sz w:val="24"/>
          <w:szCs w:val="24"/>
        </w:rPr>
        <w:t xml:space="preserve">_1377 resulted in lower maximum </w:t>
      </w:r>
      <w:r w:rsidR="00FF251A">
        <w:rPr>
          <w:rFonts w:cstheme="minorHAnsi"/>
          <w:sz w:val="24"/>
          <w:szCs w:val="24"/>
        </w:rPr>
        <w:t>RFU</w:t>
      </w:r>
      <w:r w:rsidR="003A2646" w:rsidRPr="00FF251A">
        <w:rPr>
          <w:rFonts w:cstheme="minorHAnsi"/>
          <w:sz w:val="24"/>
          <w:szCs w:val="24"/>
          <w:vertAlign w:val="subscript"/>
        </w:rPr>
        <w:t xml:space="preserve"> </w:t>
      </w:r>
      <w:r w:rsidR="003A2646" w:rsidRPr="00FF251A">
        <w:rPr>
          <w:rFonts w:cstheme="minorHAnsi"/>
          <w:sz w:val="24"/>
          <w:szCs w:val="24"/>
        </w:rPr>
        <w:t>values</w:t>
      </w:r>
      <w:r w:rsidR="00F55140" w:rsidRPr="00FF251A">
        <w:rPr>
          <w:rFonts w:cstheme="minorHAnsi"/>
          <w:sz w:val="24"/>
          <w:szCs w:val="24"/>
        </w:rPr>
        <w:t xml:space="preserve"> due to the quenching effect of SLUPP_1377 fluorescence (see above Section</w:t>
      </w:r>
      <w:r w:rsidR="00CC6C40">
        <w:rPr>
          <w:rFonts w:cstheme="minorHAnsi"/>
          <w:sz w:val="24"/>
          <w:szCs w:val="24"/>
        </w:rPr>
        <w:t xml:space="preserve"> 4.3.5.).</w:t>
      </w:r>
    </w:p>
    <w:p w14:paraId="22260430" w14:textId="42F01997" w:rsidR="00BD44BC" w:rsidRPr="00545FE3" w:rsidRDefault="00BD44BC" w:rsidP="00041B30">
      <w:pPr>
        <w:spacing w:line="360" w:lineRule="auto"/>
        <w:rPr>
          <w:rFonts w:cstheme="minorHAnsi"/>
          <w:sz w:val="24"/>
          <w:szCs w:val="24"/>
        </w:rPr>
      </w:pPr>
      <w:r w:rsidRPr="00545FE3">
        <w:rPr>
          <w:rFonts w:cstheme="minorHAnsi"/>
          <w:sz w:val="24"/>
          <w:szCs w:val="24"/>
        </w:rPr>
        <w:tab/>
        <w:t>While the AdeG Y725A mutant</w:t>
      </w:r>
      <w:r w:rsidR="00545FE3" w:rsidRPr="00545FE3">
        <w:rPr>
          <w:rFonts w:cstheme="minorHAnsi"/>
          <w:sz w:val="24"/>
          <w:szCs w:val="24"/>
        </w:rPr>
        <w:t xml:space="preserve"> (</w:t>
      </w:r>
      <w:r w:rsidR="00545FE3" w:rsidRPr="00545FE3">
        <w:rPr>
          <w:rFonts w:cstheme="minorHAnsi"/>
          <w:b/>
          <w:bCs/>
          <w:sz w:val="24"/>
          <w:szCs w:val="24"/>
        </w:rPr>
        <w:t>Figure 4.</w:t>
      </w:r>
      <w:r w:rsidR="00201008">
        <w:rPr>
          <w:rFonts w:cstheme="minorHAnsi"/>
          <w:b/>
          <w:bCs/>
          <w:sz w:val="24"/>
          <w:szCs w:val="24"/>
        </w:rPr>
        <w:t>9</w:t>
      </w:r>
      <w:r w:rsidR="00545FE3" w:rsidRPr="00545FE3">
        <w:rPr>
          <w:rFonts w:cstheme="minorHAnsi"/>
          <w:b/>
          <w:bCs/>
          <w:sz w:val="24"/>
          <w:szCs w:val="24"/>
        </w:rPr>
        <w:t>-</w:t>
      </w:r>
      <w:r w:rsidR="00BA2847">
        <w:rPr>
          <w:rFonts w:cstheme="minorHAnsi"/>
          <w:b/>
          <w:bCs/>
          <w:sz w:val="24"/>
          <w:szCs w:val="24"/>
        </w:rPr>
        <w:t>G</w:t>
      </w:r>
      <w:r w:rsidR="00545FE3" w:rsidRPr="00545FE3">
        <w:rPr>
          <w:rFonts w:cstheme="minorHAnsi"/>
          <w:sz w:val="24"/>
          <w:szCs w:val="24"/>
        </w:rPr>
        <w:t>)</w:t>
      </w:r>
      <w:r w:rsidRPr="00545FE3">
        <w:rPr>
          <w:rFonts w:cstheme="minorHAnsi"/>
          <w:sz w:val="24"/>
          <w:szCs w:val="24"/>
        </w:rPr>
        <w:t xml:space="preserve"> showed similar </w:t>
      </w:r>
      <w:r w:rsidR="00545FE3" w:rsidRPr="00545FE3">
        <w:rPr>
          <w:rFonts w:cstheme="minorHAnsi"/>
          <w:sz w:val="24"/>
          <w:szCs w:val="24"/>
        </w:rPr>
        <w:t>maximum NPN accumulation</w:t>
      </w:r>
      <w:r w:rsidRPr="00545FE3">
        <w:rPr>
          <w:rFonts w:cstheme="minorHAnsi"/>
          <w:sz w:val="24"/>
          <w:szCs w:val="24"/>
        </w:rPr>
        <w:t xml:space="preserve"> values with 25 μM </w:t>
      </w:r>
      <w:r w:rsidR="00B1648B" w:rsidRPr="00545FE3">
        <w:rPr>
          <w:rFonts w:cstheme="minorHAnsi"/>
          <w:sz w:val="24"/>
          <w:szCs w:val="24"/>
        </w:rPr>
        <w:t>SLUPP</w:t>
      </w:r>
      <w:r w:rsidRPr="00545FE3">
        <w:rPr>
          <w:rFonts w:cstheme="minorHAnsi"/>
          <w:sz w:val="24"/>
          <w:szCs w:val="24"/>
        </w:rPr>
        <w:t xml:space="preserve">_1377 to the WT cells, it showed an increase in </w:t>
      </w:r>
      <w:r w:rsidR="00FB2629">
        <w:rPr>
          <w:rFonts w:cstheme="minorHAnsi"/>
          <w:sz w:val="24"/>
          <w:szCs w:val="24"/>
        </w:rPr>
        <w:t>RFU</w:t>
      </w:r>
      <w:r w:rsidRPr="00545FE3">
        <w:rPr>
          <w:rFonts w:cstheme="minorHAnsi"/>
          <w:sz w:val="24"/>
          <w:szCs w:val="24"/>
        </w:rPr>
        <w:t xml:space="preserve"> values at the lower concentrations of </w:t>
      </w:r>
      <w:r w:rsidR="00B1648B" w:rsidRPr="00545FE3">
        <w:rPr>
          <w:rFonts w:cstheme="minorHAnsi"/>
          <w:sz w:val="24"/>
          <w:szCs w:val="24"/>
        </w:rPr>
        <w:t>SLUPP</w:t>
      </w:r>
      <w:r w:rsidRPr="00545FE3">
        <w:rPr>
          <w:rFonts w:cstheme="minorHAnsi"/>
          <w:sz w:val="24"/>
          <w:szCs w:val="24"/>
        </w:rPr>
        <w:t>_1377</w:t>
      </w:r>
      <w:r w:rsidR="00545FE3" w:rsidRPr="00545FE3">
        <w:rPr>
          <w:rFonts w:cstheme="minorHAnsi"/>
          <w:sz w:val="24"/>
          <w:szCs w:val="24"/>
        </w:rPr>
        <w:t xml:space="preserve">. </w:t>
      </w:r>
      <w:r w:rsidRPr="00545FE3">
        <w:rPr>
          <w:rFonts w:cstheme="minorHAnsi"/>
          <w:sz w:val="24"/>
          <w:szCs w:val="24"/>
        </w:rPr>
        <w:t xml:space="preserve">For example, </w:t>
      </w:r>
      <w:r w:rsidR="00722597" w:rsidRPr="00545FE3">
        <w:rPr>
          <w:rFonts w:cstheme="minorHAnsi"/>
          <w:sz w:val="24"/>
          <w:szCs w:val="24"/>
        </w:rPr>
        <w:t>A</w:t>
      </w:r>
      <w:r w:rsidR="00722597">
        <w:rPr>
          <w:rFonts w:cstheme="minorHAnsi"/>
          <w:sz w:val="24"/>
          <w:szCs w:val="24"/>
        </w:rPr>
        <w:t>b</w:t>
      </w:r>
      <w:r w:rsidRPr="00545FE3">
        <w:rPr>
          <w:rFonts w:cstheme="minorHAnsi"/>
          <w:sz w:val="24"/>
          <w:szCs w:val="24"/>
        </w:rPr>
        <w:t>Δ3-Pore</w:t>
      </w:r>
      <w:r w:rsidR="00722597">
        <w:rPr>
          <w:rFonts w:cstheme="minorHAnsi"/>
          <w:sz w:val="24"/>
          <w:szCs w:val="24"/>
        </w:rPr>
        <w:t>(</w:t>
      </w:r>
      <w:r w:rsidRPr="00545FE3">
        <w:rPr>
          <w:rFonts w:cstheme="minorHAnsi"/>
          <w:sz w:val="24"/>
          <w:szCs w:val="24"/>
        </w:rPr>
        <w:t>pAdeFGH</w:t>
      </w:r>
      <w:r w:rsidR="00722597">
        <w:rPr>
          <w:rFonts w:cstheme="minorHAnsi"/>
          <w:sz w:val="24"/>
          <w:szCs w:val="24"/>
        </w:rPr>
        <w:t>)</w:t>
      </w:r>
      <w:r w:rsidRPr="00545FE3">
        <w:rPr>
          <w:rFonts w:cstheme="minorHAnsi"/>
          <w:sz w:val="24"/>
          <w:szCs w:val="24"/>
        </w:rPr>
        <w:t xml:space="preserve"> cells exhibited maximum </w:t>
      </w:r>
      <w:r w:rsidR="00545FE3" w:rsidRPr="00545FE3">
        <w:rPr>
          <w:rFonts w:cstheme="minorHAnsi"/>
          <w:sz w:val="24"/>
          <w:szCs w:val="24"/>
        </w:rPr>
        <w:t>NPN accumulation</w:t>
      </w:r>
      <w:r w:rsidRPr="00545FE3">
        <w:rPr>
          <w:rFonts w:cstheme="minorHAnsi"/>
          <w:sz w:val="24"/>
          <w:szCs w:val="24"/>
        </w:rPr>
        <w:t xml:space="preserve"> values at around 5,000 </w:t>
      </w:r>
      <w:r w:rsidR="00722597">
        <w:rPr>
          <w:rFonts w:cstheme="minorHAnsi"/>
          <w:sz w:val="24"/>
          <w:szCs w:val="24"/>
        </w:rPr>
        <w:t>RFU</w:t>
      </w:r>
      <w:r w:rsidR="00722597" w:rsidRPr="00545FE3">
        <w:rPr>
          <w:rFonts w:cstheme="minorHAnsi"/>
          <w:sz w:val="24"/>
          <w:szCs w:val="24"/>
        </w:rPr>
        <w:t xml:space="preserve"> </w:t>
      </w:r>
      <w:r w:rsidRPr="00545FE3">
        <w:rPr>
          <w:rFonts w:cstheme="minorHAnsi"/>
          <w:sz w:val="24"/>
          <w:szCs w:val="24"/>
        </w:rPr>
        <w:t xml:space="preserve">for </w:t>
      </w:r>
      <w:r w:rsidR="00B1648B" w:rsidRPr="00545FE3">
        <w:rPr>
          <w:rFonts w:cstheme="minorHAnsi"/>
          <w:sz w:val="24"/>
          <w:szCs w:val="24"/>
        </w:rPr>
        <w:t>SLUPP</w:t>
      </w:r>
      <w:r w:rsidRPr="00545FE3">
        <w:rPr>
          <w:rFonts w:cstheme="minorHAnsi"/>
          <w:sz w:val="24"/>
          <w:szCs w:val="24"/>
        </w:rPr>
        <w:t xml:space="preserve">_1377 concentrations 0 μM – 6.25 μM. AdeG Y725A cells in wells containing 0 μM – 6.25 μM </w:t>
      </w:r>
      <w:r w:rsidR="00B1648B" w:rsidRPr="00545FE3">
        <w:rPr>
          <w:rFonts w:cstheme="minorHAnsi"/>
          <w:sz w:val="24"/>
          <w:szCs w:val="24"/>
        </w:rPr>
        <w:t>SLUPP</w:t>
      </w:r>
      <w:r w:rsidRPr="00545FE3">
        <w:rPr>
          <w:rFonts w:cstheme="minorHAnsi"/>
          <w:sz w:val="24"/>
          <w:szCs w:val="24"/>
        </w:rPr>
        <w:t xml:space="preserve">_1377 saw an increase in maximum </w:t>
      </w:r>
      <w:r w:rsidR="00545FE3" w:rsidRPr="00545FE3">
        <w:rPr>
          <w:rFonts w:cstheme="minorHAnsi"/>
          <w:sz w:val="24"/>
          <w:szCs w:val="24"/>
        </w:rPr>
        <w:t>NPN accumulation</w:t>
      </w:r>
      <w:r w:rsidRPr="00545FE3">
        <w:rPr>
          <w:rFonts w:cstheme="minorHAnsi"/>
          <w:sz w:val="24"/>
          <w:szCs w:val="24"/>
        </w:rPr>
        <w:t xml:space="preserve"> to about 8,000</w:t>
      </w:r>
      <w:r w:rsidR="00545FE3" w:rsidRPr="00545FE3">
        <w:rPr>
          <w:rFonts w:cstheme="minorHAnsi"/>
          <w:sz w:val="24"/>
          <w:szCs w:val="24"/>
        </w:rPr>
        <w:t xml:space="preserve"> </w:t>
      </w:r>
      <w:r w:rsidR="00722597">
        <w:rPr>
          <w:rFonts w:cstheme="minorHAnsi"/>
          <w:sz w:val="24"/>
          <w:szCs w:val="24"/>
        </w:rPr>
        <w:t>RFU</w:t>
      </w:r>
      <w:r w:rsidRPr="00545FE3">
        <w:rPr>
          <w:rFonts w:cstheme="minorHAnsi"/>
          <w:sz w:val="24"/>
          <w:szCs w:val="24"/>
        </w:rPr>
        <w:t xml:space="preserve">. </w:t>
      </w:r>
      <w:r w:rsidR="007C1346" w:rsidRPr="00545FE3">
        <w:rPr>
          <w:rFonts w:cstheme="minorHAnsi"/>
          <w:sz w:val="24"/>
          <w:szCs w:val="24"/>
        </w:rPr>
        <w:t xml:space="preserve">Effectively, the 0 μM – 6.25 μM </w:t>
      </w:r>
      <w:r w:rsidR="00B1648B" w:rsidRPr="00545FE3">
        <w:rPr>
          <w:rFonts w:cstheme="minorHAnsi"/>
          <w:sz w:val="24"/>
          <w:szCs w:val="24"/>
        </w:rPr>
        <w:t>SLUPP</w:t>
      </w:r>
      <w:r w:rsidR="007C1346" w:rsidRPr="00545FE3">
        <w:rPr>
          <w:rFonts w:cstheme="minorHAnsi"/>
          <w:sz w:val="24"/>
          <w:szCs w:val="24"/>
        </w:rPr>
        <w:t xml:space="preserve">_1377 uptake curves shifted up to match the 12.5 μM </w:t>
      </w:r>
      <w:r w:rsidR="00FB2629">
        <w:rPr>
          <w:rFonts w:cstheme="minorHAnsi"/>
          <w:sz w:val="24"/>
          <w:szCs w:val="24"/>
        </w:rPr>
        <w:t xml:space="preserve">RFU </w:t>
      </w:r>
      <w:r w:rsidR="007C1346" w:rsidRPr="00545FE3">
        <w:rPr>
          <w:rFonts w:cstheme="minorHAnsi"/>
          <w:sz w:val="24"/>
          <w:szCs w:val="24"/>
        </w:rPr>
        <w:t xml:space="preserve">values, which in both AdeG Y725A and </w:t>
      </w:r>
      <w:r w:rsidR="00722597">
        <w:rPr>
          <w:rFonts w:cstheme="minorHAnsi"/>
          <w:sz w:val="24"/>
          <w:szCs w:val="24"/>
        </w:rPr>
        <w:t>Ab</w:t>
      </w:r>
      <w:r w:rsidR="007C1346" w:rsidRPr="00545FE3">
        <w:rPr>
          <w:rFonts w:cstheme="minorHAnsi"/>
          <w:sz w:val="24"/>
          <w:szCs w:val="24"/>
        </w:rPr>
        <w:t>Δ3-Pore</w:t>
      </w:r>
      <w:r w:rsidR="00FB2629">
        <w:rPr>
          <w:rFonts w:cstheme="minorHAnsi"/>
          <w:sz w:val="24"/>
          <w:szCs w:val="24"/>
        </w:rPr>
        <w:t xml:space="preserve"> </w:t>
      </w:r>
      <w:r w:rsidR="00722597">
        <w:rPr>
          <w:rFonts w:cstheme="minorHAnsi"/>
          <w:sz w:val="24"/>
          <w:szCs w:val="24"/>
        </w:rPr>
        <w:t>(</w:t>
      </w:r>
      <w:r w:rsidR="007C1346" w:rsidRPr="00545FE3">
        <w:rPr>
          <w:rFonts w:cstheme="minorHAnsi"/>
          <w:sz w:val="24"/>
          <w:szCs w:val="24"/>
        </w:rPr>
        <w:t>pAdeFGH</w:t>
      </w:r>
      <w:r w:rsidR="00722597">
        <w:rPr>
          <w:rFonts w:cstheme="minorHAnsi"/>
          <w:sz w:val="24"/>
          <w:szCs w:val="24"/>
        </w:rPr>
        <w:t>)</w:t>
      </w:r>
      <w:r w:rsidR="007C1346" w:rsidRPr="00545FE3">
        <w:rPr>
          <w:rFonts w:cstheme="minorHAnsi"/>
          <w:sz w:val="24"/>
          <w:szCs w:val="24"/>
        </w:rPr>
        <w:t xml:space="preserve"> cells were </w:t>
      </w:r>
      <w:r w:rsidR="00FB2629">
        <w:rPr>
          <w:rFonts w:cstheme="minorHAnsi"/>
          <w:sz w:val="24"/>
          <w:szCs w:val="24"/>
        </w:rPr>
        <w:t>~</w:t>
      </w:r>
      <w:r w:rsidR="007C1346" w:rsidRPr="00545FE3">
        <w:rPr>
          <w:rFonts w:cstheme="minorHAnsi"/>
          <w:sz w:val="24"/>
          <w:szCs w:val="24"/>
        </w:rPr>
        <w:t>8,000</w:t>
      </w:r>
      <w:r w:rsidR="00545FE3" w:rsidRPr="00545FE3">
        <w:rPr>
          <w:rFonts w:cstheme="minorHAnsi"/>
          <w:sz w:val="24"/>
          <w:szCs w:val="24"/>
        </w:rPr>
        <w:t xml:space="preserve"> </w:t>
      </w:r>
      <w:r w:rsidR="00722597">
        <w:rPr>
          <w:rFonts w:cstheme="minorHAnsi"/>
          <w:sz w:val="24"/>
          <w:szCs w:val="24"/>
        </w:rPr>
        <w:t>RFU</w:t>
      </w:r>
      <w:r w:rsidR="007C1346" w:rsidRPr="00545FE3">
        <w:rPr>
          <w:rFonts w:cstheme="minorHAnsi"/>
          <w:sz w:val="24"/>
          <w:szCs w:val="24"/>
        </w:rPr>
        <w:t xml:space="preserve">. This suggests that the AdeG Y725A mutant has a lowered ability to efflux NPN compared to WT, leading to the higher baseline NPN accumulation. But since the maximum </w:t>
      </w:r>
      <w:r w:rsidR="00FB2629">
        <w:rPr>
          <w:rFonts w:cstheme="minorHAnsi"/>
          <w:sz w:val="24"/>
          <w:szCs w:val="24"/>
        </w:rPr>
        <w:t>RFU</w:t>
      </w:r>
      <w:r w:rsidR="00545FE3" w:rsidRPr="00273AB0">
        <w:rPr>
          <w:rFonts w:cstheme="minorHAnsi"/>
          <w:sz w:val="24"/>
          <w:szCs w:val="24"/>
          <w:vertAlign w:val="subscript"/>
        </w:rPr>
        <w:t xml:space="preserve"> </w:t>
      </w:r>
      <w:r w:rsidR="00545FE3" w:rsidRPr="00545FE3">
        <w:rPr>
          <w:rFonts w:cstheme="minorHAnsi"/>
          <w:sz w:val="24"/>
          <w:szCs w:val="24"/>
        </w:rPr>
        <w:t>values</w:t>
      </w:r>
      <w:r w:rsidR="007C1346" w:rsidRPr="00545FE3">
        <w:rPr>
          <w:rFonts w:cstheme="minorHAnsi"/>
          <w:sz w:val="24"/>
          <w:szCs w:val="24"/>
        </w:rPr>
        <w:t xml:space="preserve"> with 25 μM </w:t>
      </w:r>
      <w:r w:rsidR="00B1648B" w:rsidRPr="00545FE3">
        <w:rPr>
          <w:rFonts w:cstheme="minorHAnsi"/>
          <w:sz w:val="24"/>
          <w:szCs w:val="24"/>
        </w:rPr>
        <w:lastRenderedPageBreak/>
        <w:t>SLUPP</w:t>
      </w:r>
      <w:r w:rsidR="007C1346" w:rsidRPr="00545FE3">
        <w:rPr>
          <w:rFonts w:cstheme="minorHAnsi"/>
          <w:sz w:val="24"/>
          <w:szCs w:val="24"/>
        </w:rPr>
        <w:t xml:space="preserve">_1377 is only a bit higher than WT, it is likely that </w:t>
      </w:r>
      <w:r w:rsidR="00B1648B" w:rsidRPr="00545FE3">
        <w:rPr>
          <w:rFonts w:cstheme="minorHAnsi"/>
          <w:sz w:val="24"/>
          <w:szCs w:val="24"/>
        </w:rPr>
        <w:t>SLUPP</w:t>
      </w:r>
      <w:r w:rsidR="00855B14" w:rsidRPr="00545FE3">
        <w:rPr>
          <w:rFonts w:cstheme="minorHAnsi"/>
          <w:sz w:val="24"/>
          <w:szCs w:val="24"/>
        </w:rPr>
        <w:t>_</w:t>
      </w:r>
      <w:r w:rsidR="00967D4B" w:rsidRPr="00545FE3">
        <w:rPr>
          <w:rFonts w:cstheme="minorHAnsi"/>
          <w:sz w:val="24"/>
          <w:szCs w:val="24"/>
        </w:rPr>
        <w:t>1377 has</w:t>
      </w:r>
      <w:r w:rsidR="00855B14" w:rsidRPr="00545FE3">
        <w:rPr>
          <w:rFonts w:cstheme="minorHAnsi"/>
          <w:sz w:val="24"/>
          <w:szCs w:val="24"/>
        </w:rPr>
        <w:t xml:space="preserve"> </w:t>
      </w:r>
      <w:r w:rsidR="00545FE3">
        <w:rPr>
          <w:rFonts w:cstheme="minorHAnsi"/>
          <w:sz w:val="24"/>
          <w:szCs w:val="24"/>
        </w:rPr>
        <w:t>similar inhibitory activity</w:t>
      </w:r>
      <w:r w:rsidR="00855B14" w:rsidRPr="00545FE3">
        <w:rPr>
          <w:rFonts w:cstheme="minorHAnsi"/>
          <w:sz w:val="24"/>
          <w:szCs w:val="24"/>
        </w:rPr>
        <w:t xml:space="preserve"> in </w:t>
      </w:r>
      <w:r w:rsidR="007C1346" w:rsidRPr="00545FE3">
        <w:rPr>
          <w:rFonts w:cstheme="minorHAnsi"/>
          <w:sz w:val="24"/>
          <w:szCs w:val="24"/>
        </w:rPr>
        <w:t>the AdeG Y725A mutant</w:t>
      </w:r>
      <w:r w:rsidR="00545FE3">
        <w:rPr>
          <w:rFonts w:cstheme="minorHAnsi"/>
          <w:sz w:val="24"/>
          <w:szCs w:val="24"/>
        </w:rPr>
        <w:t xml:space="preserve"> as the WT AdeFGH pump</w:t>
      </w:r>
      <w:r w:rsidR="00855B14" w:rsidRPr="00545FE3">
        <w:rPr>
          <w:rFonts w:cstheme="minorHAnsi"/>
          <w:sz w:val="24"/>
          <w:szCs w:val="24"/>
        </w:rPr>
        <w:t>.</w:t>
      </w:r>
    </w:p>
    <w:p w14:paraId="1B83770D" w14:textId="60592DD0" w:rsidR="00BA2847" w:rsidRDefault="009D4397" w:rsidP="00041B30">
      <w:pPr>
        <w:spacing w:line="360" w:lineRule="auto"/>
        <w:rPr>
          <w:rFonts w:cstheme="minorHAnsi"/>
          <w:sz w:val="24"/>
          <w:szCs w:val="24"/>
        </w:rPr>
      </w:pPr>
      <w:r>
        <w:rPr>
          <w:rFonts w:ascii="Cambria Math" w:hAnsi="Cambria Math" w:cs="Times New Roman"/>
          <w:sz w:val="24"/>
          <w:szCs w:val="24"/>
        </w:rPr>
        <w:tab/>
      </w:r>
      <w:r w:rsidR="00A73E67" w:rsidRPr="00C158D7">
        <w:rPr>
          <w:rFonts w:cstheme="minorHAnsi"/>
          <w:sz w:val="24"/>
          <w:szCs w:val="24"/>
        </w:rPr>
        <w:t xml:space="preserve">The AdeG Q83A mutant </w:t>
      </w:r>
      <w:r w:rsidR="00545FE3" w:rsidRPr="00C158D7">
        <w:rPr>
          <w:rFonts w:cstheme="minorHAnsi"/>
          <w:sz w:val="24"/>
          <w:szCs w:val="24"/>
        </w:rPr>
        <w:t>(</w:t>
      </w:r>
      <w:r w:rsidR="00545FE3" w:rsidRPr="00C158D7">
        <w:rPr>
          <w:rFonts w:cstheme="minorHAnsi"/>
          <w:b/>
          <w:bCs/>
          <w:sz w:val="24"/>
          <w:szCs w:val="24"/>
        </w:rPr>
        <w:t>Figure 4.</w:t>
      </w:r>
      <w:r w:rsidR="00201008">
        <w:rPr>
          <w:rFonts w:cstheme="minorHAnsi"/>
          <w:b/>
          <w:bCs/>
          <w:sz w:val="24"/>
          <w:szCs w:val="24"/>
        </w:rPr>
        <w:t>9</w:t>
      </w:r>
      <w:r w:rsidR="00545FE3" w:rsidRPr="00C158D7">
        <w:rPr>
          <w:rFonts w:cstheme="minorHAnsi"/>
          <w:b/>
          <w:bCs/>
          <w:sz w:val="24"/>
          <w:szCs w:val="24"/>
        </w:rPr>
        <w:t>-E</w:t>
      </w:r>
      <w:r w:rsidR="00545FE3" w:rsidRPr="00C158D7">
        <w:rPr>
          <w:rFonts w:cstheme="minorHAnsi"/>
          <w:sz w:val="24"/>
          <w:szCs w:val="24"/>
        </w:rPr>
        <w:t xml:space="preserve">) </w:t>
      </w:r>
      <w:r w:rsidR="00A73E67" w:rsidRPr="00C158D7">
        <w:rPr>
          <w:rFonts w:cstheme="minorHAnsi"/>
          <w:sz w:val="24"/>
          <w:szCs w:val="24"/>
        </w:rPr>
        <w:t xml:space="preserve">had very similar NPN accumulation </w:t>
      </w:r>
      <w:r w:rsidR="00BA2847">
        <w:rPr>
          <w:rFonts w:cstheme="minorHAnsi"/>
          <w:sz w:val="24"/>
          <w:szCs w:val="24"/>
        </w:rPr>
        <w:t xml:space="preserve">at 25 µM SLUPP_1377 as </w:t>
      </w:r>
      <w:proofErr w:type="gramStart"/>
      <w:r w:rsidR="00BA2847">
        <w:rPr>
          <w:rFonts w:cstheme="minorHAnsi"/>
          <w:sz w:val="24"/>
          <w:szCs w:val="24"/>
        </w:rPr>
        <w:t>WT AdeG, but</w:t>
      </w:r>
      <w:proofErr w:type="gramEnd"/>
      <w:r w:rsidR="00BA2847">
        <w:rPr>
          <w:rFonts w:cstheme="minorHAnsi"/>
          <w:sz w:val="24"/>
          <w:szCs w:val="24"/>
        </w:rPr>
        <w:t xml:space="preserve"> showed comparatively lower NPN accumulation at SLUPP_1377 concentrations of 12.5 µM and below. This suggests that the AdeG Q83A mutant is less susceptible to inhibition by SLUPP_1377 at lower concentrations compared to WT AdeG.</w:t>
      </w:r>
    </w:p>
    <w:p w14:paraId="5CD216EF" w14:textId="6A14FEAB" w:rsidR="002C72AD" w:rsidRDefault="00B76A9A" w:rsidP="002E2D01">
      <w:pPr>
        <w:spacing w:line="360" w:lineRule="auto"/>
        <w:rPr>
          <w:rFonts w:cstheme="minorHAnsi"/>
          <w:sz w:val="24"/>
          <w:szCs w:val="24"/>
        </w:rPr>
      </w:pPr>
      <w:r w:rsidRPr="00C158D7">
        <w:rPr>
          <w:rFonts w:cstheme="minorHAnsi"/>
          <w:sz w:val="24"/>
          <w:szCs w:val="24"/>
        </w:rPr>
        <w:tab/>
        <w:t xml:space="preserve">Lastly, the AdeG L138A mutant </w:t>
      </w:r>
      <w:r w:rsidR="00545FE3" w:rsidRPr="00C158D7">
        <w:rPr>
          <w:rFonts w:cstheme="minorHAnsi"/>
          <w:sz w:val="24"/>
          <w:szCs w:val="24"/>
        </w:rPr>
        <w:t>(</w:t>
      </w:r>
      <w:r w:rsidR="00545FE3" w:rsidRPr="00C158D7">
        <w:rPr>
          <w:rFonts w:cstheme="minorHAnsi"/>
          <w:b/>
          <w:bCs/>
          <w:sz w:val="24"/>
          <w:szCs w:val="24"/>
        </w:rPr>
        <w:t>Figure 4.</w:t>
      </w:r>
      <w:r w:rsidR="00201008">
        <w:rPr>
          <w:rFonts w:cstheme="minorHAnsi"/>
          <w:b/>
          <w:bCs/>
          <w:sz w:val="24"/>
          <w:szCs w:val="24"/>
        </w:rPr>
        <w:t>9</w:t>
      </w:r>
      <w:r w:rsidR="00545FE3" w:rsidRPr="00C158D7">
        <w:rPr>
          <w:rFonts w:cstheme="minorHAnsi"/>
          <w:b/>
          <w:bCs/>
          <w:sz w:val="24"/>
          <w:szCs w:val="24"/>
        </w:rPr>
        <w:t>-</w:t>
      </w:r>
      <w:r w:rsidR="00BA2847">
        <w:rPr>
          <w:rFonts w:cstheme="minorHAnsi"/>
          <w:b/>
          <w:bCs/>
          <w:sz w:val="24"/>
          <w:szCs w:val="24"/>
        </w:rPr>
        <w:t>I</w:t>
      </w:r>
      <w:r w:rsidR="00545FE3" w:rsidRPr="00C158D7">
        <w:rPr>
          <w:rFonts w:cstheme="minorHAnsi"/>
          <w:sz w:val="24"/>
          <w:szCs w:val="24"/>
        </w:rPr>
        <w:t>)</w:t>
      </w:r>
      <w:r w:rsidR="00545FE3" w:rsidRPr="00C158D7">
        <w:rPr>
          <w:rFonts w:cstheme="minorHAnsi"/>
          <w:b/>
          <w:bCs/>
          <w:sz w:val="24"/>
          <w:szCs w:val="24"/>
        </w:rPr>
        <w:t xml:space="preserve"> </w:t>
      </w:r>
      <w:r w:rsidRPr="00C158D7">
        <w:rPr>
          <w:rFonts w:cstheme="minorHAnsi"/>
          <w:sz w:val="24"/>
          <w:szCs w:val="24"/>
        </w:rPr>
        <w:t xml:space="preserve">showed a significant decrease in NPN accumulation at all concentrations of </w:t>
      </w:r>
      <w:r w:rsidR="00B1648B" w:rsidRPr="00C158D7">
        <w:rPr>
          <w:rFonts w:cstheme="minorHAnsi"/>
          <w:sz w:val="24"/>
          <w:szCs w:val="24"/>
        </w:rPr>
        <w:t>SLUPP</w:t>
      </w:r>
      <w:r w:rsidRPr="00C158D7">
        <w:rPr>
          <w:rFonts w:cstheme="minorHAnsi"/>
          <w:sz w:val="24"/>
          <w:szCs w:val="24"/>
        </w:rPr>
        <w:t>_1377 compared to WT</w:t>
      </w:r>
      <w:r w:rsidR="002C72AD">
        <w:rPr>
          <w:rFonts w:cstheme="minorHAnsi"/>
          <w:sz w:val="24"/>
          <w:szCs w:val="24"/>
        </w:rPr>
        <w:t xml:space="preserve"> AdeG</w:t>
      </w:r>
      <w:r w:rsidRPr="00C158D7">
        <w:rPr>
          <w:rFonts w:cstheme="minorHAnsi"/>
          <w:sz w:val="24"/>
          <w:szCs w:val="24"/>
        </w:rPr>
        <w:t xml:space="preserve">. All </w:t>
      </w:r>
      <w:r w:rsidR="00B1648B" w:rsidRPr="00C158D7">
        <w:rPr>
          <w:rFonts w:cstheme="minorHAnsi"/>
          <w:sz w:val="24"/>
          <w:szCs w:val="24"/>
        </w:rPr>
        <w:t>SLUPP</w:t>
      </w:r>
      <w:r w:rsidRPr="00C158D7">
        <w:rPr>
          <w:rFonts w:cstheme="minorHAnsi"/>
          <w:sz w:val="24"/>
          <w:szCs w:val="24"/>
        </w:rPr>
        <w:t xml:space="preserve">_1377 concentrations except 25 μM exhibited max </w:t>
      </w:r>
      <w:r w:rsidR="00545FE3" w:rsidRPr="00C158D7">
        <w:rPr>
          <w:rFonts w:cstheme="minorHAnsi"/>
          <w:sz w:val="24"/>
          <w:szCs w:val="24"/>
        </w:rPr>
        <w:t>NPN accumulation</w:t>
      </w:r>
      <w:r w:rsidRPr="00C158D7">
        <w:rPr>
          <w:rFonts w:cstheme="minorHAnsi"/>
          <w:sz w:val="24"/>
          <w:szCs w:val="24"/>
        </w:rPr>
        <w:t xml:space="preserve"> at around </w:t>
      </w:r>
      <w:r w:rsidR="00545FE3" w:rsidRPr="00C158D7">
        <w:rPr>
          <w:rFonts w:cstheme="minorHAnsi"/>
          <w:sz w:val="24"/>
          <w:szCs w:val="24"/>
        </w:rPr>
        <w:t>3,0</w:t>
      </w:r>
      <w:r w:rsidRPr="00C158D7">
        <w:rPr>
          <w:rFonts w:cstheme="minorHAnsi"/>
          <w:sz w:val="24"/>
          <w:szCs w:val="24"/>
        </w:rPr>
        <w:t>00</w:t>
      </w:r>
      <w:r w:rsidR="00545FE3" w:rsidRPr="00C158D7">
        <w:rPr>
          <w:rFonts w:cstheme="minorHAnsi"/>
          <w:sz w:val="24"/>
          <w:szCs w:val="24"/>
        </w:rPr>
        <w:t xml:space="preserve"> </w:t>
      </w:r>
      <w:r w:rsidR="005120A2">
        <w:rPr>
          <w:rFonts w:cstheme="minorHAnsi"/>
          <w:sz w:val="24"/>
          <w:szCs w:val="24"/>
        </w:rPr>
        <w:t>RFU</w:t>
      </w:r>
      <w:r w:rsidRPr="00C158D7">
        <w:rPr>
          <w:rFonts w:cstheme="minorHAnsi"/>
          <w:sz w:val="24"/>
          <w:szCs w:val="24"/>
        </w:rPr>
        <w:t xml:space="preserve">. This is </w:t>
      </w:r>
      <w:r w:rsidR="00545FE3" w:rsidRPr="00C158D7">
        <w:rPr>
          <w:rFonts w:cstheme="minorHAnsi"/>
          <w:sz w:val="24"/>
          <w:szCs w:val="24"/>
        </w:rPr>
        <w:t>a</w:t>
      </w:r>
      <w:r w:rsidR="00EB581F" w:rsidRPr="00C158D7">
        <w:rPr>
          <w:rFonts w:cstheme="minorHAnsi"/>
          <w:sz w:val="24"/>
          <w:szCs w:val="24"/>
        </w:rPr>
        <w:t>bout</w:t>
      </w:r>
      <w:r w:rsidR="00545FE3" w:rsidRPr="00C158D7">
        <w:rPr>
          <w:rFonts w:cstheme="minorHAnsi"/>
          <w:sz w:val="24"/>
          <w:szCs w:val="24"/>
        </w:rPr>
        <w:t xml:space="preserve"> half of the baseline NPN accumulation seen in t</w:t>
      </w:r>
      <w:r w:rsidR="00EB581F" w:rsidRPr="00C158D7">
        <w:rPr>
          <w:rFonts w:cstheme="minorHAnsi"/>
          <w:sz w:val="24"/>
          <w:szCs w:val="24"/>
        </w:rPr>
        <w:t xml:space="preserve">he positive control. These data suggest that the AdeG L138A mutant </w:t>
      </w:r>
      <w:r w:rsidR="002C72AD">
        <w:rPr>
          <w:rFonts w:cstheme="minorHAnsi"/>
          <w:sz w:val="24"/>
          <w:szCs w:val="24"/>
        </w:rPr>
        <w:t>is resistant to inhibition by SLUPP_1377.</w:t>
      </w:r>
    </w:p>
    <w:p w14:paraId="15F88EF2" w14:textId="0F35B309" w:rsidR="00D80C85" w:rsidRDefault="009612AE" w:rsidP="002E2D01">
      <w:pPr>
        <w:spacing w:line="360" w:lineRule="auto"/>
        <w:rPr>
          <w:rFonts w:cstheme="minorHAnsi"/>
          <w:sz w:val="24"/>
          <w:szCs w:val="24"/>
        </w:rPr>
      </w:pPr>
      <w:r>
        <w:rPr>
          <w:rFonts w:cstheme="minorHAnsi"/>
          <w:sz w:val="24"/>
          <w:szCs w:val="24"/>
        </w:rPr>
        <w:tab/>
        <w:t>Next</w:t>
      </w:r>
      <w:r w:rsidR="002C72AD">
        <w:rPr>
          <w:rFonts w:cstheme="minorHAnsi"/>
          <w:sz w:val="24"/>
          <w:szCs w:val="24"/>
        </w:rPr>
        <w:t>,</w:t>
      </w:r>
      <w:r>
        <w:rPr>
          <w:rFonts w:cstheme="minorHAnsi"/>
          <w:sz w:val="24"/>
          <w:szCs w:val="24"/>
        </w:rPr>
        <w:t xml:space="preserve"> we compared the normalized steady state accumulation between the strains based on their inhibition time courses (</w:t>
      </w:r>
      <w:r>
        <w:rPr>
          <w:rFonts w:cstheme="minorHAnsi"/>
          <w:b/>
          <w:bCs/>
          <w:sz w:val="24"/>
          <w:szCs w:val="24"/>
        </w:rPr>
        <w:t>Figure 4.</w:t>
      </w:r>
      <w:r w:rsidR="002C14BC">
        <w:rPr>
          <w:rFonts w:cstheme="minorHAnsi"/>
          <w:b/>
          <w:bCs/>
          <w:sz w:val="24"/>
          <w:szCs w:val="24"/>
        </w:rPr>
        <w:t>11</w:t>
      </w:r>
      <w:r>
        <w:rPr>
          <w:rFonts w:cstheme="minorHAnsi"/>
          <w:sz w:val="24"/>
          <w:szCs w:val="24"/>
        </w:rPr>
        <w:t xml:space="preserve">). This plot shows </w:t>
      </w:r>
      <w:r w:rsidR="00D80C85">
        <w:rPr>
          <w:rFonts w:cstheme="minorHAnsi"/>
          <w:sz w:val="24"/>
          <w:szCs w:val="24"/>
        </w:rPr>
        <w:t xml:space="preserve">relative steady state accumulation of NPN (fold-change) </w:t>
      </w:r>
      <w:r>
        <w:rPr>
          <w:rFonts w:cstheme="minorHAnsi"/>
          <w:sz w:val="24"/>
          <w:szCs w:val="24"/>
        </w:rPr>
        <w:t>on the y-axis and [SLUPP_1377]</w:t>
      </w:r>
      <w:r w:rsidRPr="00273AB0">
        <w:rPr>
          <w:rFonts w:cstheme="minorHAnsi"/>
          <w:sz w:val="24"/>
          <w:szCs w:val="24"/>
          <w:vertAlign w:val="subscript"/>
        </w:rPr>
        <w:t>out</w:t>
      </w:r>
      <w:r>
        <w:rPr>
          <w:rFonts w:cstheme="minorHAnsi"/>
          <w:sz w:val="24"/>
          <w:szCs w:val="24"/>
        </w:rPr>
        <w:t xml:space="preserve"> </w:t>
      </w:r>
      <w:r w:rsidRPr="00545FE3">
        <w:rPr>
          <w:rFonts w:cstheme="minorHAnsi"/>
          <w:sz w:val="24"/>
          <w:szCs w:val="24"/>
        </w:rPr>
        <w:t>μM</w:t>
      </w:r>
      <w:r>
        <w:rPr>
          <w:rFonts w:cstheme="minorHAnsi"/>
          <w:sz w:val="24"/>
          <w:szCs w:val="24"/>
        </w:rPr>
        <w:t xml:space="preserve"> on the x-axis. Like the previous steady state accumulation data, the data sets used for this plot were calculated in </w:t>
      </w:r>
      <w:proofErr w:type="spellStart"/>
      <w:r>
        <w:rPr>
          <w:rFonts w:cstheme="minorHAnsi"/>
          <w:sz w:val="24"/>
          <w:szCs w:val="24"/>
        </w:rPr>
        <w:t>MatLab</w:t>
      </w:r>
      <w:proofErr w:type="spellEnd"/>
      <w:r>
        <w:rPr>
          <w:rFonts w:cstheme="minorHAnsi"/>
          <w:sz w:val="24"/>
          <w:szCs w:val="24"/>
        </w:rPr>
        <w:t xml:space="preserve"> using the same script used to calculate the uptake data set fittings</w:t>
      </w:r>
      <w:r w:rsidR="00D80C85">
        <w:rPr>
          <w:rFonts w:cstheme="minorHAnsi"/>
          <w:sz w:val="24"/>
          <w:szCs w:val="24"/>
        </w:rPr>
        <w:t xml:space="preserve"> (</w:t>
      </w:r>
      <w:r w:rsidR="00D80C85">
        <w:rPr>
          <w:rFonts w:cstheme="minorHAnsi"/>
          <w:b/>
          <w:bCs/>
          <w:sz w:val="24"/>
          <w:szCs w:val="24"/>
        </w:rPr>
        <w:t>Methods 2.</w:t>
      </w:r>
      <w:r w:rsidR="00F15FA8">
        <w:rPr>
          <w:rFonts w:cstheme="minorHAnsi"/>
          <w:b/>
          <w:bCs/>
          <w:sz w:val="24"/>
          <w:szCs w:val="24"/>
        </w:rPr>
        <w:t>13</w:t>
      </w:r>
      <w:r w:rsidR="00D80C85">
        <w:rPr>
          <w:rFonts w:cstheme="minorHAnsi"/>
          <w:sz w:val="24"/>
          <w:szCs w:val="24"/>
        </w:rPr>
        <w:t>)</w:t>
      </w:r>
      <w:r>
        <w:rPr>
          <w:rFonts w:cstheme="minorHAnsi"/>
          <w:sz w:val="24"/>
          <w:szCs w:val="24"/>
        </w:rPr>
        <w:t xml:space="preserve">. </w:t>
      </w:r>
      <w:r w:rsidR="00D80C85">
        <w:rPr>
          <w:rFonts w:cstheme="minorHAnsi"/>
          <w:sz w:val="24"/>
          <w:szCs w:val="24"/>
        </w:rPr>
        <w:t>T</w:t>
      </w:r>
      <w:r>
        <w:rPr>
          <w:rFonts w:cstheme="minorHAnsi"/>
          <w:sz w:val="24"/>
          <w:szCs w:val="24"/>
        </w:rPr>
        <w:t xml:space="preserve">he steady state accumulations were then normalized </w:t>
      </w:r>
      <w:r w:rsidR="00D80C85">
        <w:rPr>
          <w:rFonts w:cstheme="minorHAnsi"/>
          <w:sz w:val="24"/>
          <w:szCs w:val="24"/>
        </w:rPr>
        <w:t xml:space="preserve">by </w:t>
      </w:r>
      <w:r w:rsidR="00C33205">
        <w:rPr>
          <w:rFonts w:cstheme="minorHAnsi"/>
          <w:sz w:val="24"/>
          <w:szCs w:val="24"/>
        </w:rPr>
        <w:t>dividing each steady state value by</w:t>
      </w:r>
      <w:r w:rsidR="00D80C85">
        <w:rPr>
          <w:rFonts w:cstheme="minorHAnsi"/>
          <w:sz w:val="24"/>
          <w:szCs w:val="24"/>
        </w:rPr>
        <w:t xml:space="preserve"> the initial value.</w:t>
      </w:r>
      <w:r w:rsidR="00D80C85">
        <w:rPr>
          <w:sz w:val="24"/>
          <w:szCs w:val="24"/>
        </w:rPr>
        <w:t xml:space="preserve"> </w:t>
      </w:r>
      <w:r w:rsidR="00E74C02">
        <w:rPr>
          <w:sz w:val="24"/>
          <w:szCs w:val="24"/>
        </w:rPr>
        <w:t>The AdeG mutants I621A, G679I, and Y725A curves</w:t>
      </w:r>
      <w:r w:rsidR="00D80C85">
        <w:rPr>
          <w:sz w:val="24"/>
          <w:szCs w:val="24"/>
        </w:rPr>
        <w:t xml:space="preserve"> distributed between</w:t>
      </w:r>
      <w:r w:rsidR="00E74C02">
        <w:rPr>
          <w:sz w:val="24"/>
          <w:szCs w:val="24"/>
        </w:rPr>
        <w:t xml:space="preserve"> </w:t>
      </w:r>
      <w:r w:rsidR="00D80C85">
        <w:rPr>
          <w:sz w:val="24"/>
          <w:szCs w:val="24"/>
        </w:rPr>
        <w:t>the negative control (Ab</w:t>
      </w:r>
      <w:r w:rsidR="00D80C85" w:rsidRPr="005A5764">
        <w:rPr>
          <w:sz w:val="24"/>
          <w:szCs w:val="24"/>
        </w:rPr>
        <w:t>Δ</w:t>
      </w:r>
      <w:r w:rsidR="00D80C85">
        <w:rPr>
          <w:sz w:val="24"/>
          <w:szCs w:val="24"/>
        </w:rPr>
        <w:t>3-Pore, black “x” markers) and the positive control (Ab</w:t>
      </w:r>
      <w:r w:rsidR="00D80C85" w:rsidRPr="005A5764">
        <w:rPr>
          <w:sz w:val="24"/>
          <w:szCs w:val="24"/>
        </w:rPr>
        <w:t>Δ</w:t>
      </w:r>
      <w:r w:rsidR="00D80C85">
        <w:rPr>
          <w:sz w:val="24"/>
          <w:szCs w:val="24"/>
        </w:rPr>
        <w:t>3-Pore(pAdeFGH), light green diamonds)</w:t>
      </w:r>
      <w:r w:rsidR="00E74C02">
        <w:rPr>
          <w:sz w:val="24"/>
          <w:szCs w:val="24"/>
        </w:rPr>
        <w:t xml:space="preserve">, </w:t>
      </w:r>
      <w:r w:rsidR="008D302E">
        <w:rPr>
          <w:sz w:val="24"/>
          <w:szCs w:val="24"/>
        </w:rPr>
        <w:t>demonstrating</w:t>
      </w:r>
      <w:r w:rsidR="00E74C02">
        <w:rPr>
          <w:sz w:val="24"/>
          <w:szCs w:val="24"/>
        </w:rPr>
        <w:t xml:space="preserve"> that</w:t>
      </w:r>
      <w:r w:rsidR="008D302E">
        <w:rPr>
          <w:sz w:val="24"/>
          <w:szCs w:val="24"/>
        </w:rPr>
        <w:t>, for these three mutants,</w:t>
      </w:r>
      <w:r w:rsidR="00E74C02">
        <w:rPr>
          <w:sz w:val="24"/>
          <w:szCs w:val="24"/>
        </w:rPr>
        <w:t xml:space="preserve"> </w:t>
      </w:r>
      <w:r w:rsidR="00E74C02">
        <w:rPr>
          <w:rFonts w:cstheme="minorHAnsi"/>
          <w:sz w:val="24"/>
          <w:szCs w:val="24"/>
        </w:rPr>
        <w:t>increasing the concentration of SLUPP_1377 inhibitor did not have as dramatic an increase in maximum NPN accumulation compared to other mutants</w:t>
      </w:r>
      <w:r w:rsidR="004D09B5">
        <w:rPr>
          <w:rFonts w:cstheme="minorHAnsi"/>
          <w:sz w:val="24"/>
          <w:szCs w:val="24"/>
        </w:rPr>
        <w:t xml:space="preserve"> (</w:t>
      </w:r>
      <w:r w:rsidR="004D09B5">
        <w:rPr>
          <w:rFonts w:cstheme="minorHAnsi"/>
          <w:b/>
          <w:bCs/>
          <w:sz w:val="24"/>
          <w:szCs w:val="24"/>
        </w:rPr>
        <w:t>Figure 4.</w:t>
      </w:r>
      <w:r w:rsidR="002C14BC">
        <w:rPr>
          <w:rFonts w:cstheme="minorHAnsi"/>
          <w:b/>
          <w:bCs/>
          <w:sz w:val="24"/>
          <w:szCs w:val="24"/>
        </w:rPr>
        <w:t>11</w:t>
      </w:r>
      <w:r w:rsidR="004D09B5">
        <w:rPr>
          <w:rFonts w:cstheme="minorHAnsi"/>
          <w:b/>
          <w:bCs/>
          <w:sz w:val="24"/>
          <w:szCs w:val="24"/>
        </w:rPr>
        <w:t>-A</w:t>
      </w:r>
      <w:r w:rsidR="004D09B5">
        <w:rPr>
          <w:rFonts w:cstheme="minorHAnsi"/>
          <w:sz w:val="24"/>
          <w:szCs w:val="24"/>
        </w:rPr>
        <w:t>)</w:t>
      </w:r>
      <w:r w:rsidR="00E74C02">
        <w:rPr>
          <w:rFonts w:cstheme="minorHAnsi"/>
          <w:sz w:val="24"/>
          <w:szCs w:val="24"/>
        </w:rPr>
        <w:t xml:space="preserve">. </w:t>
      </w:r>
      <w:r w:rsidR="008D302E">
        <w:rPr>
          <w:rFonts w:cstheme="minorHAnsi"/>
          <w:sz w:val="24"/>
          <w:szCs w:val="24"/>
        </w:rPr>
        <w:t>This supports the classification of these three mutants as “low efflux efficiency”.</w:t>
      </w:r>
    </w:p>
    <w:p w14:paraId="3A73954B" w14:textId="07FE9472" w:rsidR="004D09B5" w:rsidRDefault="004D09B5" w:rsidP="000C1FE1">
      <w:pPr>
        <w:spacing w:line="360" w:lineRule="auto"/>
        <w:ind w:firstLine="720"/>
        <w:rPr>
          <w:rFonts w:cstheme="minorHAnsi"/>
          <w:sz w:val="24"/>
          <w:szCs w:val="24"/>
        </w:rPr>
      </w:pPr>
      <w:r>
        <w:rPr>
          <w:rFonts w:cstheme="minorHAnsi"/>
          <w:sz w:val="24"/>
          <w:szCs w:val="24"/>
        </w:rPr>
        <w:t>T</w:t>
      </w:r>
      <w:r w:rsidR="00E74C02">
        <w:rPr>
          <w:rFonts w:cstheme="minorHAnsi"/>
          <w:sz w:val="24"/>
          <w:szCs w:val="24"/>
        </w:rPr>
        <w:t xml:space="preserve">he </w:t>
      </w:r>
      <w:r>
        <w:rPr>
          <w:rFonts w:cstheme="minorHAnsi"/>
          <w:sz w:val="24"/>
          <w:szCs w:val="24"/>
        </w:rPr>
        <w:t>“high efficiency” AdeG mutants all had similar relative steady state NPN accumulation up until 12.5 µM SLUPP_1377 where they start to show their separation (</w:t>
      </w:r>
      <w:r>
        <w:rPr>
          <w:rFonts w:cstheme="minorHAnsi"/>
          <w:b/>
          <w:bCs/>
          <w:sz w:val="24"/>
          <w:szCs w:val="24"/>
        </w:rPr>
        <w:t>Figure 4.</w:t>
      </w:r>
      <w:r w:rsidR="002C14BC">
        <w:rPr>
          <w:rFonts w:cstheme="minorHAnsi"/>
          <w:b/>
          <w:bCs/>
          <w:sz w:val="24"/>
          <w:szCs w:val="24"/>
        </w:rPr>
        <w:t>11</w:t>
      </w:r>
      <w:r>
        <w:rPr>
          <w:rFonts w:cstheme="minorHAnsi"/>
          <w:b/>
          <w:bCs/>
          <w:sz w:val="24"/>
          <w:szCs w:val="24"/>
        </w:rPr>
        <w:t>-B</w:t>
      </w:r>
      <w:r>
        <w:rPr>
          <w:rFonts w:cstheme="minorHAnsi"/>
          <w:sz w:val="24"/>
          <w:szCs w:val="24"/>
        </w:rPr>
        <w:t xml:space="preserve">). Their differences in sensitivity to the inhibitor is apparent at 25 µM SLUPP_1377. AdeG Q83A showed the largest increase in relative steady state </w:t>
      </w:r>
      <w:r>
        <w:rPr>
          <w:rFonts w:cstheme="minorHAnsi"/>
          <w:sz w:val="24"/>
          <w:szCs w:val="24"/>
        </w:rPr>
        <w:lastRenderedPageBreak/>
        <w:t xml:space="preserve">accumulation, indicating that this substitution was most sensitive to inhibition by SLUPP_1377. </w:t>
      </w:r>
      <w:r w:rsidR="001B7361">
        <w:rPr>
          <w:rFonts w:cstheme="minorHAnsi"/>
          <w:sz w:val="24"/>
          <w:szCs w:val="24"/>
        </w:rPr>
        <w:t xml:space="preserve">The AdeG mutants S620A, A705I, Q83A Y79S, and L138A </w:t>
      </w:r>
      <w:r w:rsidR="00C33205">
        <w:rPr>
          <w:rFonts w:cstheme="minorHAnsi"/>
          <w:sz w:val="24"/>
          <w:szCs w:val="24"/>
        </w:rPr>
        <w:t>had relative steady state accumulations higher than WT AdeG at 25 µM SLUPP_1377, suggesting that they were more susceptible to inhibition by SLUPP_1377 than WT AdeG, but they were still less sensitive than AdeG Q83A.</w:t>
      </w:r>
    </w:p>
    <w:p w14:paraId="1F7EC830" w14:textId="6877ACA0" w:rsidR="00C33205" w:rsidRDefault="004A4844" w:rsidP="002E2D01">
      <w:pPr>
        <w:spacing w:line="360" w:lineRule="auto"/>
        <w:rPr>
          <w:rFonts w:cstheme="minorHAnsi"/>
          <w:sz w:val="24"/>
          <w:szCs w:val="24"/>
        </w:rPr>
      </w:pPr>
      <w:r>
        <w:rPr>
          <w:rFonts w:cstheme="minorHAnsi"/>
          <w:sz w:val="24"/>
          <w:szCs w:val="24"/>
        </w:rPr>
        <w:tab/>
      </w:r>
      <w:r w:rsidR="00E10DEB">
        <w:rPr>
          <w:rFonts w:cstheme="minorHAnsi"/>
          <w:sz w:val="24"/>
          <w:szCs w:val="24"/>
        </w:rPr>
        <w:t xml:space="preserve">Lastly, initial rates for the NPN uptake in combination with SLUPP_1377 time courses were calculated using the same steady state process script in </w:t>
      </w:r>
      <w:proofErr w:type="spellStart"/>
      <w:r w:rsidR="00E10DEB">
        <w:rPr>
          <w:rFonts w:cstheme="minorHAnsi"/>
          <w:sz w:val="24"/>
          <w:szCs w:val="24"/>
        </w:rPr>
        <w:t>MatLab</w:t>
      </w:r>
      <w:proofErr w:type="spellEnd"/>
      <w:r w:rsidR="00F15FA8">
        <w:rPr>
          <w:rFonts w:cstheme="minorHAnsi"/>
          <w:sz w:val="24"/>
          <w:szCs w:val="24"/>
        </w:rPr>
        <w:t xml:space="preserve"> (</w:t>
      </w:r>
      <w:r w:rsidR="00F15FA8">
        <w:rPr>
          <w:rFonts w:cstheme="minorHAnsi"/>
          <w:b/>
          <w:bCs/>
          <w:sz w:val="24"/>
          <w:szCs w:val="24"/>
        </w:rPr>
        <w:t>Methods 2.13</w:t>
      </w:r>
      <w:r w:rsidR="00F15FA8">
        <w:rPr>
          <w:rFonts w:cstheme="minorHAnsi"/>
          <w:sz w:val="24"/>
          <w:szCs w:val="24"/>
        </w:rPr>
        <w:t>)</w:t>
      </w:r>
      <w:r w:rsidR="00E10DEB">
        <w:rPr>
          <w:rFonts w:cstheme="minorHAnsi"/>
          <w:sz w:val="24"/>
          <w:szCs w:val="24"/>
        </w:rPr>
        <w:t xml:space="preserve"> </w:t>
      </w:r>
      <w:r w:rsidR="00C33205">
        <w:rPr>
          <w:rFonts w:cstheme="minorHAnsi"/>
          <w:sz w:val="24"/>
          <w:szCs w:val="24"/>
        </w:rPr>
        <w:t>T</w:t>
      </w:r>
      <w:r w:rsidR="00E10DEB">
        <w:rPr>
          <w:rFonts w:cstheme="minorHAnsi"/>
          <w:sz w:val="24"/>
          <w:szCs w:val="24"/>
        </w:rPr>
        <w:t xml:space="preserve">he initial rates of the strains were </w:t>
      </w:r>
      <w:r w:rsidR="00C33205">
        <w:rPr>
          <w:rFonts w:cstheme="minorHAnsi"/>
          <w:sz w:val="24"/>
          <w:szCs w:val="24"/>
        </w:rPr>
        <w:t xml:space="preserve">normalized by dividing each initial rate with the initial rate at 0 µM SLUPP_1377. The resulting relative initial rates were </w:t>
      </w:r>
      <w:r w:rsidR="00E10DEB">
        <w:rPr>
          <w:rFonts w:cstheme="minorHAnsi"/>
          <w:sz w:val="24"/>
          <w:szCs w:val="24"/>
        </w:rPr>
        <w:t xml:space="preserve">plotted verses external concentration of </w:t>
      </w:r>
      <w:r w:rsidR="00C33205">
        <w:rPr>
          <w:rFonts w:cstheme="minorHAnsi"/>
          <w:sz w:val="24"/>
          <w:szCs w:val="24"/>
        </w:rPr>
        <w:t xml:space="preserve">SLUPP_1377 </w:t>
      </w:r>
      <w:r w:rsidR="00E10DEB">
        <w:rPr>
          <w:rFonts w:cstheme="minorHAnsi"/>
          <w:sz w:val="24"/>
          <w:szCs w:val="24"/>
        </w:rPr>
        <w:t>(</w:t>
      </w:r>
      <w:r w:rsidR="00E10DEB">
        <w:rPr>
          <w:rFonts w:cstheme="minorHAnsi"/>
          <w:b/>
          <w:bCs/>
          <w:sz w:val="24"/>
          <w:szCs w:val="24"/>
        </w:rPr>
        <w:t>Figure 4.</w:t>
      </w:r>
      <w:r w:rsidR="006664FB">
        <w:rPr>
          <w:rFonts w:cstheme="minorHAnsi"/>
          <w:b/>
          <w:bCs/>
          <w:sz w:val="24"/>
          <w:szCs w:val="24"/>
        </w:rPr>
        <w:t>1</w:t>
      </w:r>
      <w:r w:rsidR="002C14BC">
        <w:rPr>
          <w:rFonts w:cstheme="minorHAnsi"/>
          <w:b/>
          <w:bCs/>
          <w:sz w:val="24"/>
          <w:szCs w:val="24"/>
        </w:rPr>
        <w:t>2</w:t>
      </w:r>
      <w:r w:rsidR="00E10DEB">
        <w:rPr>
          <w:rFonts w:cstheme="minorHAnsi"/>
          <w:sz w:val="24"/>
          <w:szCs w:val="24"/>
        </w:rPr>
        <w:t xml:space="preserve">). </w:t>
      </w:r>
      <w:r w:rsidR="00583C5A">
        <w:rPr>
          <w:rFonts w:cstheme="minorHAnsi"/>
          <w:sz w:val="24"/>
          <w:szCs w:val="24"/>
        </w:rPr>
        <w:t>Similar to their trends without inhibitor, the AdeG mutants I621A, G679I, and Y725A relative initial rate curves distributed below the WT AdeG</w:t>
      </w:r>
      <w:r w:rsidR="00DE189E">
        <w:rPr>
          <w:rFonts w:cstheme="minorHAnsi"/>
          <w:sz w:val="24"/>
          <w:szCs w:val="24"/>
        </w:rPr>
        <w:t xml:space="preserve"> (</w:t>
      </w:r>
      <w:r w:rsidR="00DE189E">
        <w:rPr>
          <w:rFonts w:cstheme="minorHAnsi"/>
          <w:b/>
          <w:bCs/>
          <w:sz w:val="24"/>
          <w:szCs w:val="24"/>
        </w:rPr>
        <w:t>Figure 4.1</w:t>
      </w:r>
      <w:r w:rsidR="002C14BC">
        <w:rPr>
          <w:rFonts w:cstheme="minorHAnsi"/>
          <w:b/>
          <w:bCs/>
          <w:sz w:val="24"/>
          <w:szCs w:val="24"/>
        </w:rPr>
        <w:t>2</w:t>
      </w:r>
      <w:r w:rsidR="00DE189E">
        <w:rPr>
          <w:rFonts w:cstheme="minorHAnsi"/>
          <w:b/>
          <w:bCs/>
          <w:sz w:val="24"/>
          <w:szCs w:val="24"/>
        </w:rPr>
        <w:t>-A</w:t>
      </w:r>
      <w:r w:rsidR="00DE189E">
        <w:rPr>
          <w:rFonts w:cstheme="minorHAnsi"/>
          <w:sz w:val="24"/>
          <w:szCs w:val="24"/>
        </w:rPr>
        <w:t>)</w:t>
      </w:r>
      <w:r w:rsidR="00583C5A">
        <w:rPr>
          <w:rFonts w:cstheme="minorHAnsi"/>
          <w:sz w:val="24"/>
          <w:szCs w:val="24"/>
        </w:rPr>
        <w:t>. The relative initial rates of AdeG I621A and G679I remained unchanged with increasing concentrations of SLUPP_1377, suggesting that the inhibitor did not impact the mutants’ efflux efficiency. AdeG Y725A did show increases in rel</w:t>
      </w:r>
      <w:r w:rsidR="00623694">
        <w:rPr>
          <w:rFonts w:cstheme="minorHAnsi"/>
          <w:sz w:val="24"/>
          <w:szCs w:val="24"/>
        </w:rPr>
        <w:t>ative</w:t>
      </w:r>
      <w:r w:rsidR="00583C5A">
        <w:rPr>
          <w:rFonts w:cstheme="minorHAnsi"/>
          <w:sz w:val="24"/>
          <w:szCs w:val="24"/>
        </w:rPr>
        <w:t xml:space="preserve"> initial rates with increasing concentrations of inhibitor, suggesting that this substitution </w:t>
      </w:r>
      <w:r w:rsidR="00623694">
        <w:rPr>
          <w:rFonts w:cstheme="minorHAnsi"/>
          <w:sz w:val="24"/>
          <w:szCs w:val="24"/>
        </w:rPr>
        <w:t>is still susceptible to inhibition by SLUPP_1377.</w:t>
      </w:r>
    </w:p>
    <w:p w14:paraId="4F837F3A" w14:textId="6E3F86A9" w:rsidR="004A69A4" w:rsidRPr="002E2D01" w:rsidRDefault="00DE189E" w:rsidP="007218E8">
      <w:pPr>
        <w:spacing w:line="360" w:lineRule="auto"/>
        <w:rPr>
          <w:b/>
          <w:bCs/>
          <w:sz w:val="24"/>
          <w:szCs w:val="24"/>
        </w:rPr>
      </w:pPr>
      <w:r>
        <w:rPr>
          <w:rFonts w:cstheme="minorHAnsi"/>
          <w:sz w:val="24"/>
          <w:szCs w:val="24"/>
        </w:rPr>
        <w:tab/>
        <w:t>All of the “high efficiency” AdeG mutants demonstrated relative initial rates similar to or above WT AdeG (</w:t>
      </w:r>
      <w:r>
        <w:rPr>
          <w:rFonts w:cstheme="minorHAnsi"/>
          <w:b/>
          <w:bCs/>
          <w:sz w:val="24"/>
          <w:szCs w:val="24"/>
        </w:rPr>
        <w:t>Figure 4.1</w:t>
      </w:r>
      <w:r w:rsidR="002C14BC">
        <w:rPr>
          <w:rFonts w:cstheme="minorHAnsi"/>
          <w:b/>
          <w:bCs/>
          <w:sz w:val="24"/>
          <w:szCs w:val="24"/>
        </w:rPr>
        <w:t>2</w:t>
      </w:r>
      <w:r>
        <w:rPr>
          <w:rFonts w:cstheme="minorHAnsi"/>
          <w:b/>
          <w:bCs/>
          <w:sz w:val="24"/>
          <w:szCs w:val="24"/>
        </w:rPr>
        <w:t>-B</w:t>
      </w:r>
      <w:r>
        <w:rPr>
          <w:rFonts w:cstheme="minorHAnsi"/>
          <w:sz w:val="24"/>
          <w:szCs w:val="24"/>
        </w:rPr>
        <w:t>). The AdeG mutants S620A and Q83A showed the by far the largest jump in relative initial rates when comparing their values at 12.5 µM to 25 µM SLUPP_1377. This suggests that AdeG mutants S620A and Q83A are very susceptible to inhibition by SLUPP_1377 since it appears that the inhibitor overwhelms the mutant transporters at 25 µM SLUPP_1377</w:t>
      </w:r>
      <w:r w:rsidR="007A49DE">
        <w:rPr>
          <w:rFonts w:cstheme="minorHAnsi"/>
          <w:sz w:val="24"/>
          <w:szCs w:val="24"/>
        </w:rPr>
        <w:t xml:space="preserve">, resulting in large initial rate fold-changes. The AdeG mutant A705I has a relative initial rate curve similar to WT AdeG, suggesting that it is similarly susceptible to efflux inhibition by SLUPP_1377. And lastly, the AdeG mutants L138A and Q83A Y79S showed relative initial rate curves above WT AdeG, suggesting that they are more susceptible to inhibition by SLUPP_1377, but not to the same degree as AdeG mutants S620A and Q83A. There is a significant difference in inhibitor sensitivity between the single AdeG mutant Q83A and the double AdeG mutant Q83A Y79S, which may suggest that the </w:t>
      </w:r>
      <w:r w:rsidR="0066782C">
        <w:rPr>
          <w:rFonts w:cstheme="minorHAnsi"/>
          <w:sz w:val="24"/>
          <w:szCs w:val="24"/>
        </w:rPr>
        <w:t>Y79S</w:t>
      </w:r>
      <w:r w:rsidR="007A49DE">
        <w:rPr>
          <w:rFonts w:cstheme="minorHAnsi"/>
          <w:sz w:val="24"/>
          <w:szCs w:val="24"/>
        </w:rPr>
        <w:t xml:space="preserve"> subst</w:t>
      </w:r>
      <w:r w:rsidR="008A2B9E">
        <w:rPr>
          <w:rFonts w:cstheme="minorHAnsi"/>
          <w:sz w:val="24"/>
          <w:szCs w:val="24"/>
        </w:rPr>
        <w:t>ituti</w:t>
      </w:r>
      <w:r w:rsidR="007A49DE">
        <w:rPr>
          <w:rFonts w:cstheme="minorHAnsi"/>
          <w:sz w:val="24"/>
          <w:szCs w:val="24"/>
        </w:rPr>
        <w:t xml:space="preserve">on </w:t>
      </w:r>
      <w:r w:rsidR="0066782C">
        <w:rPr>
          <w:rFonts w:cstheme="minorHAnsi"/>
          <w:sz w:val="24"/>
          <w:szCs w:val="24"/>
        </w:rPr>
        <w:t>is responsible for the decreased susceptibility to SLUPP_1377 inhibition.</w:t>
      </w:r>
      <w:r w:rsidR="002E2D01" w:rsidRPr="002E2D01">
        <w:rPr>
          <w:b/>
          <w:bCs/>
          <w:sz w:val="24"/>
          <w:szCs w:val="24"/>
        </w:rPr>
        <w:t xml:space="preserve"> </w:t>
      </w:r>
    </w:p>
    <w:p w14:paraId="22499916" w14:textId="16EC4FA8" w:rsidR="00FB4B2C" w:rsidRDefault="00FB4B2C" w:rsidP="00FB4B2C">
      <w:pPr>
        <w:rPr>
          <w:sz w:val="24"/>
          <w:szCs w:val="24"/>
        </w:rPr>
      </w:pPr>
    </w:p>
    <w:p w14:paraId="7933CEC7" w14:textId="5A00999D" w:rsidR="000F3412" w:rsidRDefault="007E7969" w:rsidP="000F3412">
      <w:pPr>
        <w:jc w:val="center"/>
        <w:rPr>
          <w:b/>
          <w:bCs/>
          <w:sz w:val="24"/>
          <w:szCs w:val="24"/>
        </w:rPr>
      </w:pPr>
      <w:r w:rsidRPr="007E7969">
        <w:rPr>
          <w:b/>
          <w:bCs/>
          <w:noProof/>
          <w:sz w:val="24"/>
          <w:szCs w:val="24"/>
        </w:rPr>
        <w:drawing>
          <wp:inline distT="0" distB="0" distL="0" distR="0" wp14:anchorId="5184120C" wp14:editId="2D4889EB">
            <wp:extent cx="4267200" cy="3232996"/>
            <wp:effectExtent l="0" t="0" r="0" b="5715"/>
            <wp:docPr id="2028439282"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39282" name="Picture 1" descr="A graph of different colored lines&#10;&#10;Description automatically generated"/>
                    <pic:cNvPicPr/>
                  </pic:nvPicPr>
                  <pic:blipFill>
                    <a:blip r:embed="rId53"/>
                    <a:stretch>
                      <a:fillRect/>
                    </a:stretch>
                  </pic:blipFill>
                  <pic:spPr>
                    <a:xfrm>
                      <a:off x="0" y="0"/>
                      <a:ext cx="4273946" cy="3238107"/>
                    </a:xfrm>
                    <a:prstGeom prst="rect">
                      <a:avLst/>
                    </a:prstGeom>
                  </pic:spPr>
                </pic:pic>
              </a:graphicData>
            </a:graphic>
          </wp:inline>
        </w:drawing>
      </w:r>
      <w:r w:rsidRPr="007E7969">
        <w:rPr>
          <w:noProof/>
        </w:rPr>
        <w:t xml:space="preserve"> </w:t>
      </w:r>
      <w:r w:rsidRPr="007E7969">
        <w:rPr>
          <w:b/>
          <w:bCs/>
          <w:noProof/>
          <w:sz w:val="24"/>
          <w:szCs w:val="24"/>
        </w:rPr>
        <w:drawing>
          <wp:inline distT="0" distB="0" distL="0" distR="0" wp14:anchorId="215E38B1" wp14:editId="3184FA1F">
            <wp:extent cx="4250267" cy="3397753"/>
            <wp:effectExtent l="0" t="0" r="0" b="0"/>
            <wp:docPr id="697738464" name="Picture 1" descr="A graph with colorful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38464" name="Picture 1" descr="A graph with colorful lines and numbers&#10;&#10;Description automatically generated"/>
                    <pic:cNvPicPr/>
                  </pic:nvPicPr>
                  <pic:blipFill>
                    <a:blip r:embed="rId54"/>
                    <a:stretch>
                      <a:fillRect/>
                    </a:stretch>
                  </pic:blipFill>
                  <pic:spPr>
                    <a:xfrm>
                      <a:off x="0" y="0"/>
                      <a:ext cx="4262709" cy="3407699"/>
                    </a:xfrm>
                    <a:prstGeom prst="rect">
                      <a:avLst/>
                    </a:prstGeom>
                  </pic:spPr>
                </pic:pic>
              </a:graphicData>
            </a:graphic>
          </wp:inline>
        </w:drawing>
      </w:r>
    </w:p>
    <w:p w14:paraId="18D01357" w14:textId="617BB715" w:rsidR="00FB4B2C" w:rsidRDefault="00FB4B2C" w:rsidP="00FB4B2C">
      <w:pPr>
        <w:rPr>
          <w:b/>
          <w:bCs/>
          <w:sz w:val="24"/>
          <w:szCs w:val="24"/>
        </w:rPr>
      </w:pPr>
      <w:r>
        <w:rPr>
          <w:b/>
          <w:bCs/>
          <w:sz w:val="24"/>
          <w:szCs w:val="24"/>
        </w:rPr>
        <w:t>Figure 4.</w:t>
      </w:r>
      <w:r w:rsidR="002C14BC">
        <w:rPr>
          <w:b/>
          <w:bCs/>
          <w:sz w:val="24"/>
          <w:szCs w:val="24"/>
        </w:rPr>
        <w:t>11</w:t>
      </w:r>
      <w:r>
        <w:rPr>
          <w:b/>
          <w:bCs/>
          <w:sz w:val="24"/>
          <w:szCs w:val="24"/>
        </w:rPr>
        <w:t xml:space="preserve"> –Steady </w:t>
      </w:r>
      <w:r w:rsidR="00451C04">
        <w:rPr>
          <w:b/>
          <w:bCs/>
          <w:sz w:val="24"/>
          <w:szCs w:val="24"/>
        </w:rPr>
        <w:t>s</w:t>
      </w:r>
      <w:r>
        <w:rPr>
          <w:b/>
          <w:bCs/>
          <w:sz w:val="24"/>
          <w:szCs w:val="24"/>
        </w:rPr>
        <w:t xml:space="preserve">tate </w:t>
      </w:r>
      <w:r w:rsidR="00451C04">
        <w:rPr>
          <w:b/>
          <w:bCs/>
          <w:sz w:val="24"/>
          <w:szCs w:val="24"/>
        </w:rPr>
        <w:t>a</w:t>
      </w:r>
      <w:r>
        <w:rPr>
          <w:b/>
          <w:bCs/>
          <w:sz w:val="24"/>
          <w:szCs w:val="24"/>
        </w:rPr>
        <w:t xml:space="preserve">ccumulation of NPN (4 </w:t>
      </w:r>
      <w:r w:rsidR="00C158D7" w:rsidRPr="00C158D7">
        <w:rPr>
          <w:rFonts w:cstheme="minorHAnsi"/>
          <w:b/>
          <w:bCs/>
          <w:sz w:val="24"/>
          <w:szCs w:val="24"/>
        </w:rPr>
        <w:t>μM</w:t>
      </w:r>
      <w:r>
        <w:rPr>
          <w:b/>
          <w:bCs/>
          <w:sz w:val="24"/>
          <w:szCs w:val="24"/>
        </w:rPr>
        <w:t xml:space="preserve">) in </w:t>
      </w:r>
      <w:r w:rsidR="00451C04">
        <w:rPr>
          <w:b/>
          <w:bCs/>
          <w:sz w:val="24"/>
          <w:szCs w:val="24"/>
        </w:rPr>
        <w:t>c</w:t>
      </w:r>
      <w:r>
        <w:rPr>
          <w:b/>
          <w:bCs/>
          <w:sz w:val="24"/>
          <w:szCs w:val="24"/>
        </w:rPr>
        <w:t xml:space="preserve">ombination with SLUPP_1377 (0-25 </w:t>
      </w:r>
      <w:r w:rsidR="00C158D7" w:rsidRPr="00C158D7">
        <w:rPr>
          <w:rFonts w:cstheme="minorHAnsi"/>
          <w:b/>
          <w:bCs/>
          <w:sz w:val="24"/>
          <w:szCs w:val="24"/>
        </w:rPr>
        <w:t>μM</w:t>
      </w:r>
      <w:r>
        <w:rPr>
          <w:b/>
          <w:bCs/>
          <w:sz w:val="24"/>
          <w:szCs w:val="24"/>
        </w:rPr>
        <w:t>)</w:t>
      </w:r>
    </w:p>
    <w:p w14:paraId="61981D0A" w14:textId="1944AEBE" w:rsidR="00FB4B2C" w:rsidRDefault="00FB4B2C" w:rsidP="001B6825">
      <w:pPr>
        <w:rPr>
          <w:sz w:val="24"/>
          <w:szCs w:val="24"/>
        </w:rPr>
      </w:pPr>
      <w:r>
        <w:rPr>
          <w:sz w:val="24"/>
          <w:szCs w:val="24"/>
        </w:rPr>
        <w:t xml:space="preserve">Steady state concentrations of intra cellular NPN plotted against extracellular concentrations of SLUPP_1377. Steady state concentrations were normalized </w:t>
      </w:r>
      <w:r w:rsidR="009602CA">
        <w:rPr>
          <w:sz w:val="24"/>
          <w:szCs w:val="24"/>
        </w:rPr>
        <w:t>by dividing each steady state value by the initial steady state value</w:t>
      </w:r>
      <w:r>
        <w:rPr>
          <w:sz w:val="24"/>
          <w:szCs w:val="24"/>
        </w:rPr>
        <w:t xml:space="preserve">. </w:t>
      </w:r>
      <w:r w:rsidRPr="00FB4B2C">
        <w:rPr>
          <w:sz w:val="24"/>
          <w:szCs w:val="24"/>
        </w:rPr>
        <w:t>Error</w:t>
      </w:r>
      <w:r>
        <w:rPr>
          <w:sz w:val="24"/>
          <w:szCs w:val="24"/>
        </w:rPr>
        <w:t xml:space="preserve"> bars are S</w:t>
      </w:r>
      <w:r w:rsidR="00C12F50">
        <w:rPr>
          <w:sz w:val="24"/>
          <w:szCs w:val="24"/>
        </w:rPr>
        <w:t>E</w:t>
      </w:r>
      <w:r>
        <w:rPr>
          <w:sz w:val="24"/>
          <w:szCs w:val="24"/>
        </w:rPr>
        <w:t xml:space="preserve"> (n=4).</w:t>
      </w:r>
      <w:r w:rsidR="009570C4" w:rsidRPr="009570C4">
        <w:rPr>
          <w:sz w:val="24"/>
          <w:szCs w:val="24"/>
        </w:rPr>
        <w:t xml:space="preserve"> </w:t>
      </w:r>
    </w:p>
    <w:p w14:paraId="6135975C" w14:textId="3EE8CAB3" w:rsidR="009570C4" w:rsidRDefault="009570C4" w:rsidP="00FB4B2C">
      <w:pPr>
        <w:rPr>
          <w:sz w:val="24"/>
          <w:szCs w:val="24"/>
        </w:rPr>
      </w:pPr>
    </w:p>
    <w:p w14:paraId="399D373E" w14:textId="77777777" w:rsidR="000F3412" w:rsidRDefault="000F3412" w:rsidP="00FB4B2C">
      <w:pPr>
        <w:rPr>
          <w:sz w:val="24"/>
          <w:szCs w:val="24"/>
        </w:rPr>
      </w:pPr>
    </w:p>
    <w:p w14:paraId="1272057F" w14:textId="254460D6" w:rsidR="000F3412" w:rsidRDefault="00F15FA8" w:rsidP="000F3412">
      <w:pPr>
        <w:jc w:val="center"/>
        <w:rPr>
          <w:noProof/>
        </w:rPr>
      </w:pPr>
      <w:r w:rsidRPr="00F15FA8">
        <w:rPr>
          <w:noProof/>
        </w:rPr>
        <w:t xml:space="preserve"> </w:t>
      </w:r>
    </w:p>
    <w:p w14:paraId="58610CA3" w14:textId="61934C56" w:rsidR="003D029A" w:rsidRPr="00FB4B2C" w:rsidRDefault="007E7969" w:rsidP="000F3412">
      <w:pPr>
        <w:jc w:val="center"/>
        <w:rPr>
          <w:sz w:val="24"/>
          <w:szCs w:val="24"/>
        </w:rPr>
      </w:pPr>
      <w:r w:rsidRPr="007E7969">
        <w:rPr>
          <w:noProof/>
          <w:sz w:val="24"/>
          <w:szCs w:val="24"/>
        </w:rPr>
        <w:drawing>
          <wp:inline distT="0" distB="0" distL="0" distR="0" wp14:anchorId="645BE1B8" wp14:editId="3FF93D52">
            <wp:extent cx="4605867" cy="3396826"/>
            <wp:effectExtent l="0" t="0" r="4445" b="0"/>
            <wp:docPr id="1265155234"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55234" name="Picture 1" descr="A graph of different colored lines&#10;&#10;Description automatically generated"/>
                    <pic:cNvPicPr/>
                  </pic:nvPicPr>
                  <pic:blipFill>
                    <a:blip r:embed="rId55"/>
                    <a:stretch>
                      <a:fillRect/>
                    </a:stretch>
                  </pic:blipFill>
                  <pic:spPr>
                    <a:xfrm>
                      <a:off x="0" y="0"/>
                      <a:ext cx="4609279" cy="3399342"/>
                    </a:xfrm>
                    <a:prstGeom prst="rect">
                      <a:avLst/>
                    </a:prstGeom>
                  </pic:spPr>
                </pic:pic>
              </a:graphicData>
            </a:graphic>
          </wp:inline>
        </w:drawing>
      </w:r>
      <w:r w:rsidRPr="007E7969">
        <w:rPr>
          <w:noProof/>
        </w:rPr>
        <w:t xml:space="preserve"> </w:t>
      </w:r>
      <w:r w:rsidRPr="007E7969">
        <w:rPr>
          <w:noProof/>
          <w:sz w:val="24"/>
          <w:szCs w:val="24"/>
        </w:rPr>
        <w:drawing>
          <wp:inline distT="0" distB="0" distL="0" distR="0" wp14:anchorId="44166CB0" wp14:editId="7DF3B7C4">
            <wp:extent cx="4673600" cy="3226623"/>
            <wp:effectExtent l="0" t="0" r="0" b="0"/>
            <wp:docPr id="1448381390" name="Picture 1" descr="A graph of a number of po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81390" name="Picture 1" descr="A graph of a number of pores&#10;&#10;Description automatically generated"/>
                    <pic:cNvPicPr/>
                  </pic:nvPicPr>
                  <pic:blipFill>
                    <a:blip r:embed="rId56"/>
                    <a:stretch>
                      <a:fillRect/>
                    </a:stretch>
                  </pic:blipFill>
                  <pic:spPr>
                    <a:xfrm>
                      <a:off x="0" y="0"/>
                      <a:ext cx="4689260" cy="3237435"/>
                    </a:xfrm>
                    <a:prstGeom prst="rect">
                      <a:avLst/>
                    </a:prstGeom>
                  </pic:spPr>
                </pic:pic>
              </a:graphicData>
            </a:graphic>
          </wp:inline>
        </w:drawing>
      </w:r>
    </w:p>
    <w:p w14:paraId="2A10DC28" w14:textId="2D1917A5" w:rsidR="009570C4" w:rsidRDefault="009570C4" w:rsidP="009570C4">
      <w:pPr>
        <w:rPr>
          <w:b/>
          <w:bCs/>
          <w:sz w:val="24"/>
          <w:szCs w:val="24"/>
        </w:rPr>
      </w:pPr>
      <w:r>
        <w:rPr>
          <w:b/>
          <w:bCs/>
          <w:sz w:val="24"/>
          <w:szCs w:val="24"/>
        </w:rPr>
        <w:t>Figure 4.1</w:t>
      </w:r>
      <w:r w:rsidR="002C14BC">
        <w:rPr>
          <w:b/>
          <w:bCs/>
          <w:sz w:val="24"/>
          <w:szCs w:val="24"/>
        </w:rPr>
        <w:t>2</w:t>
      </w:r>
      <w:r>
        <w:rPr>
          <w:b/>
          <w:bCs/>
          <w:sz w:val="24"/>
          <w:szCs w:val="24"/>
        </w:rPr>
        <w:t xml:space="preserve"> –Initial </w:t>
      </w:r>
      <w:r w:rsidR="00451C04">
        <w:rPr>
          <w:b/>
          <w:bCs/>
          <w:sz w:val="24"/>
          <w:szCs w:val="24"/>
        </w:rPr>
        <w:t>r</w:t>
      </w:r>
      <w:r>
        <w:rPr>
          <w:b/>
          <w:bCs/>
          <w:sz w:val="24"/>
          <w:szCs w:val="24"/>
        </w:rPr>
        <w:t xml:space="preserve">ates of NPN (4 </w:t>
      </w:r>
      <w:r w:rsidR="00C158D7" w:rsidRPr="00C158D7">
        <w:rPr>
          <w:rFonts w:cstheme="minorHAnsi"/>
          <w:b/>
          <w:bCs/>
          <w:sz w:val="24"/>
          <w:szCs w:val="24"/>
        </w:rPr>
        <w:t>μM</w:t>
      </w:r>
      <w:r>
        <w:rPr>
          <w:b/>
          <w:bCs/>
          <w:sz w:val="24"/>
          <w:szCs w:val="24"/>
        </w:rPr>
        <w:t xml:space="preserve">) </w:t>
      </w:r>
      <w:r w:rsidR="00451C04">
        <w:rPr>
          <w:b/>
          <w:bCs/>
          <w:sz w:val="24"/>
          <w:szCs w:val="24"/>
        </w:rPr>
        <w:t>u</w:t>
      </w:r>
      <w:r>
        <w:rPr>
          <w:b/>
          <w:bCs/>
          <w:sz w:val="24"/>
          <w:szCs w:val="24"/>
        </w:rPr>
        <w:t xml:space="preserve">ptake in </w:t>
      </w:r>
      <w:r w:rsidR="00451C04">
        <w:rPr>
          <w:b/>
          <w:bCs/>
          <w:sz w:val="24"/>
          <w:szCs w:val="24"/>
        </w:rPr>
        <w:t>c</w:t>
      </w:r>
      <w:r>
        <w:rPr>
          <w:b/>
          <w:bCs/>
          <w:sz w:val="24"/>
          <w:szCs w:val="24"/>
        </w:rPr>
        <w:t>ombination with SLUPP_1377</w:t>
      </w:r>
    </w:p>
    <w:p w14:paraId="28705770" w14:textId="7D6A00D8" w:rsidR="008534C9" w:rsidRDefault="009570C4" w:rsidP="0015595C">
      <w:pPr>
        <w:rPr>
          <w:sz w:val="24"/>
          <w:szCs w:val="24"/>
        </w:rPr>
      </w:pPr>
      <w:r>
        <w:rPr>
          <w:sz w:val="24"/>
          <w:szCs w:val="24"/>
        </w:rPr>
        <w:lastRenderedPageBreak/>
        <w:t xml:space="preserve">Initial rates of uptake of all </w:t>
      </w:r>
      <w:r>
        <w:rPr>
          <w:i/>
          <w:iCs/>
          <w:sz w:val="24"/>
          <w:szCs w:val="24"/>
        </w:rPr>
        <w:t>A. baumannii</w:t>
      </w:r>
      <w:r>
        <w:rPr>
          <w:sz w:val="24"/>
          <w:szCs w:val="24"/>
        </w:rPr>
        <w:t xml:space="preserve"> </w:t>
      </w:r>
      <w:r w:rsidRPr="005A5764">
        <w:rPr>
          <w:sz w:val="24"/>
          <w:szCs w:val="24"/>
        </w:rPr>
        <w:t>Δ</w:t>
      </w:r>
      <w:r>
        <w:rPr>
          <w:sz w:val="24"/>
          <w:szCs w:val="24"/>
        </w:rPr>
        <w:t xml:space="preserve">3-Pore AdeG mutant strains and controls. </w:t>
      </w:r>
      <w:r w:rsidR="008A3E24">
        <w:rPr>
          <w:rFonts w:asciiTheme="majorHAnsi" w:hAnsiTheme="majorHAnsi" w:cstheme="majorHAnsi"/>
          <w:sz w:val="24"/>
          <w:szCs w:val="24"/>
        </w:rPr>
        <w:t xml:space="preserve">The uptake data sets were </w:t>
      </w:r>
      <w:r w:rsidR="002E5208">
        <w:rPr>
          <w:rFonts w:asciiTheme="majorHAnsi" w:hAnsiTheme="majorHAnsi" w:cstheme="majorHAnsi"/>
          <w:sz w:val="24"/>
          <w:szCs w:val="24"/>
        </w:rPr>
        <w:t>fitted</w:t>
      </w:r>
      <w:r w:rsidR="008A3E24">
        <w:rPr>
          <w:rFonts w:asciiTheme="majorHAnsi" w:hAnsiTheme="majorHAnsi" w:cstheme="majorHAnsi"/>
          <w:sz w:val="24"/>
          <w:szCs w:val="24"/>
        </w:rPr>
        <w:t xml:space="preserve"> using a script written for </w:t>
      </w:r>
      <w:proofErr w:type="spellStart"/>
      <w:r w:rsidR="008A3E24">
        <w:rPr>
          <w:rFonts w:asciiTheme="majorHAnsi" w:hAnsiTheme="majorHAnsi" w:cstheme="majorHAnsi"/>
          <w:sz w:val="24"/>
          <w:szCs w:val="24"/>
        </w:rPr>
        <w:t>MatLab</w:t>
      </w:r>
      <w:proofErr w:type="spellEnd"/>
      <w:r w:rsidR="008A3E24">
        <w:rPr>
          <w:rFonts w:asciiTheme="majorHAnsi" w:hAnsiTheme="majorHAnsi" w:cstheme="majorHAnsi"/>
          <w:sz w:val="24"/>
          <w:szCs w:val="24"/>
        </w:rPr>
        <w:t>.</w:t>
      </w:r>
      <w:r w:rsidR="008A3E24">
        <w:rPr>
          <w:sz w:val="24"/>
          <w:szCs w:val="24"/>
        </w:rPr>
        <w:t xml:space="preserve"> </w:t>
      </w:r>
      <w:r>
        <w:rPr>
          <w:sz w:val="24"/>
          <w:szCs w:val="24"/>
        </w:rPr>
        <w:t>Error bars are S</w:t>
      </w:r>
      <w:r w:rsidR="00704700">
        <w:rPr>
          <w:sz w:val="24"/>
          <w:szCs w:val="24"/>
        </w:rPr>
        <w:t xml:space="preserve">E </w:t>
      </w:r>
      <w:r>
        <w:rPr>
          <w:sz w:val="24"/>
          <w:szCs w:val="24"/>
        </w:rPr>
        <w:t>(n = 4).</w:t>
      </w:r>
    </w:p>
    <w:p w14:paraId="0F99897A" w14:textId="77777777" w:rsidR="00A47835" w:rsidRDefault="00A47835" w:rsidP="00A47835">
      <w:pPr>
        <w:spacing w:line="360" w:lineRule="auto"/>
        <w:rPr>
          <w:rFonts w:cstheme="minorHAnsi"/>
          <w:sz w:val="24"/>
          <w:szCs w:val="24"/>
        </w:rPr>
      </w:pPr>
      <w:r w:rsidRPr="00977A1E">
        <w:rPr>
          <w:rFonts w:cstheme="minorHAnsi"/>
          <w:noProof/>
          <w:sz w:val="24"/>
          <w:szCs w:val="24"/>
        </w:rPr>
        <w:drawing>
          <wp:inline distT="0" distB="0" distL="0" distR="0" wp14:anchorId="6E7DEF6C" wp14:editId="7056F16D">
            <wp:extent cx="6477331" cy="5436010"/>
            <wp:effectExtent l="6350" t="0" r="6350" b="6350"/>
            <wp:docPr id="2096523674"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078178" name="Picture 1" descr="A close-up of a graph&#10;&#10;Description automatically generated"/>
                    <pic:cNvPicPr/>
                  </pic:nvPicPr>
                  <pic:blipFill>
                    <a:blip r:embed="rId57"/>
                    <a:stretch>
                      <a:fillRect/>
                    </a:stretch>
                  </pic:blipFill>
                  <pic:spPr>
                    <a:xfrm rot="16200000">
                      <a:off x="0" y="0"/>
                      <a:ext cx="6486424" cy="5443642"/>
                    </a:xfrm>
                    <a:prstGeom prst="rect">
                      <a:avLst/>
                    </a:prstGeom>
                  </pic:spPr>
                </pic:pic>
              </a:graphicData>
            </a:graphic>
          </wp:inline>
        </w:drawing>
      </w:r>
    </w:p>
    <w:p w14:paraId="103BC765" w14:textId="77777777" w:rsidR="00A47835" w:rsidRPr="00734E96" w:rsidRDefault="00A47835" w:rsidP="00A47835">
      <w:pPr>
        <w:rPr>
          <w:b/>
          <w:bCs/>
          <w:sz w:val="24"/>
          <w:szCs w:val="24"/>
        </w:rPr>
      </w:pPr>
      <w:r w:rsidRPr="00734E96">
        <w:rPr>
          <w:b/>
          <w:bCs/>
          <w:sz w:val="24"/>
          <w:szCs w:val="24"/>
        </w:rPr>
        <w:t>Figure</w:t>
      </w:r>
      <w:r>
        <w:rPr>
          <w:sz w:val="24"/>
          <w:szCs w:val="24"/>
        </w:rPr>
        <w:t xml:space="preserve"> </w:t>
      </w:r>
      <w:r w:rsidRPr="00A9314F">
        <w:rPr>
          <w:b/>
          <w:bCs/>
          <w:sz w:val="24"/>
          <w:szCs w:val="24"/>
        </w:rPr>
        <w:t>4.1</w:t>
      </w:r>
      <w:r>
        <w:rPr>
          <w:b/>
          <w:bCs/>
          <w:sz w:val="24"/>
          <w:szCs w:val="24"/>
        </w:rPr>
        <w:t>3</w:t>
      </w:r>
      <w:r w:rsidRPr="00734E96">
        <w:rPr>
          <w:sz w:val="24"/>
          <w:szCs w:val="24"/>
        </w:rPr>
        <w:t xml:space="preserve"> – </w:t>
      </w:r>
      <w:r>
        <w:rPr>
          <w:b/>
          <w:bCs/>
          <w:sz w:val="24"/>
          <w:szCs w:val="24"/>
        </w:rPr>
        <w:t>Summary of AdeG binding pocket mutations</w:t>
      </w:r>
    </w:p>
    <w:p w14:paraId="605D1866" w14:textId="77777777" w:rsidR="00A47835" w:rsidRDefault="00A47835" w:rsidP="00A47835">
      <w:pPr>
        <w:spacing w:line="240" w:lineRule="auto"/>
        <w:rPr>
          <w:sz w:val="24"/>
          <w:szCs w:val="24"/>
        </w:rPr>
      </w:pPr>
      <w:r>
        <w:rPr>
          <w:sz w:val="24"/>
          <w:szCs w:val="24"/>
        </w:rPr>
        <w:t>Graphical summaries of AdeG mutant properties relative to WT Ab</w:t>
      </w:r>
      <w:r>
        <w:rPr>
          <w:rFonts w:ascii="Cambria Math" w:hAnsi="Cambria Math"/>
          <w:sz w:val="24"/>
          <w:szCs w:val="24"/>
        </w:rPr>
        <w:t>∆</w:t>
      </w:r>
      <w:r>
        <w:rPr>
          <w:sz w:val="24"/>
          <w:szCs w:val="24"/>
        </w:rPr>
        <w:t>3-Pore (pAdeFGH). (</w:t>
      </w:r>
      <w:r>
        <w:rPr>
          <w:b/>
          <w:bCs/>
          <w:sz w:val="24"/>
          <w:szCs w:val="24"/>
        </w:rPr>
        <w:t>A</w:t>
      </w:r>
      <w:r>
        <w:rPr>
          <w:sz w:val="24"/>
          <w:szCs w:val="24"/>
        </w:rPr>
        <w:t>) Ratio of Norfloxacin (NOR) and Nalidixic acid (NAL) MIC values for each strain relative to WT MIC values. (</w:t>
      </w:r>
      <w:r>
        <w:rPr>
          <w:b/>
          <w:bCs/>
          <w:sz w:val="24"/>
          <w:szCs w:val="24"/>
        </w:rPr>
        <w:t>B</w:t>
      </w:r>
      <w:r>
        <w:rPr>
          <w:sz w:val="24"/>
          <w:szCs w:val="24"/>
        </w:rPr>
        <w:t>) Difference in MPC4 fold-change for Chloramphenicol (CHL), NOR, and NAL potentiation by SLUPP_1377. (</w:t>
      </w:r>
      <w:r>
        <w:rPr>
          <w:b/>
          <w:bCs/>
          <w:sz w:val="24"/>
          <w:szCs w:val="24"/>
        </w:rPr>
        <w:t>C</w:t>
      </w:r>
      <w:r>
        <w:rPr>
          <w:sz w:val="24"/>
          <w:szCs w:val="24"/>
        </w:rPr>
        <w:t xml:space="preserve">) Average difference in </w:t>
      </w:r>
      <w:r>
        <w:rPr>
          <w:sz w:val="24"/>
          <w:szCs w:val="24"/>
        </w:rPr>
        <w:lastRenderedPageBreak/>
        <w:t>maximum intracellular NPN accumulation relative to WT. [NPN]out is 16 µM. (</w:t>
      </w:r>
      <w:r>
        <w:rPr>
          <w:b/>
          <w:bCs/>
          <w:sz w:val="24"/>
          <w:szCs w:val="24"/>
        </w:rPr>
        <w:t>D</w:t>
      </w:r>
      <w:r>
        <w:rPr>
          <w:sz w:val="24"/>
          <w:szCs w:val="24"/>
        </w:rPr>
        <w:t>) Average difference in maximum intracellular NPN accumulation with inhibition by 25 µM SLUPP_1377. [NPN]out is 4 µM. (</w:t>
      </w:r>
      <w:r>
        <w:rPr>
          <w:b/>
          <w:bCs/>
          <w:sz w:val="24"/>
          <w:szCs w:val="24"/>
        </w:rPr>
        <w:t>E</w:t>
      </w:r>
      <w:r>
        <w:rPr>
          <w:sz w:val="24"/>
          <w:szCs w:val="24"/>
        </w:rPr>
        <w:t xml:space="preserve">) </w:t>
      </w:r>
      <w:r w:rsidRPr="00675BAA">
        <w:rPr>
          <w:sz w:val="24"/>
          <w:szCs w:val="24"/>
        </w:rPr>
        <w:t>An</w:t>
      </w:r>
      <w:r>
        <w:rPr>
          <w:sz w:val="24"/>
          <w:szCs w:val="24"/>
        </w:rPr>
        <w:t xml:space="preserve"> </w:t>
      </w:r>
      <w:r w:rsidRPr="00734E96">
        <w:rPr>
          <w:sz w:val="24"/>
          <w:szCs w:val="24"/>
        </w:rPr>
        <w:t>AdeG protomer</w:t>
      </w:r>
      <w:r>
        <w:rPr>
          <w:sz w:val="24"/>
          <w:szCs w:val="24"/>
        </w:rPr>
        <w:t xml:space="preserve"> (blue ribbon, based on </w:t>
      </w:r>
      <w:proofErr w:type="spellStart"/>
      <w:r>
        <w:rPr>
          <w:sz w:val="24"/>
          <w:szCs w:val="24"/>
        </w:rPr>
        <w:t>AdeJ</w:t>
      </w:r>
      <w:proofErr w:type="spellEnd"/>
      <w:r>
        <w:rPr>
          <w:sz w:val="24"/>
          <w:szCs w:val="24"/>
        </w:rPr>
        <w:t xml:space="preserve"> crystal structure PDB code: 7M4Q) </w:t>
      </w:r>
      <w:r w:rsidRPr="00734E96">
        <w:rPr>
          <w:sz w:val="24"/>
          <w:szCs w:val="24"/>
        </w:rPr>
        <w:t>with</w:t>
      </w:r>
      <w:r>
        <w:rPr>
          <w:sz w:val="24"/>
          <w:szCs w:val="24"/>
        </w:rPr>
        <w:t xml:space="preserve"> (</w:t>
      </w:r>
      <w:r>
        <w:rPr>
          <w:b/>
          <w:bCs/>
          <w:sz w:val="24"/>
          <w:szCs w:val="24"/>
        </w:rPr>
        <w:t>F</w:t>
      </w:r>
      <w:r>
        <w:rPr>
          <w:sz w:val="24"/>
          <w:szCs w:val="24"/>
        </w:rPr>
        <w:t>)</w:t>
      </w:r>
      <w:r w:rsidRPr="00734E96">
        <w:rPr>
          <w:sz w:val="24"/>
          <w:szCs w:val="24"/>
        </w:rPr>
        <w:t xml:space="preserve"> highlighted</w:t>
      </w:r>
      <w:r>
        <w:rPr>
          <w:sz w:val="24"/>
          <w:szCs w:val="24"/>
        </w:rPr>
        <w:t xml:space="preserve"> amino acid residues (magenta) that were targeted in mutagenesis and labeled G-loop (orange) and F-loop (green).</w:t>
      </w:r>
    </w:p>
    <w:p w14:paraId="0B782C62" w14:textId="2B6BD225" w:rsidR="00922C32" w:rsidRDefault="00451C04" w:rsidP="00C836F0">
      <w:pPr>
        <w:rPr>
          <w:rFonts w:asciiTheme="majorHAnsi" w:hAnsiTheme="majorHAnsi" w:cstheme="majorHAnsi"/>
          <w:sz w:val="24"/>
          <w:szCs w:val="24"/>
          <w:u w:val="single"/>
        </w:rPr>
      </w:pPr>
      <w:r>
        <w:rPr>
          <w:rFonts w:asciiTheme="majorHAnsi" w:hAnsiTheme="majorHAnsi" w:cstheme="majorHAnsi"/>
          <w:sz w:val="24"/>
          <w:szCs w:val="24"/>
          <w:u w:val="single"/>
        </w:rPr>
        <w:t xml:space="preserve">4.4. </w:t>
      </w:r>
      <w:r w:rsidR="00FD502E" w:rsidRPr="00734E96">
        <w:rPr>
          <w:rFonts w:asciiTheme="majorHAnsi" w:hAnsiTheme="majorHAnsi" w:cstheme="majorHAnsi"/>
          <w:sz w:val="24"/>
          <w:szCs w:val="24"/>
          <w:u w:val="single"/>
        </w:rPr>
        <w:t>Discussion</w:t>
      </w:r>
    </w:p>
    <w:p w14:paraId="72D9B0CA" w14:textId="4BB1A349" w:rsidR="008A4AF9" w:rsidRDefault="0015595C" w:rsidP="008E108D">
      <w:pPr>
        <w:spacing w:line="360" w:lineRule="auto"/>
        <w:rPr>
          <w:rFonts w:asciiTheme="majorHAnsi" w:hAnsiTheme="majorHAnsi" w:cstheme="majorHAnsi"/>
          <w:sz w:val="24"/>
          <w:szCs w:val="24"/>
        </w:rPr>
      </w:pPr>
      <w:r>
        <w:rPr>
          <w:rFonts w:asciiTheme="majorHAnsi" w:hAnsiTheme="majorHAnsi" w:cstheme="majorHAnsi"/>
          <w:sz w:val="24"/>
          <w:szCs w:val="24"/>
        </w:rPr>
        <w:t xml:space="preserve"> </w:t>
      </w:r>
      <w:r>
        <w:rPr>
          <w:rFonts w:asciiTheme="majorHAnsi" w:hAnsiTheme="majorHAnsi" w:cstheme="majorHAnsi"/>
          <w:sz w:val="24"/>
          <w:szCs w:val="24"/>
        </w:rPr>
        <w:tab/>
        <w:t xml:space="preserve">Infections caused by multidrug resistant pathogens like </w:t>
      </w:r>
      <w:r>
        <w:rPr>
          <w:rFonts w:asciiTheme="majorHAnsi" w:hAnsiTheme="majorHAnsi" w:cstheme="majorHAnsi"/>
          <w:i/>
          <w:iCs/>
          <w:sz w:val="24"/>
          <w:szCs w:val="24"/>
        </w:rPr>
        <w:t>A</w:t>
      </w:r>
      <w:r w:rsidR="007079FC">
        <w:rPr>
          <w:rFonts w:asciiTheme="majorHAnsi" w:hAnsiTheme="majorHAnsi" w:cstheme="majorHAnsi"/>
          <w:i/>
          <w:iCs/>
          <w:sz w:val="24"/>
          <w:szCs w:val="24"/>
        </w:rPr>
        <w:t>.</w:t>
      </w:r>
      <w:r>
        <w:rPr>
          <w:rFonts w:asciiTheme="majorHAnsi" w:hAnsiTheme="majorHAnsi" w:cstheme="majorHAnsi"/>
          <w:i/>
          <w:iCs/>
          <w:sz w:val="24"/>
          <w:szCs w:val="24"/>
        </w:rPr>
        <w:t xml:space="preserve"> baumannii </w:t>
      </w:r>
      <w:r>
        <w:rPr>
          <w:rFonts w:asciiTheme="majorHAnsi" w:hAnsiTheme="majorHAnsi" w:cstheme="majorHAnsi"/>
          <w:sz w:val="24"/>
          <w:szCs w:val="24"/>
        </w:rPr>
        <w:t>will continue to pose a significant threat to patients that must interact with a hospital setting and especially to individuals who have already compromised immune systems.</w:t>
      </w:r>
      <w:r w:rsidR="00D50DFF">
        <w:rPr>
          <w:rFonts w:asciiTheme="majorHAnsi" w:hAnsiTheme="majorHAnsi" w:cstheme="majorHAnsi"/>
          <w:sz w:val="24"/>
          <w:szCs w:val="24"/>
        </w:rPr>
        <w:fldChar w:fldCharType="begin"/>
      </w:r>
      <w:r w:rsidR="00176906">
        <w:rPr>
          <w:rFonts w:asciiTheme="majorHAnsi" w:hAnsiTheme="majorHAnsi" w:cstheme="majorHAnsi"/>
          <w:sz w:val="24"/>
          <w:szCs w:val="24"/>
        </w:rPr>
        <w:instrText xml:space="preserve"> ADDIN ZOTERO_ITEM CSL_CITATION {"citationID":"HjPLK2jn","properties":{"formattedCitation":"\\super 21\\nosupersub{}","plainCitation":"21","noteIndex":0},"citationItems":[{"id":1920,"uris":["http://zotero.org/users/1918630/items/TGKWY69Y"],"itemData":{"id":1920,"type":"report","note":"DOI: 10.15620/cdc:82532\nDOI: 10.15620/cdc:82532","publisher":"Centers for Disease Control and Prevention (U.S.)","source":"DOI.org (Crossref)","title":"Antibiotic resistance threats in the United States, 2019","URL":"https://stacks.cdc.gov/view/cdc/82532","author":[{"literal":"Centers for Disease Control and Prevention (U.S.)"}],"accessed":{"date-parts":[["2024",1,4]]},"issued":{"date-parts":[["2019",11]]}}}],"schema":"https://github.com/citation-style-language/schema/raw/master/csl-citation.json"} </w:instrText>
      </w:r>
      <w:r w:rsidR="00D50DFF">
        <w:rPr>
          <w:rFonts w:asciiTheme="majorHAnsi" w:hAnsiTheme="majorHAnsi" w:cstheme="majorHAnsi"/>
          <w:sz w:val="24"/>
          <w:szCs w:val="24"/>
        </w:rPr>
        <w:fldChar w:fldCharType="separate"/>
      </w:r>
      <w:r w:rsidR="00176906" w:rsidRPr="00176906">
        <w:rPr>
          <w:rFonts w:ascii="Times New Roman" w:hAnsi="Times New Roman" w:cs="Times New Roman"/>
          <w:sz w:val="24"/>
          <w:szCs w:val="24"/>
          <w:vertAlign w:val="superscript"/>
        </w:rPr>
        <w:t>21</w:t>
      </w:r>
      <w:r w:rsidR="00D50DFF">
        <w:rPr>
          <w:rFonts w:asciiTheme="majorHAnsi" w:hAnsiTheme="majorHAnsi" w:cstheme="majorHAnsi"/>
          <w:sz w:val="24"/>
          <w:szCs w:val="24"/>
        </w:rPr>
        <w:fldChar w:fldCharType="end"/>
      </w:r>
      <w:r>
        <w:rPr>
          <w:rFonts w:asciiTheme="majorHAnsi" w:hAnsiTheme="majorHAnsi" w:cstheme="majorHAnsi"/>
          <w:sz w:val="24"/>
          <w:szCs w:val="24"/>
        </w:rPr>
        <w:t xml:space="preserve"> This threat will becom</w:t>
      </w:r>
      <w:r w:rsidR="002D2281">
        <w:rPr>
          <w:rFonts w:asciiTheme="majorHAnsi" w:hAnsiTheme="majorHAnsi" w:cstheme="majorHAnsi"/>
          <w:sz w:val="24"/>
          <w:szCs w:val="24"/>
        </w:rPr>
        <w:t xml:space="preserve">e </w:t>
      </w:r>
      <w:r>
        <w:rPr>
          <w:rFonts w:asciiTheme="majorHAnsi" w:hAnsiTheme="majorHAnsi" w:cstheme="majorHAnsi"/>
          <w:sz w:val="24"/>
          <w:szCs w:val="24"/>
        </w:rPr>
        <w:t>more worrying as</w:t>
      </w:r>
      <w:r w:rsidR="002D2281">
        <w:rPr>
          <w:rFonts w:asciiTheme="majorHAnsi" w:hAnsiTheme="majorHAnsi" w:cstheme="majorHAnsi"/>
          <w:sz w:val="24"/>
          <w:szCs w:val="24"/>
        </w:rPr>
        <w:t xml:space="preserve"> clinical </w:t>
      </w:r>
      <w:r w:rsidR="002D2281">
        <w:rPr>
          <w:rFonts w:asciiTheme="majorHAnsi" w:hAnsiTheme="majorHAnsi" w:cstheme="majorHAnsi"/>
          <w:i/>
          <w:iCs/>
          <w:sz w:val="24"/>
          <w:szCs w:val="24"/>
        </w:rPr>
        <w:t>A. baumannii</w:t>
      </w:r>
      <w:r w:rsidR="002D2281">
        <w:rPr>
          <w:rFonts w:asciiTheme="majorHAnsi" w:hAnsiTheme="majorHAnsi" w:cstheme="majorHAnsi"/>
          <w:sz w:val="24"/>
          <w:szCs w:val="24"/>
        </w:rPr>
        <w:t xml:space="preserve"> continues to develop </w:t>
      </w:r>
      <w:r w:rsidR="00322DAF">
        <w:rPr>
          <w:rFonts w:asciiTheme="majorHAnsi" w:hAnsiTheme="majorHAnsi" w:cstheme="majorHAnsi"/>
          <w:sz w:val="24"/>
          <w:szCs w:val="24"/>
        </w:rPr>
        <w:t>increased</w:t>
      </w:r>
      <w:r w:rsidR="002D2281">
        <w:rPr>
          <w:rFonts w:asciiTheme="majorHAnsi" w:hAnsiTheme="majorHAnsi" w:cstheme="majorHAnsi"/>
          <w:sz w:val="24"/>
          <w:szCs w:val="24"/>
        </w:rPr>
        <w:t xml:space="preserve"> resistances to antibiotics regularly used in its treatment.</w:t>
      </w:r>
      <w:r w:rsidR="00D50DFF">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{"citationID":"jsKH88AB","properties":{"formattedCitation":"\\super 167\\nosupersub{}","plainCitation":"167","noteIndex":0},"citationItems":[{"id":1295,"uris":["http://zotero.org/users/1918630/items/PZ9DKUMG"],"itemData":{"id":1295,"type":"article-journal","abstract":"Acinetobacter baumannii is a nosocomial pathogen that causes ventilator-associated as well as bloodstream infections in critically ill patients and the spread of multidrug-resistant (MDR) Acinetobacter strains is cause for concern. Much of the success of A. baumannii can be directly attributed to its plastic genome, which rapidly mutates when faced with adversity and stress. However, fundamental virulence mechanisms, beyond canonical drug resistance, were recently uncovered that enable A. baumannii, and to a limited extent other medically relevant Acinetobacter species, to successfully thrive in the healthcare environment. In this Review, we explore the molecular features that promote environmental persistence, including desiccation resistance, biofilm formation and motility, and we discuss the most recently identified virulence factors, such as secretion systems, surface glycoconjugates and micronutrient acquisition systems, that collectively enable these pathogens to successfully infect their hosts., Recently, virulence mechanisms, beyond canonical drug resistance, were uncovered that enable Acinetobacter baumannii to thrive in the healthcare environment and cause infections in critically ill patients. Feldman et al. explore the molecular features that promote environmental persistence and the most recently identified virulence factors that enable successful infection of the hosts.","container-title":"Nature reviews. Microbiology","DOI":"10.1038/nrmicro.2017.148","ISSN":"1740-1526","issue":"2","journalAbbreviation":"Nat Rev Microbiol","note":"PMID: 29249812\nPMCID: PMC6571207","page":"91-102","source":"PubMed Central","title":"Uncovering the mechanisms of Acinetobacter baumannii virulence","volume":"16","author":[{"family":"Harding","given":"Christian M."},{"family":"Hennon","given":"Seth W."},{"family":"Feldman","given":"Mario F."}],"issued":{"date-parts":[["2018",2]]}}}],"schema":"https://github.com/citation-style-language/schema/raw/master/csl-citation.json"} </w:instrText>
      </w:r>
      <w:r w:rsidR="00D50DFF">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167</w:t>
      </w:r>
      <w:r w:rsidR="00D50DFF">
        <w:rPr>
          <w:rFonts w:asciiTheme="majorHAnsi" w:hAnsiTheme="majorHAnsi" w:cstheme="majorHAnsi"/>
          <w:sz w:val="24"/>
          <w:szCs w:val="24"/>
        </w:rPr>
        <w:fldChar w:fldCharType="end"/>
      </w:r>
      <w:r w:rsidR="002D2281">
        <w:rPr>
          <w:rFonts w:asciiTheme="majorHAnsi" w:hAnsiTheme="majorHAnsi" w:cstheme="majorHAnsi"/>
          <w:sz w:val="24"/>
          <w:szCs w:val="24"/>
        </w:rPr>
        <w:t xml:space="preserve"> </w:t>
      </w:r>
      <w:r w:rsidR="001B7EC9">
        <w:rPr>
          <w:rFonts w:asciiTheme="majorHAnsi" w:hAnsiTheme="majorHAnsi" w:cstheme="majorHAnsi"/>
          <w:sz w:val="24"/>
          <w:szCs w:val="24"/>
        </w:rPr>
        <w:t>Therefore,</w:t>
      </w:r>
      <w:r w:rsidR="002D2281">
        <w:rPr>
          <w:rFonts w:asciiTheme="majorHAnsi" w:hAnsiTheme="majorHAnsi" w:cstheme="majorHAnsi"/>
          <w:sz w:val="24"/>
          <w:szCs w:val="24"/>
        </w:rPr>
        <w:t xml:space="preserve"> it is imperative that the research community continues its work to discover and develop more effective treatments for </w:t>
      </w:r>
      <w:r w:rsidR="002D2281">
        <w:rPr>
          <w:rFonts w:asciiTheme="majorHAnsi" w:hAnsiTheme="majorHAnsi" w:cstheme="majorHAnsi"/>
          <w:i/>
          <w:iCs/>
          <w:sz w:val="24"/>
          <w:szCs w:val="24"/>
        </w:rPr>
        <w:t>A. baumannii</w:t>
      </w:r>
      <w:r w:rsidR="002D2281">
        <w:rPr>
          <w:rFonts w:asciiTheme="majorHAnsi" w:hAnsiTheme="majorHAnsi" w:cstheme="majorHAnsi"/>
          <w:sz w:val="24"/>
          <w:szCs w:val="24"/>
        </w:rPr>
        <w:t>. Gram</w:t>
      </w:r>
      <w:r w:rsidR="00D50DFF">
        <w:rPr>
          <w:rFonts w:asciiTheme="majorHAnsi" w:hAnsiTheme="majorHAnsi" w:cstheme="majorHAnsi"/>
          <w:sz w:val="24"/>
          <w:szCs w:val="24"/>
        </w:rPr>
        <w:t>-</w:t>
      </w:r>
      <w:r w:rsidR="002D2281">
        <w:rPr>
          <w:rFonts w:asciiTheme="majorHAnsi" w:hAnsiTheme="majorHAnsi" w:cstheme="majorHAnsi"/>
          <w:sz w:val="24"/>
          <w:szCs w:val="24"/>
        </w:rPr>
        <w:t xml:space="preserve">negative bacteria like </w:t>
      </w:r>
      <w:r w:rsidR="002D2281">
        <w:rPr>
          <w:rFonts w:asciiTheme="majorHAnsi" w:hAnsiTheme="majorHAnsi" w:cstheme="majorHAnsi"/>
          <w:i/>
          <w:iCs/>
          <w:sz w:val="24"/>
          <w:szCs w:val="24"/>
        </w:rPr>
        <w:t>A. baumannii</w:t>
      </w:r>
      <w:r w:rsidR="002D2281">
        <w:rPr>
          <w:rFonts w:asciiTheme="majorHAnsi" w:hAnsiTheme="majorHAnsi" w:cstheme="majorHAnsi"/>
          <w:sz w:val="24"/>
          <w:szCs w:val="24"/>
        </w:rPr>
        <w:t xml:space="preserve"> are particularly good evaders of  antimicrobials due to their double membranes.</w:t>
      </w:r>
      <w:r w:rsidR="00ED3F7B">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{"citationID":"a2mbtk52q2t","properties":{"formattedCitation":"\\super 168\\nosupersub{}","plainCitation":"168","noteIndex":0},"citationItems":[{"id":2190,"uris":["http://zotero.org/users/1918630/items/F2UZD6J2"],"itemData":{"id":2190,"type":"article-journal","abstract":"Antimicrobial resistance represents an enormous global health crisis and one of the most serious threats humans face today. Some bacterial strains have acquired resistance to nearly all antibiotics. Therefore, new antibacterial agents are crucially needed to overcome resistant bacteria. In 2017, the World Health Organization (WHO) has published a list of antibiotic-resistant priority pathogens, pathogens which present a great threat to humans and to which new antibiotics are urgently needed the list is categorized according to the urgency of need for new antibiotics as critical, high, and medium priority, in order to guide and promote research and development of new antibiotics. The majority of the WHO list is Gram-negative bacterial pathogens. Due to their distinctive structure, Gram-negative bacteria are more resistant than Gram-positive bacteria, and cause significant morbidity and mortality worldwide. Several strategies have been reported to fight and control resistant Gram-negative bacteria, like the development of antimicrobial auxiliary agents, structural modification of existing antibiotics, and research into and the study of chemical structures with new mechanisms of action and novel targets that resistant bacteria are sensitive to. Research efforts have been made to meet the urgent need for new treatments; some have succeeded to yield activity against resistant Gram-negative bacteria by deactivating the mechanism of resistance, like the action of the β-lactamase Inhibitor antibiotic adjuvants. Another promising trend was by referring to nature to develop naturally derived agents with antibacterial activity on novel targets, agents such as bacteriophages, DCAP(2-((3-(3,6-dichloro-9H-carbazol-9-yl)-2-hydroxypropyl)amino)-2(hydroxymethyl)propane1,3-diol, Odilorhabdins (ODLs), peptidic benzimidazoles, quorum sensing (QS) inhibitors, and metal-based antibacterial agents.","container-title":"Molecules","DOI":"10.3390/molecules25061340","ISSN":"1420-3049","issue":"6","journalAbbreviation":"Molecules","note":"PMID: 32187986\nPMCID: PMC7144564","page":"1340","source":"PubMed Central","title":"Resistance of Gram-Negative Bacteria to Current Antibacterial Agents and Approaches to Resolve It","volume":"25","author":[{"family":"Breijyeh","given":"Zeinab"},{"family":"Jubeh","given":"Buthaina"},{"family":"Karaman","given":"Rafik"}],"issued":{"date-parts":[["2020",3,16]]}}}],"schema":"https://github.com/citation-style-language/schema/raw/master/csl-citation.json"} </w:instrText>
      </w:r>
      <w:r w:rsidR="00ED3F7B">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168</w:t>
      </w:r>
      <w:r w:rsidR="00ED3F7B">
        <w:rPr>
          <w:rFonts w:asciiTheme="majorHAnsi" w:hAnsiTheme="majorHAnsi" w:cstheme="majorHAnsi"/>
          <w:sz w:val="24"/>
          <w:szCs w:val="24"/>
        </w:rPr>
        <w:fldChar w:fldCharType="end"/>
      </w:r>
      <w:r w:rsidR="002D2281">
        <w:rPr>
          <w:rFonts w:asciiTheme="majorHAnsi" w:hAnsiTheme="majorHAnsi" w:cstheme="majorHAnsi"/>
          <w:sz w:val="24"/>
          <w:szCs w:val="24"/>
        </w:rPr>
        <w:t xml:space="preserve"> The combination of the inner and outer membranes creates a synergistic eff</w:t>
      </w:r>
      <w:r w:rsidR="00813FFB">
        <w:rPr>
          <w:rFonts w:asciiTheme="majorHAnsi" w:hAnsiTheme="majorHAnsi" w:cstheme="majorHAnsi"/>
          <w:sz w:val="24"/>
          <w:szCs w:val="24"/>
        </w:rPr>
        <w:t>ect</w:t>
      </w:r>
      <w:r w:rsidR="002D2281">
        <w:rPr>
          <w:rFonts w:asciiTheme="majorHAnsi" w:hAnsiTheme="majorHAnsi" w:cstheme="majorHAnsi"/>
          <w:sz w:val="24"/>
          <w:szCs w:val="24"/>
        </w:rPr>
        <w:t xml:space="preserve"> of keeping drugs out with the low permeability barrier of the outer membrane and keeping intracellular drug accumulation low with the export activity of efflux pumps.</w:t>
      </w:r>
      <w:r w:rsidR="00E55200">
        <w:rPr>
          <w:rFonts w:asciiTheme="majorHAnsi" w:hAnsiTheme="majorHAnsi" w:cstheme="majorHAnsi"/>
          <w:sz w:val="24"/>
          <w:szCs w:val="24"/>
        </w:rPr>
        <w:fldChar w:fldCharType="begin"/>
      </w:r>
      <w:r w:rsidR="00625D97">
        <w:rPr>
          <w:rFonts w:asciiTheme="majorHAnsi" w:hAnsiTheme="majorHAnsi" w:cstheme="majorHAnsi"/>
          <w:sz w:val="24"/>
          <w:szCs w:val="24"/>
        </w:rPr>
        <w:instrText xml:space="preserve"> ADDIN ZOTERO_ITEM CSL_CITATION {"citationID":"YFCSnVT7","properties":{"formattedCitation":"\\super 117\\nosupersub{}","plainCitation":"117","noteIndex":0},"citationItems":[{"id":680,"uris":["http://zotero.org/users/1918630/items/2P5M6K7L"],"itemData":{"id":680,"type":"article-journal","abstract":"In Gram-negative bacteria, a synergistic relationship between slow passive uptake of antibiotics across the outer membrane and active efflux transporters creates a permeability barrier, which efficiently reduces the effective concentrations of antibiotics in cells and, hence, their activities. To analyze the relative contributions of active efflux and the passive barrier to the activities of antibiotics, we constructed Escherichia coli strains with controllable permeability of the outer membrane. The strains expressed a large pore that does not discriminate between compounds on the basis of their hydrophilicity and sensitizes cells to a variety of antibacterial agents. We found that the efficacies of antibiotics in these strains were specifically affected by either active efflux or slow uptake, or both, and reflect differences in the properties of the outer membrane barrier, the repertoire of efflux pumps, and the inhibitory activities of antibiotics. Our results identify antibiotics which are the best candidates for the potentiation of activities through efflux inhibition and permeabilization of the outer membrane.","container-title":"Antimicrobial Agents and Chemotherapy","DOI":"10.1128/AAC.01882-16","ISSN":"0066-4804","issue":"12","journalAbbreviation":"Antimicrob Agents Chemother","note":"PMID: 27697764\nPMCID: PMC5119019","page":"7372-7381","source":"PubMed Central","title":"Breaking the Permeability Barrier of Escherichia coli by Controlled Hyperporination of the Outer Membrane","volume":"60","author":[{"family":"Krishnamoorthy","given":"Ganesh"},{"family":"Wolloscheck","given":"David"},{"family":"Weeks","given":"Jon W."},{"family":"Croft","given":"Cameron"},{"family":"Rybenkov","given":"Valentin V."},{"family":"Zgurskaya","given":"Helen I."}],"issued":{"date-parts":[["2016",11,21]]}}}],"schema":"https://github.com/citation-style-language/schema/raw/master/csl-citation.json"} </w:instrText>
      </w:r>
      <w:r w:rsidR="00E55200">
        <w:rPr>
          <w:rFonts w:asciiTheme="majorHAnsi" w:hAnsiTheme="majorHAnsi" w:cstheme="majorHAnsi"/>
          <w:sz w:val="24"/>
          <w:szCs w:val="24"/>
        </w:rPr>
        <w:fldChar w:fldCharType="separate"/>
      </w:r>
      <w:r w:rsidR="00625D97" w:rsidRPr="00625D97">
        <w:rPr>
          <w:rFonts w:ascii="Times New Roman" w:hAnsi="Times New Roman" w:cs="Times New Roman"/>
          <w:sz w:val="24"/>
          <w:vertAlign w:val="superscript"/>
        </w:rPr>
        <w:t>117</w:t>
      </w:r>
      <w:r w:rsidR="00E55200">
        <w:rPr>
          <w:rFonts w:asciiTheme="majorHAnsi" w:hAnsiTheme="majorHAnsi" w:cstheme="majorHAnsi"/>
          <w:sz w:val="24"/>
          <w:szCs w:val="24"/>
        </w:rPr>
        <w:fldChar w:fldCharType="end"/>
      </w:r>
      <w:r w:rsidR="002D2281">
        <w:rPr>
          <w:rFonts w:asciiTheme="majorHAnsi" w:hAnsiTheme="majorHAnsi" w:cstheme="majorHAnsi"/>
          <w:sz w:val="24"/>
          <w:szCs w:val="24"/>
        </w:rPr>
        <w:t xml:space="preserve"> </w:t>
      </w:r>
      <w:r w:rsidR="001C3CFC">
        <w:rPr>
          <w:rFonts w:asciiTheme="majorHAnsi" w:hAnsiTheme="majorHAnsi" w:cstheme="majorHAnsi"/>
          <w:sz w:val="24"/>
          <w:szCs w:val="24"/>
        </w:rPr>
        <w:t xml:space="preserve">The </w:t>
      </w:r>
      <w:r w:rsidR="008A4AF9">
        <w:rPr>
          <w:rFonts w:asciiTheme="majorHAnsi" w:hAnsiTheme="majorHAnsi" w:cstheme="majorHAnsi"/>
          <w:sz w:val="24"/>
          <w:szCs w:val="24"/>
        </w:rPr>
        <w:t xml:space="preserve">RND </w:t>
      </w:r>
      <w:r w:rsidR="001C3CFC">
        <w:rPr>
          <w:rFonts w:asciiTheme="majorHAnsi" w:hAnsiTheme="majorHAnsi" w:cstheme="majorHAnsi"/>
          <w:sz w:val="24"/>
          <w:szCs w:val="24"/>
        </w:rPr>
        <w:t xml:space="preserve">superfamily of </w:t>
      </w:r>
      <w:r w:rsidR="008A4AF9">
        <w:rPr>
          <w:rFonts w:asciiTheme="majorHAnsi" w:hAnsiTheme="majorHAnsi" w:cstheme="majorHAnsi"/>
          <w:sz w:val="24"/>
          <w:szCs w:val="24"/>
        </w:rPr>
        <w:t>efflux pumps are transporters</w:t>
      </w:r>
      <w:r w:rsidR="001C3CFC">
        <w:rPr>
          <w:rFonts w:asciiTheme="majorHAnsi" w:hAnsiTheme="majorHAnsi" w:cstheme="majorHAnsi"/>
          <w:sz w:val="24"/>
          <w:szCs w:val="24"/>
        </w:rPr>
        <w:t xml:space="preserve"> which have a very wide range of pump substrates</w:t>
      </w:r>
      <w:r w:rsidR="00EC5465">
        <w:rPr>
          <w:rFonts w:asciiTheme="majorHAnsi" w:hAnsiTheme="majorHAnsi" w:cstheme="majorHAnsi"/>
          <w:sz w:val="24"/>
          <w:szCs w:val="24"/>
        </w:rPr>
        <w:t>.</w:t>
      </w:r>
      <w:r w:rsidR="001C3CFC">
        <w:rPr>
          <w:rFonts w:asciiTheme="majorHAnsi" w:hAnsiTheme="majorHAnsi" w:cstheme="majorHAnsi"/>
          <w:sz w:val="24"/>
          <w:szCs w:val="24"/>
        </w:rPr>
        <w:fldChar w:fldCharType="begin"/>
      </w:r>
      <w:r w:rsidR="00D24762">
        <w:rPr>
          <w:rFonts w:asciiTheme="majorHAnsi" w:hAnsiTheme="majorHAnsi" w:cstheme="majorHAnsi"/>
          <w:sz w:val="24"/>
          <w:szCs w:val="24"/>
        </w:rPr>
        <w:instrText xml:space="preserve"> ADDIN ZOTERO_ITEM CSL_CITATION {"citationID":"qRc8T3d2","properties":{"formattedCitation":"\\super 27\\nosupersub{}","plainCitation":"27","noteIndex":0},"citationItems":[{"id":2017,"uris":["http://zotero.org/users/1918630/items/L46F95RC"],"itemData":{"id":2017,"type":"article-journal","abstract":"RND (Resistance-Nodulation-Division) family transporters are widespread especially among Gram-negative bacteria, and catalyze the active efflux of many antibiotics and chemotherapeutic agents. They have very large periplasmic domains, and form tripartite complexes with outer membrane channels and periplasmic adaptor proteins. AcrAB-TolC complex of Escherichia coli, which pumps out a very wide range of drugs, has been studied most intensively. Early studies showed that the transporter captures even those substrates that cannot permeate across the cytoplasmic membrane, such as dianionic β-lactams, suggesting that the capture can occur from the periplasm. It was also suggested that the capture occurs from the cytoplasmic membrane/periplasm interface, because most substrates contain a sizable hydrophobic domain; however, this may simply be a reflection of the nature of the binding site within AcrB. Genetic studies of chimeric transporters showed that much of the substrate specificity is determined by their periplasmic domains. Biochemical studies with intact cells recently led to the determination of the kinetic constants of AcrB for some β-lactams, and the result confirms the old prediction that AcrB is a rather slow pump. Reconstitution of purified AcrB and its relatives showed that the pump is a drug/proton antiporter, that AcrA strongly stimulates the activity of the pump, and that AcrB seems to have a highest affinity for conjugated bile salts. Structural study with mutants of the network of charged residues in the transmembrane domain showed that protonation here produced a far-reaching conformational change, which was found to be present in one of the protomers in the asymmetric crystal structure of the wild-type AcrB. The functional rotatory hypothesis then predicts that the drug bound in the periplasmic domain is extruded through this conformational change initiated by the protonation of one of the residues in the aforementioned network, an idea that was recently supported by disulfide cross-linking as well as by the behavior of linked AcrB protomers.","container-title":"Biochimica et biophysica acta","DOI":"10.1016/j.bbapap.2008.10.004","ISSN":"0006-3002","issue":"5","journalAbbreviation":"Biochim Biophys Acta","note":"PMID: 19026770\nPMCID: PMC2696896","page":"769-781","source":"PubMed Central","title":"Mechanisms of RND Multidrug Efflux Pumps","volume":"1794","author":[{"family":"Nikaido","given":"Hiroshi"},{"family":"Takatsuka","given":"Yumiko"}],"issued":{"date-parts":[["2009",5]]}}}],"schema":"https://github.com/citation-style-language/schema/raw/master/csl-citation.json"} </w:instrText>
      </w:r>
      <w:r w:rsidR="001C3CFC">
        <w:rPr>
          <w:rFonts w:asciiTheme="majorHAnsi" w:hAnsiTheme="majorHAnsi" w:cstheme="majorHAnsi"/>
          <w:sz w:val="24"/>
          <w:szCs w:val="24"/>
        </w:rPr>
        <w:fldChar w:fldCharType="separate"/>
      </w:r>
      <w:r w:rsidR="00D24762" w:rsidRPr="00D24762">
        <w:rPr>
          <w:rFonts w:ascii="Times New Roman" w:hAnsi="Times New Roman" w:cs="Times New Roman"/>
          <w:sz w:val="24"/>
          <w:szCs w:val="24"/>
          <w:vertAlign w:val="superscript"/>
        </w:rPr>
        <w:t>27</w:t>
      </w:r>
      <w:r w:rsidR="001C3CFC">
        <w:rPr>
          <w:rFonts w:asciiTheme="majorHAnsi" w:hAnsiTheme="majorHAnsi" w:cstheme="majorHAnsi"/>
          <w:sz w:val="24"/>
          <w:szCs w:val="24"/>
        </w:rPr>
        <w:fldChar w:fldCharType="end"/>
      </w:r>
    </w:p>
    <w:p w14:paraId="074F8A0C" w14:textId="2B365D9D" w:rsidR="00952123" w:rsidRDefault="002D2281" w:rsidP="00A47835">
      <w:pPr>
        <w:spacing w:line="360" w:lineRule="auto"/>
        <w:ind w:firstLine="720"/>
        <w:rPr>
          <w:sz w:val="24"/>
          <w:szCs w:val="24"/>
        </w:rPr>
      </w:pPr>
      <w:r>
        <w:rPr>
          <w:rFonts w:asciiTheme="majorHAnsi" w:hAnsiTheme="majorHAnsi" w:cstheme="majorHAnsi"/>
          <w:sz w:val="24"/>
          <w:szCs w:val="24"/>
        </w:rPr>
        <w:t>This study</w:t>
      </w:r>
      <w:r w:rsidR="006749C2">
        <w:rPr>
          <w:rFonts w:asciiTheme="majorHAnsi" w:hAnsiTheme="majorHAnsi" w:cstheme="majorHAnsi"/>
          <w:sz w:val="24"/>
          <w:szCs w:val="24"/>
        </w:rPr>
        <w:t xml:space="preserve"> </w:t>
      </w:r>
      <w:r>
        <w:rPr>
          <w:rFonts w:asciiTheme="majorHAnsi" w:hAnsiTheme="majorHAnsi" w:cstheme="majorHAnsi"/>
          <w:sz w:val="24"/>
          <w:szCs w:val="24"/>
        </w:rPr>
        <w:t>focus</w:t>
      </w:r>
      <w:r w:rsidR="006749C2">
        <w:rPr>
          <w:rFonts w:asciiTheme="majorHAnsi" w:hAnsiTheme="majorHAnsi" w:cstheme="majorHAnsi"/>
          <w:sz w:val="24"/>
          <w:szCs w:val="24"/>
        </w:rPr>
        <w:t>ed</w:t>
      </w:r>
      <w:r>
        <w:rPr>
          <w:rFonts w:asciiTheme="majorHAnsi" w:hAnsiTheme="majorHAnsi" w:cstheme="majorHAnsi"/>
          <w:sz w:val="24"/>
          <w:szCs w:val="24"/>
        </w:rPr>
        <w:t xml:space="preserve"> on the </w:t>
      </w:r>
      <w:r w:rsidR="008A4AF9">
        <w:rPr>
          <w:rFonts w:asciiTheme="majorHAnsi" w:hAnsiTheme="majorHAnsi" w:cstheme="majorHAnsi"/>
          <w:sz w:val="24"/>
          <w:szCs w:val="24"/>
        </w:rPr>
        <w:t>substrate specificity</w:t>
      </w:r>
      <w:r w:rsidR="003E42C3">
        <w:rPr>
          <w:rFonts w:asciiTheme="majorHAnsi" w:hAnsiTheme="majorHAnsi" w:cstheme="majorHAnsi"/>
          <w:sz w:val="24"/>
          <w:szCs w:val="24"/>
        </w:rPr>
        <w:t xml:space="preserve"> and inhibition</w:t>
      </w:r>
      <w:r w:rsidR="008A4AF9">
        <w:rPr>
          <w:rFonts w:asciiTheme="majorHAnsi" w:hAnsiTheme="majorHAnsi" w:cstheme="majorHAnsi"/>
          <w:sz w:val="24"/>
          <w:szCs w:val="24"/>
        </w:rPr>
        <w:t xml:space="preserve"> </w:t>
      </w:r>
      <w:r>
        <w:rPr>
          <w:rFonts w:asciiTheme="majorHAnsi" w:hAnsiTheme="majorHAnsi" w:cstheme="majorHAnsi"/>
          <w:sz w:val="24"/>
          <w:szCs w:val="24"/>
        </w:rPr>
        <w:t>of the major RND efflux pump</w:t>
      </w:r>
      <w:r w:rsidR="008A4AF9">
        <w:rPr>
          <w:rFonts w:asciiTheme="majorHAnsi" w:hAnsiTheme="majorHAnsi" w:cstheme="majorHAnsi"/>
          <w:sz w:val="24"/>
          <w:szCs w:val="24"/>
        </w:rPr>
        <w:t xml:space="preserve"> AdeG</w:t>
      </w:r>
      <w:r>
        <w:rPr>
          <w:rFonts w:asciiTheme="majorHAnsi" w:hAnsiTheme="majorHAnsi" w:cstheme="majorHAnsi"/>
          <w:sz w:val="24"/>
          <w:szCs w:val="24"/>
        </w:rPr>
        <w:t xml:space="preserve"> of </w:t>
      </w:r>
      <w:r>
        <w:rPr>
          <w:rFonts w:asciiTheme="majorHAnsi" w:hAnsiTheme="majorHAnsi" w:cstheme="majorHAnsi"/>
          <w:i/>
          <w:iCs/>
          <w:sz w:val="24"/>
          <w:szCs w:val="24"/>
        </w:rPr>
        <w:t>A. baumannii</w:t>
      </w:r>
      <w:r>
        <w:rPr>
          <w:rFonts w:asciiTheme="majorHAnsi" w:hAnsiTheme="majorHAnsi" w:cstheme="majorHAnsi"/>
          <w:sz w:val="24"/>
          <w:szCs w:val="24"/>
        </w:rPr>
        <w:t xml:space="preserve"> </w:t>
      </w:r>
      <w:r w:rsidR="008A4AF9">
        <w:rPr>
          <w:rFonts w:asciiTheme="majorHAnsi" w:hAnsiTheme="majorHAnsi" w:cstheme="majorHAnsi"/>
          <w:sz w:val="24"/>
          <w:szCs w:val="24"/>
        </w:rPr>
        <w:t>and how specific residues within its hydrophobic binding pocket interact with AdeG pump substrates</w:t>
      </w:r>
      <w:r w:rsidR="003E42C3">
        <w:rPr>
          <w:rFonts w:asciiTheme="majorHAnsi" w:hAnsiTheme="majorHAnsi" w:cstheme="majorHAnsi"/>
          <w:sz w:val="24"/>
          <w:szCs w:val="24"/>
        </w:rPr>
        <w:t xml:space="preserve"> and the inhibitor SLUPP_1377</w:t>
      </w:r>
      <w:r w:rsidR="008A4AF9">
        <w:rPr>
          <w:rFonts w:asciiTheme="majorHAnsi" w:hAnsiTheme="majorHAnsi" w:cstheme="majorHAnsi"/>
          <w:sz w:val="24"/>
          <w:szCs w:val="24"/>
        </w:rPr>
        <w:t>.</w:t>
      </w:r>
      <w:r w:rsidR="008E108D">
        <w:rPr>
          <w:rFonts w:asciiTheme="majorHAnsi" w:hAnsiTheme="majorHAnsi" w:cstheme="majorHAnsi"/>
          <w:sz w:val="24"/>
          <w:szCs w:val="24"/>
        </w:rPr>
        <w:t xml:space="preserve"> O</w:t>
      </w:r>
      <w:r w:rsidR="00952123">
        <w:rPr>
          <w:rFonts w:asciiTheme="majorHAnsi" w:hAnsiTheme="majorHAnsi" w:cstheme="majorHAnsi"/>
          <w:sz w:val="24"/>
          <w:szCs w:val="24"/>
        </w:rPr>
        <w:t xml:space="preserve">f the </w:t>
      </w:r>
      <w:r w:rsidR="003E42C3">
        <w:rPr>
          <w:rFonts w:asciiTheme="majorHAnsi" w:hAnsiTheme="majorHAnsi" w:cstheme="majorHAnsi"/>
          <w:sz w:val="24"/>
          <w:szCs w:val="24"/>
        </w:rPr>
        <w:t xml:space="preserve">seven constructed </w:t>
      </w:r>
      <w:r w:rsidR="00952123">
        <w:rPr>
          <w:rFonts w:asciiTheme="majorHAnsi" w:hAnsiTheme="majorHAnsi" w:cstheme="majorHAnsi"/>
          <w:sz w:val="24"/>
          <w:szCs w:val="24"/>
        </w:rPr>
        <w:t xml:space="preserve">single substitution AdeG mutants, </w:t>
      </w:r>
      <w:r w:rsidR="001C3CFC">
        <w:rPr>
          <w:rFonts w:asciiTheme="majorHAnsi" w:hAnsiTheme="majorHAnsi" w:cstheme="majorHAnsi"/>
          <w:sz w:val="24"/>
          <w:szCs w:val="24"/>
        </w:rPr>
        <w:t xml:space="preserve">AdeG </w:t>
      </w:r>
      <w:r w:rsidR="00F02A4A">
        <w:rPr>
          <w:rFonts w:asciiTheme="majorHAnsi" w:hAnsiTheme="majorHAnsi" w:cstheme="majorHAnsi"/>
          <w:sz w:val="24"/>
          <w:szCs w:val="24"/>
        </w:rPr>
        <w:t>I621A</w:t>
      </w:r>
      <w:r w:rsidR="00A47835">
        <w:rPr>
          <w:rFonts w:asciiTheme="majorHAnsi" w:hAnsiTheme="majorHAnsi" w:cstheme="majorHAnsi"/>
          <w:sz w:val="24"/>
          <w:szCs w:val="24"/>
        </w:rPr>
        <w:t xml:space="preserve"> (G-loop)</w:t>
      </w:r>
      <w:r w:rsidR="00F02A4A">
        <w:rPr>
          <w:rFonts w:asciiTheme="majorHAnsi" w:hAnsiTheme="majorHAnsi" w:cstheme="majorHAnsi"/>
          <w:sz w:val="24"/>
          <w:szCs w:val="24"/>
        </w:rPr>
        <w:t xml:space="preserve"> and </w:t>
      </w:r>
      <w:r w:rsidR="001C3CFC">
        <w:rPr>
          <w:rFonts w:asciiTheme="majorHAnsi" w:hAnsiTheme="majorHAnsi" w:cstheme="majorHAnsi"/>
          <w:sz w:val="24"/>
          <w:szCs w:val="24"/>
        </w:rPr>
        <w:t>G679I</w:t>
      </w:r>
      <w:r w:rsidR="00A47835">
        <w:rPr>
          <w:rFonts w:asciiTheme="majorHAnsi" w:hAnsiTheme="majorHAnsi" w:cstheme="majorHAnsi"/>
          <w:sz w:val="24"/>
          <w:szCs w:val="24"/>
        </w:rPr>
        <w:t xml:space="preserve"> (F-loop)</w:t>
      </w:r>
      <w:r w:rsidR="00F02A4A">
        <w:rPr>
          <w:rFonts w:asciiTheme="majorHAnsi" w:hAnsiTheme="majorHAnsi" w:cstheme="majorHAnsi"/>
          <w:sz w:val="24"/>
          <w:szCs w:val="24"/>
        </w:rPr>
        <w:t xml:space="preserve"> </w:t>
      </w:r>
      <w:r w:rsidR="001C3CFC">
        <w:rPr>
          <w:rFonts w:asciiTheme="majorHAnsi" w:hAnsiTheme="majorHAnsi" w:cstheme="majorHAnsi"/>
          <w:sz w:val="24"/>
          <w:szCs w:val="24"/>
        </w:rPr>
        <w:t xml:space="preserve"> </w:t>
      </w:r>
      <w:r w:rsidR="00F02A4A">
        <w:rPr>
          <w:rFonts w:asciiTheme="majorHAnsi" w:hAnsiTheme="majorHAnsi" w:cstheme="majorHAnsi"/>
          <w:sz w:val="24"/>
          <w:szCs w:val="24"/>
        </w:rPr>
        <w:t xml:space="preserve">both </w:t>
      </w:r>
      <w:r w:rsidR="00952123">
        <w:rPr>
          <w:rFonts w:asciiTheme="majorHAnsi" w:hAnsiTheme="majorHAnsi" w:cstheme="majorHAnsi"/>
          <w:sz w:val="24"/>
          <w:szCs w:val="24"/>
        </w:rPr>
        <w:t>appeared to be non-functional mutant</w:t>
      </w:r>
      <w:r w:rsidR="00F02A4A">
        <w:rPr>
          <w:rFonts w:asciiTheme="majorHAnsi" w:hAnsiTheme="majorHAnsi" w:cstheme="majorHAnsi"/>
          <w:sz w:val="24"/>
          <w:szCs w:val="24"/>
        </w:rPr>
        <w:t>s</w:t>
      </w:r>
      <w:r w:rsidR="008E108D">
        <w:rPr>
          <w:rFonts w:asciiTheme="majorHAnsi" w:hAnsiTheme="majorHAnsi" w:cstheme="majorHAnsi"/>
          <w:sz w:val="24"/>
          <w:szCs w:val="24"/>
        </w:rPr>
        <w:t xml:space="preserve"> since </w:t>
      </w:r>
      <w:r w:rsidR="00F02A4A">
        <w:rPr>
          <w:rFonts w:asciiTheme="majorHAnsi" w:hAnsiTheme="majorHAnsi" w:cstheme="majorHAnsi"/>
          <w:sz w:val="24"/>
          <w:szCs w:val="24"/>
        </w:rPr>
        <w:t>they</w:t>
      </w:r>
      <w:r w:rsidR="008E108D">
        <w:rPr>
          <w:rFonts w:asciiTheme="majorHAnsi" w:hAnsiTheme="majorHAnsi" w:cstheme="majorHAnsi"/>
          <w:sz w:val="24"/>
          <w:szCs w:val="24"/>
        </w:rPr>
        <w:t xml:space="preserve"> </w:t>
      </w:r>
      <w:r w:rsidR="00952123">
        <w:rPr>
          <w:rFonts w:asciiTheme="majorHAnsi" w:hAnsiTheme="majorHAnsi" w:cstheme="majorHAnsi"/>
          <w:sz w:val="24"/>
          <w:szCs w:val="24"/>
        </w:rPr>
        <w:t>exhibited efflux activity levels that were close to the negative control strain Ab</w:t>
      </w:r>
      <w:r w:rsidR="00952123" w:rsidRPr="0023411E">
        <w:rPr>
          <w:sz w:val="24"/>
          <w:szCs w:val="24"/>
        </w:rPr>
        <w:t>Δ3-Por</w:t>
      </w:r>
      <w:r w:rsidR="00952123">
        <w:rPr>
          <w:sz w:val="24"/>
          <w:szCs w:val="24"/>
        </w:rPr>
        <w:t>e</w:t>
      </w:r>
      <w:r w:rsidR="008E108D">
        <w:rPr>
          <w:sz w:val="24"/>
          <w:szCs w:val="24"/>
        </w:rPr>
        <w:t xml:space="preserve">. </w:t>
      </w:r>
      <w:r w:rsidR="00F02A4A">
        <w:rPr>
          <w:sz w:val="24"/>
          <w:szCs w:val="24"/>
        </w:rPr>
        <w:t>This aligns with previous findings which show that the F-loop and G-loop are critical for RND transporter function.</w:t>
      </w:r>
      <w:r w:rsidR="00A47835">
        <w:rPr>
          <w:sz w:val="24"/>
          <w:szCs w:val="24"/>
        </w:rPr>
        <w:fldChar w:fldCharType="begin"/>
      </w:r>
      <w:r w:rsidR="00A47835">
        <w:rPr>
          <w:sz w:val="24"/>
          <w:szCs w:val="24"/>
        </w:rPr>
        <w:instrText xml:space="preserve"> ADDIN ZOTERO_ITEM CSL_CITATION {"citationID":"a5eniuoabk","properties":{"formattedCitation":"\\super 40\\nosupersub{}","plainCitation":"40","noteIndex":0},"citationItems":[{"id":2053,"uris":["http://zotero.org/users/1918630/items/AVFTWP2H"],"itemData":{"id":2053,"type":"article-journal","abstract":"Multidrug resistant (MDR) bacteria is a global threat with many common infections becoming increasingly difficult to eliminate. While significant effort has gone into the development of potent biocides, the effectiveness of many first-line antibiotics has been diminished due to adaptive resistance mechanisms. Bacterial membrane proteins belonging to the resistance-nodulation-cell division (RND) superfamily play significant roles in mediating bacterial resistance to antimicrobials. They participate in multidrug efflux and cell wall biogenesis to transform bacterial pathogens into “superbugs” that are resistant even to last resort antibiotics. In this review, we summarize the RND superfamily of efflux transporters, with a primary focus on the assembly and function of the inner membrane pumps. These pumps are critical for extrusion of antibiotics from the cell as well as the transport of lipid moieties to the outer membrane to establish membrane rigidity and stability. We analyze recently solved structures of bacterial inner membrane efflux pumps as to how they bind and transport their substrates. Our cumulative data indicate that these RND membrane proteins area able to utilize different oligomerization states to achieve particular activities, including forming MDR pumps and cell wall remodeling machineries, to ensure bacterial survival. This mechanistic insight, combined with simulated docking techniques, allows for the design and optimization of new efflux pump inhibitors to more effectively treat infections that today are difficult or impossible to cure.,","container-title":"Chemical reviews","DOI":"10.1021/acs.chemrev.0c00621","ISSN":"0009-2665","issue":"9","journalAbbreviation":"Chem Rev","note":"PMID: 33211490\nPMCID: PMC8119314","page":"5378-5416","source":"PubMed Central","title":"Structural and functional diversity of RND transporters","volume":"121","author":[{"family":"Klenotic","given":"Philip A."},{"family":"Moseng","given":"Mitchell A."},{"family":"Morgan","given":"Christopher E."},{"family":"Yu","given":"Edward W."}],"issued":{"date-parts":[["2021",5,12]]}}}],"schema":"https://github.com/citation-style-language/schema/raw/master/csl-citation.json"} </w:instrText>
      </w:r>
      <w:r w:rsidR="00A47835">
        <w:rPr>
          <w:sz w:val="24"/>
          <w:szCs w:val="24"/>
        </w:rPr>
        <w:fldChar w:fldCharType="separate"/>
      </w:r>
      <w:r w:rsidR="00A47835" w:rsidRPr="00A47835">
        <w:rPr>
          <w:rFonts w:ascii="Times New Roman" w:hAnsi="Times New Roman" w:cs="Times New Roman"/>
          <w:sz w:val="24"/>
          <w:vertAlign w:val="superscript"/>
        </w:rPr>
        <w:t>40</w:t>
      </w:r>
      <w:r w:rsidR="00A47835">
        <w:rPr>
          <w:sz w:val="24"/>
          <w:szCs w:val="24"/>
        </w:rPr>
        <w:fldChar w:fldCharType="end"/>
      </w:r>
      <w:r w:rsidR="00A47835">
        <w:rPr>
          <w:sz w:val="24"/>
          <w:szCs w:val="24"/>
        </w:rPr>
        <w:t xml:space="preserve"> </w:t>
      </w:r>
      <w:r w:rsidR="00052BBC">
        <w:rPr>
          <w:sz w:val="24"/>
          <w:szCs w:val="24"/>
        </w:rPr>
        <w:t>Perhaps substituting the small glycine side chain with the bulkier and more hydrophobic isoleucine side chain resulted in protein-misfolding or blocked pump substrates from moving further into the proximal binding site from the entrance site.</w:t>
      </w:r>
      <w:r w:rsidR="00052BBC">
        <w:rPr>
          <w:sz w:val="24"/>
          <w:szCs w:val="24"/>
        </w:rPr>
        <w:fldChar w:fldCharType="begin"/>
      </w:r>
      <w:r w:rsidR="002F6F9F">
        <w:rPr>
          <w:sz w:val="24"/>
          <w:szCs w:val="24"/>
        </w:rPr>
        <w:instrText xml:space="preserve"> ADDIN ZOTERO_ITEM CSL_CITATION {"citationID":"a2j73v98apl","properties":{"formattedCitation":"\\super 169\\nosupersub{}","plainCitation":"169","noteIndex":0},"citationItems":[{"id":2241,"uris":["http://zotero.org/users/1918630/items/AK6QJX3Z"],"itemData":{"id":2241,"type":"article-journal","abstract":"Bacteria express a plethora of efflux pumps that can transport structurally varied molecules, including antimicrobial agents and antibiotics, out of cells. Thus, efflux pump systems participate in lowering intracellular concentrations of antibiotics, which allows phenotypic multidrug-resistant (MDR) bacteria to survive effectively amid higher concentrations of antibiotics. Acinetobacter baumannii is one of the classic examples of pathogens that can carry multiple efflux pump systems, which allows these bacteria to be MDR-to-pan-drug resistant and is now considered a public health threat. Therefore, efflux pumps in A. baumannii have gained major attention worldwide, and there has been increased interest in studying their mechanism of action, substrates, and potential efflux pump inhibitors (EPIs). Efflux pump inhibitors are molecules that can inhibit efflux pumps, rendering pathogens susceptible to antimicrobial agents, and are thus considered potential therapeutic agents for use in conjunction with antibiotics. This review focuses on the types of various efflux pumps detected in A. baumannii, their molecular mechanisms of action, the substrates they transport, and the challenges in developing EPIs that can be clinically useful in reference to A. baumannii.","container-title":"Pathogens","DOI":"10.3390/pathogens13030197","ISSN":"2076-0817","issue":"3","language":"en","license":"http://creativecommons.org/licenses/by/3.0/","note":"number: 3\npublisher: Multidisciplinary Digital Publishing Institute","page":"197","source":"www.mdpi.com","title":"Types and Mechanisms of Efflux Pump Systems and the Potential of Efflux Pump Inhibitors in the Restoration of Antimicrobial Susceptibility, with a Special Reference to Acinetobacter baumannii","volume":"13","author":[{"family":"Zack","given":"Kira M."},{"family":"Sorenson","given":"Trent"},{"family":"Joshi","given":"Suresh G."}],"issued":{"date-parts":[["2024",3]]}}}],"schema":"https://github.com/citation-style-language/schema/raw/master/csl-citation.json"} </w:instrText>
      </w:r>
      <w:r w:rsidR="00052BBC">
        <w:rPr>
          <w:sz w:val="24"/>
          <w:szCs w:val="24"/>
        </w:rPr>
        <w:fldChar w:fldCharType="separate"/>
      </w:r>
      <w:r w:rsidR="002F6F9F" w:rsidRPr="002F6F9F">
        <w:rPr>
          <w:rFonts w:ascii="Times New Roman" w:hAnsi="Times New Roman" w:cs="Times New Roman"/>
          <w:sz w:val="24"/>
          <w:vertAlign w:val="superscript"/>
        </w:rPr>
        <w:t>169</w:t>
      </w:r>
      <w:r w:rsidR="00052BBC">
        <w:rPr>
          <w:sz w:val="24"/>
          <w:szCs w:val="24"/>
        </w:rPr>
        <w:fldChar w:fldCharType="end"/>
      </w:r>
      <w:r w:rsidR="00052BBC">
        <w:rPr>
          <w:sz w:val="24"/>
          <w:szCs w:val="24"/>
        </w:rPr>
        <w:t xml:space="preserve"> </w:t>
      </w:r>
      <w:r w:rsidR="008E108D">
        <w:rPr>
          <w:sz w:val="24"/>
          <w:szCs w:val="24"/>
        </w:rPr>
        <w:t xml:space="preserve">All other AdeG mutants demonstrated at least low levels of efflux activity. </w:t>
      </w:r>
    </w:p>
    <w:p w14:paraId="55C86B97" w14:textId="0DA13ECC" w:rsidR="00C66962" w:rsidRDefault="00B05AE6" w:rsidP="00482582">
      <w:pPr>
        <w:spacing w:line="360" w:lineRule="auto"/>
        <w:ind w:firstLine="720"/>
        <w:rPr>
          <w:rFonts w:cstheme="minorHAnsi"/>
          <w:sz w:val="24"/>
          <w:szCs w:val="24"/>
        </w:rPr>
      </w:pPr>
      <w:r>
        <w:rPr>
          <w:rFonts w:cstheme="minorHAnsi"/>
          <w:sz w:val="24"/>
          <w:szCs w:val="24"/>
        </w:rPr>
        <w:lastRenderedPageBreak/>
        <w:t xml:space="preserve">The two AdeG mutants located in the distal binding pocket (DBP), S620A and L138A, both exhibited </w:t>
      </w:r>
      <w:r w:rsidR="00A47835">
        <w:rPr>
          <w:rFonts w:cstheme="minorHAnsi"/>
          <w:sz w:val="24"/>
          <w:szCs w:val="24"/>
        </w:rPr>
        <w:t>similar antibiotic susceptibilities compared to WT AdeG. AdeG mutant L138A exhibited similar potentiation activity by SLUPP_1377 as WT AdeG, while S620A appeared more sensitive to potentiation by SLUPP_1377 compared to WT AdeG (</w:t>
      </w:r>
      <w:r w:rsidR="00A47835">
        <w:rPr>
          <w:rFonts w:cstheme="minorHAnsi"/>
          <w:b/>
          <w:bCs/>
          <w:sz w:val="24"/>
          <w:szCs w:val="24"/>
        </w:rPr>
        <w:t>Figure 4.13-B</w:t>
      </w:r>
      <w:r w:rsidR="00A47835">
        <w:rPr>
          <w:rFonts w:cstheme="minorHAnsi"/>
          <w:sz w:val="24"/>
          <w:szCs w:val="24"/>
        </w:rPr>
        <w:t>). These two mutants also showed efflux activity similar to WT AdeG (</w:t>
      </w:r>
      <w:r w:rsidR="00A47835">
        <w:rPr>
          <w:rFonts w:cstheme="minorHAnsi"/>
          <w:b/>
          <w:bCs/>
          <w:sz w:val="24"/>
          <w:szCs w:val="24"/>
        </w:rPr>
        <w:t>Figure 4.13-C</w:t>
      </w:r>
      <w:r w:rsidR="00A47835">
        <w:rPr>
          <w:rFonts w:cstheme="minorHAnsi"/>
          <w:sz w:val="24"/>
          <w:szCs w:val="24"/>
        </w:rPr>
        <w:t xml:space="preserve">). </w:t>
      </w:r>
      <w:r w:rsidR="00482582">
        <w:rPr>
          <w:rFonts w:cstheme="minorHAnsi"/>
          <w:sz w:val="24"/>
          <w:szCs w:val="24"/>
        </w:rPr>
        <w:t>AdeG mutant S620A showed similar SLUPP_1377 inhibitor susceptibility compared to WT AdeG while L138A appeared the most susceptible to SLUPP_1377 inhibition (</w:t>
      </w:r>
      <w:r w:rsidR="00482582">
        <w:rPr>
          <w:rFonts w:cstheme="minorHAnsi"/>
          <w:b/>
          <w:bCs/>
          <w:sz w:val="24"/>
          <w:szCs w:val="24"/>
        </w:rPr>
        <w:t>Figure 4.13-D</w:t>
      </w:r>
      <w:r w:rsidR="00482582">
        <w:rPr>
          <w:rFonts w:cstheme="minorHAnsi"/>
          <w:sz w:val="24"/>
          <w:szCs w:val="24"/>
        </w:rPr>
        <w:t xml:space="preserve">). </w:t>
      </w:r>
      <w:r w:rsidR="0058464A">
        <w:rPr>
          <w:rFonts w:cstheme="minorHAnsi"/>
          <w:sz w:val="24"/>
          <w:szCs w:val="24"/>
        </w:rPr>
        <w:t xml:space="preserve">Analysis of additional substitutions </w:t>
      </w:r>
      <w:r w:rsidR="00D50408">
        <w:rPr>
          <w:rFonts w:cstheme="minorHAnsi"/>
          <w:sz w:val="24"/>
          <w:szCs w:val="24"/>
        </w:rPr>
        <w:t xml:space="preserve">located within the hydrophobic trap </w:t>
      </w:r>
      <w:r w:rsidR="0058464A">
        <w:rPr>
          <w:rFonts w:cstheme="minorHAnsi"/>
          <w:sz w:val="24"/>
          <w:szCs w:val="24"/>
        </w:rPr>
        <w:t>could provide more detail on where the SLUPP_1377 compound is bindin</w:t>
      </w:r>
      <w:r w:rsidR="00D50408">
        <w:rPr>
          <w:rFonts w:cstheme="minorHAnsi"/>
          <w:sz w:val="24"/>
          <w:szCs w:val="24"/>
        </w:rPr>
        <w:t>g</w:t>
      </w:r>
      <w:r w:rsidR="0058464A">
        <w:rPr>
          <w:rFonts w:cstheme="minorHAnsi"/>
          <w:sz w:val="24"/>
          <w:szCs w:val="24"/>
        </w:rPr>
        <w:t>.</w:t>
      </w:r>
      <w:r w:rsidR="00404FB7">
        <w:rPr>
          <w:rFonts w:cstheme="minorHAnsi"/>
          <w:sz w:val="24"/>
          <w:szCs w:val="24"/>
        </w:rPr>
        <w:tab/>
        <w:t xml:space="preserve"> </w:t>
      </w:r>
    </w:p>
    <w:p w14:paraId="2EDD50AE" w14:textId="174E1FD0" w:rsidR="00A47835" w:rsidRDefault="009D7439" w:rsidP="00CC6C40">
      <w:pPr>
        <w:spacing w:line="360" w:lineRule="auto"/>
        <w:rPr>
          <w:rFonts w:cstheme="minorHAnsi"/>
          <w:sz w:val="24"/>
          <w:szCs w:val="24"/>
        </w:rPr>
      </w:pPr>
      <w:r>
        <w:rPr>
          <w:rFonts w:cstheme="minorHAnsi"/>
          <w:sz w:val="24"/>
          <w:szCs w:val="24"/>
        </w:rPr>
        <w:tab/>
        <w:t xml:space="preserve">The remaining AdeG residues located in the proximal binding pocket did not </w:t>
      </w:r>
      <w:r w:rsidR="00FC3CCF">
        <w:rPr>
          <w:rFonts w:cstheme="minorHAnsi"/>
          <w:sz w:val="24"/>
          <w:szCs w:val="24"/>
        </w:rPr>
        <w:t>demonstrate</w:t>
      </w:r>
      <w:r>
        <w:rPr>
          <w:rFonts w:cstheme="minorHAnsi"/>
          <w:sz w:val="24"/>
          <w:szCs w:val="24"/>
        </w:rPr>
        <w:t xml:space="preserve"> a unifying tren</w:t>
      </w:r>
      <w:r w:rsidR="008C332D">
        <w:rPr>
          <w:rFonts w:cstheme="minorHAnsi"/>
          <w:sz w:val="24"/>
          <w:szCs w:val="24"/>
        </w:rPr>
        <w:t xml:space="preserve">d. </w:t>
      </w:r>
      <w:r w:rsidR="000C0416">
        <w:rPr>
          <w:rFonts w:cstheme="minorHAnsi"/>
          <w:sz w:val="24"/>
          <w:szCs w:val="24"/>
        </w:rPr>
        <w:t xml:space="preserve">The antibiotic susceptibilities of </w:t>
      </w:r>
      <w:r w:rsidR="00FC3CCF">
        <w:rPr>
          <w:rFonts w:cstheme="minorHAnsi"/>
          <w:sz w:val="24"/>
          <w:szCs w:val="24"/>
        </w:rPr>
        <w:t xml:space="preserve">AdeG </w:t>
      </w:r>
      <w:r w:rsidR="000C0416">
        <w:rPr>
          <w:rFonts w:cstheme="minorHAnsi"/>
          <w:sz w:val="24"/>
          <w:szCs w:val="24"/>
        </w:rPr>
        <w:t xml:space="preserve">mutants Y725A, </w:t>
      </w:r>
      <w:r w:rsidR="00FC3CCF">
        <w:rPr>
          <w:rFonts w:cstheme="minorHAnsi"/>
          <w:sz w:val="24"/>
          <w:szCs w:val="24"/>
        </w:rPr>
        <w:t>A705I</w:t>
      </w:r>
      <w:r w:rsidR="000C0416">
        <w:rPr>
          <w:rFonts w:cstheme="minorHAnsi"/>
          <w:sz w:val="24"/>
          <w:szCs w:val="24"/>
        </w:rPr>
        <w:t>, and Q83A were all within 2-fold of WT AdeG (</w:t>
      </w:r>
      <w:r w:rsidR="000C0416">
        <w:rPr>
          <w:rFonts w:cstheme="minorHAnsi"/>
          <w:b/>
          <w:bCs/>
          <w:sz w:val="24"/>
          <w:szCs w:val="24"/>
        </w:rPr>
        <w:t>Figure 4.13-A</w:t>
      </w:r>
      <w:r w:rsidR="000C0416">
        <w:rPr>
          <w:rFonts w:cstheme="minorHAnsi"/>
          <w:sz w:val="24"/>
          <w:szCs w:val="24"/>
        </w:rPr>
        <w:t>). AdeG mutants Y725A and A705I were about as sensitive to antibiotic potentiation by SLUPP_1377 as WT AdeG, while AdeG Q83A showed significantly higher norfloxacin potentiation and relatively higher chloramphenicol and nalidixic acid potentiation compared to WT AdeG (</w:t>
      </w:r>
      <w:r w:rsidR="000C0416">
        <w:rPr>
          <w:rFonts w:cstheme="minorHAnsi"/>
          <w:b/>
          <w:bCs/>
          <w:sz w:val="24"/>
          <w:szCs w:val="24"/>
        </w:rPr>
        <w:t>Figure 4.13-B</w:t>
      </w:r>
      <w:r w:rsidR="000C0416">
        <w:rPr>
          <w:rFonts w:cstheme="minorHAnsi"/>
          <w:sz w:val="24"/>
          <w:szCs w:val="24"/>
        </w:rPr>
        <w:t xml:space="preserve">). </w:t>
      </w:r>
      <w:r w:rsidR="00FC3CCF">
        <w:rPr>
          <w:rFonts w:cstheme="minorHAnsi"/>
          <w:sz w:val="24"/>
          <w:szCs w:val="24"/>
        </w:rPr>
        <w:t xml:space="preserve">While AdeG Y725A showed </w:t>
      </w:r>
      <w:r w:rsidR="000C0416">
        <w:rPr>
          <w:rFonts w:cstheme="minorHAnsi"/>
          <w:sz w:val="24"/>
          <w:szCs w:val="24"/>
        </w:rPr>
        <w:t>a significant decrease in efflux efficiency, A705I and Q83A showed improved efflux efficiency compared to WT AdeG (</w:t>
      </w:r>
      <w:r w:rsidR="000C0416">
        <w:rPr>
          <w:rFonts w:cstheme="minorHAnsi"/>
          <w:b/>
          <w:bCs/>
          <w:sz w:val="24"/>
          <w:szCs w:val="24"/>
        </w:rPr>
        <w:t>Figure 4.13-C</w:t>
      </w:r>
      <w:r w:rsidR="000C0416">
        <w:rPr>
          <w:rFonts w:cstheme="minorHAnsi"/>
          <w:sz w:val="24"/>
          <w:szCs w:val="24"/>
        </w:rPr>
        <w:t xml:space="preserve">). Lastly, AdeG mutants Y725A, A705I, and Q83A all appeared </w:t>
      </w:r>
      <w:proofErr w:type="gramStart"/>
      <w:r w:rsidR="000C0416">
        <w:rPr>
          <w:rFonts w:cstheme="minorHAnsi"/>
          <w:sz w:val="24"/>
          <w:szCs w:val="24"/>
        </w:rPr>
        <w:t>about</w:t>
      </w:r>
      <w:proofErr w:type="gramEnd"/>
      <w:r w:rsidR="000C0416">
        <w:rPr>
          <w:rFonts w:cstheme="minorHAnsi"/>
          <w:sz w:val="24"/>
          <w:szCs w:val="24"/>
        </w:rPr>
        <w:t xml:space="preserve"> as</w:t>
      </w:r>
      <w:r w:rsidR="000C0416" w:rsidRPr="000C0416">
        <w:rPr>
          <w:rFonts w:cstheme="minorHAnsi"/>
          <w:sz w:val="24"/>
          <w:szCs w:val="24"/>
        </w:rPr>
        <w:t xml:space="preserve"> </w:t>
      </w:r>
      <w:r w:rsidR="000C0416">
        <w:rPr>
          <w:rFonts w:cstheme="minorHAnsi"/>
          <w:sz w:val="24"/>
          <w:szCs w:val="24"/>
        </w:rPr>
        <w:t>susceptible to SLUPP_1377 inhibition at WT AdeG (</w:t>
      </w:r>
      <w:r w:rsidR="000C0416">
        <w:rPr>
          <w:rFonts w:cstheme="minorHAnsi"/>
          <w:b/>
          <w:bCs/>
          <w:sz w:val="24"/>
          <w:szCs w:val="24"/>
        </w:rPr>
        <w:t>Figure 4.13-D</w:t>
      </w:r>
      <w:r w:rsidR="000C0416">
        <w:rPr>
          <w:rFonts w:cstheme="minorHAnsi"/>
          <w:sz w:val="24"/>
          <w:szCs w:val="24"/>
        </w:rPr>
        <w:t xml:space="preserve">). </w:t>
      </w:r>
    </w:p>
    <w:p w14:paraId="1B93CD3E" w14:textId="3580C571" w:rsidR="00C93FF8" w:rsidRDefault="00AD379D" w:rsidP="00CC6C40">
      <w:pPr>
        <w:spacing w:line="360" w:lineRule="auto"/>
        <w:rPr>
          <w:rFonts w:cstheme="minorHAnsi"/>
          <w:sz w:val="24"/>
          <w:szCs w:val="24"/>
        </w:rPr>
      </w:pPr>
      <w:r>
        <w:rPr>
          <w:rFonts w:cstheme="minorHAnsi"/>
          <w:sz w:val="24"/>
          <w:szCs w:val="24"/>
        </w:rPr>
        <w:tab/>
      </w:r>
      <w:r w:rsidR="003A4EEE">
        <w:rPr>
          <w:rFonts w:asciiTheme="majorHAnsi" w:hAnsiTheme="majorHAnsi" w:cstheme="majorHAnsi"/>
          <w:sz w:val="24"/>
          <w:szCs w:val="24"/>
        </w:rPr>
        <w:t xml:space="preserve"> </w:t>
      </w:r>
      <w:bookmarkStart w:id="17" w:name="_Hlk160534674"/>
      <w:r w:rsidR="00F05451">
        <w:rPr>
          <w:rFonts w:cstheme="minorHAnsi"/>
          <w:sz w:val="24"/>
          <w:szCs w:val="24"/>
        </w:rPr>
        <w:t>In conclusion,</w:t>
      </w:r>
      <w:r w:rsidR="00B1182C">
        <w:rPr>
          <w:rFonts w:cstheme="minorHAnsi"/>
          <w:sz w:val="24"/>
          <w:szCs w:val="24"/>
        </w:rPr>
        <w:t xml:space="preserve"> we </w:t>
      </w:r>
      <w:r w:rsidR="00D50408">
        <w:rPr>
          <w:rFonts w:cstheme="minorHAnsi"/>
          <w:sz w:val="24"/>
          <w:szCs w:val="24"/>
        </w:rPr>
        <w:t>found that most of the binding pocket residue substitutions had an impact on the AdeG transporter’s efflux efficiency and substrate specificity</w:t>
      </w:r>
      <w:r w:rsidR="004778FE">
        <w:rPr>
          <w:rFonts w:cstheme="minorHAnsi"/>
          <w:sz w:val="24"/>
          <w:szCs w:val="24"/>
        </w:rPr>
        <w:t xml:space="preserve"> (</w:t>
      </w:r>
      <w:r w:rsidR="004778FE">
        <w:rPr>
          <w:rFonts w:cstheme="minorHAnsi"/>
          <w:b/>
          <w:bCs/>
          <w:sz w:val="24"/>
          <w:szCs w:val="24"/>
        </w:rPr>
        <w:t>Figure 4.13</w:t>
      </w:r>
      <w:r w:rsidR="004778FE">
        <w:rPr>
          <w:rFonts w:cstheme="minorHAnsi"/>
          <w:sz w:val="24"/>
          <w:szCs w:val="24"/>
        </w:rPr>
        <w:t>)</w:t>
      </w:r>
      <w:r w:rsidR="00D50408">
        <w:rPr>
          <w:rFonts w:cstheme="minorHAnsi"/>
          <w:sz w:val="24"/>
          <w:szCs w:val="24"/>
        </w:rPr>
        <w:t xml:space="preserve">. The AdeG mutant A705I appeared to have the most similar efflux activity as WT AdeG. The AdeG </w:t>
      </w:r>
      <w:r w:rsidR="000C0416">
        <w:rPr>
          <w:rFonts w:cstheme="minorHAnsi"/>
          <w:sz w:val="24"/>
          <w:szCs w:val="24"/>
        </w:rPr>
        <w:t xml:space="preserve">F-loop mutant </w:t>
      </w:r>
      <w:r w:rsidR="00D50408">
        <w:rPr>
          <w:rFonts w:cstheme="minorHAnsi"/>
          <w:sz w:val="24"/>
          <w:szCs w:val="24"/>
        </w:rPr>
        <w:t xml:space="preserve">G679I </w:t>
      </w:r>
      <w:r w:rsidR="000C0416">
        <w:rPr>
          <w:rFonts w:cstheme="minorHAnsi"/>
          <w:sz w:val="24"/>
          <w:szCs w:val="24"/>
        </w:rPr>
        <w:t xml:space="preserve">and AdeG G-loop mutant I621A both </w:t>
      </w:r>
      <w:r w:rsidR="00D50408">
        <w:rPr>
          <w:rFonts w:cstheme="minorHAnsi"/>
          <w:sz w:val="24"/>
          <w:szCs w:val="24"/>
        </w:rPr>
        <w:t xml:space="preserve">resulted in a non-functional transporter. Both DBP mutants S620A and L138A resulted in </w:t>
      </w:r>
      <w:bookmarkStart w:id="18" w:name="_Hlk160536661"/>
      <w:r w:rsidR="00D50408">
        <w:rPr>
          <w:rFonts w:cstheme="minorHAnsi"/>
          <w:sz w:val="24"/>
          <w:szCs w:val="24"/>
        </w:rPr>
        <w:t>high</w:t>
      </w:r>
      <w:r w:rsidR="008E6DEC">
        <w:rPr>
          <w:rFonts w:cstheme="minorHAnsi"/>
          <w:sz w:val="24"/>
          <w:szCs w:val="24"/>
        </w:rPr>
        <w:t>er</w:t>
      </w:r>
      <w:r w:rsidR="00D50408">
        <w:rPr>
          <w:rFonts w:cstheme="minorHAnsi"/>
          <w:sz w:val="24"/>
          <w:szCs w:val="24"/>
        </w:rPr>
        <w:t xml:space="preserve"> EPI susceptibility</w:t>
      </w:r>
      <w:bookmarkEnd w:id="18"/>
      <w:r w:rsidR="00D50408">
        <w:rPr>
          <w:rFonts w:cstheme="minorHAnsi"/>
          <w:sz w:val="24"/>
          <w:szCs w:val="24"/>
        </w:rPr>
        <w:t xml:space="preserve">. </w:t>
      </w:r>
      <w:r w:rsidR="008E6DEC">
        <w:rPr>
          <w:rFonts w:cstheme="minorHAnsi"/>
          <w:sz w:val="24"/>
          <w:szCs w:val="24"/>
        </w:rPr>
        <w:t xml:space="preserve">Lastly, the PBP AdeG mutants </w:t>
      </w:r>
      <w:r w:rsidR="00B63673">
        <w:rPr>
          <w:rFonts w:cstheme="minorHAnsi"/>
          <w:sz w:val="24"/>
          <w:szCs w:val="24"/>
        </w:rPr>
        <w:t>Y725A</w:t>
      </w:r>
      <w:r w:rsidR="003C252D">
        <w:rPr>
          <w:rFonts w:cstheme="minorHAnsi"/>
          <w:sz w:val="24"/>
          <w:szCs w:val="24"/>
        </w:rPr>
        <w:t xml:space="preserve"> and </w:t>
      </w:r>
      <w:r w:rsidR="00B63673">
        <w:rPr>
          <w:rFonts w:cstheme="minorHAnsi"/>
          <w:sz w:val="24"/>
          <w:szCs w:val="24"/>
        </w:rPr>
        <w:t>Q83A</w:t>
      </w:r>
      <w:r w:rsidR="003C252D">
        <w:rPr>
          <w:rFonts w:cstheme="minorHAnsi"/>
          <w:sz w:val="24"/>
          <w:szCs w:val="24"/>
        </w:rPr>
        <w:t xml:space="preserve"> </w:t>
      </w:r>
      <w:r w:rsidR="008E6DEC">
        <w:rPr>
          <w:rFonts w:cstheme="minorHAnsi"/>
          <w:sz w:val="24"/>
          <w:szCs w:val="24"/>
        </w:rPr>
        <w:t>demonstrated various efflux efficiencies and inhibitor susceptibilities</w:t>
      </w:r>
      <w:bookmarkEnd w:id="11"/>
      <w:bookmarkEnd w:id="17"/>
      <w:r w:rsidR="003C252D">
        <w:rPr>
          <w:rFonts w:cstheme="minorHAnsi"/>
          <w:sz w:val="24"/>
          <w:szCs w:val="24"/>
        </w:rPr>
        <w:t>, with Q83A exhibiting significantly improved norfloxacin potentiation by SLUPP_1377.</w:t>
      </w:r>
    </w:p>
    <w:p w14:paraId="43F8C93F" w14:textId="77777777" w:rsidR="00CC6C40" w:rsidRPr="00734E96" w:rsidRDefault="00CC6C40" w:rsidP="00CC6C40">
      <w:pPr>
        <w:spacing w:line="360" w:lineRule="auto"/>
        <w:rPr>
          <w:sz w:val="24"/>
          <w:szCs w:val="24"/>
        </w:rPr>
      </w:pPr>
    </w:p>
    <w:p w14:paraId="64FA2A0D" w14:textId="7C5C6ECA" w:rsidR="00FD502E" w:rsidRPr="00E371F2" w:rsidRDefault="00C93FF8" w:rsidP="00FD502E">
      <w:pPr>
        <w:rPr>
          <w:b/>
          <w:bCs/>
          <w:sz w:val="24"/>
          <w:szCs w:val="24"/>
        </w:rPr>
      </w:pPr>
      <w:r>
        <w:rPr>
          <w:b/>
          <w:bCs/>
          <w:sz w:val="24"/>
          <w:szCs w:val="24"/>
        </w:rPr>
        <w:lastRenderedPageBreak/>
        <w:t>Chapter 5:</w:t>
      </w:r>
      <w:r w:rsidR="00FD502E" w:rsidRPr="00734E96">
        <w:rPr>
          <w:b/>
          <w:bCs/>
          <w:sz w:val="24"/>
          <w:szCs w:val="24"/>
        </w:rPr>
        <w:t xml:space="preserve"> </w:t>
      </w:r>
      <w:r w:rsidR="00FD502E" w:rsidRPr="00E371F2">
        <w:rPr>
          <w:b/>
          <w:bCs/>
          <w:sz w:val="24"/>
          <w:szCs w:val="24"/>
        </w:rPr>
        <w:t xml:space="preserve">Site-Directed Mutagenesis of RND Transporter </w:t>
      </w:r>
      <w:proofErr w:type="spellStart"/>
      <w:r w:rsidR="00FD502E" w:rsidRPr="00E371F2">
        <w:rPr>
          <w:b/>
          <w:bCs/>
          <w:sz w:val="24"/>
          <w:szCs w:val="24"/>
        </w:rPr>
        <w:t>AdeJ</w:t>
      </w:r>
      <w:proofErr w:type="spellEnd"/>
      <w:r w:rsidR="00FD502E" w:rsidRPr="00E371F2">
        <w:rPr>
          <w:b/>
          <w:bCs/>
          <w:sz w:val="24"/>
          <w:szCs w:val="24"/>
        </w:rPr>
        <w:t xml:space="preserve"> from </w:t>
      </w:r>
      <w:r w:rsidR="00FD502E" w:rsidRPr="00E371F2">
        <w:rPr>
          <w:b/>
          <w:bCs/>
          <w:i/>
          <w:iCs/>
          <w:sz w:val="24"/>
          <w:szCs w:val="24"/>
        </w:rPr>
        <w:t>Acinetobacter baumannii</w:t>
      </w:r>
      <w:r w:rsidR="00FD502E" w:rsidRPr="00E371F2">
        <w:rPr>
          <w:b/>
          <w:bCs/>
          <w:sz w:val="24"/>
          <w:szCs w:val="24"/>
        </w:rPr>
        <w:t xml:space="preserve"> Leads to Identification of Amino Acid Residues that Hinder Erythromycin Efflux</w:t>
      </w:r>
    </w:p>
    <w:p w14:paraId="10D9BD34" w14:textId="736C6490" w:rsidR="00FD502E" w:rsidRPr="00734E96" w:rsidRDefault="00A83D7F" w:rsidP="00FD502E">
      <w:pPr>
        <w:rPr>
          <w:sz w:val="24"/>
          <w:szCs w:val="24"/>
        </w:rPr>
      </w:pPr>
      <w:r>
        <w:rPr>
          <w:sz w:val="24"/>
          <w:szCs w:val="24"/>
          <w:u w:val="single"/>
        </w:rPr>
        <w:t xml:space="preserve">5.1. </w:t>
      </w:r>
      <w:r w:rsidR="00FD502E" w:rsidRPr="00734E96">
        <w:rPr>
          <w:sz w:val="24"/>
          <w:szCs w:val="24"/>
          <w:u w:val="single"/>
        </w:rPr>
        <w:t>Abstract</w:t>
      </w:r>
    </w:p>
    <w:p w14:paraId="12570B59" w14:textId="5E12C585" w:rsidR="00BA4D8E" w:rsidRDefault="00F7641A" w:rsidP="007624CF">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The RND type transporter </w:t>
      </w:r>
      <w:proofErr w:type="spellStart"/>
      <w:r>
        <w:rPr>
          <w:rFonts w:asciiTheme="majorHAnsi" w:hAnsiTheme="majorHAnsi" w:cstheme="majorHAnsi"/>
          <w:sz w:val="24"/>
          <w:szCs w:val="24"/>
        </w:rPr>
        <w:t>AdeJ</w:t>
      </w:r>
      <w:proofErr w:type="spellEnd"/>
      <w:r>
        <w:rPr>
          <w:rFonts w:asciiTheme="majorHAnsi" w:hAnsiTheme="majorHAnsi" w:cstheme="majorHAnsi"/>
          <w:sz w:val="24"/>
          <w:szCs w:val="24"/>
        </w:rPr>
        <w:t xml:space="preserve">, of the operon </w:t>
      </w:r>
      <w:proofErr w:type="spellStart"/>
      <w:r>
        <w:rPr>
          <w:rFonts w:asciiTheme="majorHAnsi" w:hAnsiTheme="majorHAnsi" w:cstheme="majorHAnsi"/>
          <w:sz w:val="24"/>
          <w:szCs w:val="24"/>
        </w:rPr>
        <w:t>AdeIJK</w:t>
      </w:r>
      <w:proofErr w:type="spellEnd"/>
      <w:r>
        <w:rPr>
          <w:rFonts w:asciiTheme="majorHAnsi" w:hAnsiTheme="majorHAnsi" w:cstheme="majorHAnsi"/>
          <w:sz w:val="24"/>
          <w:szCs w:val="24"/>
        </w:rPr>
        <w:t xml:space="preserve">, is the most prevalent efflux pump in </w:t>
      </w:r>
      <w:r>
        <w:rPr>
          <w:rFonts w:asciiTheme="majorHAnsi" w:hAnsiTheme="majorHAnsi" w:cstheme="majorHAnsi"/>
          <w:i/>
          <w:iCs/>
          <w:sz w:val="24"/>
          <w:szCs w:val="24"/>
        </w:rPr>
        <w:t>A</w:t>
      </w:r>
      <w:r w:rsidR="005D083E">
        <w:rPr>
          <w:rFonts w:asciiTheme="majorHAnsi" w:hAnsiTheme="majorHAnsi" w:cstheme="majorHAnsi"/>
          <w:i/>
          <w:iCs/>
          <w:sz w:val="24"/>
          <w:szCs w:val="24"/>
        </w:rPr>
        <w:t>.</w:t>
      </w:r>
      <w:r>
        <w:rPr>
          <w:rFonts w:asciiTheme="majorHAnsi" w:hAnsiTheme="majorHAnsi" w:cstheme="majorHAnsi"/>
          <w:i/>
          <w:iCs/>
          <w:sz w:val="24"/>
          <w:szCs w:val="24"/>
        </w:rPr>
        <w:t xml:space="preserve"> baumannii</w:t>
      </w:r>
      <w:r>
        <w:rPr>
          <w:rFonts w:asciiTheme="majorHAnsi" w:hAnsiTheme="majorHAnsi" w:cstheme="majorHAnsi"/>
          <w:sz w:val="24"/>
          <w:szCs w:val="24"/>
        </w:rPr>
        <w:t xml:space="preserve">. </w:t>
      </w:r>
      <w:proofErr w:type="spellStart"/>
      <w:r>
        <w:rPr>
          <w:rFonts w:asciiTheme="majorHAnsi" w:hAnsiTheme="majorHAnsi" w:cstheme="majorHAnsi"/>
          <w:sz w:val="24"/>
          <w:szCs w:val="24"/>
        </w:rPr>
        <w:t>AdeIJK</w:t>
      </w:r>
      <w:proofErr w:type="spellEnd"/>
      <w:r>
        <w:rPr>
          <w:rFonts w:asciiTheme="majorHAnsi" w:hAnsiTheme="majorHAnsi" w:cstheme="majorHAnsi"/>
          <w:sz w:val="24"/>
          <w:szCs w:val="24"/>
        </w:rPr>
        <w:t xml:space="preserve"> is responsible for high levels of intrinsic resistance against small toxic molecule accumulation within the </w:t>
      </w:r>
      <w:r>
        <w:rPr>
          <w:rFonts w:asciiTheme="majorHAnsi" w:hAnsiTheme="majorHAnsi" w:cstheme="majorHAnsi"/>
          <w:i/>
          <w:iCs/>
          <w:sz w:val="24"/>
          <w:szCs w:val="24"/>
        </w:rPr>
        <w:t>A. baumannii</w:t>
      </w:r>
      <w:r>
        <w:rPr>
          <w:rFonts w:asciiTheme="majorHAnsi" w:hAnsiTheme="majorHAnsi" w:cstheme="majorHAnsi"/>
          <w:sz w:val="24"/>
          <w:szCs w:val="24"/>
        </w:rPr>
        <w:t xml:space="preserve"> cell. Overproduction of this pump has also been observed in clinical isolates</w:t>
      </w:r>
      <w:r w:rsidR="00FC37E5">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{"citationID":"a280j59n5de","properties":{"formattedCitation":"\\super 170\\nosupersub{}","plainCitation":"170","noteIndex":0},"citationItems":[{"id":2276,"uris":["http://zotero.org/users/1918630/items/Z83CEIJ7"],"itemData":{"id":2276,"type":"article-journal","abstract":"Chronic wound infections are associated with biofilm formation, which in turn has been correlated with drug resistance. However, the mechanism by which bacteria form biofilms in clinical environments is not clearly understood. This study was designed to investigate the biofilm formation potency of Acinetobacter baumannii and the potential association of biofilm formation with genes encoding efflux pumps, quorum-sensing regulators, and outer membrane proteins. A total of 48 clinically isolated A. baumannii strains, identified by enterobacterial repetitive intergenic consensus (ERIC)-PCR as types A-II, A-III, and A-IV, were analyzed. Three representative strains, which were designated A. baumannii ABR2, ABR11, and ABS17, were used to evaluate antimicrobial susceptibility, biofilm inducibility, and gene transcription (abaI, adeB, adeG, adeJ, carO, and ompA). A significant increase in the MICs of different classes of antibiotics was observed in the biofilm cells. The formation of a biofilm was significantly induced in all the representative strains exposed to levofloxacin. The levels of gene transcription varied between bacterial genotypes, antibiotics, and antibiotic concentrations. The upregulation of adeG correlated with biofilm induction. The consistent upregulation of adeG and abaI was detected in A-III-type A. baumannii in response to levofloxacin and meropenem (1/8 to 1/2× the MIC), conditions which resulted in the greatest extent of biofilm induction. This study demonstrates a potential role of the AdeFGH efflux pump in the synthesis and transport of autoinducer molecules during biofilm formation, suggesting a link between low-dose antimicrobial therapy and a high risk of biofilm infections caused by A. baumannii. This study provides useful information for the development of antibiofilm strategies.","container-title":"Antimicrobial Agents and Chemotherapy","DOI":"10.1128/AAC.00877-15","ISSN":"0066-4804","issue":"8","journalAbbreviation":"Antimicrob Agents Chemother","note":"PMID: 26033730\nPMCID: PMC4505227","page":"4817-4825","source":"PubMed Central","title":"Biofilm Formation Caused by Clinical Acinetobacter baumannii Isolates Is Associated with Overexpression of the AdeFGH Efflux Pump","volume":"59","author":[{"family":"He","given":"Xinlong"},{"family":"Lu","given":"Feng"},{"family":"Yuan","given":"Fenglai"},{"family":"Jiang","given":"Donglin"},{"family":"Zhao","given":"Peng"},{"family":"Zhu","given":"Jie"},{"family":"Cheng","given":"Huali"},{"family":"Cao","given":"Jun"},{"family":"Lu","given":"Guozhong"}],"issued":{"date-parts":[["2015",8]]}}}],"schema":"https://github.com/citation-style-language/schema/raw/master/csl-citation.json"} </w:instrText>
      </w:r>
      <w:r w:rsidR="00FC37E5">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170</w:t>
      </w:r>
      <w:r w:rsidR="00FC37E5">
        <w:rPr>
          <w:rFonts w:asciiTheme="majorHAnsi" w:hAnsiTheme="majorHAnsi" w:cstheme="majorHAnsi"/>
          <w:sz w:val="24"/>
          <w:szCs w:val="24"/>
        </w:rPr>
        <w:fldChar w:fldCharType="end"/>
      </w:r>
      <w:r>
        <w:rPr>
          <w:rFonts w:asciiTheme="majorHAnsi" w:hAnsiTheme="majorHAnsi" w:cstheme="majorHAnsi"/>
          <w:sz w:val="24"/>
          <w:szCs w:val="24"/>
        </w:rPr>
        <w:t xml:space="preserve"> and its high export efficiency and wide substrate range promotes </w:t>
      </w:r>
      <w:r>
        <w:rPr>
          <w:rFonts w:asciiTheme="majorHAnsi" w:hAnsiTheme="majorHAnsi" w:cstheme="majorHAnsi"/>
          <w:i/>
          <w:iCs/>
          <w:sz w:val="24"/>
          <w:szCs w:val="24"/>
        </w:rPr>
        <w:t xml:space="preserve">A. </w:t>
      </w:r>
      <w:proofErr w:type="spellStart"/>
      <w:r>
        <w:rPr>
          <w:rFonts w:asciiTheme="majorHAnsi" w:hAnsiTheme="majorHAnsi" w:cstheme="majorHAnsi"/>
          <w:i/>
          <w:iCs/>
          <w:sz w:val="24"/>
          <w:szCs w:val="24"/>
        </w:rPr>
        <w:t>baumannii</w:t>
      </w:r>
      <w:r>
        <w:rPr>
          <w:rFonts w:asciiTheme="majorHAnsi" w:hAnsiTheme="majorHAnsi" w:cstheme="majorHAnsi"/>
          <w:sz w:val="24"/>
          <w:szCs w:val="24"/>
        </w:rPr>
        <w:t>’s</w:t>
      </w:r>
      <w:proofErr w:type="spellEnd"/>
      <w:r>
        <w:rPr>
          <w:rFonts w:asciiTheme="majorHAnsi" w:hAnsiTheme="majorHAnsi" w:cstheme="majorHAnsi"/>
          <w:sz w:val="24"/>
          <w:szCs w:val="24"/>
        </w:rPr>
        <w:t xml:space="preserve"> survival under high concentration antibiotic pressure. </w:t>
      </w:r>
      <w:r w:rsidR="00BA4D8E">
        <w:rPr>
          <w:rFonts w:asciiTheme="majorHAnsi" w:hAnsiTheme="majorHAnsi" w:cstheme="majorHAnsi"/>
          <w:sz w:val="24"/>
          <w:szCs w:val="24"/>
        </w:rPr>
        <w:t xml:space="preserve">To better understand the substrate specificity determinants in RND transporters, seven single amino acid substitution mutants of the </w:t>
      </w:r>
      <w:proofErr w:type="spellStart"/>
      <w:r w:rsidR="00BA4D8E">
        <w:rPr>
          <w:rFonts w:asciiTheme="majorHAnsi" w:hAnsiTheme="majorHAnsi" w:cstheme="majorHAnsi"/>
          <w:sz w:val="24"/>
          <w:szCs w:val="24"/>
        </w:rPr>
        <w:t>AdeJ</w:t>
      </w:r>
      <w:proofErr w:type="spellEnd"/>
      <w:r w:rsidR="00BA4D8E">
        <w:rPr>
          <w:rFonts w:asciiTheme="majorHAnsi" w:hAnsiTheme="majorHAnsi" w:cstheme="majorHAnsi"/>
          <w:sz w:val="24"/>
          <w:szCs w:val="24"/>
        </w:rPr>
        <w:t xml:space="preserve"> binding sites were constructed. I inserted plasmids carrying the mutant </w:t>
      </w:r>
      <w:proofErr w:type="spellStart"/>
      <w:r w:rsidR="00BA4D8E">
        <w:rPr>
          <w:rFonts w:asciiTheme="majorHAnsi" w:hAnsiTheme="majorHAnsi" w:cstheme="majorHAnsi"/>
          <w:sz w:val="24"/>
          <w:szCs w:val="24"/>
        </w:rPr>
        <w:t>AdeJ</w:t>
      </w:r>
      <w:proofErr w:type="spellEnd"/>
      <w:r w:rsidR="00BA4D8E">
        <w:rPr>
          <w:rFonts w:asciiTheme="majorHAnsi" w:hAnsiTheme="majorHAnsi" w:cstheme="majorHAnsi"/>
          <w:sz w:val="24"/>
          <w:szCs w:val="24"/>
        </w:rPr>
        <w:t xml:space="preserve"> transporters into RND deficient strains Ab</w:t>
      </w:r>
      <w:r w:rsidR="00BA4D8E" w:rsidRPr="005A5764">
        <w:rPr>
          <w:sz w:val="24"/>
          <w:szCs w:val="24"/>
        </w:rPr>
        <w:t>Δ</w:t>
      </w:r>
      <w:r w:rsidR="00BA4D8E">
        <w:rPr>
          <w:sz w:val="24"/>
          <w:szCs w:val="24"/>
        </w:rPr>
        <w:t>3 and Ab</w:t>
      </w:r>
      <w:r w:rsidR="00BA4D8E" w:rsidRPr="005A5764">
        <w:rPr>
          <w:sz w:val="24"/>
          <w:szCs w:val="24"/>
        </w:rPr>
        <w:t>Δ</w:t>
      </w:r>
      <w:r w:rsidR="00BA4D8E">
        <w:rPr>
          <w:sz w:val="24"/>
          <w:szCs w:val="24"/>
        </w:rPr>
        <w:t>3-Pore</w:t>
      </w:r>
      <w:r w:rsidR="00BA4D8E">
        <w:rPr>
          <w:rFonts w:asciiTheme="majorHAnsi" w:hAnsiTheme="majorHAnsi" w:cstheme="majorHAnsi"/>
          <w:sz w:val="24"/>
          <w:szCs w:val="24"/>
        </w:rPr>
        <w:t xml:space="preserve"> and I compared their characteristics to WT </w:t>
      </w:r>
      <w:proofErr w:type="spellStart"/>
      <w:r w:rsidR="00BA4D8E">
        <w:rPr>
          <w:rFonts w:asciiTheme="majorHAnsi" w:hAnsiTheme="majorHAnsi" w:cstheme="majorHAnsi"/>
          <w:sz w:val="24"/>
          <w:szCs w:val="24"/>
        </w:rPr>
        <w:t>AdeJ</w:t>
      </w:r>
      <w:proofErr w:type="spellEnd"/>
      <w:r w:rsidR="00BA4D8E">
        <w:rPr>
          <w:rFonts w:asciiTheme="majorHAnsi" w:hAnsiTheme="majorHAnsi" w:cstheme="majorHAnsi"/>
          <w:sz w:val="24"/>
          <w:szCs w:val="24"/>
        </w:rPr>
        <w:t xml:space="preserve"> and </w:t>
      </w:r>
      <w:proofErr w:type="spellStart"/>
      <w:r w:rsidR="00BA4D8E">
        <w:rPr>
          <w:rFonts w:asciiTheme="majorHAnsi" w:hAnsiTheme="majorHAnsi" w:cstheme="majorHAnsi"/>
          <w:sz w:val="24"/>
          <w:szCs w:val="24"/>
        </w:rPr>
        <w:t>AdeG</w:t>
      </w:r>
      <w:proofErr w:type="spellEnd"/>
      <w:r w:rsidR="00BA4D8E">
        <w:rPr>
          <w:rFonts w:asciiTheme="majorHAnsi" w:hAnsiTheme="majorHAnsi" w:cstheme="majorHAnsi"/>
          <w:sz w:val="24"/>
          <w:szCs w:val="24"/>
        </w:rPr>
        <w:t xml:space="preserve">. </w:t>
      </w:r>
    </w:p>
    <w:p w14:paraId="4B2EB4B9" w14:textId="5D48B909" w:rsidR="000E1985" w:rsidRPr="00A22BCB" w:rsidRDefault="00F7641A" w:rsidP="00BA4D8E">
      <w:pPr>
        <w:spacing w:line="360" w:lineRule="auto"/>
        <w:ind w:firstLine="720"/>
        <w:rPr>
          <w:rFonts w:asciiTheme="majorHAnsi" w:hAnsiTheme="majorHAnsi" w:cstheme="majorHAnsi"/>
          <w:sz w:val="24"/>
          <w:szCs w:val="24"/>
        </w:rPr>
      </w:pPr>
      <w:r w:rsidRPr="00A22BCB">
        <w:rPr>
          <w:sz w:val="24"/>
          <w:szCs w:val="24"/>
        </w:rPr>
        <w:t xml:space="preserve">This study identified </w:t>
      </w:r>
      <w:r w:rsidR="003C60EC">
        <w:rPr>
          <w:sz w:val="24"/>
          <w:szCs w:val="24"/>
        </w:rPr>
        <w:t>two</w:t>
      </w:r>
      <w:r w:rsidR="003C60EC" w:rsidRPr="00A22BCB">
        <w:rPr>
          <w:sz w:val="24"/>
          <w:szCs w:val="24"/>
        </w:rPr>
        <w:t xml:space="preserve"> </w:t>
      </w:r>
      <w:r w:rsidRPr="00A22BCB">
        <w:rPr>
          <w:sz w:val="24"/>
          <w:szCs w:val="24"/>
        </w:rPr>
        <w:t xml:space="preserve">amino acid residues in </w:t>
      </w:r>
      <w:proofErr w:type="spellStart"/>
      <w:r w:rsidRPr="00A22BCB">
        <w:rPr>
          <w:sz w:val="24"/>
          <w:szCs w:val="24"/>
        </w:rPr>
        <w:t>AdeJ</w:t>
      </w:r>
      <w:proofErr w:type="spellEnd"/>
      <w:r w:rsidRPr="00A22BCB">
        <w:rPr>
          <w:sz w:val="24"/>
          <w:szCs w:val="24"/>
        </w:rPr>
        <w:t xml:space="preserve"> whose </w:t>
      </w:r>
      <w:r w:rsidR="00BA4D8E">
        <w:rPr>
          <w:sz w:val="24"/>
          <w:szCs w:val="24"/>
        </w:rPr>
        <w:t>substitution</w:t>
      </w:r>
      <w:r w:rsidRPr="00A22BCB">
        <w:rPr>
          <w:sz w:val="24"/>
          <w:szCs w:val="24"/>
        </w:rPr>
        <w:t xml:space="preserve"> improved the transporter’s export efficiency of </w:t>
      </w:r>
      <w:r w:rsidR="00F91193" w:rsidRPr="00A22BCB">
        <w:rPr>
          <w:sz w:val="24"/>
          <w:szCs w:val="24"/>
        </w:rPr>
        <w:t xml:space="preserve">erythromycin. We found in 2-fold dilution antibiotic susceptibility assays that the </w:t>
      </w:r>
      <w:proofErr w:type="spellStart"/>
      <w:r w:rsidR="00F91193" w:rsidRPr="00A22BCB">
        <w:rPr>
          <w:sz w:val="24"/>
          <w:szCs w:val="24"/>
        </w:rPr>
        <w:t>AdeJ</w:t>
      </w:r>
      <w:proofErr w:type="spellEnd"/>
      <w:r w:rsidR="00F91193" w:rsidRPr="00A22BCB">
        <w:rPr>
          <w:sz w:val="24"/>
          <w:szCs w:val="24"/>
        </w:rPr>
        <w:t xml:space="preserve"> mutants R701A and F136A improved the efflux of erythromycin by 4-fold. Both of these mutants could be improving erythromycin export by removing physical bulk and/or electrostatic repulsive forces to better accommodate the erythromycin molecule into and through the transporter binding pocket. We anticipate these findings will aid in future rational efflux pump inhibitor design and further functional characterization of this RND transporter.</w:t>
      </w:r>
    </w:p>
    <w:p w14:paraId="2F5B4AB7" w14:textId="77777777" w:rsidR="00F91193" w:rsidRDefault="00F91193" w:rsidP="00FD502E">
      <w:pPr>
        <w:rPr>
          <w:sz w:val="24"/>
          <w:szCs w:val="24"/>
          <w:u w:val="single"/>
        </w:rPr>
      </w:pPr>
    </w:p>
    <w:p w14:paraId="19175F16" w14:textId="27408D35" w:rsidR="00FD502E" w:rsidRPr="00734E96" w:rsidRDefault="00A83D7F" w:rsidP="00FD502E">
      <w:pPr>
        <w:rPr>
          <w:sz w:val="24"/>
          <w:szCs w:val="24"/>
        </w:rPr>
      </w:pPr>
      <w:r>
        <w:rPr>
          <w:sz w:val="24"/>
          <w:szCs w:val="24"/>
          <w:u w:val="single"/>
        </w:rPr>
        <w:t xml:space="preserve">5.2. </w:t>
      </w:r>
      <w:r w:rsidR="00FD502E" w:rsidRPr="00734E96">
        <w:rPr>
          <w:sz w:val="24"/>
          <w:szCs w:val="24"/>
          <w:u w:val="single"/>
        </w:rPr>
        <w:t>Introduction</w:t>
      </w:r>
    </w:p>
    <w:p w14:paraId="47E83D99" w14:textId="53D284E9" w:rsidR="0061190F" w:rsidRDefault="0061190F" w:rsidP="002D254A">
      <w:pPr>
        <w:spacing w:line="360" w:lineRule="auto"/>
        <w:ind w:firstLine="720"/>
        <w:rPr>
          <w:sz w:val="24"/>
          <w:szCs w:val="24"/>
        </w:rPr>
      </w:pPr>
      <w:r>
        <w:rPr>
          <w:sz w:val="24"/>
          <w:szCs w:val="24"/>
        </w:rPr>
        <w:t xml:space="preserve">The </w:t>
      </w:r>
      <w:proofErr w:type="spellStart"/>
      <w:r>
        <w:rPr>
          <w:sz w:val="24"/>
          <w:szCs w:val="24"/>
        </w:rPr>
        <w:t>AdeIJK</w:t>
      </w:r>
      <w:proofErr w:type="spellEnd"/>
      <w:r>
        <w:rPr>
          <w:sz w:val="24"/>
          <w:szCs w:val="24"/>
        </w:rPr>
        <w:t xml:space="preserve"> efflux pump of </w:t>
      </w:r>
      <w:r>
        <w:rPr>
          <w:i/>
          <w:iCs/>
          <w:sz w:val="24"/>
          <w:szCs w:val="24"/>
        </w:rPr>
        <w:t>A</w:t>
      </w:r>
      <w:r w:rsidR="00FA435A">
        <w:rPr>
          <w:i/>
          <w:iCs/>
          <w:sz w:val="24"/>
          <w:szCs w:val="24"/>
        </w:rPr>
        <w:t>.</w:t>
      </w:r>
      <w:r>
        <w:rPr>
          <w:i/>
          <w:iCs/>
          <w:sz w:val="24"/>
          <w:szCs w:val="24"/>
        </w:rPr>
        <w:t xml:space="preserve"> baumannii</w:t>
      </w:r>
      <w:r>
        <w:rPr>
          <w:sz w:val="24"/>
          <w:szCs w:val="24"/>
        </w:rPr>
        <w:t xml:space="preserve"> is clinically significant due to its role in multidrug resistance.</w:t>
      </w:r>
      <w:r w:rsidR="004537E4">
        <w:rPr>
          <w:sz w:val="24"/>
          <w:szCs w:val="24"/>
        </w:rPr>
        <w:fldChar w:fldCharType="begin"/>
      </w:r>
      <w:r w:rsidR="00864355">
        <w:rPr>
          <w:sz w:val="24"/>
          <w:szCs w:val="24"/>
        </w:rPr>
        <w:instrText xml:space="preserve"> ADDIN ZOTERO_ITEM CSL_CITATION {"citationID":"VayMJX39","properties":{"formattedCitation":"\\super 51\\nosupersub{}","plainCitation":"51","noteIndex":0},"citationItems":[{"id":1461,"uris":["http://zotero.org/users/1918630/items/PIB2W35Z"],"itemData":{"id":1461,"type":"article-journal","abstract":"ABSTRACT\n            \n              We have identified a second resistance-nodulation-cell division (RND)-type efflux pump, AdeIJK, in clinical isolate\n              Acinetobacter baumannii\n              BM4454. The\n              adeI, adeJ\n              , and\n              adeK\n              genes encode, respectively, the membrane fusion, RND, and outer membrane components of the pump. AdeJ belongs to the AcrB protein family (57% identity with AcrB from\n              Escherichia coli\n              ). mRNA analysis by Northern blotting and reverse transcription-PCR indicated that the genes were cotranscribed. Overexpression of the cloned\n              adeIJK\n              operon was toxic in both\n              E. coli\n              and\n              Acinetobacter\n              . The\n              adeIJK\n              genes were detected in all of the 60 strains of\n              A. baumannii\n              tested. The two latter observations suggest that the AdeIJK complex might contribute to intrinsic but not to acquired antibiotic resistance in\n              Acinetobacter\n              . To characterize the substrate specificity of the pump, we have constructed derivatives of BM4454 in which\n              adeIJK\n              (strain BM4579),\n              adeABC\n              (strain BM4561), or both groups of genes (strain BM4652) were inactivated by deletion-insertion. Determination of the antibiotic susceptibility of these strains and of BM4652 and BM4579, in which the\n              adeIJK\n              operon was provided in\n              trans\n              , indicated that the AdeIJK pump contributes to resistance to β-lactams, chloramphenicol, tetracycline, erythromycin, lincosamides, fluoroquinolones, fusidic acid, novobiocin, rifampin, trimethoprim, acridine, safranin, pyronine, and sodium dodecyl sulfate. The chemical structure of these molecules suggests that amphiphilic compounds are the preferred substrates. The AdeABC and AdeIJK efflux systems contributed in a more than additive fashion to tigecycline resistance.","container-title":"Antimicrobial Agents and Chemotherapy","DOI":"10.1128/AAC.00732-07","ISSN":"0066-4804, 1098-6596","issue":"2","journalAbbreviation":"Antimicrob Agents Chemother","language":"en","page":"557-562","source":"DOI.org (Crossref)","title":"AdeIJK, a Resistance-Nodulation-Cell Division Pump Effluxing Multiple Antibiotics in &lt;i&gt;Acinetobacter baumannii&lt;/i&gt;","volume":"52","author":[{"family":"Damier-Piolle","given":"Laurence"},{"family":"Magnet","given":"Sophie"},{"family":"Brémont","given":"Sylvie"},{"family":"Lambert","given":"Thierry"},{"family":"Courvalin","given":"Patrice"}],"issued":{"date-parts":[["2008",2]]}}}],"schema":"https://github.com/citation-style-language/schema/raw/master/csl-citation.json"} </w:instrText>
      </w:r>
      <w:r w:rsidR="004537E4">
        <w:rPr>
          <w:sz w:val="24"/>
          <w:szCs w:val="24"/>
        </w:rPr>
        <w:fldChar w:fldCharType="separate"/>
      </w:r>
      <w:r w:rsidR="00864355" w:rsidRPr="00864355">
        <w:rPr>
          <w:rFonts w:ascii="Times New Roman" w:hAnsi="Times New Roman" w:cs="Times New Roman"/>
          <w:sz w:val="24"/>
          <w:szCs w:val="24"/>
          <w:vertAlign w:val="superscript"/>
        </w:rPr>
        <w:t>51</w:t>
      </w:r>
      <w:r w:rsidR="004537E4">
        <w:rPr>
          <w:sz w:val="24"/>
          <w:szCs w:val="24"/>
        </w:rPr>
        <w:fldChar w:fldCharType="end"/>
      </w:r>
      <w:r>
        <w:rPr>
          <w:sz w:val="24"/>
          <w:szCs w:val="24"/>
        </w:rPr>
        <w:t xml:space="preserve"> </w:t>
      </w:r>
      <w:r w:rsidR="00060086">
        <w:rPr>
          <w:sz w:val="24"/>
          <w:szCs w:val="24"/>
        </w:rPr>
        <w:t xml:space="preserve">Unlike </w:t>
      </w:r>
      <w:proofErr w:type="spellStart"/>
      <w:r w:rsidR="00060086">
        <w:rPr>
          <w:sz w:val="24"/>
          <w:szCs w:val="24"/>
        </w:rPr>
        <w:t>AdeABC</w:t>
      </w:r>
      <w:proofErr w:type="spellEnd"/>
      <w:r w:rsidR="00060086">
        <w:rPr>
          <w:sz w:val="24"/>
          <w:szCs w:val="24"/>
        </w:rPr>
        <w:t xml:space="preserve"> and </w:t>
      </w:r>
      <w:proofErr w:type="spellStart"/>
      <w:r w:rsidR="00060086">
        <w:rPr>
          <w:sz w:val="24"/>
          <w:szCs w:val="24"/>
        </w:rPr>
        <w:t>AdeFGH</w:t>
      </w:r>
      <w:proofErr w:type="spellEnd"/>
      <w:r w:rsidR="00060086">
        <w:rPr>
          <w:sz w:val="24"/>
          <w:szCs w:val="24"/>
        </w:rPr>
        <w:t xml:space="preserve">, </w:t>
      </w:r>
      <w:proofErr w:type="spellStart"/>
      <w:r>
        <w:rPr>
          <w:sz w:val="24"/>
          <w:szCs w:val="24"/>
        </w:rPr>
        <w:t>AdeIJK</w:t>
      </w:r>
      <w:proofErr w:type="spellEnd"/>
      <w:r>
        <w:rPr>
          <w:sz w:val="24"/>
          <w:szCs w:val="24"/>
        </w:rPr>
        <w:t xml:space="preserve"> is </w:t>
      </w:r>
      <w:r w:rsidR="00060086">
        <w:rPr>
          <w:sz w:val="24"/>
          <w:szCs w:val="24"/>
        </w:rPr>
        <w:t xml:space="preserve">found in all </w:t>
      </w:r>
      <w:r w:rsidR="00060086">
        <w:rPr>
          <w:i/>
          <w:iCs/>
          <w:sz w:val="24"/>
          <w:szCs w:val="24"/>
        </w:rPr>
        <w:t>A. baumannii</w:t>
      </w:r>
      <w:r w:rsidR="00060086">
        <w:rPr>
          <w:sz w:val="24"/>
          <w:szCs w:val="24"/>
        </w:rPr>
        <w:t xml:space="preserve"> strains as part of its intrinsic resistance to various antibiotics.</w:t>
      </w:r>
      <w:r w:rsidR="00EA155A">
        <w:rPr>
          <w:sz w:val="24"/>
          <w:szCs w:val="24"/>
        </w:rPr>
        <w:fldChar w:fldCharType="begin"/>
      </w:r>
      <w:r w:rsidR="002F6F9F">
        <w:rPr>
          <w:sz w:val="24"/>
          <w:szCs w:val="24"/>
        </w:rPr>
        <w:instrText xml:space="preserve"> ADDIN ZOTERO_ITEM CSL_CITATION {"citationID":"UFLlpEjx","properties":{"formattedCitation":"\\super 171\\nosupersub{}","plainCitation":"171","noteIndex":0},"citationItems":[{"id":2026,"uris":["http://zotero.org/users/1918630/items/SF49TRY6"],"itemData":{"id":2026,"type":"article-journal","abstract":"Resistance-nodulation-division efflux system AdeIJK contributes to intrinsic resistance to various drug classes in Acinetobacter baumannii. By whole-genome sequencing, we have identified in clinical isolate BM4587 the adeN gene, located 813 kbp upstream from adeIJK, which encodes a TetR transcriptional regulator. In one-step mutant BM4666 overexpressing adeIJK, the deletion of cytosine 582 (C582) in the 3′ portion of this gene was responsible for a frameshift mutation resulting in the deletion of the seven C-terminal residues. trans-Complementation of this BM4587 derivative with a plasmid expressing adeN restored antibiotic susceptibility to the host associated with the loss of adeJ overexpression. The inactivation of adeN in BM4587 led to a diminished susceptibility to antibiotics that are substrates for AdeIJK and to a 5-fold increase in adeJ expression. Taken together, these results indicate that AdeN represses AdeIJK expression. Quantitative reverse transcription-PCR (qRT-PCR) demonstrated that AdeN is constitutively expressed in BM4587 and does not regulate its own expression. Deletion of cytosine 582 and a 394-bp deletion of the 3′ part of adeN were found in independent one-step adeIJK-overexpressing mutants selected from clinical isolates BM4667 and BM4651, respectively. The corresponding alterations were located in the α9 helix, which is known to be involved in dimerization, a process essential for the activity of TetR regulators. The adeN gene was detected in all of the 30 A. baumannii strains tested and in Acinetobacter calcoaceticus, Acinetobacter nosocomialis, and Acinetobacter pittii.","container-title":"Antimicrobial Agents and Chemotherapy","DOI":"10.1128/aac.06422-11","issue":"5","note":"publisher: American Society for Microbiology","page":"2504-2510","source":"journals.asm.org (Atypon)","title":"Expression of the Resistance-Nodulation-Cell Division Pump AdeIJK in Acinetobacter baumannii Is Regulated by AdeN, a TetR-Type Regulator","volume":"56","author":[{"family":"Rosenfeld","given":"Nicolas"},{"family":"Bouchier","given":"Christiane"},{"family":"Courvalin","given":"Patrice"},{"family":"Périchon","given":"Bruno"}],"issued":{"date-parts":[["2012",4,12]]}}}],"schema":"https://github.com/citation-style-language/schema/raw/master/csl-citation.json"} </w:instrText>
      </w:r>
      <w:r w:rsidR="00EA155A">
        <w:rPr>
          <w:sz w:val="24"/>
          <w:szCs w:val="24"/>
        </w:rPr>
        <w:fldChar w:fldCharType="separate"/>
      </w:r>
      <w:r w:rsidR="002F6F9F" w:rsidRPr="002F6F9F">
        <w:rPr>
          <w:rFonts w:ascii="Times New Roman" w:hAnsi="Times New Roman" w:cs="Times New Roman"/>
          <w:sz w:val="24"/>
          <w:vertAlign w:val="superscript"/>
        </w:rPr>
        <w:t>171</w:t>
      </w:r>
      <w:r w:rsidR="00EA155A">
        <w:rPr>
          <w:sz w:val="24"/>
          <w:szCs w:val="24"/>
        </w:rPr>
        <w:fldChar w:fldCharType="end"/>
      </w:r>
      <w:r w:rsidR="00060086">
        <w:rPr>
          <w:sz w:val="24"/>
          <w:szCs w:val="24"/>
        </w:rPr>
        <w:t xml:space="preserve"> This complicates</w:t>
      </w:r>
      <w:r w:rsidR="00C07916">
        <w:rPr>
          <w:sz w:val="24"/>
          <w:szCs w:val="24"/>
        </w:rPr>
        <w:t xml:space="preserve"> how </w:t>
      </w:r>
      <w:r w:rsidR="00C07916">
        <w:rPr>
          <w:i/>
          <w:iCs/>
          <w:sz w:val="24"/>
          <w:szCs w:val="24"/>
        </w:rPr>
        <w:t>A. baumannii</w:t>
      </w:r>
      <w:r w:rsidR="00C07916">
        <w:rPr>
          <w:sz w:val="24"/>
          <w:szCs w:val="24"/>
        </w:rPr>
        <w:t xml:space="preserve"> infections are treated due to </w:t>
      </w:r>
      <w:proofErr w:type="spellStart"/>
      <w:r w:rsidR="00C07916">
        <w:rPr>
          <w:sz w:val="24"/>
          <w:szCs w:val="24"/>
        </w:rPr>
        <w:t>AdeIJK</w:t>
      </w:r>
      <w:r w:rsidR="00EA155A">
        <w:rPr>
          <w:sz w:val="24"/>
          <w:szCs w:val="24"/>
        </w:rPr>
        <w:t>’s</w:t>
      </w:r>
      <w:proofErr w:type="spellEnd"/>
      <w:r w:rsidR="00EA155A">
        <w:rPr>
          <w:sz w:val="24"/>
          <w:szCs w:val="24"/>
        </w:rPr>
        <w:t xml:space="preserve"> ability to pump out clinically relevant drugs like cephalosporins, fluoroquinolones, tetracyclines, tigecycline, </w:t>
      </w:r>
      <w:proofErr w:type="spellStart"/>
      <w:r w:rsidR="002D254A">
        <w:rPr>
          <w:sz w:val="24"/>
          <w:szCs w:val="24"/>
        </w:rPr>
        <w:t>lincosamindes</w:t>
      </w:r>
      <w:proofErr w:type="spellEnd"/>
      <w:r w:rsidR="002D254A">
        <w:rPr>
          <w:sz w:val="24"/>
          <w:szCs w:val="24"/>
        </w:rPr>
        <w:t>, chloramphenicol, and co-trimoxazole.</w:t>
      </w:r>
      <w:r w:rsidR="002D254A">
        <w:rPr>
          <w:sz w:val="24"/>
          <w:szCs w:val="24"/>
        </w:rPr>
        <w:fldChar w:fldCharType="begin"/>
      </w:r>
      <w:r w:rsidR="00864355">
        <w:rPr>
          <w:sz w:val="24"/>
          <w:szCs w:val="24"/>
        </w:rPr>
        <w:instrText xml:space="preserve"> ADDIN ZOTERO_ITEM CSL_CITATION {"citationID":"URU746Bc","properties":{"formattedCitation":"\\super 51\\nosupersub{}","plainCitation":"51","noteIndex":0},"citationItems":[{"id":1461,"uris":["http://zotero.org/users/1918630/items/PIB2W35Z"],"itemData":{"id":1461,"type":"article-journal","abstract":"ABSTRACT\n            \n              We have identified a second resistance-nodulation-cell division (RND)-type efflux pump, AdeIJK, in clinical isolate\n              Acinetobacter baumannii\n              BM4454. The\n              adeI, adeJ\n              , and\n              adeK\n              genes encode, respectively, the membrane fusion, RND, and outer membrane components of the pump. AdeJ belongs to the AcrB protein family (57% identity with AcrB from\n              Escherichia coli\n              ). mRNA analysis by Northern blotting and reverse transcription-PCR indicated that the genes were cotranscribed. Overexpression of the cloned\n              adeIJK\n              operon was toxic in both\n              E. coli\n              and\n              Acinetobacter\n              . The\n              adeIJK\n              genes were detected in all of the 60 strains of\n              A. baumannii\n              tested. The two latter observations suggest that the AdeIJK complex might contribute to intrinsic but not to acquired antibiotic resistance in\n              Acinetobacter\n              . To characterize the substrate specificity of the pump, we have constructed derivatives of BM4454 in which\n              adeIJK\n              (strain BM4579),\n              adeABC\n              (strain BM4561), or both groups of genes (strain BM4652) were inactivated by deletion-insertion. Determination of the antibiotic susceptibility of these strains and of BM4652 and BM4579, in which the\n              adeIJK\n              operon was provided in\n              trans\n              , indicated that the AdeIJK pump contributes to resistance to β-lactams, chloramphenicol, tetracycline, erythromycin, lincosamides, fluoroquinolones, fusidic acid, novobiocin, rifampin, trimethoprim, acridine, safranin, pyronine, and sodium dodecyl sulfate. The chemical structure of these molecules suggests that amphiphilic compounds are the preferred substrates. The AdeABC and AdeIJK efflux systems contributed in a more than additive fashion to tigecycline resistance.","container-title":"Antimicrobial Agents and Chemotherapy","DOI":"10.1128/AAC.00732-07","ISSN":"0066-4804, 1098-6596","issue":"2","journalAbbreviation":"Antimicrob Agents Chemother","language":"en","page":"557-562","source":"DOI.org (Crossref)","title":"AdeIJK, a Resistance-Nodulation-Cell Division Pump Effluxing Multiple Antibiotics in &lt;i&gt;Acinetobacter baumannii&lt;/i&gt;","volume":"52","author":[{"family":"Damier-Piolle","given":"Laurence"},{"family":"Magnet","given":"Sophie"},{"family":"Brémont","given":"Sylvie"},{"family":"Lambert","given":"Thierry"},{"family":"Courvalin","given":"Patrice"}],"issued":{"date-parts":[["2008",2]]}}}],"schema":"https://github.com/citation-style-language/schema/raw/master/csl-citation.json"} </w:instrText>
      </w:r>
      <w:r w:rsidR="002D254A">
        <w:rPr>
          <w:sz w:val="24"/>
          <w:szCs w:val="24"/>
        </w:rPr>
        <w:fldChar w:fldCharType="separate"/>
      </w:r>
      <w:r w:rsidR="00864355" w:rsidRPr="00864355">
        <w:rPr>
          <w:rFonts w:ascii="Times New Roman" w:hAnsi="Times New Roman" w:cs="Times New Roman"/>
          <w:sz w:val="24"/>
          <w:szCs w:val="24"/>
          <w:vertAlign w:val="superscript"/>
        </w:rPr>
        <w:t>51</w:t>
      </w:r>
      <w:r w:rsidR="002D254A">
        <w:rPr>
          <w:sz w:val="24"/>
          <w:szCs w:val="24"/>
        </w:rPr>
        <w:fldChar w:fldCharType="end"/>
      </w:r>
      <w:r w:rsidR="002D254A">
        <w:rPr>
          <w:sz w:val="24"/>
          <w:szCs w:val="24"/>
        </w:rPr>
        <w:t xml:space="preserve"> </w:t>
      </w:r>
      <w:r>
        <w:rPr>
          <w:sz w:val="24"/>
          <w:szCs w:val="24"/>
        </w:rPr>
        <w:t xml:space="preserve">Ongoing investigations into </w:t>
      </w:r>
      <w:proofErr w:type="spellStart"/>
      <w:r>
        <w:rPr>
          <w:sz w:val="24"/>
          <w:szCs w:val="24"/>
        </w:rPr>
        <w:t>AdeIJK</w:t>
      </w:r>
      <w:proofErr w:type="spellEnd"/>
      <w:r>
        <w:rPr>
          <w:sz w:val="24"/>
          <w:szCs w:val="24"/>
        </w:rPr>
        <w:t xml:space="preserve">, </w:t>
      </w:r>
      <w:r w:rsidR="007641C9">
        <w:rPr>
          <w:sz w:val="24"/>
          <w:szCs w:val="24"/>
        </w:rPr>
        <w:t>including</w:t>
      </w:r>
      <w:r>
        <w:rPr>
          <w:sz w:val="24"/>
          <w:szCs w:val="24"/>
        </w:rPr>
        <w:t xml:space="preserve"> this one, aim to understand its mechanism of action and to find ways </w:t>
      </w:r>
      <w:r>
        <w:rPr>
          <w:sz w:val="24"/>
          <w:szCs w:val="24"/>
        </w:rPr>
        <w:lastRenderedPageBreak/>
        <w:t xml:space="preserve">to counteract its effects, which is crucial for developing effective treatments against MDR strains of </w:t>
      </w:r>
      <w:r>
        <w:rPr>
          <w:i/>
          <w:iCs/>
          <w:sz w:val="24"/>
          <w:szCs w:val="24"/>
        </w:rPr>
        <w:t>A. baumannii</w:t>
      </w:r>
      <w:r>
        <w:rPr>
          <w:sz w:val="24"/>
          <w:szCs w:val="24"/>
        </w:rPr>
        <w:t xml:space="preserve">. </w:t>
      </w:r>
    </w:p>
    <w:p w14:paraId="2C284FBF" w14:textId="22D8CB40" w:rsidR="00BA4D8E" w:rsidRDefault="00F35E57" w:rsidP="00CC6C40">
      <w:pPr>
        <w:spacing w:line="360" w:lineRule="auto"/>
        <w:ind w:firstLine="720"/>
        <w:rPr>
          <w:sz w:val="24"/>
          <w:szCs w:val="24"/>
        </w:rPr>
      </w:pPr>
      <w:r>
        <w:rPr>
          <w:sz w:val="24"/>
          <w:szCs w:val="24"/>
        </w:rPr>
        <w:t xml:space="preserve">Of the efflux pump classes, the RND superfamily have the broadest substrates ranges and their overexpression has been linked to MDR in </w:t>
      </w:r>
      <w:r>
        <w:rPr>
          <w:i/>
          <w:iCs/>
          <w:sz w:val="24"/>
          <w:szCs w:val="24"/>
        </w:rPr>
        <w:t>A. baumannii</w:t>
      </w:r>
      <w:r>
        <w:rPr>
          <w:sz w:val="24"/>
          <w:szCs w:val="24"/>
        </w:rPr>
        <w:t>.</w:t>
      </w:r>
      <w:r>
        <w:rPr>
          <w:sz w:val="24"/>
          <w:szCs w:val="24"/>
        </w:rPr>
        <w:fldChar w:fldCharType="begin"/>
      </w:r>
      <w:r w:rsidR="002F6F9F">
        <w:rPr>
          <w:sz w:val="24"/>
          <w:szCs w:val="24"/>
        </w:rPr>
        <w:instrText xml:space="preserve"> ADDIN ZOTERO_ITEM CSL_CITATION {"citationID":"GzkZZlRy","properties":{"formattedCitation":"\\super 154\\nosupersub{}","plainCitation":"154","noteIndex":0},"citationItems":[{"id":1457,"uris":["http://zotero.org/users/1918630/items/MCJEDI9F"],"itemData":{"id":1457,"type":"article-journal","abstract":"Among Acinetobacter spp., A. baumannii is the most frequently implicated in nosocomial infections, in particular in intensive care units. It was initially thought that multidrug resistance (MDR) in this species was due mainly to horizontal acquisition of resistance genes. However, it has recently become obvious that increased expression of chromosomal genes for efflux systems plays a major role in MDR. Among the five superfamilies of pumps, resistance-nodulation-division (RND) systems are the most prevalent in multiply resistant A. baumannii. RND pumps typically exhibit a wide substrate range that can include antibiotics, dyes, biocides, detergents, and antiseptics. Overexpression of AdeABC, secondary to mutations in the adeRS genes encoding a two-component regulatory system, constitutes a major mechanism of multiresistance in A. baumannii. AdeIJK, intrinsic to this species, is responsible for natural resistance, but since overexpression above a certain threshold is toxic for the host, its contribution to acquired resistance is minimal. The recently described AdeFGH, probably regulated by a LysR-type transcriptional regulator, also confers multidrug resistance when overexpressed. Non-RND efflux systems, such as CraA, AmvA, AbeM, and AbeS, have also been characterized for A. baumannii, as have AdeXYZ and AdeDE for other Acinetobacter spp. Finally, acquired narrow-spectrum efflux pumps, such as the major facilitator superfamily (MFS) members TetA, TetB, CmlA, and FloR and the small multidrug resistance (SMR) member QacE in Acinetobacter spp., have been detected and are mainly encoded by mobile genetic elements.","container-title":"Antimicrobial Agents and Chemotherapy","DOI":"10.1128/AAC.01388-10","ISSN":"1098-6596","issue":"3","journalAbbreviation":"Antimicrob Agents Chemother","language":"eng","note":"PMID: 21173183\nPMCID: PMC3067115","page":"947-953","source":"PubMed","title":"Efflux-mediated antibiotic resistance in Acinetobacter spp","volume":"55","author":[{"family":"Coyne","given":"Sébastien"},{"family":"Courvalin","given":"Patrice"},{"family":"Périchon","given":"Bruno"}],"issued":{"date-parts":[["2011",3]]}}}],"schema":"https://github.com/citation-style-language/schema/raw/master/csl-citation.json"} </w:instrText>
      </w:r>
      <w:r>
        <w:rPr>
          <w:sz w:val="24"/>
          <w:szCs w:val="24"/>
        </w:rPr>
        <w:fldChar w:fldCharType="separate"/>
      </w:r>
      <w:r w:rsidR="002F6F9F" w:rsidRPr="002F6F9F">
        <w:rPr>
          <w:rFonts w:ascii="Times New Roman" w:hAnsi="Times New Roman" w:cs="Times New Roman"/>
          <w:sz w:val="24"/>
          <w:vertAlign w:val="superscript"/>
        </w:rPr>
        <w:t>154</w:t>
      </w:r>
      <w:r>
        <w:rPr>
          <w:sz w:val="24"/>
          <w:szCs w:val="24"/>
        </w:rPr>
        <w:fldChar w:fldCharType="end"/>
      </w:r>
      <w:r w:rsidR="00CA4CB8" w:rsidRPr="00D95932">
        <w:rPr>
          <w:sz w:val="24"/>
          <w:szCs w:val="24"/>
        </w:rPr>
        <w:t xml:space="preserve"> In addition </w:t>
      </w:r>
      <w:r w:rsidR="002D254A">
        <w:rPr>
          <w:sz w:val="24"/>
          <w:szCs w:val="24"/>
        </w:rPr>
        <w:t>to the clinically relevant substrates listed above</w:t>
      </w:r>
      <w:r w:rsidR="00CA4CB8" w:rsidRPr="00D95932">
        <w:rPr>
          <w:sz w:val="24"/>
          <w:szCs w:val="24"/>
        </w:rPr>
        <w:t xml:space="preserve">, </w:t>
      </w:r>
      <w:proofErr w:type="spellStart"/>
      <w:r w:rsidR="00CA4CB8" w:rsidRPr="00D95932">
        <w:rPr>
          <w:sz w:val="24"/>
          <w:szCs w:val="24"/>
        </w:rPr>
        <w:t>AdeIJK</w:t>
      </w:r>
      <w:proofErr w:type="spellEnd"/>
      <w:r w:rsidR="00CA4CB8" w:rsidRPr="00D95932">
        <w:rPr>
          <w:sz w:val="24"/>
          <w:szCs w:val="24"/>
        </w:rPr>
        <w:t xml:space="preserve"> has also been found to export acridine, pyronine, safranin, and sodium dodecyl sulfate (SDS).</w:t>
      </w:r>
      <w:r w:rsidR="00D95932" w:rsidRPr="00D95932">
        <w:rPr>
          <w:sz w:val="24"/>
          <w:szCs w:val="24"/>
        </w:rPr>
        <w:t xml:space="preserve"> The </w:t>
      </w:r>
      <w:proofErr w:type="spellStart"/>
      <w:r w:rsidR="00D95932" w:rsidRPr="00D95932">
        <w:rPr>
          <w:sz w:val="24"/>
          <w:szCs w:val="24"/>
        </w:rPr>
        <w:t>AdeJ</w:t>
      </w:r>
      <w:proofErr w:type="spellEnd"/>
      <w:r w:rsidR="00D95932" w:rsidRPr="00D95932">
        <w:rPr>
          <w:sz w:val="24"/>
          <w:szCs w:val="24"/>
        </w:rPr>
        <w:t xml:space="preserve"> transporter protein is a homologue of </w:t>
      </w:r>
      <w:r w:rsidR="00D95932" w:rsidRPr="00D95932">
        <w:rPr>
          <w:i/>
          <w:iCs/>
          <w:sz w:val="24"/>
          <w:szCs w:val="24"/>
        </w:rPr>
        <w:t>E. coli</w:t>
      </w:r>
      <w:r w:rsidR="00D95932" w:rsidRPr="00D95932">
        <w:rPr>
          <w:sz w:val="24"/>
          <w:szCs w:val="24"/>
        </w:rPr>
        <w:t>’s AcrB (</w:t>
      </w:r>
      <w:r w:rsidR="00D95932">
        <w:rPr>
          <w:sz w:val="24"/>
          <w:szCs w:val="24"/>
        </w:rPr>
        <w:t>58</w:t>
      </w:r>
      <w:r w:rsidR="00D95932" w:rsidRPr="00D95932">
        <w:rPr>
          <w:sz w:val="24"/>
          <w:szCs w:val="24"/>
        </w:rPr>
        <w:t xml:space="preserve">% </w:t>
      </w:r>
      <w:r w:rsidR="00D95932">
        <w:rPr>
          <w:sz w:val="24"/>
          <w:szCs w:val="24"/>
        </w:rPr>
        <w:t>identity</w:t>
      </w:r>
      <w:r w:rsidR="00D95932" w:rsidRPr="00D95932">
        <w:rPr>
          <w:sz w:val="24"/>
          <w:szCs w:val="24"/>
        </w:rPr>
        <w:t xml:space="preserve">), and Coyne et al. found the following amino acids to be conserved based on sequence alignment and comparison between </w:t>
      </w:r>
      <w:proofErr w:type="spellStart"/>
      <w:r w:rsidR="00D95932" w:rsidRPr="00D95932">
        <w:rPr>
          <w:sz w:val="24"/>
          <w:szCs w:val="24"/>
        </w:rPr>
        <w:t>AdeJ</w:t>
      </w:r>
      <w:proofErr w:type="spellEnd"/>
      <w:r w:rsidR="00D95932" w:rsidRPr="00D95932">
        <w:rPr>
          <w:sz w:val="24"/>
          <w:szCs w:val="24"/>
        </w:rPr>
        <w:t xml:space="preserve"> and </w:t>
      </w:r>
      <w:proofErr w:type="spellStart"/>
      <w:r w:rsidR="00D95932" w:rsidRPr="00D95932">
        <w:rPr>
          <w:sz w:val="24"/>
          <w:szCs w:val="24"/>
        </w:rPr>
        <w:t>AdeB</w:t>
      </w:r>
      <w:proofErr w:type="spellEnd"/>
      <w:r w:rsidR="00D95932">
        <w:rPr>
          <w:sz w:val="24"/>
          <w:szCs w:val="24"/>
        </w:rPr>
        <w:t xml:space="preserve">: </w:t>
      </w:r>
      <w:proofErr w:type="spellStart"/>
      <w:r w:rsidR="00D95932">
        <w:rPr>
          <w:sz w:val="24"/>
          <w:szCs w:val="24"/>
        </w:rPr>
        <w:t>Phe</w:t>
      </w:r>
      <w:proofErr w:type="spellEnd"/>
      <w:r w:rsidR="00D95932">
        <w:rPr>
          <w:sz w:val="24"/>
          <w:szCs w:val="24"/>
        </w:rPr>
        <w:t xml:space="preserve"> 386, </w:t>
      </w:r>
      <w:proofErr w:type="spellStart"/>
      <w:r w:rsidR="00D95932">
        <w:rPr>
          <w:sz w:val="24"/>
          <w:szCs w:val="24"/>
        </w:rPr>
        <w:t>Phe</w:t>
      </w:r>
      <w:proofErr w:type="spellEnd"/>
      <w:r w:rsidR="00D95932">
        <w:rPr>
          <w:sz w:val="24"/>
          <w:szCs w:val="24"/>
        </w:rPr>
        <w:t xml:space="preserve"> 388, </w:t>
      </w:r>
      <w:proofErr w:type="spellStart"/>
      <w:r w:rsidR="00D95932">
        <w:rPr>
          <w:sz w:val="24"/>
          <w:szCs w:val="24"/>
        </w:rPr>
        <w:t>Phe</w:t>
      </w:r>
      <w:proofErr w:type="spellEnd"/>
      <w:r w:rsidR="00D95932">
        <w:rPr>
          <w:sz w:val="24"/>
          <w:szCs w:val="24"/>
        </w:rPr>
        <w:t xml:space="preserve"> 458, </w:t>
      </w:r>
      <w:proofErr w:type="spellStart"/>
      <w:r w:rsidR="00D95932">
        <w:rPr>
          <w:sz w:val="24"/>
          <w:szCs w:val="24"/>
        </w:rPr>
        <w:t>Phe</w:t>
      </w:r>
      <w:proofErr w:type="spellEnd"/>
      <w:r w:rsidR="00D95932">
        <w:rPr>
          <w:sz w:val="24"/>
          <w:szCs w:val="24"/>
        </w:rPr>
        <w:t xml:space="preserve"> 459, Leu 25, Lys 29, Asp 99, and Asp 101. These conserved residues correspond mostly to the transmembrane domains (TMDs). This is in contrast to the loop regions which were seen to have greater variability.</w:t>
      </w:r>
      <w:r w:rsidR="00CA4CB8" w:rsidRPr="00D95932">
        <w:rPr>
          <w:sz w:val="24"/>
          <w:szCs w:val="24"/>
        </w:rPr>
        <w:fldChar w:fldCharType="begin"/>
      </w:r>
      <w:r w:rsidR="00864355">
        <w:rPr>
          <w:sz w:val="24"/>
          <w:szCs w:val="24"/>
        </w:rPr>
        <w:instrText xml:space="preserve"> ADDIN ZOTERO_ITEM CSL_CITATION {"citationID":"s89Sw6HE","properties":{"formattedCitation":"\\super 51\\nosupersub{}","plainCitation":"51","noteIndex":0},"citationItems":[{"id":1461,"uris":["http://zotero.org/users/1918630/items/PIB2W35Z"],"itemData":{"id":1461,"type":"article-journal","abstract":"ABSTRACT\n            \n              We have identified a second resistance-nodulation-cell division (RND)-type efflux pump, AdeIJK, in clinical isolate\n              Acinetobacter baumannii\n              BM4454. The\n              adeI, adeJ\n              , and\n              adeK\n              genes encode, respectively, the membrane fusion, RND, and outer membrane components of the pump. AdeJ belongs to the AcrB protein family (57% identity with AcrB from\n              Escherichia coli\n              ). mRNA analysis by Northern blotting and reverse transcription-PCR indicated that the genes were cotranscribed. Overexpression of the cloned\n              adeIJK\n              operon was toxic in both\n              E. coli\n              and\n              Acinetobacter\n              . The\n              adeIJK\n              genes were detected in all of the 60 strains of\n              A. baumannii\n              tested. The two latter observations suggest that the AdeIJK complex might contribute to intrinsic but not to acquired antibiotic resistance in\n              Acinetobacter\n              . To characterize the substrate specificity of the pump, we have constructed derivatives of BM4454 in which\n              adeIJK\n              (strain BM4579),\n              adeABC\n              (strain BM4561), or both groups of genes (strain BM4652) were inactivated by deletion-insertion. Determination of the antibiotic susceptibility of these strains and of BM4652 and BM4579, in which the\n              adeIJK\n              operon was provided in\n              trans\n              , indicated that the AdeIJK pump contributes to resistance to β-lactams, chloramphenicol, tetracycline, erythromycin, lincosamides, fluoroquinolones, fusidic acid, novobiocin, rifampin, trimethoprim, acridine, safranin, pyronine, and sodium dodecyl sulfate. The chemical structure of these molecules suggests that amphiphilic compounds are the preferred substrates. The AdeABC and AdeIJK efflux systems contributed in a more than additive fashion to tigecycline resistance.","container-title":"Antimicrobial Agents and Chemotherapy","DOI":"10.1128/AAC.00732-07","ISSN":"0066-4804, 1098-6596","issue":"2","journalAbbreviation":"Antimicrob Agents Chemother","language":"en","page":"557-562","source":"DOI.org (Crossref)","title":"AdeIJK, a Resistance-Nodulation-Cell Division Pump Effluxing Multiple Antibiotics in &lt;i&gt;Acinetobacter baumannii&lt;/i&gt;","volume":"52","author":[{"family":"Damier-Piolle","given":"Laurence"},{"family":"Magnet","given":"Sophie"},{"family":"Brémont","given":"Sylvie"},{"family":"Lambert","given":"Thierry"},{"family":"Courvalin","given":"Patrice"}],"issued":{"date-parts":[["2008",2]]}}}],"schema":"https://github.com/citation-style-language/schema/raw/master/csl-citation.json"} </w:instrText>
      </w:r>
      <w:r w:rsidR="00CA4CB8" w:rsidRPr="00D95932">
        <w:rPr>
          <w:sz w:val="24"/>
          <w:szCs w:val="24"/>
        </w:rPr>
        <w:fldChar w:fldCharType="separate"/>
      </w:r>
      <w:r w:rsidR="00864355" w:rsidRPr="00864355">
        <w:rPr>
          <w:rFonts w:ascii="Times New Roman" w:hAnsi="Times New Roman" w:cs="Times New Roman"/>
          <w:sz w:val="24"/>
          <w:szCs w:val="24"/>
          <w:vertAlign w:val="superscript"/>
        </w:rPr>
        <w:t>51</w:t>
      </w:r>
      <w:r w:rsidR="00CA4CB8" w:rsidRPr="00D95932">
        <w:rPr>
          <w:sz w:val="24"/>
          <w:szCs w:val="24"/>
        </w:rPr>
        <w:fldChar w:fldCharType="end"/>
      </w:r>
      <w:r w:rsidR="00D95932">
        <w:rPr>
          <w:sz w:val="24"/>
          <w:szCs w:val="24"/>
        </w:rPr>
        <w:t xml:space="preserve"> </w:t>
      </w:r>
    </w:p>
    <w:p w14:paraId="1687EA10" w14:textId="21881167" w:rsidR="006D2F2B" w:rsidRDefault="00BA4D8E" w:rsidP="00BA4D8E">
      <w:pPr>
        <w:rPr>
          <w:sz w:val="24"/>
          <w:szCs w:val="24"/>
        </w:rPr>
      </w:pPr>
      <w:r>
        <w:rPr>
          <w:sz w:val="24"/>
          <w:szCs w:val="24"/>
          <w:u w:val="single"/>
        </w:rPr>
        <w:t xml:space="preserve">5.3. </w:t>
      </w:r>
      <w:r w:rsidRPr="00734E96">
        <w:rPr>
          <w:sz w:val="24"/>
          <w:szCs w:val="24"/>
          <w:u w:val="single"/>
        </w:rPr>
        <w:t>Results</w:t>
      </w:r>
    </w:p>
    <w:p w14:paraId="32BBF165" w14:textId="1D3FC3B0" w:rsidR="00012213" w:rsidRDefault="00012213" w:rsidP="00012213">
      <w:pPr>
        <w:spacing w:line="360" w:lineRule="auto"/>
        <w:rPr>
          <w:sz w:val="24"/>
          <w:szCs w:val="24"/>
        </w:rPr>
      </w:pPr>
      <w:r w:rsidRPr="00012213">
        <w:rPr>
          <w:noProof/>
          <w:sz w:val="24"/>
          <w:szCs w:val="24"/>
        </w:rPr>
        <w:drawing>
          <wp:inline distT="0" distB="0" distL="0" distR="0" wp14:anchorId="324305FD" wp14:editId="0EBBED08">
            <wp:extent cx="5486400" cy="4133850"/>
            <wp:effectExtent l="0" t="0" r="0" b="0"/>
            <wp:docPr id="11154967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96755" name="Picture 1" descr="A screenshot of a computer&#10;&#10;Description automatically generated"/>
                    <pic:cNvPicPr/>
                  </pic:nvPicPr>
                  <pic:blipFill>
                    <a:blip r:embed="rId58"/>
                    <a:stretch>
                      <a:fillRect/>
                    </a:stretch>
                  </pic:blipFill>
                  <pic:spPr>
                    <a:xfrm>
                      <a:off x="0" y="0"/>
                      <a:ext cx="5486400" cy="4133850"/>
                    </a:xfrm>
                    <a:prstGeom prst="rect">
                      <a:avLst/>
                    </a:prstGeom>
                  </pic:spPr>
                </pic:pic>
              </a:graphicData>
            </a:graphic>
          </wp:inline>
        </w:drawing>
      </w:r>
    </w:p>
    <w:p w14:paraId="4D580093" w14:textId="22A5291A" w:rsidR="00012213" w:rsidRPr="00734E96" w:rsidRDefault="00012213" w:rsidP="00012213">
      <w:pPr>
        <w:rPr>
          <w:b/>
          <w:bCs/>
          <w:sz w:val="24"/>
          <w:szCs w:val="24"/>
        </w:rPr>
      </w:pPr>
      <w:r w:rsidRPr="00734E96">
        <w:rPr>
          <w:b/>
          <w:bCs/>
          <w:sz w:val="24"/>
          <w:szCs w:val="24"/>
        </w:rPr>
        <w:t>Figure</w:t>
      </w:r>
      <w:r>
        <w:rPr>
          <w:sz w:val="24"/>
          <w:szCs w:val="24"/>
        </w:rPr>
        <w:t xml:space="preserve"> </w:t>
      </w:r>
      <w:r w:rsidRPr="005D7769">
        <w:rPr>
          <w:b/>
          <w:bCs/>
          <w:sz w:val="24"/>
          <w:szCs w:val="24"/>
        </w:rPr>
        <w:t>5.1</w:t>
      </w:r>
      <w:r w:rsidRPr="00734E96">
        <w:rPr>
          <w:sz w:val="24"/>
          <w:szCs w:val="24"/>
        </w:rPr>
        <w:t xml:space="preserve"> </w:t>
      </w:r>
      <w:r>
        <w:rPr>
          <w:b/>
          <w:bCs/>
          <w:sz w:val="24"/>
          <w:szCs w:val="24"/>
        </w:rPr>
        <w:t>– Alignment of</w:t>
      </w:r>
      <w:r w:rsidRPr="00734E96">
        <w:rPr>
          <w:sz w:val="24"/>
          <w:szCs w:val="24"/>
        </w:rPr>
        <w:t xml:space="preserve"> </w:t>
      </w:r>
      <w:r>
        <w:rPr>
          <w:b/>
          <w:bCs/>
          <w:sz w:val="24"/>
          <w:szCs w:val="24"/>
        </w:rPr>
        <w:t xml:space="preserve">mutated </w:t>
      </w:r>
      <w:proofErr w:type="spellStart"/>
      <w:r>
        <w:rPr>
          <w:b/>
          <w:bCs/>
          <w:sz w:val="24"/>
          <w:szCs w:val="24"/>
        </w:rPr>
        <w:t>AdeJ</w:t>
      </w:r>
      <w:proofErr w:type="spellEnd"/>
      <w:r>
        <w:rPr>
          <w:b/>
          <w:bCs/>
          <w:sz w:val="24"/>
          <w:szCs w:val="24"/>
        </w:rPr>
        <w:t xml:space="preserve"> and </w:t>
      </w:r>
      <w:proofErr w:type="spellStart"/>
      <w:r>
        <w:rPr>
          <w:b/>
          <w:bCs/>
          <w:sz w:val="24"/>
          <w:szCs w:val="24"/>
        </w:rPr>
        <w:t>AdeG</w:t>
      </w:r>
      <w:proofErr w:type="spellEnd"/>
      <w:r>
        <w:rPr>
          <w:b/>
          <w:bCs/>
          <w:sz w:val="24"/>
          <w:szCs w:val="24"/>
        </w:rPr>
        <w:t xml:space="preserve"> residues</w:t>
      </w:r>
    </w:p>
    <w:p w14:paraId="441AD780" w14:textId="13501C29" w:rsidR="00012213" w:rsidRPr="00734E96" w:rsidRDefault="00012213" w:rsidP="00012213">
      <w:pPr>
        <w:jc w:val="both"/>
        <w:rPr>
          <w:sz w:val="24"/>
          <w:szCs w:val="24"/>
        </w:rPr>
      </w:pPr>
      <w:r>
        <w:rPr>
          <w:sz w:val="24"/>
          <w:szCs w:val="24"/>
        </w:rPr>
        <w:lastRenderedPageBreak/>
        <w:t xml:space="preserve">An alignment of </w:t>
      </w:r>
      <w:proofErr w:type="spellStart"/>
      <w:r>
        <w:rPr>
          <w:sz w:val="24"/>
          <w:szCs w:val="24"/>
        </w:rPr>
        <w:t>AdeJ</w:t>
      </w:r>
      <w:proofErr w:type="spellEnd"/>
      <w:r>
        <w:rPr>
          <w:sz w:val="24"/>
          <w:szCs w:val="24"/>
        </w:rPr>
        <w:t xml:space="preserve"> and </w:t>
      </w:r>
      <w:proofErr w:type="spellStart"/>
      <w:r>
        <w:rPr>
          <w:sz w:val="24"/>
          <w:szCs w:val="24"/>
        </w:rPr>
        <w:t>AdeG</w:t>
      </w:r>
      <w:proofErr w:type="spellEnd"/>
      <w:r>
        <w:rPr>
          <w:sz w:val="24"/>
          <w:szCs w:val="24"/>
        </w:rPr>
        <w:t xml:space="preserve"> residues </w:t>
      </w:r>
      <w:r w:rsidRPr="00734E96">
        <w:rPr>
          <w:sz w:val="24"/>
          <w:szCs w:val="24"/>
        </w:rPr>
        <w:t>with highlighted</w:t>
      </w:r>
      <w:r>
        <w:rPr>
          <w:sz w:val="24"/>
          <w:szCs w:val="24"/>
        </w:rPr>
        <w:t xml:space="preserve"> amino acid residues (pink) that were targeted in mutagenesis. Protein sequence alignment was done in </w:t>
      </w:r>
      <w:proofErr w:type="spellStart"/>
      <w:r>
        <w:rPr>
          <w:sz w:val="24"/>
          <w:szCs w:val="24"/>
        </w:rPr>
        <w:t>SnapGene</w:t>
      </w:r>
      <w:proofErr w:type="spellEnd"/>
      <w:r>
        <w:rPr>
          <w:sz w:val="24"/>
          <w:szCs w:val="24"/>
        </w:rPr>
        <w:t xml:space="preserve"> (San Diego, USA)</w:t>
      </w:r>
    </w:p>
    <w:p w14:paraId="16A7D6C9" w14:textId="1CB97727" w:rsidR="00FD502E" w:rsidRPr="00734E96" w:rsidRDefault="00D244BE" w:rsidP="006D2F2B">
      <w:pPr>
        <w:spacing w:line="360" w:lineRule="auto"/>
        <w:ind w:firstLine="720"/>
        <w:rPr>
          <w:sz w:val="24"/>
          <w:szCs w:val="24"/>
        </w:rPr>
      </w:pPr>
      <w:r>
        <w:rPr>
          <w:sz w:val="24"/>
          <w:szCs w:val="24"/>
        </w:rPr>
        <w:t xml:space="preserve">The following </w:t>
      </w:r>
      <w:proofErr w:type="spellStart"/>
      <w:r>
        <w:rPr>
          <w:sz w:val="24"/>
          <w:szCs w:val="24"/>
        </w:rPr>
        <w:t>AdeJ</w:t>
      </w:r>
      <w:proofErr w:type="spellEnd"/>
      <w:r>
        <w:rPr>
          <w:sz w:val="24"/>
          <w:szCs w:val="24"/>
        </w:rPr>
        <w:t xml:space="preserve"> single amino acid substitution mutants were selected</w:t>
      </w:r>
      <w:r w:rsidR="006D2F2B">
        <w:rPr>
          <w:sz w:val="24"/>
          <w:szCs w:val="24"/>
        </w:rPr>
        <w:t xml:space="preserve"> based on molecular docking and molecular dynamics simulations with chloramphenicol and SLUPP_1377. </w:t>
      </w:r>
      <w:r>
        <w:rPr>
          <w:sz w:val="24"/>
          <w:szCs w:val="24"/>
        </w:rPr>
        <w:t xml:space="preserve">The residues that were most likely to be involved in interacting with the docked </w:t>
      </w:r>
      <w:r w:rsidR="006D2F2B">
        <w:rPr>
          <w:sz w:val="24"/>
          <w:szCs w:val="24"/>
        </w:rPr>
        <w:t xml:space="preserve">chloramphenicol/SLUPP_1377 </w:t>
      </w:r>
      <w:r>
        <w:rPr>
          <w:sz w:val="24"/>
          <w:szCs w:val="24"/>
        </w:rPr>
        <w:t xml:space="preserve">within the binding pocket were chosen for mutagenesis. All of the selected mutants were successfully constructed </w:t>
      </w:r>
      <w:r w:rsidR="006D2F2B">
        <w:rPr>
          <w:sz w:val="24"/>
          <w:szCs w:val="24"/>
        </w:rPr>
        <w:t xml:space="preserve">by Dr. </w:t>
      </w:r>
      <w:proofErr w:type="spellStart"/>
      <w:r w:rsidR="006D2F2B">
        <w:rPr>
          <w:sz w:val="24"/>
          <w:szCs w:val="24"/>
        </w:rPr>
        <w:t>Ays</w:t>
      </w:r>
      <w:r w:rsidR="0074335B">
        <w:rPr>
          <w:sz w:val="24"/>
          <w:szCs w:val="24"/>
        </w:rPr>
        <w:t>h</w:t>
      </w:r>
      <w:r w:rsidR="006D2F2B">
        <w:rPr>
          <w:sz w:val="24"/>
          <w:szCs w:val="24"/>
        </w:rPr>
        <w:t>egul</w:t>
      </w:r>
      <w:proofErr w:type="spellEnd"/>
      <w:r w:rsidR="006D2F2B">
        <w:rPr>
          <w:sz w:val="24"/>
          <w:szCs w:val="24"/>
        </w:rPr>
        <w:t xml:space="preserve"> </w:t>
      </w:r>
      <w:r w:rsidR="0074335B">
        <w:rPr>
          <w:sz w:val="24"/>
          <w:szCs w:val="24"/>
        </w:rPr>
        <w:t xml:space="preserve">Saral </w:t>
      </w:r>
      <w:proofErr w:type="spellStart"/>
      <w:r w:rsidR="0074335B">
        <w:rPr>
          <w:sz w:val="24"/>
          <w:szCs w:val="24"/>
        </w:rPr>
        <w:t>Sariyer</w:t>
      </w:r>
      <w:proofErr w:type="spellEnd"/>
      <w:r w:rsidR="0074335B">
        <w:rPr>
          <w:sz w:val="24"/>
          <w:szCs w:val="24"/>
        </w:rPr>
        <w:t xml:space="preserve"> </w:t>
      </w:r>
      <w:r>
        <w:rPr>
          <w:sz w:val="24"/>
          <w:szCs w:val="24"/>
        </w:rPr>
        <w:t>using the L-arabinose inducible overproduction vector pTJ1 as the backbone.</w:t>
      </w:r>
      <w:r w:rsidR="0074335B">
        <w:rPr>
          <w:sz w:val="24"/>
          <w:szCs w:val="24"/>
        </w:rPr>
        <w:t xml:space="preserve"> Then, I inserted the constructed plasmids in Ab</w:t>
      </w:r>
      <w:r w:rsidR="0074335B" w:rsidRPr="0023411E">
        <w:rPr>
          <w:sz w:val="24"/>
          <w:szCs w:val="24"/>
        </w:rPr>
        <w:t>Δ3</w:t>
      </w:r>
      <w:r w:rsidR="0074335B">
        <w:rPr>
          <w:sz w:val="24"/>
          <w:szCs w:val="24"/>
        </w:rPr>
        <w:t xml:space="preserve"> and Ab</w:t>
      </w:r>
      <w:r w:rsidR="0074335B" w:rsidRPr="0023411E">
        <w:rPr>
          <w:sz w:val="24"/>
          <w:szCs w:val="24"/>
        </w:rPr>
        <w:t>Δ3-Pore</w:t>
      </w:r>
      <w:r w:rsidR="0074335B">
        <w:rPr>
          <w:sz w:val="24"/>
          <w:szCs w:val="24"/>
        </w:rPr>
        <w:t xml:space="preserve"> strains and continued with functional characterization of the </w:t>
      </w:r>
      <w:proofErr w:type="spellStart"/>
      <w:r w:rsidR="0074335B">
        <w:rPr>
          <w:sz w:val="24"/>
          <w:szCs w:val="24"/>
        </w:rPr>
        <w:t>AdeJ</w:t>
      </w:r>
      <w:proofErr w:type="spellEnd"/>
      <w:r w:rsidR="0074335B">
        <w:rPr>
          <w:sz w:val="24"/>
          <w:szCs w:val="24"/>
        </w:rPr>
        <w:t xml:space="preserve"> mutants. </w:t>
      </w:r>
    </w:p>
    <w:p w14:paraId="2DFA4C7D" w14:textId="5AA66D06" w:rsidR="00734E96" w:rsidRPr="00734E96" w:rsidRDefault="00734E96" w:rsidP="00734E96">
      <w:pPr>
        <w:rPr>
          <w:b/>
          <w:bCs/>
          <w:sz w:val="24"/>
          <w:szCs w:val="24"/>
        </w:rPr>
      </w:pPr>
      <w:r w:rsidRPr="00734E96">
        <w:rPr>
          <w:noProof/>
          <w:sz w:val="24"/>
          <w:szCs w:val="24"/>
        </w:rPr>
        <w:drawing>
          <wp:inline distT="0" distB="0" distL="0" distR="0" wp14:anchorId="3A9006A5" wp14:editId="425BCE5E">
            <wp:extent cx="5483348" cy="3307567"/>
            <wp:effectExtent l="0" t="0" r="3175" b="7620"/>
            <wp:docPr id="6" name="Picture 5" descr="Diagram&#10;&#10;Description automatically generated">
              <a:extLst xmlns:a="http://schemas.openxmlformats.org/drawingml/2006/main">
                <a:ext uri="{FF2B5EF4-FFF2-40B4-BE49-F238E27FC236}">
                  <a16:creationId xmlns:a16="http://schemas.microsoft.com/office/drawing/2014/main" id="{AE9680C5-2B4E-281E-45B3-DFE8259C0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Diagram&#10;&#10;Description automatically generated">
                      <a:extLst>
                        <a:ext uri="{FF2B5EF4-FFF2-40B4-BE49-F238E27FC236}">
                          <a16:creationId xmlns:a16="http://schemas.microsoft.com/office/drawing/2014/main" id="{AE9680C5-2B4E-281E-45B3-DFE8259C05BF}"/>
                        </a:ext>
                      </a:extLst>
                    </pic:cNvPr>
                    <pic:cNvPicPr>
                      <a:picLocks noChangeAspect="1"/>
                    </pic:cNvPicPr>
                  </pic:nvPicPr>
                  <pic:blipFill rotWithShape="1">
                    <a:blip r:embed="rId59">
                      <a:extLst>
                        <a:ext uri="{28A0092B-C50C-407E-A947-70E740481C1C}">
                          <a14:useLocalDpi xmlns:a14="http://schemas.microsoft.com/office/drawing/2010/main" val="0"/>
                        </a:ext>
                      </a:extLst>
                    </a:blip>
                    <a:srcRect l="2458" t="6758" r="6094" b="5255"/>
                    <a:stretch/>
                  </pic:blipFill>
                  <pic:spPr>
                    <a:xfrm>
                      <a:off x="0" y="0"/>
                      <a:ext cx="5483348" cy="3307567"/>
                    </a:xfrm>
                    <a:prstGeom prst="rect">
                      <a:avLst/>
                    </a:prstGeom>
                  </pic:spPr>
                </pic:pic>
              </a:graphicData>
            </a:graphic>
          </wp:inline>
        </w:drawing>
      </w:r>
      <w:r w:rsidRPr="00734E96">
        <w:rPr>
          <w:sz w:val="24"/>
          <w:szCs w:val="24"/>
        </w:rPr>
        <w:t xml:space="preserve"> </w:t>
      </w:r>
      <w:r w:rsidRPr="00734E96">
        <w:rPr>
          <w:b/>
          <w:bCs/>
          <w:sz w:val="24"/>
          <w:szCs w:val="24"/>
        </w:rPr>
        <w:t>Figure</w:t>
      </w:r>
      <w:r>
        <w:rPr>
          <w:sz w:val="24"/>
          <w:szCs w:val="24"/>
        </w:rPr>
        <w:t xml:space="preserve"> </w:t>
      </w:r>
      <w:r w:rsidR="005D7769" w:rsidRPr="005D7769">
        <w:rPr>
          <w:b/>
          <w:bCs/>
          <w:sz w:val="24"/>
          <w:szCs w:val="24"/>
        </w:rPr>
        <w:t>5.</w:t>
      </w:r>
      <w:r w:rsidR="00CC6C40">
        <w:rPr>
          <w:b/>
          <w:bCs/>
          <w:sz w:val="24"/>
          <w:szCs w:val="24"/>
        </w:rPr>
        <w:t>2</w:t>
      </w:r>
      <w:r w:rsidR="002C14BC">
        <w:rPr>
          <w:b/>
          <w:bCs/>
          <w:sz w:val="24"/>
          <w:szCs w:val="24"/>
        </w:rPr>
        <w:t xml:space="preserve"> </w:t>
      </w:r>
      <w:r w:rsidRPr="00734E96">
        <w:rPr>
          <w:sz w:val="24"/>
          <w:szCs w:val="24"/>
        </w:rPr>
        <w:t xml:space="preserve"> – </w:t>
      </w:r>
      <w:proofErr w:type="spellStart"/>
      <w:r>
        <w:rPr>
          <w:b/>
          <w:bCs/>
          <w:sz w:val="24"/>
          <w:szCs w:val="24"/>
        </w:rPr>
        <w:t>AdeJ</w:t>
      </w:r>
      <w:proofErr w:type="spellEnd"/>
      <w:r>
        <w:rPr>
          <w:b/>
          <w:bCs/>
          <w:sz w:val="24"/>
          <w:szCs w:val="24"/>
        </w:rPr>
        <w:t xml:space="preserve"> </w:t>
      </w:r>
      <w:r w:rsidR="00A83D7F">
        <w:rPr>
          <w:b/>
          <w:bCs/>
          <w:sz w:val="24"/>
          <w:szCs w:val="24"/>
        </w:rPr>
        <w:t>p</w:t>
      </w:r>
      <w:r>
        <w:rPr>
          <w:b/>
          <w:bCs/>
          <w:sz w:val="24"/>
          <w:szCs w:val="24"/>
        </w:rPr>
        <w:t xml:space="preserve">rotomer </w:t>
      </w:r>
      <w:r w:rsidR="00A83D7F">
        <w:rPr>
          <w:b/>
          <w:bCs/>
          <w:sz w:val="24"/>
          <w:szCs w:val="24"/>
        </w:rPr>
        <w:t>c</w:t>
      </w:r>
      <w:r>
        <w:rPr>
          <w:b/>
          <w:bCs/>
          <w:sz w:val="24"/>
          <w:szCs w:val="24"/>
        </w:rPr>
        <w:t xml:space="preserve">rystal </w:t>
      </w:r>
      <w:r w:rsidR="00A83D7F">
        <w:rPr>
          <w:b/>
          <w:bCs/>
          <w:sz w:val="24"/>
          <w:szCs w:val="24"/>
        </w:rPr>
        <w:t>s</w:t>
      </w:r>
      <w:r>
        <w:rPr>
          <w:b/>
          <w:bCs/>
          <w:sz w:val="24"/>
          <w:szCs w:val="24"/>
        </w:rPr>
        <w:t xml:space="preserve">tructure and </w:t>
      </w:r>
      <w:r w:rsidR="00A83D7F">
        <w:rPr>
          <w:b/>
          <w:bCs/>
          <w:sz w:val="24"/>
          <w:szCs w:val="24"/>
        </w:rPr>
        <w:t>s</w:t>
      </w:r>
      <w:r>
        <w:rPr>
          <w:b/>
          <w:bCs/>
          <w:sz w:val="24"/>
          <w:szCs w:val="24"/>
        </w:rPr>
        <w:t xml:space="preserve">elect </w:t>
      </w:r>
      <w:r w:rsidR="00A83D7F">
        <w:rPr>
          <w:b/>
          <w:bCs/>
          <w:sz w:val="24"/>
          <w:szCs w:val="24"/>
        </w:rPr>
        <w:t>b</w:t>
      </w:r>
      <w:r>
        <w:rPr>
          <w:b/>
          <w:bCs/>
          <w:sz w:val="24"/>
          <w:szCs w:val="24"/>
        </w:rPr>
        <w:t xml:space="preserve">inding </w:t>
      </w:r>
      <w:r w:rsidR="00A83D7F">
        <w:rPr>
          <w:b/>
          <w:bCs/>
          <w:sz w:val="24"/>
          <w:szCs w:val="24"/>
        </w:rPr>
        <w:t>p</w:t>
      </w:r>
      <w:r>
        <w:rPr>
          <w:b/>
          <w:bCs/>
          <w:sz w:val="24"/>
          <w:szCs w:val="24"/>
        </w:rPr>
        <w:t xml:space="preserve">ocket </w:t>
      </w:r>
      <w:proofErr w:type="gramStart"/>
      <w:r w:rsidR="00A83D7F">
        <w:rPr>
          <w:b/>
          <w:bCs/>
          <w:sz w:val="24"/>
          <w:szCs w:val="24"/>
        </w:rPr>
        <w:t>r</w:t>
      </w:r>
      <w:r>
        <w:rPr>
          <w:b/>
          <w:bCs/>
          <w:sz w:val="24"/>
          <w:szCs w:val="24"/>
        </w:rPr>
        <w:t>esidues</w:t>
      </w:r>
      <w:proofErr w:type="gramEnd"/>
    </w:p>
    <w:p w14:paraId="765514EC" w14:textId="6E65CA10" w:rsidR="00734E96" w:rsidRPr="00734E96" w:rsidRDefault="00734E96" w:rsidP="00691C0F">
      <w:pPr>
        <w:jc w:val="both"/>
        <w:rPr>
          <w:sz w:val="24"/>
          <w:szCs w:val="24"/>
        </w:rPr>
      </w:pPr>
      <w:r>
        <w:rPr>
          <w:sz w:val="24"/>
          <w:szCs w:val="24"/>
        </w:rPr>
        <w:t xml:space="preserve">An </w:t>
      </w:r>
      <w:proofErr w:type="spellStart"/>
      <w:r w:rsidRPr="00734E96">
        <w:rPr>
          <w:sz w:val="24"/>
          <w:szCs w:val="24"/>
        </w:rPr>
        <w:t>Ade</w:t>
      </w:r>
      <w:r>
        <w:rPr>
          <w:sz w:val="24"/>
          <w:szCs w:val="24"/>
        </w:rPr>
        <w:t>J</w:t>
      </w:r>
      <w:proofErr w:type="spellEnd"/>
      <w:r w:rsidRPr="00734E96">
        <w:rPr>
          <w:sz w:val="24"/>
          <w:szCs w:val="24"/>
        </w:rPr>
        <w:t xml:space="preserve"> protomer </w:t>
      </w:r>
      <w:r>
        <w:rPr>
          <w:sz w:val="24"/>
          <w:szCs w:val="24"/>
        </w:rPr>
        <w:t>(</w:t>
      </w:r>
      <w:r w:rsidR="00691C0F">
        <w:rPr>
          <w:sz w:val="24"/>
          <w:szCs w:val="24"/>
        </w:rPr>
        <w:t xml:space="preserve">orange ribbon, </w:t>
      </w:r>
      <w:r w:rsidRPr="00691C0F">
        <w:rPr>
          <w:sz w:val="24"/>
          <w:szCs w:val="24"/>
        </w:rPr>
        <w:t xml:space="preserve">PDB code: </w:t>
      </w:r>
      <w:r w:rsidR="00691C0F" w:rsidRPr="00691C0F">
        <w:rPr>
          <w:sz w:val="24"/>
          <w:szCs w:val="24"/>
        </w:rPr>
        <w:t>7M4Q</w:t>
      </w:r>
      <w:r>
        <w:rPr>
          <w:sz w:val="24"/>
          <w:szCs w:val="24"/>
        </w:rPr>
        <w:t xml:space="preserve">) </w:t>
      </w:r>
      <w:r w:rsidR="00691C0F" w:rsidRPr="00734E96">
        <w:rPr>
          <w:sz w:val="24"/>
          <w:szCs w:val="24"/>
        </w:rPr>
        <w:t>with highlighted</w:t>
      </w:r>
      <w:r w:rsidR="00691C0F">
        <w:rPr>
          <w:sz w:val="24"/>
          <w:szCs w:val="24"/>
        </w:rPr>
        <w:t xml:space="preserve"> amino acid residues (blue) that were targeted in mutagenesis.</w:t>
      </w:r>
    </w:p>
    <w:p w14:paraId="297FD743" w14:textId="396F78CA" w:rsidR="00062215" w:rsidRDefault="0093279C" w:rsidP="00FD502E">
      <w:pPr>
        <w:rPr>
          <w:sz w:val="24"/>
          <w:szCs w:val="24"/>
        </w:rPr>
      </w:pPr>
      <w:r w:rsidRPr="0093279C">
        <w:rPr>
          <w:noProof/>
          <w:sz w:val="24"/>
          <w:szCs w:val="24"/>
        </w:rPr>
        <w:lastRenderedPageBreak/>
        <w:drawing>
          <wp:inline distT="0" distB="0" distL="0" distR="0" wp14:anchorId="01FC18F8" wp14:editId="5C8189F6">
            <wp:extent cx="5399314" cy="1968303"/>
            <wp:effectExtent l="0" t="0" r="0" b="0"/>
            <wp:docPr id="1441627233"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27233" name="Picture 1" descr="A close-up of a test&#10;&#10;Description automatically generated"/>
                    <pic:cNvPicPr/>
                  </pic:nvPicPr>
                  <pic:blipFill rotWithShape="1">
                    <a:blip r:embed="rId60"/>
                    <a:srcRect l="892" r="686"/>
                    <a:stretch/>
                  </pic:blipFill>
                  <pic:spPr bwMode="auto">
                    <a:xfrm>
                      <a:off x="0" y="0"/>
                      <a:ext cx="5399854" cy="1968500"/>
                    </a:xfrm>
                    <a:prstGeom prst="rect">
                      <a:avLst/>
                    </a:prstGeom>
                    <a:ln>
                      <a:noFill/>
                    </a:ln>
                    <a:extLst>
                      <a:ext uri="{53640926-AAD7-44D8-BBD7-CCE9431645EC}">
                        <a14:shadowObscured xmlns:a14="http://schemas.microsoft.com/office/drawing/2010/main"/>
                      </a:ext>
                    </a:extLst>
                  </pic:spPr>
                </pic:pic>
              </a:graphicData>
            </a:graphic>
          </wp:inline>
        </w:drawing>
      </w:r>
    </w:p>
    <w:p w14:paraId="34E3BB3C" w14:textId="05E507D6" w:rsidR="00062215" w:rsidRDefault="00062215" w:rsidP="00062215">
      <w:pPr>
        <w:rPr>
          <w:b/>
          <w:bCs/>
          <w:sz w:val="24"/>
          <w:szCs w:val="24"/>
        </w:rPr>
      </w:pPr>
      <w:r>
        <w:rPr>
          <w:b/>
          <w:bCs/>
          <w:sz w:val="24"/>
          <w:szCs w:val="24"/>
        </w:rPr>
        <w:t xml:space="preserve">Figure </w:t>
      </w:r>
      <w:r w:rsidR="005D7769">
        <w:rPr>
          <w:b/>
          <w:bCs/>
          <w:sz w:val="24"/>
          <w:szCs w:val="24"/>
        </w:rPr>
        <w:t>5.</w:t>
      </w:r>
      <w:r w:rsidR="00CC6C40">
        <w:rPr>
          <w:b/>
          <w:bCs/>
          <w:sz w:val="24"/>
          <w:szCs w:val="24"/>
        </w:rPr>
        <w:t xml:space="preserve">3 </w:t>
      </w:r>
      <w:r>
        <w:rPr>
          <w:b/>
          <w:bCs/>
          <w:sz w:val="24"/>
          <w:szCs w:val="24"/>
        </w:rPr>
        <w:t xml:space="preserve">- </w:t>
      </w:r>
      <w:proofErr w:type="spellStart"/>
      <w:r w:rsidRPr="00B675DC">
        <w:rPr>
          <w:b/>
          <w:bCs/>
          <w:sz w:val="24"/>
          <w:szCs w:val="24"/>
        </w:rPr>
        <w:t>Ade</w:t>
      </w:r>
      <w:r>
        <w:rPr>
          <w:b/>
          <w:bCs/>
          <w:sz w:val="24"/>
          <w:szCs w:val="24"/>
        </w:rPr>
        <w:t>J</w:t>
      </w:r>
      <w:proofErr w:type="spellEnd"/>
      <w:r w:rsidRPr="00B675DC">
        <w:rPr>
          <w:b/>
          <w:bCs/>
          <w:sz w:val="24"/>
          <w:szCs w:val="24"/>
        </w:rPr>
        <w:t xml:space="preserve"> </w:t>
      </w:r>
      <w:r w:rsidR="00A83D7F">
        <w:rPr>
          <w:b/>
          <w:bCs/>
          <w:sz w:val="24"/>
          <w:szCs w:val="24"/>
        </w:rPr>
        <w:t>m</w:t>
      </w:r>
      <w:r w:rsidR="005D7769">
        <w:rPr>
          <w:b/>
          <w:bCs/>
          <w:sz w:val="24"/>
          <w:szCs w:val="24"/>
        </w:rPr>
        <w:t xml:space="preserve">utant </w:t>
      </w:r>
      <w:r w:rsidR="00A83D7F">
        <w:rPr>
          <w:b/>
          <w:bCs/>
          <w:sz w:val="24"/>
          <w:szCs w:val="24"/>
        </w:rPr>
        <w:t>e</w:t>
      </w:r>
      <w:r w:rsidRPr="00B675DC">
        <w:rPr>
          <w:b/>
          <w:bCs/>
          <w:sz w:val="24"/>
          <w:szCs w:val="24"/>
        </w:rPr>
        <w:t xml:space="preserve">xpression in </w:t>
      </w:r>
      <w:r w:rsidRPr="00B675DC">
        <w:rPr>
          <w:b/>
          <w:bCs/>
          <w:i/>
          <w:iCs/>
          <w:sz w:val="24"/>
          <w:szCs w:val="24"/>
        </w:rPr>
        <w:t xml:space="preserve">A. baumannii </w:t>
      </w:r>
      <w:r w:rsidRPr="00B675DC">
        <w:rPr>
          <w:b/>
          <w:bCs/>
          <w:sz w:val="24"/>
          <w:szCs w:val="24"/>
        </w:rPr>
        <w:t>Δ3-Pore</w:t>
      </w:r>
      <w:r w:rsidR="009D2C1A">
        <w:rPr>
          <w:b/>
          <w:bCs/>
          <w:sz w:val="24"/>
          <w:szCs w:val="24"/>
        </w:rPr>
        <w:t xml:space="preserve"> </w:t>
      </w:r>
      <w:r w:rsidR="00A83D7F">
        <w:rPr>
          <w:b/>
          <w:bCs/>
          <w:sz w:val="24"/>
          <w:szCs w:val="24"/>
        </w:rPr>
        <w:t>c</w:t>
      </w:r>
      <w:r w:rsidR="009D2C1A">
        <w:rPr>
          <w:b/>
          <w:bCs/>
          <w:sz w:val="24"/>
          <w:szCs w:val="24"/>
        </w:rPr>
        <w:t>ells</w:t>
      </w:r>
    </w:p>
    <w:p w14:paraId="5128753B" w14:textId="2660F036" w:rsidR="00F52D3E" w:rsidRDefault="00F52D3E" w:rsidP="00F52D3E">
      <w:pPr>
        <w:rPr>
          <w:sz w:val="24"/>
          <w:szCs w:val="24"/>
        </w:rPr>
      </w:pPr>
      <w:r>
        <w:rPr>
          <w:sz w:val="24"/>
          <w:szCs w:val="24"/>
        </w:rPr>
        <w:t xml:space="preserve">Whole cell expression of the </w:t>
      </w:r>
      <w:proofErr w:type="spellStart"/>
      <w:r>
        <w:rPr>
          <w:sz w:val="24"/>
          <w:szCs w:val="24"/>
        </w:rPr>
        <w:t>AdeJ</w:t>
      </w:r>
      <w:proofErr w:type="spellEnd"/>
      <w:r>
        <w:rPr>
          <w:sz w:val="24"/>
          <w:szCs w:val="24"/>
        </w:rPr>
        <w:t xml:space="preserve"> mutants in </w:t>
      </w:r>
      <w:r>
        <w:rPr>
          <w:i/>
          <w:iCs/>
          <w:sz w:val="24"/>
          <w:szCs w:val="24"/>
        </w:rPr>
        <w:t xml:space="preserve">A. </w:t>
      </w:r>
      <w:r w:rsidRPr="0023411E">
        <w:rPr>
          <w:i/>
          <w:iCs/>
          <w:sz w:val="24"/>
          <w:szCs w:val="24"/>
        </w:rPr>
        <w:t>baumannii</w:t>
      </w:r>
      <w:r w:rsidRPr="0023411E">
        <w:rPr>
          <w:b/>
          <w:bCs/>
          <w:sz w:val="24"/>
          <w:szCs w:val="24"/>
        </w:rPr>
        <w:t xml:space="preserve"> </w:t>
      </w:r>
      <w:r w:rsidRPr="0023411E">
        <w:rPr>
          <w:sz w:val="24"/>
          <w:szCs w:val="24"/>
        </w:rPr>
        <w:t>Δ3-Pore cells</w:t>
      </w:r>
      <w:r>
        <w:rPr>
          <w:sz w:val="24"/>
          <w:szCs w:val="24"/>
        </w:rPr>
        <w:t xml:space="preserve"> washed in HMG buffer and resuspended to OD</w:t>
      </w:r>
      <w:r>
        <w:rPr>
          <w:sz w:val="24"/>
          <w:szCs w:val="24"/>
          <w:vertAlign w:val="subscript"/>
        </w:rPr>
        <w:t>600</w:t>
      </w:r>
      <w:r>
        <w:rPr>
          <w:sz w:val="24"/>
          <w:szCs w:val="24"/>
        </w:rPr>
        <w:t xml:space="preserve"> 1.0 +/- 0.05. </w:t>
      </w:r>
      <w:proofErr w:type="spellStart"/>
      <w:r>
        <w:rPr>
          <w:sz w:val="24"/>
          <w:szCs w:val="24"/>
        </w:rPr>
        <w:t>AdeJ</w:t>
      </w:r>
      <w:proofErr w:type="spellEnd"/>
      <w:r>
        <w:rPr>
          <w:sz w:val="24"/>
          <w:szCs w:val="24"/>
        </w:rPr>
        <w:t xml:space="preserve"> protein was expressed in cells with permeabilized outer membranes. Plasmid expression of the </w:t>
      </w:r>
      <w:proofErr w:type="spellStart"/>
      <w:r>
        <w:rPr>
          <w:sz w:val="24"/>
          <w:szCs w:val="24"/>
        </w:rPr>
        <w:t>pAdeIJK</w:t>
      </w:r>
      <w:proofErr w:type="spellEnd"/>
      <w:r>
        <w:rPr>
          <w:sz w:val="24"/>
          <w:szCs w:val="24"/>
        </w:rPr>
        <w:t xml:space="preserve"> operon was induced by 1% L-arabinose. Lysed cells were separated by SDS-PAGE on 12% gels and visualized by 1:5,000 anti-</w:t>
      </w:r>
      <w:proofErr w:type="spellStart"/>
      <w:r>
        <w:rPr>
          <w:sz w:val="24"/>
          <w:szCs w:val="24"/>
        </w:rPr>
        <w:t>AdeJ</w:t>
      </w:r>
      <w:proofErr w:type="spellEnd"/>
      <w:r>
        <w:rPr>
          <w:sz w:val="24"/>
          <w:szCs w:val="24"/>
        </w:rPr>
        <w:t xml:space="preserve"> antibody serum.</w:t>
      </w:r>
      <w:r w:rsidR="009D75E4">
        <w:rPr>
          <w:sz w:val="24"/>
          <w:szCs w:val="24"/>
        </w:rPr>
        <w:t xml:space="preserve"> </w:t>
      </w:r>
      <w:r w:rsidR="00587DE5">
        <w:rPr>
          <w:sz w:val="24"/>
          <w:szCs w:val="24"/>
        </w:rPr>
        <w:t xml:space="preserve">The western blot membrane was scanned using a Canon </w:t>
      </w:r>
      <w:proofErr w:type="spellStart"/>
      <w:r w:rsidR="00587DE5">
        <w:rPr>
          <w:sz w:val="24"/>
          <w:szCs w:val="24"/>
        </w:rPr>
        <w:t>CanoScan</w:t>
      </w:r>
      <w:proofErr w:type="spellEnd"/>
      <w:r w:rsidR="00587DE5">
        <w:rPr>
          <w:sz w:val="24"/>
          <w:szCs w:val="24"/>
        </w:rPr>
        <w:t xml:space="preserve"> 9000F and the band intensities were measured using Quantity One (Bio Rad). The relative band intensities are shown as a percentage of the Ab</w:t>
      </w:r>
      <w:r w:rsidR="00587DE5" w:rsidRPr="0023411E">
        <w:rPr>
          <w:sz w:val="24"/>
          <w:szCs w:val="24"/>
        </w:rPr>
        <w:t>Δ3</w:t>
      </w:r>
      <w:r w:rsidR="00587DE5">
        <w:rPr>
          <w:sz w:val="24"/>
          <w:szCs w:val="24"/>
        </w:rPr>
        <w:t>-Pore(</w:t>
      </w:r>
      <w:proofErr w:type="spellStart"/>
      <w:r w:rsidR="00587DE5">
        <w:rPr>
          <w:sz w:val="24"/>
          <w:szCs w:val="24"/>
        </w:rPr>
        <w:t>pAdeIJK</w:t>
      </w:r>
      <w:proofErr w:type="spellEnd"/>
      <w:r w:rsidR="00587DE5">
        <w:rPr>
          <w:sz w:val="24"/>
          <w:szCs w:val="24"/>
        </w:rPr>
        <w:t>) band intensity (adjusted volume, INT*mm2).</w:t>
      </w:r>
    </w:p>
    <w:p w14:paraId="359FB8AE" w14:textId="19A49E95" w:rsidR="00062215" w:rsidRPr="00270CCA" w:rsidRDefault="008E203F" w:rsidP="00041B30">
      <w:pPr>
        <w:spacing w:line="360" w:lineRule="auto"/>
        <w:rPr>
          <w:sz w:val="24"/>
          <w:szCs w:val="24"/>
        </w:rPr>
      </w:pPr>
      <w:r>
        <w:rPr>
          <w:sz w:val="24"/>
          <w:szCs w:val="24"/>
        </w:rPr>
        <w:tab/>
        <w:t xml:space="preserve">We found that all </w:t>
      </w:r>
      <w:proofErr w:type="spellStart"/>
      <w:r>
        <w:rPr>
          <w:sz w:val="24"/>
          <w:szCs w:val="24"/>
        </w:rPr>
        <w:t>AdeJ</w:t>
      </w:r>
      <w:proofErr w:type="spellEnd"/>
      <w:r>
        <w:rPr>
          <w:sz w:val="24"/>
          <w:szCs w:val="24"/>
        </w:rPr>
        <w:t xml:space="preserve"> single substitution mutants expressed in </w:t>
      </w:r>
      <w:r w:rsidR="00F52D3E">
        <w:rPr>
          <w:sz w:val="24"/>
          <w:szCs w:val="24"/>
        </w:rPr>
        <w:t>Ab</w:t>
      </w:r>
      <w:r w:rsidRPr="005A5764">
        <w:rPr>
          <w:sz w:val="24"/>
          <w:szCs w:val="24"/>
        </w:rPr>
        <w:t>Δ</w:t>
      </w:r>
      <w:r>
        <w:rPr>
          <w:sz w:val="24"/>
          <w:szCs w:val="24"/>
        </w:rPr>
        <w:t xml:space="preserve">3-Pore cells. As was the case in the previous chapter, </w:t>
      </w:r>
      <w:proofErr w:type="spellStart"/>
      <w:r>
        <w:rPr>
          <w:sz w:val="24"/>
          <w:szCs w:val="24"/>
        </w:rPr>
        <w:t>AdeJ</w:t>
      </w:r>
      <w:proofErr w:type="spellEnd"/>
      <w:r>
        <w:rPr>
          <w:sz w:val="24"/>
          <w:szCs w:val="24"/>
        </w:rPr>
        <w:t xml:space="preserve"> expression was only from</w:t>
      </w:r>
      <w:r w:rsidR="00270CCA">
        <w:rPr>
          <w:sz w:val="24"/>
          <w:szCs w:val="24"/>
        </w:rPr>
        <w:t xml:space="preserve"> the plasmid since the chromosomal insertion site was already occupied by the modified </w:t>
      </w:r>
      <w:proofErr w:type="spellStart"/>
      <w:r w:rsidR="00F52D3E">
        <w:rPr>
          <w:i/>
          <w:iCs/>
          <w:sz w:val="24"/>
          <w:szCs w:val="24"/>
        </w:rPr>
        <w:t>fhuA</w:t>
      </w:r>
      <w:proofErr w:type="spellEnd"/>
      <w:r w:rsidR="00270CCA">
        <w:rPr>
          <w:sz w:val="24"/>
          <w:szCs w:val="24"/>
        </w:rPr>
        <w:t xml:space="preserve"> in </w:t>
      </w:r>
      <w:r w:rsidR="00F52D3E">
        <w:rPr>
          <w:sz w:val="24"/>
          <w:szCs w:val="24"/>
        </w:rPr>
        <w:t>Ab</w:t>
      </w:r>
      <w:r w:rsidR="00270CCA" w:rsidRPr="005A5764">
        <w:rPr>
          <w:sz w:val="24"/>
          <w:szCs w:val="24"/>
        </w:rPr>
        <w:t>Δ</w:t>
      </w:r>
      <w:r w:rsidR="00270CCA">
        <w:rPr>
          <w:sz w:val="24"/>
          <w:szCs w:val="24"/>
        </w:rPr>
        <w:t xml:space="preserve">3-Pore cells. While all </w:t>
      </w:r>
      <w:proofErr w:type="spellStart"/>
      <w:r w:rsidR="00270CCA">
        <w:rPr>
          <w:sz w:val="24"/>
          <w:szCs w:val="24"/>
        </w:rPr>
        <w:t>AdeJ</w:t>
      </w:r>
      <w:proofErr w:type="spellEnd"/>
      <w:r w:rsidR="00270CCA">
        <w:rPr>
          <w:sz w:val="24"/>
          <w:szCs w:val="24"/>
        </w:rPr>
        <w:t xml:space="preserve"> mutants had confirmed expression, they expressed at varying levels.</w:t>
      </w:r>
      <w:r w:rsidR="001E6429">
        <w:rPr>
          <w:sz w:val="24"/>
          <w:szCs w:val="24"/>
        </w:rPr>
        <w:t xml:space="preserve"> </w:t>
      </w:r>
      <w:proofErr w:type="spellStart"/>
      <w:r w:rsidR="00F76C2D">
        <w:rPr>
          <w:sz w:val="24"/>
          <w:szCs w:val="24"/>
        </w:rPr>
        <w:t>AdeJ</w:t>
      </w:r>
      <w:proofErr w:type="spellEnd"/>
      <w:r w:rsidR="00F76C2D">
        <w:rPr>
          <w:sz w:val="24"/>
          <w:szCs w:val="24"/>
        </w:rPr>
        <w:t xml:space="preserve"> mutants G721I (141%), R701A (161%), N81A (125%), and F618A (150%) showed </w:t>
      </w:r>
      <w:proofErr w:type="spellStart"/>
      <w:r w:rsidR="00F76C2D">
        <w:rPr>
          <w:sz w:val="24"/>
          <w:szCs w:val="24"/>
        </w:rPr>
        <w:t>AdeJ</w:t>
      </w:r>
      <w:proofErr w:type="spellEnd"/>
      <w:r w:rsidR="00F76C2D">
        <w:rPr>
          <w:sz w:val="24"/>
          <w:szCs w:val="24"/>
        </w:rPr>
        <w:t xml:space="preserve"> expressions levels higher than the positive control Ab</w:t>
      </w:r>
      <w:r w:rsidR="00F76C2D" w:rsidRPr="005A5764">
        <w:rPr>
          <w:sz w:val="24"/>
          <w:szCs w:val="24"/>
        </w:rPr>
        <w:t>Δ</w:t>
      </w:r>
      <w:r w:rsidR="00F76C2D">
        <w:rPr>
          <w:sz w:val="24"/>
          <w:szCs w:val="24"/>
        </w:rPr>
        <w:t>3-Pore (</w:t>
      </w:r>
      <w:proofErr w:type="spellStart"/>
      <w:r w:rsidR="00F76C2D">
        <w:rPr>
          <w:sz w:val="24"/>
          <w:szCs w:val="24"/>
        </w:rPr>
        <w:t>pAdeIJK</w:t>
      </w:r>
      <w:proofErr w:type="spellEnd"/>
      <w:r w:rsidR="00F76C2D">
        <w:rPr>
          <w:sz w:val="24"/>
          <w:szCs w:val="24"/>
        </w:rPr>
        <w:t>) cells (100%)</w:t>
      </w:r>
      <w:r w:rsidR="00270CCA">
        <w:rPr>
          <w:sz w:val="24"/>
          <w:szCs w:val="24"/>
        </w:rPr>
        <w:t xml:space="preserve">. </w:t>
      </w:r>
      <w:proofErr w:type="spellStart"/>
      <w:r w:rsidR="00270CCA">
        <w:rPr>
          <w:sz w:val="24"/>
          <w:szCs w:val="24"/>
        </w:rPr>
        <w:t>AdeJ</w:t>
      </w:r>
      <w:proofErr w:type="spellEnd"/>
      <w:r w:rsidR="00270CCA">
        <w:rPr>
          <w:sz w:val="24"/>
          <w:szCs w:val="24"/>
        </w:rPr>
        <w:t xml:space="preserve"> mutants E675A</w:t>
      </w:r>
      <w:r w:rsidR="00F76C2D">
        <w:rPr>
          <w:sz w:val="24"/>
          <w:szCs w:val="24"/>
        </w:rPr>
        <w:t xml:space="preserve"> (62%)</w:t>
      </w:r>
      <w:r w:rsidR="00270CCA">
        <w:rPr>
          <w:sz w:val="24"/>
          <w:szCs w:val="24"/>
        </w:rPr>
        <w:t>, F136A</w:t>
      </w:r>
      <w:r w:rsidR="00F76C2D">
        <w:rPr>
          <w:sz w:val="24"/>
          <w:szCs w:val="24"/>
        </w:rPr>
        <w:t xml:space="preserve"> (50%)</w:t>
      </w:r>
      <w:r w:rsidR="00270CCA">
        <w:rPr>
          <w:sz w:val="24"/>
          <w:szCs w:val="24"/>
        </w:rPr>
        <w:t xml:space="preserve">, and A134I </w:t>
      </w:r>
      <w:r w:rsidR="00F76C2D">
        <w:rPr>
          <w:sz w:val="24"/>
          <w:szCs w:val="24"/>
        </w:rPr>
        <w:t xml:space="preserve">(20%) </w:t>
      </w:r>
      <w:r w:rsidR="00270CCA">
        <w:rPr>
          <w:sz w:val="24"/>
          <w:szCs w:val="24"/>
        </w:rPr>
        <w:t xml:space="preserve">showed </w:t>
      </w:r>
      <w:proofErr w:type="spellStart"/>
      <w:r w:rsidR="00270CCA">
        <w:rPr>
          <w:sz w:val="24"/>
          <w:szCs w:val="24"/>
        </w:rPr>
        <w:t>AdeJ</w:t>
      </w:r>
      <w:proofErr w:type="spellEnd"/>
      <w:r w:rsidR="00270CCA">
        <w:rPr>
          <w:sz w:val="24"/>
          <w:szCs w:val="24"/>
        </w:rPr>
        <w:t xml:space="preserve"> expression levels lower than the control cells</w:t>
      </w:r>
      <w:r w:rsidR="00F76C2D">
        <w:rPr>
          <w:sz w:val="24"/>
          <w:szCs w:val="24"/>
        </w:rPr>
        <w:t xml:space="preserve"> (100%)</w:t>
      </w:r>
      <w:r w:rsidR="00270CCA">
        <w:rPr>
          <w:sz w:val="24"/>
          <w:szCs w:val="24"/>
        </w:rPr>
        <w:t xml:space="preserve">, meaning any demonstrated increase in antibiotic susceptibility or reduced NPN uptake could be due to lower levels of transporter expression.  </w:t>
      </w:r>
    </w:p>
    <w:p w14:paraId="32242093" w14:textId="20304D05" w:rsidR="00FD502E" w:rsidRDefault="00A83D7F" w:rsidP="00FD502E">
      <w:pPr>
        <w:rPr>
          <w:sz w:val="24"/>
          <w:szCs w:val="24"/>
        </w:rPr>
      </w:pPr>
      <w:r w:rsidRPr="00A83D7F">
        <w:rPr>
          <w:noProof/>
          <w:sz w:val="24"/>
          <w:szCs w:val="24"/>
        </w:rPr>
        <w:lastRenderedPageBreak/>
        <w:drawing>
          <wp:inline distT="0" distB="0" distL="0" distR="0" wp14:anchorId="661B84CD" wp14:editId="48C28AE2">
            <wp:extent cx="5486400" cy="3008630"/>
            <wp:effectExtent l="0" t="0" r="0" b="1270"/>
            <wp:docPr id="282455833" name="Picture 1" descr="A table with numb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55833" name="Picture 1" descr="A table with numbers and numbers&#10;&#10;Description automatically generated"/>
                    <pic:cNvPicPr/>
                  </pic:nvPicPr>
                  <pic:blipFill>
                    <a:blip r:embed="rId61"/>
                    <a:stretch>
                      <a:fillRect/>
                    </a:stretch>
                  </pic:blipFill>
                  <pic:spPr>
                    <a:xfrm>
                      <a:off x="0" y="0"/>
                      <a:ext cx="5486400" cy="3008630"/>
                    </a:xfrm>
                    <a:prstGeom prst="rect">
                      <a:avLst/>
                    </a:prstGeom>
                  </pic:spPr>
                </pic:pic>
              </a:graphicData>
            </a:graphic>
          </wp:inline>
        </w:drawing>
      </w:r>
      <w:r w:rsidRPr="00A83D7F">
        <w:rPr>
          <w:noProof/>
          <w:sz w:val="24"/>
          <w:szCs w:val="24"/>
        </w:rPr>
        <w:t xml:space="preserve"> </w:t>
      </w:r>
      <w:r w:rsidR="005D53BB" w:rsidRPr="005D53BB">
        <w:rPr>
          <w:sz w:val="24"/>
          <w:szCs w:val="24"/>
        </w:rPr>
        <w:t xml:space="preserve"> </w:t>
      </w:r>
    </w:p>
    <w:p w14:paraId="19816CD8" w14:textId="404F8B15" w:rsidR="00D244BE" w:rsidRDefault="00D244BE" w:rsidP="005518A5">
      <w:pPr>
        <w:spacing w:line="360" w:lineRule="auto"/>
        <w:rPr>
          <w:rFonts w:asciiTheme="majorHAnsi" w:hAnsiTheme="majorHAnsi" w:cstheme="majorHAnsi"/>
          <w:sz w:val="24"/>
          <w:szCs w:val="24"/>
        </w:rPr>
      </w:pPr>
      <w:r>
        <w:rPr>
          <w:sz w:val="24"/>
          <w:szCs w:val="24"/>
        </w:rPr>
        <w:tab/>
        <w:t xml:space="preserve">The antibiotic susceptibility assay of the </w:t>
      </w:r>
      <w:proofErr w:type="spellStart"/>
      <w:r>
        <w:rPr>
          <w:sz w:val="24"/>
          <w:szCs w:val="24"/>
        </w:rPr>
        <w:t>AdeJ</w:t>
      </w:r>
      <w:proofErr w:type="spellEnd"/>
      <w:r>
        <w:rPr>
          <w:sz w:val="24"/>
          <w:szCs w:val="24"/>
        </w:rPr>
        <w:t xml:space="preserve"> mutants and control strains resulted in mostly unchanged MICs for chloramphenicol, norfloxacin, novobiocin and SDS (</w:t>
      </w:r>
      <w:r>
        <w:rPr>
          <w:b/>
          <w:bCs/>
          <w:sz w:val="24"/>
          <w:szCs w:val="24"/>
        </w:rPr>
        <w:t>Table 5.1</w:t>
      </w:r>
      <w:r>
        <w:rPr>
          <w:sz w:val="24"/>
          <w:szCs w:val="24"/>
        </w:rPr>
        <w:t xml:space="preserve">). There were two </w:t>
      </w:r>
      <w:proofErr w:type="spellStart"/>
      <w:r>
        <w:rPr>
          <w:sz w:val="24"/>
          <w:szCs w:val="24"/>
        </w:rPr>
        <w:t>AdeJ</w:t>
      </w:r>
      <w:proofErr w:type="spellEnd"/>
      <w:r>
        <w:rPr>
          <w:sz w:val="24"/>
          <w:szCs w:val="24"/>
        </w:rPr>
        <w:t xml:space="preserve"> mutants that saw an increase in erythromycin MIC values. Both </w:t>
      </w:r>
      <w:proofErr w:type="spellStart"/>
      <w:r>
        <w:rPr>
          <w:sz w:val="24"/>
          <w:szCs w:val="24"/>
        </w:rPr>
        <w:t>AdeJ</w:t>
      </w:r>
      <w:proofErr w:type="spellEnd"/>
      <w:r>
        <w:rPr>
          <w:sz w:val="24"/>
          <w:szCs w:val="24"/>
        </w:rPr>
        <w:t xml:space="preserve"> mutants R701A and F136A had a </w:t>
      </w:r>
      <w:r w:rsidR="005E1B02">
        <w:rPr>
          <w:sz w:val="24"/>
          <w:szCs w:val="24"/>
        </w:rPr>
        <w:t>4</w:t>
      </w:r>
      <w:r>
        <w:rPr>
          <w:sz w:val="24"/>
          <w:szCs w:val="24"/>
        </w:rPr>
        <w:t xml:space="preserve">-fold decrease in erythromycin susceptibility (up to 25 </w:t>
      </w:r>
      <w:r>
        <w:rPr>
          <w:rFonts w:asciiTheme="majorHAnsi" w:hAnsiTheme="majorHAnsi" w:cstheme="majorHAnsi"/>
          <w:sz w:val="24"/>
          <w:szCs w:val="24"/>
        </w:rPr>
        <w:t xml:space="preserve">µM from 6.25 µM). This suggests that the WT </w:t>
      </w:r>
      <w:proofErr w:type="spellStart"/>
      <w:r>
        <w:rPr>
          <w:rFonts w:asciiTheme="majorHAnsi" w:hAnsiTheme="majorHAnsi" w:cstheme="majorHAnsi"/>
          <w:sz w:val="24"/>
          <w:szCs w:val="24"/>
        </w:rPr>
        <w:t>AdeJ</w:t>
      </w:r>
      <w:proofErr w:type="spellEnd"/>
      <w:r>
        <w:rPr>
          <w:rFonts w:asciiTheme="majorHAnsi" w:hAnsiTheme="majorHAnsi" w:cstheme="majorHAnsi"/>
          <w:sz w:val="24"/>
          <w:szCs w:val="24"/>
        </w:rPr>
        <w:t xml:space="preserve"> residues R701 and F136 may have been hindering the export efficiency of erythromycin.</w:t>
      </w:r>
    </w:p>
    <w:p w14:paraId="6E8A8803" w14:textId="77777777" w:rsidR="00C93FF8" w:rsidRDefault="00C93FF8" w:rsidP="00FD502E">
      <w:pPr>
        <w:rPr>
          <w:rFonts w:asciiTheme="majorHAnsi" w:hAnsiTheme="majorHAnsi" w:cstheme="majorHAnsi"/>
          <w:sz w:val="24"/>
          <w:szCs w:val="24"/>
        </w:rPr>
      </w:pPr>
    </w:p>
    <w:p w14:paraId="77EBD5F9" w14:textId="77777777" w:rsidR="00C93FF8" w:rsidRDefault="00C93FF8" w:rsidP="00FD502E">
      <w:pPr>
        <w:rPr>
          <w:sz w:val="24"/>
          <w:szCs w:val="24"/>
        </w:rPr>
      </w:pPr>
    </w:p>
    <w:p w14:paraId="0989A813" w14:textId="72B0CD1D" w:rsidR="00A3005C" w:rsidRDefault="00A3005C" w:rsidP="00FD502E">
      <w:pPr>
        <w:rPr>
          <w:sz w:val="24"/>
          <w:szCs w:val="24"/>
        </w:rPr>
      </w:pPr>
      <w:r w:rsidRPr="00A3005C">
        <w:rPr>
          <w:noProof/>
          <w:sz w:val="24"/>
          <w:szCs w:val="24"/>
        </w:rPr>
        <w:lastRenderedPageBreak/>
        <w:drawing>
          <wp:inline distT="0" distB="0" distL="0" distR="0" wp14:anchorId="2B33C0F6" wp14:editId="07A744B2">
            <wp:extent cx="5486400" cy="3343275"/>
            <wp:effectExtent l="0" t="0" r="0" b="0"/>
            <wp:docPr id="1190841842" name="Picture 1" descr="A close-up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841842" name="Picture 1" descr="A close-up of a structure&#10;&#10;Description automatically generated"/>
                    <pic:cNvPicPr/>
                  </pic:nvPicPr>
                  <pic:blipFill>
                    <a:blip r:embed="rId62"/>
                    <a:stretch>
                      <a:fillRect/>
                    </a:stretch>
                  </pic:blipFill>
                  <pic:spPr>
                    <a:xfrm>
                      <a:off x="0" y="0"/>
                      <a:ext cx="5486400" cy="3343275"/>
                    </a:xfrm>
                    <a:prstGeom prst="rect">
                      <a:avLst/>
                    </a:prstGeom>
                  </pic:spPr>
                </pic:pic>
              </a:graphicData>
            </a:graphic>
          </wp:inline>
        </w:drawing>
      </w:r>
    </w:p>
    <w:p w14:paraId="33D68170" w14:textId="2DA02BC7" w:rsidR="00A3005C" w:rsidRPr="00734E96" w:rsidRDefault="00A3005C" w:rsidP="00A3005C">
      <w:pPr>
        <w:rPr>
          <w:b/>
          <w:bCs/>
          <w:sz w:val="24"/>
          <w:szCs w:val="24"/>
        </w:rPr>
      </w:pPr>
      <w:r w:rsidRPr="00734E96">
        <w:rPr>
          <w:b/>
          <w:bCs/>
          <w:sz w:val="24"/>
          <w:szCs w:val="24"/>
        </w:rPr>
        <w:t>Figure</w:t>
      </w:r>
      <w:r>
        <w:rPr>
          <w:sz w:val="24"/>
          <w:szCs w:val="24"/>
        </w:rPr>
        <w:t xml:space="preserve"> </w:t>
      </w:r>
      <w:r w:rsidRPr="005D7769">
        <w:rPr>
          <w:b/>
          <w:bCs/>
          <w:sz w:val="24"/>
          <w:szCs w:val="24"/>
        </w:rPr>
        <w:t>5.</w:t>
      </w:r>
      <w:r w:rsidR="00CC6C40">
        <w:rPr>
          <w:b/>
          <w:bCs/>
          <w:sz w:val="24"/>
          <w:szCs w:val="24"/>
        </w:rPr>
        <w:t xml:space="preserve">4 </w:t>
      </w:r>
      <w:r w:rsidRPr="00734E96">
        <w:rPr>
          <w:sz w:val="24"/>
          <w:szCs w:val="24"/>
        </w:rPr>
        <w:t xml:space="preserve">– </w:t>
      </w:r>
      <w:r>
        <w:rPr>
          <w:b/>
          <w:bCs/>
          <w:sz w:val="24"/>
          <w:szCs w:val="24"/>
        </w:rPr>
        <w:t xml:space="preserve">Crystal </w:t>
      </w:r>
      <w:r w:rsidR="00A83D7F">
        <w:rPr>
          <w:b/>
          <w:bCs/>
          <w:sz w:val="24"/>
          <w:szCs w:val="24"/>
        </w:rPr>
        <w:t>s</w:t>
      </w:r>
      <w:r>
        <w:rPr>
          <w:b/>
          <w:bCs/>
          <w:sz w:val="24"/>
          <w:szCs w:val="24"/>
        </w:rPr>
        <w:t xml:space="preserve">tructure of </w:t>
      </w:r>
      <w:proofErr w:type="spellStart"/>
      <w:r>
        <w:rPr>
          <w:b/>
          <w:bCs/>
          <w:sz w:val="24"/>
          <w:szCs w:val="24"/>
        </w:rPr>
        <w:t>AdeJ</w:t>
      </w:r>
      <w:proofErr w:type="spellEnd"/>
      <w:r>
        <w:rPr>
          <w:b/>
          <w:bCs/>
          <w:sz w:val="24"/>
          <w:szCs w:val="24"/>
        </w:rPr>
        <w:t xml:space="preserve">-Era and </w:t>
      </w:r>
      <w:r w:rsidR="00A83D7F">
        <w:rPr>
          <w:b/>
          <w:bCs/>
          <w:sz w:val="24"/>
          <w:szCs w:val="24"/>
        </w:rPr>
        <w:t>b</w:t>
      </w:r>
      <w:r>
        <w:rPr>
          <w:b/>
          <w:bCs/>
          <w:sz w:val="24"/>
          <w:szCs w:val="24"/>
        </w:rPr>
        <w:t xml:space="preserve">inding </w:t>
      </w:r>
      <w:r w:rsidR="00A83D7F">
        <w:rPr>
          <w:b/>
          <w:bCs/>
          <w:sz w:val="24"/>
          <w:szCs w:val="24"/>
        </w:rPr>
        <w:t>s</w:t>
      </w:r>
      <w:r>
        <w:rPr>
          <w:b/>
          <w:bCs/>
          <w:sz w:val="24"/>
          <w:szCs w:val="24"/>
        </w:rPr>
        <w:t>ite</w:t>
      </w:r>
    </w:p>
    <w:p w14:paraId="473076D6" w14:textId="3835B3F2" w:rsidR="00A3005C" w:rsidRPr="00734E96" w:rsidRDefault="00911302" w:rsidP="00A3005C">
      <w:pPr>
        <w:jc w:val="both"/>
        <w:rPr>
          <w:sz w:val="24"/>
          <w:szCs w:val="24"/>
        </w:rPr>
      </w:pPr>
      <w:r>
        <w:rPr>
          <w:sz w:val="24"/>
          <w:szCs w:val="24"/>
        </w:rPr>
        <w:t>C</w:t>
      </w:r>
      <w:r w:rsidR="00E95C69">
        <w:rPr>
          <w:sz w:val="24"/>
          <w:szCs w:val="24"/>
        </w:rPr>
        <w:t xml:space="preserve">rystal structure of </w:t>
      </w:r>
      <w:proofErr w:type="spellStart"/>
      <w:r w:rsidR="00E95C69">
        <w:rPr>
          <w:sz w:val="24"/>
          <w:szCs w:val="24"/>
        </w:rPr>
        <w:t>AdeJ</w:t>
      </w:r>
      <w:proofErr w:type="spellEnd"/>
      <w:r w:rsidR="00E95C69">
        <w:rPr>
          <w:sz w:val="24"/>
          <w:szCs w:val="24"/>
        </w:rPr>
        <w:t xml:space="preserve">-Era: </w:t>
      </w:r>
      <w:r w:rsidR="00E95C69">
        <w:rPr>
          <w:b/>
          <w:bCs/>
          <w:sz w:val="24"/>
          <w:szCs w:val="24"/>
        </w:rPr>
        <w:t xml:space="preserve">A </w:t>
      </w:r>
      <w:proofErr w:type="spellStart"/>
      <w:r w:rsidR="00E95C69">
        <w:rPr>
          <w:sz w:val="24"/>
          <w:szCs w:val="24"/>
        </w:rPr>
        <w:t>A</w:t>
      </w:r>
      <w:proofErr w:type="spellEnd"/>
      <w:r w:rsidR="00E95C69">
        <w:rPr>
          <w:sz w:val="24"/>
          <w:szCs w:val="24"/>
        </w:rPr>
        <w:t xml:space="preserve"> cartoon view of the </w:t>
      </w:r>
      <w:proofErr w:type="spellStart"/>
      <w:r w:rsidR="00E95C69">
        <w:rPr>
          <w:sz w:val="24"/>
          <w:szCs w:val="24"/>
        </w:rPr>
        <w:t>AdeJ</w:t>
      </w:r>
      <w:proofErr w:type="spellEnd"/>
      <w:r w:rsidR="00E95C69">
        <w:rPr>
          <w:sz w:val="24"/>
          <w:szCs w:val="24"/>
        </w:rPr>
        <w:t xml:space="preserve"> trimer with </w:t>
      </w:r>
      <w:proofErr w:type="spellStart"/>
      <w:r w:rsidR="00E95C69">
        <w:rPr>
          <w:sz w:val="24"/>
          <w:szCs w:val="24"/>
        </w:rPr>
        <w:t>Eravacycline</w:t>
      </w:r>
      <w:proofErr w:type="spellEnd"/>
      <w:r w:rsidR="00E95C69">
        <w:rPr>
          <w:sz w:val="24"/>
          <w:szCs w:val="24"/>
        </w:rPr>
        <w:t xml:space="preserve"> bound</w:t>
      </w:r>
      <w:r>
        <w:rPr>
          <w:sz w:val="24"/>
          <w:szCs w:val="24"/>
        </w:rPr>
        <w:t xml:space="preserve"> (magenta stick) (</w:t>
      </w:r>
      <w:r w:rsidR="00A3005C" w:rsidRPr="00691C0F">
        <w:rPr>
          <w:sz w:val="24"/>
          <w:szCs w:val="24"/>
        </w:rPr>
        <w:t>PDB code: 7M4</w:t>
      </w:r>
      <w:r w:rsidR="00A3005C">
        <w:rPr>
          <w:sz w:val="24"/>
          <w:szCs w:val="24"/>
        </w:rPr>
        <w:t>P)</w:t>
      </w:r>
      <w:r>
        <w:rPr>
          <w:sz w:val="24"/>
          <w:szCs w:val="24"/>
        </w:rPr>
        <w:t xml:space="preserve">. The protein surface </w:t>
      </w:r>
      <w:r w:rsidR="002D254A">
        <w:rPr>
          <w:sz w:val="24"/>
          <w:szCs w:val="24"/>
        </w:rPr>
        <w:t>is</w:t>
      </w:r>
      <w:r>
        <w:rPr>
          <w:sz w:val="24"/>
          <w:szCs w:val="24"/>
        </w:rPr>
        <w:t xml:space="preserve"> </w:t>
      </w:r>
      <w:r w:rsidR="002D254A">
        <w:rPr>
          <w:sz w:val="24"/>
          <w:szCs w:val="24"/>
        </w:rPr>
        <w:t>colored light</w:t>
      </w:r>
      <w:r>
        <w:rPr>
          <w:sz w:val="24"/>
          <w:szCs w:val="24"/>
        </w:rPr>
        <w:t xml:space="preserve"> grey, 80% transparency. The access, binding, and extrusion state protomers are colored orange, cyan, and green, respectively. </w:t>
      </w:r>
      <w:r>
        <w:rPr>
          <w:b/>
          <w:bCs/>
          <w:sz w:val="24"/>
          <w:szCs w:val="24"/>
        </w:rPr>
        <w:t>B</w:t>
      </w:r>
      <w:r>
        <w:rPr>
          <w:sz w:val="24"/>
          <w:szCs w:val="24"/>
        </w:rPr>
        <w:t xml:space="preserve"> </w:t>
      </w:r>
      <w:r w:rsidR="004627FD">
        <w:rPr>
          <w:sz w:val="24"/>
          <w:szCs w:val="24"/>
        </w:rPr>
        <w:t>A z</w:t>
      </w:r>
      <w:r>
        <w:rPr>
          <w:sz w:val="24"/>
          <w:szCs w:val="24"/>
        </w:rPr>
        <w:t>oom</w:t>
      </w:r>
      <w:r w:rsidR="008570FD">
        <w:rPr>
          <w:sz w:val="24"/>
          <w:szCs w:val="24"/>
        </w:rPr>
        <w:t>ed</w:t>
      </w:r>
      <w:r>
        <w:rPr>
          <w:sz w:val="24"/>
          <w:szCs w:val="24"/>
        </w:rPr>
        <w:t xml:space="preserve"> in</w:t>
      </w:r>
      <w:r w:rsidR="008570FD">
        <w:rPr>
          <w:sz w:val="24"/>
          <w:szCs w:val="24"/>
        </w:rPr>
        <w:t xml:space="preserve"> view</w:t>
      </w:r>
      <w:r>
        <w:rPr>
          <w:sz w:val="24"/>
          <w:szCs w:val="24"/>
        </w:rPr>
        <w:t xml:space="preserve"> of Era-binding site. Residues that were selected for mutagenesis are highlighted as blue sticks</w:t>
      </w:r>
      <w:r w:rsidR="00A3005C">
        <w:rPr>
          <w:sz w:val="24"/>
          <w:szCs w:val="24"/>
        </w:rPr>
        <w:t xml:space="preserve"> </w:t>
      </w:r>
      <w:r>
        <w:rPr>
          <w:sz w:val="24"/>
          <w:szCs w:val="24"/>
        </w:rPr>
        <w:t xml:space="preserve">and labeled. </w:t>
      </w:r>
    </w:p>
    <w:p w14:paraId="45E22F36" w14:textId="77777777" w:rsidR="00B63673" w:rsidRDefault="00B63673" w:rsidP="00B63673">
      <w:pPr>
        <w:rPr>
          <w:sz w:val="24"/>
          <w:szCs w:val="24"/>
          <w:u w:val="single"/>
        </w:rPr>
      </w:pPr>
      <w:r>
        <w:rPr>
          <w:sz w:val="24"/>
          <w:szCs w:val="24"/>
          <w:u w:val="single"/>
        </w:rPr>
        <w:t xml:space="preserve">5.4. </w:t>
      </w:r>
      <w:r w:rsidRPr="00734E96">
        <w:rPr>
          <w:sz w:val="24"/>
          <w:szCs w:val="24"/>
          <w:u w:val="single"/>
        </w:rPr>
        <w:t>Discussion</w:t>
      </w:r>
    </w:p>
    <w:p w14:paraId="0EEF1CF1" w14:textId="59D7DDC1" w:rsidR="008570FD" w:rsidRPr="00734E96" w:rsidRDefault="008570FD" w:rsidP="005518A5">
      <w:pPr>
        <w:spacing w:line="360" w:lineRule="auto"/>
        <w:rPr>
          <w:sz w:val="24"/>
          <w:szCs w:val="24"/>
        </w:rPr>
      </w:pPr>
      <w:r>
        <w:rPr>
          <w:sz w:val="24"/>
          <w:szCs w:val="24"/>
        </w:rPr>
        <w:tab/>
        <w:t xml:space="preserve">Using a published PDB file for the structure of </w:t>
      </w:r>
      <w:proofErr w:type="spellStart"/>
      <w:r>
        <w:rPr>
          <w:sz w:val="24"/>
          <w:szCs w:val="24"/>
        </w:rPr>
        <w:t>AdeJ</w:t>
      </w:r>
      <w:proofErr w:type="spellEnd"/>
      <w:r>
        <w:rPr>
          <w:sz w:val="24"/>
          <w:szCs w:val="24"/>
        </w:rPr>
        <w:t xml:space="preserve"> bound to </w:t>
      </w:r>
      <w:proofErr w:type="spellStart"/>
      <w:r>
        <w:rPr>
          <w:sz w:val="24"/>
          <w:szCs w:val="24"/>
        </w:rPr>
        <w:t>eravacycline</w:t>
      </w:r>
      <w:proofErr w:type="spellEnd"/>
      <w:r>
        <w:rPr>
          <w:sz w:val="24"/>
          <w:szCs w:val="24"/>
        </w:rPr>
        <w:t xml:space="preserve">, </w:t>
      </w:r>
      <w:r w:rsidR="002477A4">
        <w:rPr>
          <w:b/>
          <w:bCs/>
          <w:sz w:val="24"/>
          <w:szCs w:val="24"/>
        </w:rPr>
        <w:t>Figure 5.</w:t>
      </w:r>
      <w:r w:rsidR="003934ED">
        <w:rPr>
          <w:b/>
          <w:bCs/>
          <w:sz w:val="24"/>
          <w:szCs w:val="24"/>
        </w:rPr>
        <w:t>4</w:t>
      </w:r>
      <w:r w:rsidR="002477A4">
        <w:rPr>
          <w:b/>
          <w:bCs/>
          <w:sz w:val="24"/>
          <w:szCs w:val="24"/>
        </w:rPr>
        <w:t>-A</w:t>
      </w:r>
      <w:r w:rsidR="002477A4">
        <w:rPr>
          <w:sz w:val="24"/>
          <w:szCs w:val="24"/>
        </w:rPr>
        <w:t xml:space="preserve"> shows the </w:t>
      </w:r>
      <w:proofErr w:type="spellStart"/>
      <w:r w:rsidR="002477A4">
        <w:rPr>
          <w:sz w:val="24"/>
          <w:szCs w:val="24"/>
        </w:rPr>
        <w:t>eravacycline</w:t>
      </w:r>
      <w:proofErr w:type="spellEnd"/>
      <w:r w:rsidR="002477A4">
        <w:rPr>
          <w:sz w:val="24"/>
          <w:szCs w:val="24"/>
        </w:rPr>
        <w:t xml:space="preserve"> molecule (magenta) bound to the </w:t>
      </w:r>
      <w:proofErr w:type="spellStart"/>
      <w:r w:rsidR="002477A4">
        <w:rPr>
          <w:sz w:val="24"/>
          <w:szCs w:val="24"/>
        </w:rPr>
        <w:t>AdeJ</w:t>
      </w:r>
      <w:proofErr w:type="spellEnd"/>
      <w:r w:rsidR="002477A4">
        <w:rPr>
          <w:sz w:val="24"/>
          <w:szCs w:val="24"/>
        </w:rPr>
        <w:t xml:space="preserve"> protomer that is in the binding state (cyan). The other two protomers are in access (orange) and extrusion (green) transport states and were not seen to contain an </w:t>
      </w:r>
      <w:proofErr w:type="spellStart"/>
      <w:r w:rsidR="002477A4">
        <w:rPr>
          <w:sz w:val="24"/>
          <w:szCs w:val="24"/>
        </w:rPr>
        <w:t>eravacycline</w:t>
      </w:r>
      <w:proofErr w:type="spellEnd"/>
      <w:r w:rsidR="002477A4">
        <w:rPr>
          <w:sz w:val="24"/>
          <w:szCs w:val="24"/>
        </w:rPr>
        <w:t xml:space="preserve"> molecule. The accompanying panel (</w:t>
      </w:r>
      <w:r w:rsidR="002477A4">
        <w:rPr>
          <w:b/>
          <w:bCs/>
          <w:sz w:val="24"/>
          <w:szCs w:val="24"/>
        </w:rPr>
        <w:t>Figure 5.</w:t>
      </w:r>
      <w:r w:rsidR="003934ED">
        <w:rPr>
          <w:b/>
          <w:bCs/>
          <w:sz w:val="24"/>
          <w:szCs w:val="24"/>
        </w:rPr>
        <w:t>4</w:t>
      </w:r>
      <w:r w:rsidR="002477A4">
        <w:rPr>
          <w:b/>
          <w:bCs/>
          <w:sz w:val="24"/>
          <w:szCs w:val="24"/>
        </w:rPr>
        <w:t>-B</w:t>
      </w:r>
      <w:r w:rsidR="002477A4">
        <w:rPr>
          <w:sz w:val="24"/>
          <w:szCs w:val="24"/>
        </w:rPr>
        <w:t xml:space="preserve">) shows a zoomed in view of the </w:t>
      </w:r>
      <w:proofErr w:type="spellStart"/>
      <w:r w:rsidR="002477A4">
        <w:rPr>
          <w:sz w:val="24"/>
          <w:szCs w:val="24"/>
        </w:rPr>
        <w:t>eravacycline</w:t>
      </w:r>
      <w:proofErr w:type="spellEnd"/>
      <w:r w:rsidR="002477A4">
        <w:rPr>
          <w:sz w:val="24"/>
          <w:szCs w:val="24"/>
        </w:rPr>
        <w:t xml:space="preserve"> binding site within the cyan colored </w:t>
      </w:r>
      <w:proofErr w:type="spellStart"/>
      <w:r w:rsidR="002477A4">
        <w:rPr>
          <w:sz w:val="24"/>
          <w:szCs w:val="24"/>
        </w:rPr>
        <w:t>AdeJ</w:t>
      </w:r>
      <w:proofErr w:type="spellEnd"/>
      <w:r w:rsidR="002477A4">
        <w:rPr>
          <w:sz w:val="24"/>
          <w:szCs w:val="24"/>
        </w:rPr>
        <w:t xml:space="preserve"> protomer. The </w:t>
      </w:r>
      <w:proofErr w:type="spellStart"/>
      <w:r w:rsidR="002477A4">
        <w:rPr>
          <w:sz w:val="24"/>
          <w:szCs w:val="24"/>
        </w:rPr>
        <w:t>eravacycline</w:t>
      </w:r>
      <w:proofErr w:type="spellEnd"/>
      <w:r w:rsidR="002477A4">
        <w:rPr>
          <w:sz w:val="24"/>
          <w:szCs w:val="24"/>
        </w:rPr>
        <w:t xml:space="preserve"> molecule is labeled as ERA. Of the residues that were seen to participate in </w:t>
      </w:r>
      <w:proofErr w:type="spellStart"/>
      <w:r w:rsidR="002477A4">
        <w:rPr>
          <w:sz w:val="24"/>
          <w:szCs w:val="24"/>
        </w:rPr>
        <w:t>eravacycline</w:t>
      </w:r>
      <w:proofErr w:type="spellEnd"/>
      <w:r w:rsidR="002477A4">
        <w:rPr>
          <w:sz w:val="24"/>
          <w:szCs w:val="24"/>
        </w:rPr>
        <w:t xml:space="preserve"> binding, two were among our selected </w:t>
      </w:r>
      <w:proofErr w:type="spellStart"/>
      <w:r w:rsidR="002477A4">
        <w:rPr>
          <w:sz w:val="24"/>
          <w:szCs w:val="24"/>
        </w:rPr>
        <w:t>AdeJ</w:t>
      </w:r>
      <w:proofErr w:type="spellEnd"/>
      <w:r w:rsidR="002477A4">
        <w:rPr>
          <w:sz w:val="24"/>
          <w:szCs w:val="24"/>
        </w:rPr>
        <w:t xml:space="preserve"> substitutions: F136 and F618. These two residues, along with V139, F178, G179, G180, F277, A326, Y327, F611, V613, F616, and F629, were found to anchor the </w:t>
      </w:r>
      <w:proofErr w:type="spellStart"/>
      <w:r w:rsidR="002477A4">
        <w:rPr>
          <w:sz w:val="24"/>
          <w:szCs w:val="24"/>
        </w:rPr>
        <w:t>eravacycline</w:t>
      </w:r>
      <w:proofErr w:type="spellEnd"/>
      <w:r w:rsidR="002477A4">
        <w:rPr>
          <w:sz w:val="24"/>
          <w:szCs w:val="24"/>
        </w:rPr>
        <w:t xml:space="preserve"> molecule to the binding pocket. </w:t>
      </w:r>
    </w:p>
    <w:p w14:paraId="36E68D87" w14:textId="3A41807E" w:rsidR="00A858FF" w:rsidRDefault="00D244BE" w:rsidP="005518A5">
      <w:pPr>
        <w:spacing w:line="360" w:lineRule="auto"/>
        <w:rPr>
          <w:rFonts w:asciiTheme="majorHAnsi" w:hAnsiTheme="majorHAnsi" w:cstheme="majorHAnsi"/>
          <w:sz w:val="24"/>
          <w:szCs w:val="24"/>
        </w:rPr>
      </w:pPr>
      <w:r>
        <w:rPr>
          <w:rFonts w:asciiTheme="majorHAnsi" w:hAnsiTheme="majorHAnsi" w:cstheme="majorHAnsi"/>
          <w:sz w:val="24"/>
          <w:szCs w:val="24"/>
        </w:rPr>
        <w:lastRenderedPageBreak/>
        <w:tab/>
      </w:r>
      <w:r w:rsidR="00A858FF">
        <w:rPr>
          <w:rFonts w:asciiTheme="majorHAnsi" w:hAnsiTheme="majorHAnsi" w:cstheme="majorHAnsi"/>
          <w:sz w:val="24"/>
          <w:szCs w:val="24"/>
        </w:rPr>
        <w:t xml:space="preserve">To better understand how certain Gram-negative bacteria use drug export as a significant part of their antibiotic resistance repertoire, we selected seven residues located within the </w:t>
      </w:r>
      <w:proofErr w:type="spellStart"/>
      <w:r w:rsidR="00A858FF">
        <w:rPr>
          <w:rFonts w:asciiTheme="majorHAnsi" w:hAnsiTheme="majorHAnsi" w:cstheme="majorHAnsi"/>
          <w:sz w:val="24"/>
          <w:szCs w:val="24"/>
        </w:rPr>
        <w:t>AdeJ</w:t>
      </w:r>
      <w:proofErr w:type="spellEnd"/>
      <w:r w:rsidR="00A858FF">
        <w:rPr>
          <w:rFonts w:asciiTheme="majorHAnsi" w:hAnsiTheme="majorHAnsi" w:cstheme="majorHAnsi"/>
          <w:sz w:val="24"/>
          <w:szCs w:val="24"/>
        </w:rPr>
        <w:t xml:space="preserve"> binding pocket to substitute as a method of determining substrate-residue specificity. </w:t>
      </w:r>
    </w:p>
    <w:p w14:paraId="5A8C388E" w14:textId="0010C0ED" w:rsidR="00A858FF" w:rsidRDefault="00B63673" w:rsidP="005518A5">
      <w:pPr>
        <w:spacing w:line="360" w:lineRule="auto"/>
        <w:ind w:firstLine="720"/>
        <w:rPr>
          <w:rFonts w:asciiTheme="majorHAnsi" w:hAnsiTheme="majorHAnsi" w:cstheme="majorHAnsi"/>
          <w:sz w:val="24"/>
          <w:szCs w:val="24"/>
        </w:rPr>
      </w:pPr>
      <w:r>
        <w:rPr>
          <w:rFonts w:asciiTheme="majorHAnsi" w:hAnsiTheme="majorHAnsi" w:cstheme="majorHAnsi"/>
          <w:sz w:val="24"/>
          <w:szCs w:val="24"/>
        </w:rPr>
        <w:t>Erythromycin is a large macrolide antibiotic that is still used by clinicians today to treat chest infections, like pneumonia, skin infections, and sexually transmitted infections</w:t>
      </w:r>
      <w:r>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{"citationID":"nEnW4WNs","properties":{"formattedCitation":"\\super 172\\nosupersub{}","plainCitation":"172","noteIndex":0},"citationItems":[{"id":1974,"uris":["http://zotero.org/users/1918630/items/6WKR7M8S"],"itemData":{"id":1974,"type":"webpage","abstract":"NHS medicines information on erythromycin – what it’s used for and key facts.","container-title":"nhs.uk","language":"en","title":"About erythromycin","URL":"https://www.nhs.uk/medicines/erythromycin/about-erythromycin/","accessed":{"date-parts":[["2024",1,12]]},"issued":{"date-parts":[["2022",2,24]]}}}],"schema":"https://github.com/citation-style-language/schema/raw/master/csl-citation.json"} </w:instrText>
      </w:r>
      <w:r>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172</w:t>
      </w:r>
      <w:r>
        <w:rPr>
          <w:rFonts w:asciiTheme="majorHAnsi" w:hAnsiTheme="majorHAnsi" w:cstheme="majorHAnsi"/>
          <w:sz w:val="24"/>
          <w:szCs w:val="24"/>
        </w:rPr>
        <w:fldChar w:fldCharType="end"/>
      </w:r>
      <w:r>
        <w:rPr>
          <w:rFonts w:asciiTheme="majorHAnsi" w:hAnsiTheme="majorHAnsi" w:cstheme="majorHAnsi"/>
          <w:sz w:val="24"/>
          <w:szCs w:val="24"/>
        </w:rPr>
        <w:t xml:space="preserve"> and it is a substrate of the </w:t>
      </w:r>
      <w:proofErr w:type="spellStart"/>
      <w:r>
        <w:rPr>
          <w:rFonts w:asciiTheme="majorHAnsi" w:hAnsiTheme="majorHAnsi" w:cstheme="majorHAnsi"/>
          <w:sz w:val="24"/>
          <w:szCs w:val="24"/>
        </w:rPr>
        <w:t>AdeJ</w:t>
      </w:r>
      <w:proofErr w:type="spellEnd"/>
      <w:r>
        <w:rPr>
          <w:rFonts w:asciiTheme="majorHAnsi" w:hAnsiTheme="majorHAnsi" w:cstheme="majorHAnsi"/>
          <w:sz w:val="24"/>
          <w:szCs w:val="24"/>
        </w:rPr>
        <w:t xml:space="preserve"> pump. </w:t>
      </w:r>
      <w:r w:rsidR="00A858FF">
        <w:rPr>
          <w:rFonts w:asciiTheme="majorHAnsi" w:hAnsiTheme="majorHAnsi" w:cstheme="majorHAnsi"/>
          <w:sz w:val="24"/>
          <w:szCs w:val="24"/>
        </w:rPr>
        <w:t>Recently in 2023</w:t>
      </w:r>
      <w:r w:rsidR="000A77B9">
        <w:rPr>
          <w:rFonts w:asciiTheme="majorHAnsi" w:hAnsiTheme="majorHAnsi" w:cstheme="majorHAnsi"/>
          <w:sz w:val="24"/>
          <w:szCs w:val="24"/>
        </w:rPr>
        <w:t>, Zhang et al. published a solved</w:t>
      </w:r>
      <w:r w:rsidR="00A858FF">
        <w:rPr>
          <w:rFonts w:asciiTheme="majorHAnsi" w:hAnsiTheme="majorHAnsi" w:cstheme="majorHAnsi"/>
          <w:sz w:val="24"/>
          <w:szCs w:val="24"/>
        </w:rPr>
        <w:t xml:space="preserve"> Cryo-EM crystal structure of the </w:t>
      </w:r>
      <w:r w:rsidR="00A858FF">
        <w:rPr>
          <w:rFonts w:asciiTheme="majorHAnsi" w:hAnsiTheme="majorHAnsi" w:cstheme="majorHAnsi"/>
          <w:i/>
          <w:iCs/>
          <w:sz w:val="24"/>
          <w:szCs w:val="24"/>
        </w:rPr>
        <w:t xml:space="preserve">Klebsiella pneumoniae </w:t>
      </w:r>
      <w:r w:rsidR="00A858FF">
        <w:rPr>
          <w:rFonts w:asciiTheme="majorHAnsi" w:hAnsiTheme="majorHAnsi" w:cstheme="majorHAnsi"/>
          <w:sz w:val="24"/>
          <w:szCs w:val="24"/>
        </w:rPr>
        <w:t xml:space="preserve">AcrB efflux pump, another RND transporter similar to </w:t>
      </w:r>
      <w:proofErr w:type="spellStart"/>
      <w:r w:rsidR="00A858FF">
        <w:rPr>
          <w:rFonts w:asciiTheme="majorHAnsi" w:hAnsiTheme="majorHAnsi" w:cstheme="majorHAnsi"/>
          <w:sz w:val="24"/>
          <w:szCs w:val="24"/>
        </w:rPr>
        <w:t>AdeJ</w:t>
      </w:r>
      <w:proofErr w:type="spellEnd"/>
      <w:r w:rsidR="000A77B9">
        <w:rPr>
          <w:rFonts w:asciiTheme="majorHAnsi" w:hAnsiTheme="majorHAnsi" w:cstheme="majorHAnsi"/>
          <w:sz w:val="24"/>
          <w:szCs w:val="24"/>
        </w:rPr>
        <w:t>, bound with erythromycin.</w:t>
      </w:r>
      <w:r w:rsidR="000A77B9">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{"citationID":"8J1AmYiA","properties":{"formattedCitation":"\\super 173\\nosupersub{}","plainCitation":"173","noteIndex":0},"citationItems":[{"id":1976,"uris":["http://zotero.org/users/1918630/items/NYDPTADH"],"itemData":{"id":1976,"type":"article-journal","abstract":"The continued challenges of the COVID-19 pandemic combined with the growing problem of antimicrobial-resistant bacterial infections has severely impacted global health. Specifically, the Gram-negative pathogen Klebsiella pneumoniae is one of the most prevalent causes of secondary bacterial infection in COVID-19 patients, with approximately an 83% mortality rate observed among COVID-19 patients with these bacterial coinfections. K. pneumoniae belongs to the ESKAPE group of pathogens, a group that commonly gives rise to severe infections that are often life-threatening. Recently, K. pneumoniae carbapenemase (KPC)-producing K. pneumoniae has drawn wide public attention, as the mortality rate for this infection can be as high as 71%. The most predominant and clinically important multidrug efflux system in K. pneumoniae is the acriflavine resistance B (AcrB) multidrug efflux pump. This pump mediates resistance to different classes of structurally diverse antimicrobial agents, including quinolones, β-lactams, tetracyclines, macrolides, aminoglycosides, and chloramphenicol. We here report single-particle cryo-electron microscopy (cryo-EM) structures of K. pneumoniae AcrB, in both the absence and the presence of the antibiotic erythromycin. These structures allow us to elucidate specific pump-drug interactions and pinpoint exactly how this pump recognizes antibiotics. IMPORTANCE Klebsiella pneumoniae has emerged as one of the most problematic and highly antibiotic-resistant pathogens worldwide. It is the second most common causative agent involved in secondary bacterial infection in COVID-19 patients. K. pneumoniae carbapenemase (KPC)-producing K. pneumoniae is a major concern in global public health because of the high mortality rate of this infection. Its drug resistance is due, in a significant part, to active efflux of these bactericides, a major mechanism that K. pneumoniae uses to resist to the action of multiple classes of antibiotics. Here, we report cryo-electron microscopy (cryo-EM) structures of the prevalent and clinically important K. pneumoniae AcrB multidrug efflux pump, in both the absence and the presence of the erythromycin antibiotic. These structures allow us to understand the action mechanism for drug recognition in this pump. Our studies will ultimately inform an era in structure-guided drug design to combat multidrug resistance in these Gram-negative pathogens.","container-title":"mBio","DOI":"10.1128/mbio.00659-23","ISSN":"2150-7511","issue":"3","journalAbbreviation":"mBio","language":"eng","note":"PMID: 37067435\nPMCID: PMC10294659","page":"e0065923","source":"PubMed","title":"Cryo-EM Structures of the Klebsiella pneumoniae AcrB Multidrug Efflux Pump","volume":"14","author":[{"family":"Zhang","given":"Zhemin"},{"family":"Morgan","given":"Christopher E."},{"family":"Bonomo","given":"Robert A."},{"family":"Yu","given":"Edward W."}],"issued":{"date-parts":[["2023",6,27]]}}}],"schema":"https://github.com/citation-style-language/schema/raw/master/csl-citation.json"} </w:instrText>
      </w:r>
      <w:r w:rsidR="000A77B9">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173</w:t>
      </w:r>
      <w:r w:rsidR="000A77B9">
        <w:rPr>
          <w:rFonts w:asciiTheme="majorHAnsi" w:hAnsiTheme="majorHAnsi" w:cstheme="majorHAnsi"/>
          <w:sz w:val="24"/>
          <w:szCs w:val="24"/>
        </w:rPr>
        <w:fldChar w:fldCharType="end"/>
      </w:r>
      <w:r w:rsidR="000A77B9">
        <w:rPr>
          <w:rFonts w:asciiTheme="majorHAnsi" w:hAnsiTheme="majorHAnsi" w:cstheme="majorHAnsi"/>
          <w:sz w:val="24"/>
          <w:szCs w:val="24"/>
        </w:rPr>
        <w:t xml:space="preserve"> They found that the erythromycin molecule bound to a region deep within the distal binding pocket. There were many residues found to be involved in binding with erythromycin, including </w:t>
      </w:r>
      <w:r w:rsidR="00351920">
        <w:rPr>
          <w:rFonts w:asciiTheme="majorHAnsi" w:hAnsiTheme="majorHAnsi" w:cstheme="majorHAnsi"/>
          <w:sz w:val="24"/>
          <w:szCs w:val="24"/>
        </w:rPr>
        <w:t xml:space="preserve">four phenylalanine residues. Perhaps it was the removal of one of the </w:t>
      </w:r>
      <w:proofErr w:type="spellStart"/>
      <w:r w:rsidR="00351920">
        <w:rPr>
          <w:rFonts w:asciiTheme="majorHAnsi" w:hAnsiTheme="majorHAnsi" w:cstheme="majorHAnsi"/>
          <w:sz w:val="24"/>
          <w:szCs w:val="24"/>
        </w:rPr>
        <w:t>AdeJ</w:t>
      </w:r>
      <w:proofErr w:type="spellEnd"/>
      <w:r w:rsidR="00351920">
        <w:rPr>
          <w:rFonts w:asciiTheme="majorHAnsi" w:hAnsiTheme="majorHAnsi" w:cstheme="majorHAnsi"/>
          <w:sz w:val="24"/>
          <w:szCs w:val="24"/>
        </w:rPr>
        <w:t xml:space="preserve"> binding pocket phenylalanine residues that resulted in a change in the transporter’s ability to export erythromycin. It is possible that the </w:t>
      </w:r>
      <w:proofErr w:type="spellStart"/>
      <w:r w:rsidR="00351920">
        <w:rPr>
          <w:rFonts w:asciiTheme="majorHAnsi" w:hAnsiTheme="majorHAnsi" w:cstheme="majorHAnsi"/>
          <w:sz w:val="24"/>
          <w:szCs w:val="24"/>
        </w:rPr>
        <w:t>AdeJ</w:t>
      </w:r>
      <w:proofErr w:type="spellEnd"/>
      <w:r w:rsidR="00351920">
        <w:rPr>
          <w:rFonts w:asciiTheme="majorHAnsi" w:hAnsiTheme="majorHAnsi" w:cstheme="majorHAnsi"/>
          <w:sz w:val="24"/>
          <w:szCs w:val="24"/>
        </w:rPr>
        <w:t xml:space="preserve"> substitution F136A still allowed for enough erythromycin-binding pocket interactions</w:t>
      </w:r>
      <w:r w:rsidR="000A77B9">
        <w:rPr>
          <w:rFonts w:asciiTheme="majorHAnsi" w:hAnsiTheme="majorHAnsi" w:cstheme="majorHAnsi"/>
          <w:sz w:val="24"/>
          <w:szCs w:val="24"/>
        </w:rPr>
        <w:t xml:space="preserve"> </w:t>
      </w:r>
      <w:r w:rsidR="00351920">
        <w:rPr>
          <w:rFonts w:asciiTheme="majorHAnsi" w:hAnsiTheme="majorHAnsi" w:cstheme="majorHAnsi"/>
          <w:sz w:val="24"/>
          <w:szCs w:val="24"/>
        </w:rPr>
        <w:t>to transport the ERY molecule but also allowed for improved ERY export by reducing volume taken up by residue sidechains in the binding pocket enough to better accommodate the ERY molecule into and through the transporter.</w:t>
      </w:r>
      <w:r w:rsidR="00771E88">
        <w:rPr>
          <w:rFonts w:asciiTheme="majorHAnsi" w:hAnsiTheme="majorHAnsi" w:cstheme="majorHAnsi"/>
          <w:sz w:val="24"/>
          <w:szCs w:val="24"/>
        </w:rPr>
        <w:t xml:space="preserve"> This result contrasts with the homologous AdeG substitution mutant L138A</w:t>
      </w:r>
      <w:r w:rsidR="003934ED">
        <w:rPr>
          <w:rFonts w:asciiTheme="majorHAnsi" w:hAnsiTheme="majorHAnsi" w:cstheme="majorHAnsi"/>
          <w:sz w:val="24"/>
          <w:szCs w:val="24"/>
        </w:rPr>
        <w:t xml:space="preserve"> (</w:t>
      </w:r>
      <w:r w:rsidR="003934ED">
        <w:rPr>
          <w:rFonts w:asciiTheme="majorHAnsi" w:hAnsiTheme="majorHAnsi" w:cstheme="majorHAnsi"/>
          <w:b/>
          <w:bCs/>
          <w:sz w:val="24"/>
          <w:szCs w:val="24"/>
        </w:rPr>
        <w:t>Figure 5.1</w:t>
      </w:r>
      <w:r w:rsidR="003934ED">
        <w:rPr>
          <w:rFonts w:asciiTheme="majorHAnsi" w:hAnsiTheme="majorHAnsi" w:cstheme="majorHAnsi"/>
          <w:sz w:val="24"/>
          <w:szCs w:val="24"/>
        </w:rPr>
        <w:t>)</w:t>
      </w:r>
      <w:r w:rsidR="00771E88">
        <w:rPr>
          <w:rFonts w:asciiTheme="majorHAnsi" w:hAnsiTheme="majorHAnsi" w:cstheme="majorHAnsi"/>
          <w:sz w:val="24"/>
          <w:szCs w:val="24"/>
        </w:rPr>
        <w:t>, which showed less efficient substrate efflux.</w:t>
      </w:r>
    </w:p>
    <w:p w14:paraId="6E9695E5" w14:textId="4CDE4470" w:rsidR="00E62F31" w:rsidRDefault="00E62F31" w:rsidP="005518A5">
      <w:pPr>
        <w:spacing w:line="360" w:lineRule="auto"/>
        <w:ind w:firstLine="720"/>
        <w:rPr>
          <w:rFonts w:asciiTheme="majorHAnsi" w:hAnsiTheme="majorHAnsi" w:cstheme="majorHAnsi"/>
          <w:sz w:val="24"/>
          <w:szCs w:val="24"/>
        </w:rPr>
      </w:pPr>
      <w:r>
        <w:rPr>
          <w:rFonts w:asciiTheme="majorHAnsi" w:hAnsiTheme="majorHAnsi" w:cstheme="majorHAnsi"/>
          <w:sz w:val="24"/>
          <w:szCs w:val="24"/>
        </w:rPr>
        <w:t xml:space="preserve">As for the decreased erythromycin susceptibility in the </w:t>
      </w:r>
      <w:proofErr w:type="spellStart"/>
      <w:r>
        <w:rPr>
          <w:rFonts w:asciiTheme="majorHAnsi" w:hAnsiTheme="majorHAnsi" w:cstheme="majorHAnsi"/>
          <w:sz w:val="24"/>
          <w:szCs w:val="24"/>
        </w:rPr>
        <w:t>AdeJ</w:t>
      </w:r>
      <w:proofErr w:type="spellEnd"/>
      <w:r w:rsidR="00260808">
        <w:rPr>
          <w:rFonts w:asciiTheme="majorHAnsi" w:hAnsiTheme="majorHAnsi" w:cstheme="majorHAnsi"/>
          <w:sz w:val="24"/>
          <w:szCs w:val="24"/>
        </w:rPr>
        <w:t xml:space="preserve"> R701A mutant, this could be due to better accommodation of the ERY molecule into the distal binding pocket. The substitution of the arginine for an alanine at residue </w:t>
      </w:r>
      <w:r w:rsidR="00FA33E4">
        <w:rPr>
          <w:rFonts w:asciiTheme="majorHAnsi" w:hAnsiTheme="majorHAnsi" w:cstheme="majorHAnsi"/>
          <w:sz w:val="24"/>
          <w:szCs w:val="24"/>
        </w:rPr>
        <w:t>#</w:t>
      </w:r>
      <w:r w:rsidR="00260808">
        <w:rPr>
          <w:rFonts w:asciiTheme="majorHAnsi" w:hAnsiTheme="majorHAnsi" w:cstheme="majorHAnsi"/>
          <w:sz w:val="24"/>
          <w:szCs w:val="24"/>
        </w:rPr>
        <w:t>701 could reduce the electrostatic repulsive forces against ERY enough to significantly improve export.</w:t>
      </w:r>
      <w:r w:rsidR="00771E88">
        <w:rPr>
          <w:rFonts w:asciiTheme="majorHAnsi" w:hAnsiTheme="majorHAnsi" w:cstheme="majorHAnsi"/>
          <w:sz w:val="24"/>
          <w:szCs w:val="24"/>
        </w:rPr>
        <w:t xml:space="preserve"> This is in contrast to the homologous AdeG substitution mutant A705I </w:t>
      </w:r>
      <w:r w:rsidR="003934ED">
        <w:rPr>
          <w:rFonts w:asciiTheme="majorHAnsi" w:hAnsiTheme="majorHAnsi" w:cstheme="majorHAnsi"/>
          <w:sz w:val="24"/>
          <w:szCs w:val="24"/>
        </w:rPr>
        <w:t>(</w:t>
      </w:r>
      <w:r w:rsidR="003934ED">
        <w:rPr>
          <w:rFonts w:asciiTheme="majorHAnsi" w:hAnsiTheme="majorHAnsi" w:cstheme="majorHAnsi"/>
          <w:b/>
          <w:bCs/>
          <w:sz w:val="24"/>
          <w:szCs w:val="24"/>
        </w:rPr>
        <w:t>Figure 5.</w:t>
      </w:r>
      <w:r w:rsidR="003934ED" w:rsidRPr="003934ED">
        <w:rPr>
          <w:rFonts w:asciiTheme="majorHAnsi" w:hAnsiTheme="majorHAnsi" w:cstheme="majorHAnsi"/>
          <w:b/>
          <w:bCs/>
          <w:sz w:val="24"/>
          <w:szCs w:val="24"/>
        </w:rPr>
        <w:t>1</w:t>
      </w:r>
      <w:r w:rsidR="003934ED">
        <w:rPr>
          <w:rFonts w:asciiTheme="majorHAnsi" w:hAnsiTheme="majorHAnsi" w:cstheme="majorHAnsi"/>
          <w:sz w:val="24"/>
          <w:szCs w:val="24"/>
        </w:rPr>
        <w:t>)</w:t>
      </w:r>
      <w:r w:rsidR="000F7C55">
        <w:rPr>
          <w:rFonts w:asciiTheme="majorHAnsi" w:hAnsiTheme="majorHAnsi" w:cstheme="majorHAnsi"/>
          <w:sz w:val="24"/>
          <w:szCs w:val="24"/>
        </w:rPr>
        <w:t xml:space="preserve"> </w:t>
      </w:r>
      <w:r w:rsidR="00771E88" w:rsidRPr="003934ED">
        <w:rPr>
          <w:rFonts w:asciiTheme="majorHAnsi" w:hAnsiTheme="majorHAnsi" w:cstheme="majorHAnsi"/>
          <w:sz w:val="24"/>
          <w:szCs w:val="24"/>
        </w:rPr>
        <w:t>which</w:t>
      </w:r>
      <w:r w:rsidR="00771E88">
        <w:rPr>
          <w:rFonts w:asciiTheme="majorHAnsi" w:hAnsiTheme="majorHAnsi" w:cstheme="majorHAnsi"/>
          <w:sz w:val="24"/>
          <w:szCs w:val="24"/>
        </w:rPr>
        <w:t xml:space="preserve"> did not show any changes in antibiotic substrate susceptibility. </w:t>
      </w:r>
    </w:p>
    <w:p w14:paraId="7BD898D5" w14:textId="6B647A4F" w:rsidR="006F078F" w:rsidRPr="006F078F" w:rsidRDefault="00351920" w:rsidP="005518A5">
      <w:pPr>
        <w:spacing w:line="360" w:lineRule="auto"/>
        <w:ind w:firstLine="720"/>
        <w:rPr>
          <w:sz w:val="24"/>
          <w:szCs w:val="24"/>
        </w:rPr>
      </w:pPr>
      <w:r>
        <w:rPr>
          <w:rFonts w:asciiTheme="majorHAnsi" w:hAnsiTheme="majorHAnsi" w:cstheme="majorHAnsi"/>
          <w:sz w:val="24"/>
          <w:szCs w:val="24"/>
        </w:rPr>
        <w:t>Another recent publication of an antibiotic bound transporter structure</w:t>
      </w:r>
      <w:r w:rsidR="001B00DB">
        <w:rPr>
          <w:rFonts w:asciiTheme="majorHAnsi" w:hAnsiTheme="majorHAnsi" w:cstheme="majorHAnsi"/>
          <w:sz w:val="24"/>
          <w:szCs w:val="24"/>
        </w:rPr>
        <w:t xml:space="preserve">, published by the same authors as the </w:t>
      </w:r>
      <w:r w:rsidR="001B00DB">
        <w:rPr>
          <w:rFonts w:asciiTheme="majorHAnsi" w:hAnsiTheme="majorHAnsi" w:cstheme="majorHAnsi"/>
          <w:i/>
          <w:iCs/>
          <w:sz w:val="24"/>
          <w:szCs w:val="24"/>
        </w:rPr>
        <w:t>Klebsiella</w:t>
      </w:r>
      <w:r w:rsidR="001B00DB">
        <w:rPr>
          <w:rFonts w:asciiTheme="majorHAnsi" w:hAnsiTheme="majorHAnsi" w:cstheme="majorHAnsi"/>
          <w:sz w:val="24"/>
          <w:szCs w:val="24"/>
        </w:rPr>
        <w:t xml:space="preserve"> AcrB-ERY structure, shows the tetracycline derivative </w:t>
      </w:r>
      <w:proofErr w:type="spellStart"/>
      <w:r w:rsidR="00AA36F1">
        <w:rPr>
          <w:rFonts w:asciiTheme="majorHAnsi" w:hAnsiTheme="majorHAnsi" w:cstheme="majorHAnsi"/>
          <w:sz w:val="24"/>
          <w:szCs w:val="24"/>
        </w:rPr>
        <w:t>e</w:t>
      </w:r>
      <w:r w:rsidR="001B00DB">
        <w:rPr>
          <w:rFonts w:asciiTheme="majorHAnsi" w:hAnsiTheme="majorHAnsi" w:cstheme="majorHAnsi"/>
          <w:sz w:val="24"/>
          <w:szCs w:val="24"/>
        </w:rPr>
        <w:t>ravacycline</w:t>
      </w:r>
      <w:proofErr w:type="spellEnd"/>
      <w:r w:rsidR="001B00DB">
        <w:rPr>
          <w:rFonts w:asciiTheme="majorHAnsi" w:hAnsiTheme="majorHAnsi" w:cstheme="majorHAnsi"/>
          <w:sz w:val="24"/>
          <w:szCs w:val="24"/>
        </w:rPr>
        <w:t xml:space="preserve"> bound to </w:t>
      </w:r>
      <w:proofErr w:type="spellStart"/>
      <w:r w:rsidR="001B00DB">
        <w:rPr>
          <w:rFonts w:asciiTheme="majorHAnsi" w:hAnsiTheme="majorHAnsi" w:cstheme="majorHAnsi"/>
          <w:sz w:val="24"/>
          <w:szCs w:val="24"/>
        </w:rPr>
        <w:t>AdeJ</w:t>
      </w:r>
      <w:proofErr w:type="spellEnd"/>
      <w:r w:rsidR="001B00DB">
        <w:rPr>
          <w:rFonts w:asciiTheme="majorHAnsi" w:hAnsiTheme="majorHAnsi" w:cstheme="majorHAnsi"/>
          <w:sz w:val="24"/>
          <w:szCs w:val="24"/>
        </w:rPr>
        <w:t xml:space="preserve"> of </w:t>
      </w:r>
      <w:r w:rsidR="001B00DB">
        <w:rPr>
          <w:rFonts w:asciiTheme="majorHAnsi" w:hAnsiTheme="majorHAnsi" w:cstheme="majorHAnsi"/>
          <w:i/>
          <w:iCs/>
          <w:sz w:val="24"/>
          <w:szCs w:val="24"/>
        </w:rPr>
        <w:t>A</w:t>
      </w:r>
      <w:r w:rsidR="00641177">
        <w:rPr>
          <w:rFonts w:asciiTheme="majorHAnsi" w:hAnsiTheme="majorHAnsi" w:cstheme="majorHAnsi"/>
          <w:i/>
          <w:iCs/>
          <w:sz w:val="24"/>
          <w:szCs w:val="24"/>
        </w:rPr>
        <w:t>.</w:t>
      </w:r>
      <w:r w:rsidR="001B00DB">
        <w:rPr>
          <w:rFonts w:asciiTheme="majorHAnsi" w:hAnsiTheme="majorHAnsi" w:cstheme="majorHAnsi"/>
          <w:i/>
          <w:iCs/>
          <w:sz w:val="24"/>
          <w:szCs w:val="24"/>
        </w:rPr>
        <w:t xml:space="preserve"> baumannii</w:t>
      </w:r>
      <w:r w:rsidR="001B00DB">
        <w:rPr>
          <w:rFonts w:asciiTheme="majorHAnsi" w:hAnsiTheme="majorHAnsi" w:cstheme="majorHAnsi"/>
          <w:sz w:val="24"/>
          <w:szCs w:val="24"/>
        </w:rPr>
        <w:t xml:space="preserve">. </w:t>
      </w:r>
      <w:r w:rsidR="001B00DB">
        <w:rPr>
          <w:rFonts w:asciiTheme="majorHAnsi" w:hAnsiTheme="majorHAnsi" w:cstheme="majorHAnsi"/>
          <w:sz w:val="24"/>
          <w:szCs w:val="24"/>
        </w:rPr>
        <w:fldChar w:fldCharType="begin"/>
      </w:r>
      <w:r w:rsidR="002F6F9F">
        <w:rPr>
          <w:rFonts w:asciiTheme="majorHAnsi" w:hAnsiTheme="majorHAnsi" w:cstheme="majorHAnsi"/>
          <w:sz w:val="24"/>
          <w:szCs w:val="24"/>
        </w:rPr>
        <w:instrText xml:space="preserve"> ADDIN ZOTERO_ITEM CSL_CITATION {"citationID":"yNTMLOfd","properties":{"formattedCitation":"\\super 174\\nosupersub{}","plainCitation":"174","noteIndex":0},"citationItems":[{"id":1384,"uris":["http://zotero.org/users/1918630/items/6VFC7HNM"],"itemData":{"id":1384,"type":"article-journal","abstract":"Antibiotic-resistant strains of the Gram-negative pathogen Acinetobacter baumannii have emerged as a significant global health threat. One successful therapeutic option to treat bacterial infections has been to target the bacterial ribosome. However, in many cases, multidrug efflux pumps within the bacterium recognize and extrude these clinically important antibiotics designed to inhibit the protein synthesis function of the bacterial ribosome. Thus, multidrug efflux within A. baumannii and other highly drug-resistant strains is a major cause of failure of drug-based treatments of infectious diseases. We here report the first structures of the Acinetobacter drug efflux (Ade)J pump in the presence of the antibiotic eravacycline, using single-particle cryo-electron microscopy (cryo-EM). We also describe cryo-EM structures of the eravacycline-bound forms of the A. baumannii ribosome, including the 70S, 50S, and 30S forms. Our data indicate that the AdeJ pump primarily uses hydrophobic interactions to bind eravacycline, while the 70S ribosome utilizes electrostatic interactions to bind this drug. Our work here highlights how an antibiotic can bind multiple bacterial targets through different mechanisms and potentially enables drug optimization by taking advantage of these different modes of ligand binding. IMPORTANCE Acinetobacter baumannii has developed into a highly antibiotic-resistant Gram-negative pathogen. The prevalent AdeJ multidrug efflux pump mediates resistance to different classes of antibiotics known to inhibit the function of the 70S ribosome. Here, we report the first structures of the A. baumannii AdeJ pump, both in the absence and presence of eravacycline. We also describe structures of the A. baumannii ribosome bound by this antibiotic. Our results indicate that AdeJ and the ribosome use very distinct binding modes for drug recognition. Our work will ultimately enable structure-based drug discovery to combat antibiotic-resistant A. baumannii infection.","container-title":"mBio","DOI":"10.1128/mbio.01031-21","ISSN":"2150-7511","issue":"3","journalAbbreviation":"mBio","language":"eng","license":"cc by","note":"PMID: 34044590\nPMCID: PMC8263017","page":"e0103121","source":"Europe PMC","title":"Cryo-EM Determination of Eravacycline-Bound Structures of the Ribosome and the Multidrug Efflux Pump AdeJ of Acinetobacter baumannii","volume":"12","author":[{"family":"Zhang","given":"Zhemin"},{"family":"Morgan","given":"Christopher E"},{"family":"Bonomo","given":"Robert A"},{"family":"Yu","given":"Edward W"}],"issued":{"date-parts":[["2021",6,1]]}}}],"schema":"https://github.com/citation-style-language/schema/raw/master/csl-citation.json"} </w:instrText>
      </w:r>
      <w:r w:rsidR="001B00DB">
        <w:rPr>
          <w:rFonts w:asciiTheme="majorHAnsi" w:hAnsiTheme="majorHAnsi" w:cstheme="majorHAnsi"/>
          <w:sz w:val="24"/>
          <w:szCs w:val="24"/>
        </w:rPr>
        <w:fldChar w:fldCharType="separate"/>
      </w:r>
      <w:r w:rsidR="002F6F9F" w:rsidRPr="002F6F9F">
        <w:rPr>
          <w:rFonts w:ascii="Times New Roman" w:hAnsi="Times New Roman" w:cs="Times New Roman"/>
          <w:sz w:val="24"/>
          <w:vertAlign w:val="superscript"/>
        </w:rPr>
        <w:t>174</w:t>
      </w:r>
      <w:r w:rsidR="001B00DB">
        <w:rPr>
          <w:rFonts w:asciiTheme="majorHAnsi" w:hAnsiTheme="majorHAnsi" w:cstheme="majorHAnsi"/>
          <w:sz w:val="24"/>
          <w:szCs w:val="24"/>
        </w:rPr>
        <w:fldChar w:fldCharType="end"/>
      </w:r>
      <w:r w:rsidR="001D7E59">
        <w:rPr>
          <w:rFonts w:asciiTheme="majorHAnsi" w:hAnsiTheme="majorHAnsi" w:cstheme="majorHAnsi"/>
          <w:sz w:val="24"/>
          <w:szCs w:val="24"/>
        </w:rPr>
        <w:t xml:space="preserve"> </w:t>
      </w:r>
      <w:r w:rsidR="001D7E59">
        <w:rPr>
          <w:sz w:val="24"/>
          <w:szCs w:val="24"/>
        </w:rPr>
        <w:t xml:space="preserve">Two of the </w:t>
      </w:r>
      <w:proofErr w:type="spellStart"/>
      <w:r w:rsidR="001D7E59">
        <w:rPr>
          <w:sz w:val="24"/>
          <w:szCs w:val="24"/>
        </w:rPr>
        <w:t>AdeJ</w:t>
      </w:r>
      <w:proofErr w:type="spellEnd"/>
      <w:r w:rsidR="001D7E59">
        <w:rPr>
          <w:sz w:val="24"/>
          <w:szCs w:val="24"/>
        </w:rPr>
        <w:t xml:space="preserve"> residues we selected for mutagenesis (F136 and F618), along with V139, F178, G179, G180, F277, A326, Y327, F611, V613, F616, and F629, were found to anchor the </w:t>
      </w:r>
      <w:proofErr w:type="spellStart"/>
      <w:r w:rsidR="001D7E59">
        <w:rPr>
          <w:sz w:val="24"/>
          <w:szCs w:val="24"/>
        </w:rPr>
        <w:t>eravacycline</w:t>
      </w:r>
      <w:proofErr w:type="spellEnd"/>
      <w:r w:rsidR="001D7E59">
        <w:rPr>
          <w:sz w:val="24"/>
          <w:szCs w:val="24"/>
        </w:rPr>
        <w:t xml:space="preserve"> </w:t>
      </w:r>
      <w:r w:rsidR="001D7E59">
        <w:rPr>
          <w:sz w:val="24"/>
          <w:szCs w:val="24"/>
        </w:rPr>
        <w:lastRenderedPageBreak/>
        <w:t xml:space="preserve">molecule to the binding pocket. It is apparent that the many hydrophobic amino acid residues found in the </w:t>
      </w:r>
      <w:proofErr w:type="spellStart"/>
      <w:r w:rsidR="001D7E59">
        <w:rPr>
          <w:sz w:val="24"/>
          <w:szCs w:val="24"/>
        </w:rPr>
        <w:t>AdeJ</w:t>
      </w:r>
      <w:proofErr w:type="spellEnd"/>
      <w:r w:rsidR="001D7E59">
        <w:rPr>
          <w:sz w:val="24"/>
          <w:szCs w:val="24"/>
        </w:rPr>
        <w:t xml:space="preserve"> binding pocket play an important role in the transporter’s ability to export such a wide variety of substrates. Some of the residues we selected for mutagenesis, including F618, E675, and G721, have been found to be conserved among </w:t>
      </w:r>
      <w:r w:rsidR="001D7E59">
        <w:rPr>
          <w:i/>
          <w:iCs/>
          <w:sz w:val="24"/>
          <w:szCs w:val="24"/>
        </w:rPr>
        <w:t xml:space="preserve">A. </w:t>
      </w:r>
      <w:proofErr w:type="spellStart"/>
      <w:r w:rsidR="001D7E59">
        <w:rPr>
          <w:i/>
          <w:iCs/>
          <w:sz w:val="24"/>
          <w:szCs w:val="24"/>
        </w:rPr>
        <w:t>baumannii</w:t>
      </w:r>
      <w:r w:rsidR="001D7E59">
        <w:rPr>
          <w:sz w:val="24"/>
          <w:szCs w:val="24"/>
        </w:rPr>
        <w:t>’s</w:t>
      </w:r>
      <w:proofErr w:type="spellEnd"/>
      <w:r w:rsidR="001D7E59">
        <w:rPr>
          <w:sz w:val="24"/>
          <w:szCs w:val="24"/>
        </w:rPr>
        <w:t xml:space="preserve"> </w:t>
      </w:r>
      <w:proofErr w:type="spellStart"/>
      <w:r w:rsidR="001D7E59">
        <w:rPr>
          <w:sz w:val="24"/>
          <w:szCs w:val="24"/>
        </w:rPr>
        <w:t>AdeJ</w:t>
      </w:r>
      <w:proofErr w:type="spellEnd"/>
      <w:r w:rsidR="001D7E59">
        <w:rPr>
          <w:sz w:val="24"/>
          <w:szCs w:val="24"/>
        </w:rPr>
        <w:t xml:space="preserve"> and </w:t>
      </w:r>
      <w:proofErr w:type="spellStart"/>
      <w:r w:rsidR="001D7E59">
        <w:rPr>
          <w:sz w:val="24"/>
          <w:szCs w:val="24"/>
        </w:rPr>
        <w:t>AdeB</w:t>
      </w:r>
      <w:proofErr w:type="spellEnd"/>
      <w:r w:rsidR="001D7E59">
        <w:rPr>
          <w:sz w:val="24"/>
          <w:szCs w:val="24"/>
        </w:rPr>
        <w:t xml:space="preserve"> pumps</w:t>
      </w:r>
      <w:r w:rsidR="001D7E59">
        <w:rPr>
          <w:sz w:val="24"/>
          <w:szCs w:val="24"/>
        </w:rPr>
        <w:fldChar w:fldCharType="begin"/>
      </w:r>
      <w:r w:rsidR="002F6F9F">
        <w:rPr>
          <w:sz w:val="24"/>
          <w:szCs w:val="24"/>
        </w:rPr>
        <w:instrText xml:space="preserve"> ADDIN ZOTERO_ITEM CSL_CITATION {"citationID":"TplQVVAb","properties":{"formattedCitation":"\\super 175,176\\nosupersub{}","plainCitation":"175,176","noteIndex":0},"citationItems":[{"id":1979,"uris":["http://zotero.org/users/1918630/items/W3HWGKKM"],"itemData":{"id":1979,"type":"article-journal","abstract":"Resistance-nodulation-cell division multidrug efflux pumps are membrane proteins that catalyze the export of drugs and toxic compounds out of bacterial cells. Within the hydrophobe-amphiphile subfamily, these multidrug-resistant proteins form trimeric efflux pumps. The drug efflux process is energized by the influx of protons. Here, we use single-particle cryo-electron microscopy to elucidate the structure of the Acinetobacter baumannii AdeB multidrug efflux pump embedded in lipidic nanodiscs to a resolution of 2.98 Å. We found that each AdeB molecule within the trimer preferentially takes the resting conformational state in the absence of substrates. We propose that proton influx and drug efflux are synchronized and coordinated within the transport cycle.\nIMPORTANCE Acinetobacter baumannii is a successful human pathogen which has emerged as one of the most problematic and highly antibiotic-resistant Gram-negative bacteria worldwide. Multidrug efflux is a major mechanism that A. baumannii uses to counteract the action of multiple classes of antibiotics, such as β-lactams, tetracyclines, fluoroquinolones, and aminoglycosides. Here, we report a cryo-electron microscopy (cryo-EM) structure of the prevalent A. baumannii AdeB multidrug efflux pump, which indicates a plausible pathway for multidrug extrusion. Overall, our data suggest a mechanism for energy coupling that powers up this membrane protein to export antibiotics from bacterial cells. Our studies will ultimately inform an era in structure-guided drug design to combat multidrug resistance in these Gram-negative pathogens.","container-title":"mBio","DOI":"10.1128/mbio.01295-19","issue":"4","note":"publisher: American Society for Microbiology","page":"10.1128/mbio.01295-19","source":"journals.asm.org (Atypon)","title":"Cryo-Electron Microscopy Structure of an Acinetobacter baumannii Multidrug Efflux Pump","volume":"10","author":[{"family":"Su","given":"Chih-Chia"},{"family":"Morgan","given":"Christopher E."},{"family":"Kambakam","given":"Sekhar"},{"family":"Rajavel","given":"Malligarjunan"},{"family":"Scott","given":"Harry"},{"family":"Huang","given":"Wei"},{"family":"Emerson","given":"Corey C."},{"family":"Taylor","given":"Derek J."},{"family":"Stewart","given":"Phoebe L."},{"family":"Bonomo","given":"Robert A."},{"family":"Yu","given":"Edward W."}],"issued":{"date-parts":[["2019",7,2]]}}},{"id":1981,"uris":["http://zotero.org/users/1918630/items/5WMQBRXF"],"itemData":{"id":1981,"type":"article-journal","abstract":"Acinetobacter baumannii is a Gram-negative pathogen that has emerged as one of the most highly antibiotic-resistant bacteria worldwide. Multidrug efflux within these highly drug-resistant strains and other opportunistic pathogens is a major cause of failure of drug-based treatments of infectious diseases. The best-characterized multidrug efflux system in A. baumannii is the prevalent Acinetobacterdrug efflux B (AdeB) pump, which is a member of the resistance-nodulation-cell division (RND) superfamily. Here, we report six structures of the trimeric AdeB multidrug efflux pump in the presence of ethidium bromide using single-particle cryoelectron microscopy (cryo-EM). These structures allow us to directly observe various novel conformational states of the AdeB trimer, including the transmembrane region of trimeric AdeB can be associated with form a trimer assembly or dissociated into \"dimer plus monomer\" and \"monomer plus monomer plus monomer\" configurations. We also discover that a single AdeB protomer can simultaneously anchor a number of ethidium ligands and that different AdeB protomers can bind ethidium molecules simultaneously. Combined with molecular dynamics (MD) simulations, we reveal a drug transport mechanism that involves multiple multidrug-binding sites and various transient states of the AdeB membrane protein. Our data suggest that each AdeB protomer within the trimer binds and exports drugs independently.IMPORTANCEAcinetobacter baumannii has emerged as one of the most highly antibiotic-resistant Gram-negative pathogens. The prevalent AdeB multidrug efflux pump mediates resistance to a broad spectrum of clinically relevant antimicrobial agents. Here, we report six cryo-EM structures of the trimeric AdeB pump in the presence of ethidium bromide. We discover that a single AdeB protomer can simultaneously anchor a number of ligands, and different AdeB protomers can bind ethidium molecules simultaneously. The results indicate that each AdeB protomer within the trimer recognizes and extrudes drugs independently.","container-title":"mBio","DOI":"10.1128/mBio.03690-20","ISSN":"2150-7511","issue":"1","journalAbbreviation":"mBio","language":"eng","note":"PMID: 33622726\nPMCID: PMC8545137","page":"e03690-20","source":"PubMed","title":"Cryoelectron Microscopy Structures of AdeB Illuminate Mechanisms of Simultaneous Binding and Exporting of Substrates","volume":"12","author":[{"family":"Morgan","given":"Christopher E."},{"family":"Glaza","given":"Przemyslaw"},{"family":"Leus","given":"Inga V."},{"family":"Trinh","given":"Anhthu"},{"family":"Su","given":"Chih-Chia"},{"family":"Cui","given":"Meng"},{"family":"Zgurskaya","given":"Helen I."},{"family":"Yu","given":"Edward W."}],"issued":{"date-parts":[["2021",2,23]]}}}],"schema":"https://github.com/citation-style-language/schema/raw/master/csl-citation.json"} </w:instrText>
      </w:r>
      <w:r w:rsidR="001D7E59">
        <w:rPr>
          <w:sz w:val="24"/>
          <w:szCs w:val="24"/>
        </w:rPr>
        <w:fldChar w:fldCharType="separate"/>
      </w:r>
      <w:r w:rsidR="002F6F9F" w:rsidRPr="002F6F9F">
        <w:rPr>
          <w:rFonts w:ascii="Times New Roman" w:hAnsi="Times New Roman" w:cs="Times New Roman"/>
          <w:sz w:val="24"/>
          <w:vertAlign w:val="superscript"/>
        </w:rPr>
        <w:t>175,176</w:t>
      </w:r>
      <w:r w:rsidR="001D7E59">
        <w:rPr>
          <w:sz w:val="24"/>
          <w:szCs w:val="24"/>
        </w:rPr>
        <w:fldChar w:fldCharType="end"/>
      </w:r>
      <w:r w:rsidR="001D7E59">
        <w:rPr>
          <w:sz w:val="24"/>
          <w:szCs w:val="24"/>
        </w:rPr>
        <w:t xml:space="preserve">, so it is a bit surprising that substitutions of </w:t>
      </w:r>
      <w:proofErr w:type="spellStart"/>
      <w:r w:rsidR="001D7E59">
        <w:rPr>
          <w:sz w:val="24"/>
          <w:szCs w:val="24"/>
        </w:rPr>
        <w:t>AdeJ</w:t>
      </w:r>
      <w:proofErr w:type="spellEnd"/>
      <w:r w:rsidR="001D7E59">
        <w:rPr>
          <w:sz w:val="24"/>
          <w:szCs w:val="24"/>
        </w:rPr>
        <w:t xml:space="preserve"> F618A saw a</w:t>
      </w:r>
      <w:r w:rsidR="000F57AD">
        <w:rPr>
          <w:sz w:val="24"/>
          <w:szCs w:val="24"/>
        </w:rPr>
        <w:t xml:space="preserve"> decrease in erythromycin susceptibility. But p</w:t>
      </w:r>
      <w:r w:rsidR="006F078F">
        <w:rPr>
          <w:sz w:val="24"/>
          <w:szCs w:val="24"/>
        </w:rPr>
        <w:t xml:space="preserve">revious publications have uncovered examples of mutations leading to increased expression of efflux genes resulting in an increase in resistance to antibiotics, such as quinolone resistance in </w:t>
      </w:r>
      <w:proofErr w:type="spellStart"/>
      <w:r w:rsidR="006F078F">
        <w:rPr>
          <w:i/>
          <w:iCs/>
          <w:sz w:val="24"/>
          <w:szCs w:val="24"/>
        </w:rPr>
        <w:t>norA</w:t>
      </w:r>
      <w:proofErr w:type="spellEnd"/>
      <w:r w:rsidR="006F078F">
        <w:rPr>
          <w:i/>
          <w:iCs/>
          <w:sz w:val="24"/>
          <w:szCs w:val="24"/>
        </w:rPr>
        <w:t xml:space="preserve"> </w:t>
      </w:r>
      <w:r w:rsidR="006F078F">
        <w:rPr>
          <w:sz w:val="24"/>
          <w:szCs w:val="24"/>
        </w:rPr>
        <w:t xml:space="preserve">mutants of </w:t>
      </w:r>
      <w:r w:rsidR="006F078F">
        <w:rPr>
          <w:i/>
          <w:iCs/>
          <w:sz w:val="24"/>
          <w:szCs w:val="24"/>
        </w:rPr>
        <w:t>S. aureus</w:t>
      </w:r>
      <w:r w:rsidR="006F078F">
        <w:rPr>
          <w:sz w:val="24"/>
          <w:szCs w:val="24"/>
        </w:rPr>
        <w:fldChar w:fldCharType="begin"/>
      </w:r>
      <w:r w:rsidR="002F6F9F">
        <w:rPr>
          <w:sz w:val="24"/>
          <w:szCs w:val="24"/>
        </w:rPr>
        <w:instrText xml:space="preserve"> ADDIN ZOTERO_ITEM CSL_CITATION {"citationID":"yRZJdecu","properties":{"formattedCitation":"\\super 177\\nosupersub{}","plainCitation":"177","noteIndex":0},"citationItems":[{"id":1702,"uris":["http://zotero.org/users/1918630/items/JBSL8SUZ"],"itemData":{"id":1702,"type":"article-journal","abstract":"Transport processes are used by all organisms to obtain essential nutrients and to expel wastes and other potentially harmful substances from cells. Such processes are important means by which resistance to selected antimicrobial agents in bacteria is achieved. The recently described Staphylococcus aureus norA gene encodes a membrane-associated protein that mediates active efflux of fluoroquinolones from cells. SA-1199B is a fluoroquinolone-resistant strain of S. aureus from which we cloned an allele of norA (norA1199). Similar to that of norA, the protein product of norA1199 preferentially mediates efflux of hydrophilic fluoroquinolones in both S. aureus and an Escherichia coli host, a process driven by the proton motive force. Determination of the nucleotide sequence of norA1199 revealed an encoded 388-amino-acid hydrophobic polypeptide 95% homologous with the norA-encoded protein. Significant homology with other proteins involved in transport processes also exists, but especially with tetracycline efflux proteins and with the Bacillus subtilis Bmr protein that mediates active efflux of structurally unrelated compounds, including fluoroquinolones. In S. aureus, the norA1199-encoded protein also appears to function as a multidrug efflux transporter. Southern hybridization studies indicated that norA1199 (or an allele of it) is a naturally occurring S. aureus gene and that related sequences are present in the S. epidermidis genome. The nucleotide sequence of the wild-type allele of norA1199, cloned from the fluoroquinolone-susceptible parent strain of SA-1199B, did not differ from that of norA1199 throughout the coding region. Northern (RNA) and Southern hybridization studies showed that increased transcription, and not gene amplification, of norA1199 is the basis for fluoroquinolone resistance in SA-1199B.","container-title":"Antimicrobial Agents and Chemotherapy","ISSN":"0066-4804","issue":"5","journalAbbreviation":"Antimicrob Agents Chemother","note":"PMID: 8517696\nPMCID: PMC187905","page":"1086-1094","source":"PubMed Central","title":"Efflux-mediated fluoroquinolone resistance in Staphylococcus aureus.","volume":"37","author":[{"family":"Kaatz","given":"G W"},{"family":"Seo","given":"S M"},{"family":"Ruble","given":"C A"}],"issued":{"date-parts":[["1993",5]]}}}],"schema":"https://github.com/citation-style-language/schema/raw/master/csl-citation.json"} </w:instrText>
      </w:r>
      <w:r w:rsidR="006F078F">
        <w:rPr>
          <w:sz w:val="24"/>
          <w:szCs w:val="24"/>
        </w:rPr>
        <w:fldChar w:fldCharType="separate"/>
      </w:r>
      <w:r w:rsidR="002F6F9F" w:rsidRPr="002F6F9F">
        <w:rPr>
          <w:rFonts w:ascii="Times New Roman" w:hAnsi="Times New Roman" w:cs="Times New Roman"/>
          <w:sz w:val="24"/>
          <w:vertAlign w:val="superscript"/>
        </w:rPr>
        <w:t>177</w:t>
      </w:r>
      <w:r w:rsidR="006F078F">
        <w:rPr>
          <w:sz w:val="24"/>
          <w:szCs w:val="24"/>
        </w:rPr>
        <w:fldChar w:fldCharType="end"/>
      </w:r>
      <w:r w:rsidR="000F57AD">
        <w:rPr>
          <w:sz w:val="24"/>
          <w:szCs w:val="24"/>
        </w:rPr>
        <w:t xml:space="preserve">, so this result was not out of the question of possible outcomes for the mutagenesis. </w:t>
      </w:r>
    </w:p>
    <w:p w14:paraId="3941CC16" w14:textId="248BBC16" w:rsidR="009E2072" w:rsidRPr="009E2072" w:rsidRDefault="00F159DC" w:rsidP="005518A5">
      <w:pPr>
        <w:spacing w:line="360" w:lineRule="auto"/>
        <w:rPr>
          <w:b/>
          <w:bCs/>
          <w:sz w:val="24"/>
          <w:szCs w:val="24"/>
        </w:rPr>
      </w:pPr>
      <w:r>
        <w:rPr>
          <w:b/>
          <w:bCs/>
          <w:sz w:val="24"/>
          <w:szCs w:val="24"/>
        </w:rPr>
        <w:t xml:space="preserve">Chapter 6: Overall </w:t>
      </w:r>
      <w:r w:rsidR="00FD502E" w:rsidRPr="00734E96">
        <w:rPr>
          <w:b/>
          <w:bCs/>
          <w:sz w:val="24"/>
          <w:szCs w:val="24"/>
        </w:rPr>
        <w:t xml:space="preserve">Discussion </w:t>
      </w:r>
      <w:r>
        <w:rPr>
          <w:b/>
          <w:bCs/>
          <w:sz w:val="24"/>
          <w:szCs w:val="24"/>
        </w:rPr>
        <w:t>and</w:t>
      </w:r>
      <w:r w:rsidR="00FD502E" w:rsidRPr="00734E96">
        <w:rPr>
          <w:b/>
          <w:bCs/>
          <w:sz w:val="24"/>
          <w:szCs w:val="24"/>
        </w:rPr>
        <w:t xml:space="preserve"> Conclusions</w:t>
      </w:r>
    </w:p>
    <w:bookmarkEnd w:id="7"/>
    <w:p w14:paraId="0C64A0CF" w14:textId="4255D35B" w:rsidR="00F159DC" w:rsidRDefault="00F159DC" w:rsidP="002F1860">
      <w:pPr>
        <w:spacing w:line="360" w:lineRule="auto"/>
        <w:ind w:firstLine="720"/>
        <w:rPr>
          <w:sz w:val="24"/>
          <w:szCs w:val="24"/>
        </w:rPr>
      </w:pPr>
      <w:r>
        <w:rPr>
          <w:sz w:val="24"/>
          <w:szCs w:val="24"/>
        </w:rPr>
        <w:t xml:space="preserve">The studies </w:t>
      </w:r>
      <w:r w:rsidR="00322DAF">
        <w:rPr>
          <w:sz w:val="24"/>
          <w:szCs w:val="24"/>
        </w:rPr>
        <w:t xml:space="preserve">discussed </w:t>
      </w:r>
      <w:r>
        <w:rPr>
          <w:sz w:val="24"/>
          <w:szCs w:val="24"/>
        </w:rPr>
        <w:t xml:space="preserve">in this work have demonstrated efflux pump mediated survival strategies of </w:t>
      </w:r>
      <w:r>
        <w:rPr>
          <w:i/>
          <w:iCs/>
          <w:sz w:val="24"/>
          <w:szCs w:val="24"/>
        </w:rPr>
        <w:t>Acinetobacter baumannii</w:t>
      </w:r>
      <w:r>
        <w:rPr>
          <w:sz w:val="24"/>
          <w:szCs w:val="24"/>
        </w:rPr>
        <w:t xml:space="preserve"> </w:t>
      </w:r>
      <w:r w:rsidR="00AA36F1">
        <w:rPr>
          <w:sz w:val="24"/>
          <w:szCs w:val="24"/>
        </w:rPr>
        <w:t>in regard to</w:t>
      </w:r>
      <w:r>
        <w:rPr>
          <w:sz w:val="24"/>
          <w:szCs w:val="24"/>
        </w:rPr>
        <w:t xml:space="preserve"> antibiotic and human-infection related stress conditions. </w:t>
      </w:r>
      <w:r>
        <w:rPr>
          <w:i/>
          <w:iCs/>
          <w:sz w:val="24"/>
          <w:szCs w:val="24"/>
        </w:rPr>
        <w:t xml:space="preserve">A. baumannii </w:t>
      </w:r>
      <w:r>
        <w:rPr>
          <w:sz w:val="24"/>
          <w:szCs w:val="24"/>
        </w:rPr>
        <w:t xml:space="preserve">uses both RND and MFS family of efflux pumps to export small toxic molecules before they can accumulate within the cell to cytotoxic levels. In the case of the two newly characterized MFS pumps, </w:t>
      </w:r>
      <w:proofErr w:type="spellStart"/>
      <w:r>
        <w:rPr>
          <w:sz w:val="24"/>
          <w:szCs w:val="24"/>
        </w:rPr>
        <w:t>AmfAB</w:t>
      </w:r>
      <w:proofErr w:type="spellEnd"/>
      <w:r>
        <w:rPr>
          <w:sz w:val="24"/>
          <w:szCs w:val="24"/>
        </w:rPr>
        <w:t xml:space="preserve"> and </w:t>
      </w:r>
      <w:proofErr w:type="spellStart"/>
      <w:r>
        <w:rPr>
          <w:sz w:val="24"/>
          <w:szCs w:val="24"/>
        </w:rPr>
        <w:t>AmfCD</w:t>
      </w:r>
      <w:proofErr w:type="spellEnd"/>
      <w:r>
        <w:rPr>
          <w:sz w:val="24"/>
          <w:szCs w:val="24"/>
        </w:rPr>
        <w:t xml:space="preserve"> were not found to significantly contribute to </w:t>
      </w:r>
      <w:r>
        <w:rPr>
          <w:i/>
          <w:iCs/>
          <w:sz w:val="24"/>
          <w:szCs w:val="24"/>
        </w:rPr>
        <w:t xml:space="preserve">A. </w:t>
      </w:r>
      <w:proofErr w:type="spellStart"/>
      <w:r>
        <w:rPr>
          <w:i/>
          <w:iCs/>
          <w:sz w:val="24"/>
          <w:szCs w:val="24"/>
        </w:rPr>
        <w:t>baumannii</w:t>
      </w:r>
      <w:r>
        <w:rPr>
          <w:sz w:val="24"/>
          <w:szCs w:val="24"/>
        </w:rPr>
        <w:t>’s</w:t>
      </w:r>
      <w:proofErr w:type="spellEnd"/>
      <w:r>
        <w:rPr>
          <w:sz w:val="24"/>
          <w:szCs w:val="24"/>
        </w:rPr>
        <w:t xml:space="preserve"> antibiotic susceptibility profile. This result wa</w:t>
      </w:r>
      <w:r w:rsidR="00322DAF">
        <w:rPr>
          <w:sz w:val="24"/>
          <w:szCs w:val="24"/>
        </w:rPr>
        <w:t xml:space="preserve">s </w:t>
      </w:r>
      <w:r>
        <w:rPr>
          <w:sz w:val="24"/>
          <w:szCs w:val="24"/>
        </w:rPr>
        <w:t>unexpected since these transporters were initially identified as being upregulated in efflux deficient strains.</w:t>
      </w:r>
      <w:r>
        <w:rPr>
          <w:sz w:val="24"/>
          <w:szCs w:val="24"/>
        </w:rPr>
        <w:fldChar w:fldCharType="begin"/>
      </w:r>
      <w:r w:rsidR="00864355">
        <w:rPr>
          <w:sz w:val="24"/>
          <w:szCs w:val="24"/>
        </w:rPr>
        <w:instrText xml:space="preserve"> ADDIN ZOTERO_ITEM CSL_CITATION {"citationID":"sDMyWwc7","properties":{"formattedCitation":"\\super 64\\nosupersub{}","plainCitation":"64","noteIndex":0},"citationItems":[{"id":1165,"uris":["http://zotero.org/users/1918630/items/HJJI4U4R"],"itemData":{"id":1165,"type":"article-journal","abstract":"Multidrug resistant (MDR) strains of Acinetobacter baumannii present a serious clinical challenge. The development of antibiotic resistance in this species is enabled by efflux pumps of the Resistance-Nodulation-Division (RND) superfamily of proteins creating an efficient permeability barrier for antibiotics. At least three RND pumps, AdeABC, AdeIJK, and AdeFGH are encoded in the A. baumannii genome and are reported to contribute to antibiotic resistance in clinical isolates. In this study, we analyzed the contributions of AdeABC and AdeIJK in antibiotic resistance and growth physiology of the two MDR strains, AYE and AB5075. We found that not only the two pumps have nonoverlapping substrate specificities, their inactivation leads to specific nonoverlapping changes in gene expression as determined by RNA sequencing and confirmed by gene knockouts and growth phenotypes. Our results suggest that inactivation of AdeIJK elicits broader changes in the abundances of mRNAs and this response is modified in the absence of AdeB. In contrast, inactivation of AdeB leads to a focused cellular response, which is not sensitive to the activity of AdeIJK. We identified additional efflux pumps and transcriptional regulators that contribute to MDR phenotype of clinical A. baumannii isolates.","container-title":"Molecular Microbiology","DOI":"10.1111/mmi.14594","ISSN":"1365-2958","issue":"6","journalAbbreviation":"Mol Microbiol","language":"eng","note":"PMID: 32858760","page":"1049-1065","source":"PubMed","title":"Inactivation of AdeABC and AdeIJK efflux pumps elicits specific nonoverlapping transcriptional and phenotypic responses in Acinetobacter baumannii","volume":"114","author":[{"family":"Leus","given":"Inga V."},{"family":"Adamiak","given":"Justyna"},{"family":"Trinh","given":"Anhthu N."},{"family":"Smith","given":"Richard D."},{"family":"Smith","given":"Lauren"},{"family":"Richardson","given":"Sophie"},{"family":"Ernst","given":"Robert K."},{"family":"Zgurskaya","given":"Helen I."}],"issued":{"date-parts":[["2020",12]]}}}],"schema":"https://github.com/citation-style-language/schema/raw/master/csl-citation.json"} </w:instrText>
      </w:r>
      <w:r>
        <w:rPr>
          <w:sz w:val="24"/>
          <w:szCs w:val="24"/>
        </w:rPr>
        <w:fldChar w:fldCharType="separate"/>
      </w:r>
      <w:r w:rsidR="00864355" w:rsidRPr="00864355">
        <w:rPr>
          <w:rFonts w:ascii="Times New Roman" w:hAnsi="Times New Roman" w:cs="Times New Roman"/>
          <w:sz w:val="24"/>
          <w:szCs w:val="24"/>
          <w:vertAlign w:val="superscript"/>
        </w:rPr>
        <w:t>64</w:t>
      </w:r>
      <w:r>
        <w:rPr>
          <w:sz w:val="24"/>
          <w:szCs w:val="24"/>
        </w:rPr>
        <w:fldChar w:fldCharType="end"/>
      </w:r>
      <w:r>
        <w:rPr>
          <w:sz w:val="24"/>
          <w:szCs w:val="24"/>
        </w:rPr>
        <w:t xml:space="preserve"> We had thought that perhaps </w:t>
      </w:r>
      <w:proofErr w:type="spellStart"/>
      <w:r>
        <w:rPr>
          <w:sz w:val="24"/>
          <w:szCs w:val="24"/>
        </w:rPr>
        <w:t>AmfAB</w:t>
      </w:r>
      <w:proofErr w:type="spellEnd"/>
      <w:r>
        <w:rPr>
          <w:sz w:val="24"/>
          <w:szCs w:val="24"/>
        </w:rPr>
        <w:t xml:space="preserve"> and </w:t>
      </w:r>
      <w:proofErr w:type="spellStart"/>
      <w:r>
        <w:rPr>
          <w:sz w:val="24"/>
          <w:szCs w:val="24"/>
        </w:rPr>
        <w:t>AmfCD</w:t>
      </w:r>
      <w:proofErr w:type="spellEnd"/>
      <w:r>
        <w:rPr>
          <w:sz w:val="24"/>
          <w:szCs w:val="24"/>
        </w:rPr>
        <w:t xml:space="preserve"> were being upregulated to compensate for at least some of the lost substrate range of </w:t>
      </w:r>
      <w:proofErr w:type="spellStart"/>
      <w:r>
        <w:rPr>
          <w:sz w:val="24"/>
          <w:szCs w:val="24"/>
        </w:rPr>
        <w:t>AdeB</w:t>
      </w:r>
      <w:proofErr w:type="spellEnd"/>
      <w:r>
        <w:rPr>
          <w:sz w:val="24"/>
          <w:szCs w:val="24"/>
        </w:rPr>
        <w:t xml:space="preserve"> or </w:t>
      </w:r>
      <w:proofErr w:type="spellStart"/>
      <w:r>
        <w:rPr>
          <w:sz w:val="24"/>
          <w:szCs w:val="24"/>
        </w:rPr>
        <w:t>AdeIJK</w:t>
      </w:r>
      <w:proofErr w:type="spellEnd"/>
      <w:r>
        <w:rPr>
          <w:sz w:val="24"/>
          <w:szCs w:val="24"/>
        </w:rPr>
        <w:t xml:space="preserve">. This may still be the case, but for substrates besides the antibiotic classes we tested here. One possible experimental avenue we could have explored is the effects of </w:t>
      </w:r>
      <w:proofErr w:type="spellStart"/>
      <w:r>
        <w:rPr>
          <w:sz w:val="24"/>
          <w:szCs w:val="24"/>
        </w:rPr>
        <w:t>Amf</w:t>
      </w:r>
      <w:proofErr w:type="spellEnd"/>
      <w:r>
        <w:rPr>
          <w:sz w:val="24"/>
          <w:szCs w:val="24"/>
        </w:rPr>
        <w:t xml:space="preserve"> pump deletion and overproduction under starvation. This could have been done using the same growth curve method used here, </w:t>
      </w:r>
      <w:r w:rsidR="00322DAF">
        <w:rPr>
          <w:sz w:val="24"/>
          <w:szCs w:val="24"/>
        </w:rPr>
        <w:t xml:space="preserve">but a </w:t>
      </w:r>
      <w:r>
        <w:rPr>
          <w:sz w:val="24"/>
          <w:szCs w:val="24"/>
        </w:rPr>
        <w:t xml:space="preserve">deficient media. Perhaps the </w:t>
      </w:r>
      <w:proofErr w:type="spellStart"/>
      <w:r>
        <w:rPr>
          <w:sz w:val="24"/>
          <w:szCs w:val="24"/>
        </w:rPr>
        <w:t>Amf</w:t>
      </w:r>
      <w:proofErr w:type="spellEnd"/>
      <w:r>
        <w:rPr>
          <w:sz w:val="24"/>
          <w:szCs w:val="24"/>
        </w:rPr>
        <w:t xml:space="preserve"> pumps become even more crucial to </w:t>
      </w:r>
      <w:r>
        <w:rPr>
          <w:i/>
          <w:iCs/>
          <w:sz w:val="24"/>
          <w:szCs w:val="24"/>
        </w:rPr>
        <w:t xml:space="preserve">A. </w:t>
      </w:r>
      <w:proofErr w:type="spellStart"/>
      <w:r>
        <w:rPr>
          <w:i/>
          <w:iCs/>
          <w:sz w:val="24"/>
          <w:szCs w:val="24"/>
        </w:rPr>
        <w:t>baumannii</w:t>
      </w:r>
      <w:r>
        <w:rPr>
          <w:sz w:val="24"/>
          <w:szCs w:val="24"/>
        </w:rPr>
        <w:t>’s</w:t>
      </w:r>
      <w:proofErr w:type="spellEnd"/>
      <w:r>
        <w:rPr>
          <w:sz w:val="24"/>
          <w:szCs w:val="24"/>
        </w:rPr>
        <w:t xml:space="preserve"> survival under starvation conditions. </w:t>
      </w:r>
    </w:p>
    <w:p w14:paraId="0B79E7BD" w14:textId="363E1D7E" w:rsidR="00F159DC" w:rsidRPr="00FC09EA" w:rsidRDefault="00F159DC" w:rsidP="005518A5">
      <w:pPr>
        <w:spacing w:line="360" w:lineRule="auto"/>
        <w:rPr>
          <w:sz w:val="24"/>
          <w:szCs w:val="24"/>
        </w:rPr>
      </w:pPr>
      <w:r>
        <w:rPr>
          <w:sz w:val="24"/>
          <w:szCs w:val="24"/>
        </w:rPr>
        <w:tab/>
        <w:t xml:space="preserve">Another potential future research avenue for the </w:t>
      </w:r>
      <w:proofErr w:type="spellStart"/>
      <w:r>
        <w:rPr>
          <w:sz w:val="24"/>
          <w:szCs w:val="24"/>
        </w:rPr>
        <w:t>AmfAB</w:t>
      </w:r>
      <w:proofErr w:type="spellEnd"/>
      <w:r>
        <w:rPr>
          <w:sz w:val="24"/>
          <w:szCs w:val="24"/>
        </w:rPr>
        <w:t xml:space="preserve"> and </w:t>
      </w:r>
      <w:proofErr w:type="spellStart"/>
      <w:r>
        <w:rPr>
          <w:sz w:val="24"/>
          <w:szCs w:val="24"/>
        </w:rPr>
        <w:t>AmfCD</w:t>
      </w:r>
      <w:proofErr w:type="spellEnd"/>
      <w:r>
        <w:rPr>
          <w:sz w:val="24"/>
          <w:szCs w:val="24"/>
        </w:rPr>
        <w:t xml:space="preserve"> pumps is to</w:t>
      </w:r>
      <w:r w:rsidR="00322DAF">
        <w:rPr>
          <w:sz w:val="24"/>
          <w:szCs w:val="24"/>
        </w:rPr>
        <w:t xml:space="preserve"> investigate the metabolome</w:t>
      </w:r>
      <w:r>
        <w:rPr>
          <w:sz w:val="24"/>
          <w:szCs w:val="24"/>
        </w:rPr>
        <w:t xml:space="preserve"> of the different stress responses studied here. This could illuminate what specific role these MFS pumps are playing in </w:t>
      </w:r>
      <w:r>
        <w:rPr>
          <w:i/>
          <w:iCs/>
          <w:sz w:val="24"/>
          <w:szCs w:val="24"/>
        </w:rPr>
        <w:t xml:space="preserve">A. </w:t>
      </w:r>
      <w:r w:rsidRPr="00FC09EA">
        <w:rPr>
          <w:i/>
          <w:iCs/>
          <w:sz w:val="24"/>
          <w:szCs w:val="24"/>
        </w:rPr>
        <w:t>baumannii</w:t>
      </w:r>
      <w:r>
        <w:rPr>
          <w:sz w:val="24"/>
          <w:szCs w:val="24"/>
        </w:rPr>
        <w:t xml:space="preserve"> </w:t>
      </w:r>
      <w:r w:rsidRPr="00FC09EA">
        <w:rPr>
          <w:sz w:val="24"/>
          <w:szCs w:val="24"/>
        </w:rPr>
        <w:t>and</w:t>
      </w:r>
      <w:r>
        <w:rPr>
          <w:sz w:val="24"/>
          <w:szCs w:val="24"/>
        </w:rPr>
        <w:t xml:space="preserve"> what specific substrates the pumps are responsible for transporting. It would also be beneficial </w:t>
      </w:r>
      <w:r>
        <w:rPr>
          <w:sz w:val="24"/>
          <w:szCs w:val="24"/>
        </w:rPr>
        <w:lastRenderedPageBreak/>
        <w:t xml:space="preserve">to determine if any of the known outer membrane channels encoded in the </w:t>
      </w:r>
      <w:r>
        <w:rPr>
          <w:i/>
          <w:iCs/>
          <w:sz w:val="24"/>
          <w:szCs w:val="24"/>
        </w:rPr>
        <w:t>A. baumannii</w:t>
      </w:r>
      <w:r>
        <w:rPr>
          <w:sz w:val="24"/>
          <w:szCs w:val="24"/>
        </w:rPr>
        <w:t xml:space="preserve"> genome could be the missing piece of the </w:t>
      </w:r>
      <w:proofErr w:type="spellStart"/>
      <w:r>
        <w:rPr>
          <w:sz w:val="24"/>
          <w:szCs w:val="24"/>
        </w:rPr>
        <w:t>AmfAB</w:t>
      </w:r>
      <w:proofErr w:type="spellEnd"/>
      <w:r>
        <w:rPr>
          <w:sz w:val="24"/>
          <w:szCs w:val="24"/>
        </w:rPr>
        <w:t>/CD complexes. It is possible that we missed substrate specific efflux activity by these two pumps because we did not overexpress their corresponding outer membrane protein along with the transporters and membrane fusion proteins.</w:t>
      </w:r>
    </w:p>
    <w:p w14:paraId="39627543" w14:textId="43F147C5" w:rsidR="00194286" w:rsidRDefault="00F159DC" w:rsidP="00194286">
      <w:pPr>
        <w:spacing w:line="360" w:lineRule="auto"/>
        <w:rPr>
          <w:sz w:val="24"/>
          <w:szCs w:val="24"/>
        </w:rPr>
      </w:pPr>
      <w:r>
        <w:rPr>
          <w:sz w:val="24"/>
          <w:szCs w:val="24"/>
        </w:rPr>
        <w:tab/>
        <w:t xml:space="preserve">We also demonstrated specific substrate specificities of selected </w:t>
      </w:r>
      <w:proofErr w:type="spellStart"/>
      <w:r>
        <w:rPr>
          <w:sz w:val="24"/>
          <w:szCs w:val="24"/>
        </w:rPr>
        <w:t>AdeG</w:t>
      </w:r>
      <w:proofErr w:type="spellEnd"/>
      <w:r>
        <w:rPr>
          <w:sz w:val="24"/>
          <w:szCs w:val="24"/>
        </w:rPr>
        <w:t xml:space="preserve"> and </w:t>
      </w:r>
      <w:proofErr w:type="spellStart"/>
      <w:r>
        <w:rPr>
          <w:sz w:val="24"/>
          <w:szCs w:val="24"/>
        </w:rPr>
        <w:t>AdeJ</w:t>
      </w:r>
      <w:proofErr w:type="spellEnd"/>
      <w:r>
        <w:rPr>
          <w:sz w:val="24"/>
          <w:szCs w:val="24"/>
        </w:rPr>
        <w:t xml:space="preserve"> binding pocket residues. This research is important both because it provides more information on how these RND transporters are able to export such a wide range of differently shaped and sized substrates, but it also assists in the future development of efflux pump inhibitors. So far no efflux pump inhibitor (EPI) has made it into clinical trials, but we hope our findings can help guide their refinement. The compound SLUPP_1377 was found to inhibit the efflux activity of both </w:t>
      </w:r>
      <w:proofErr w:type="spellStart"/>
      <w:r>
        <w:rPr>
          <w:sz w:val="24"/>
          <w:szCs w:val="24"/>
        </w:rPr>
        <w:t>AdeJ</w:t>
      </w:r>
      <w:proofErr w:type="spellEnd"/>
      <w:r>
        <w:rPr>
          <w:sz w:val="24"/>
          <w:szCs w:val="24"/>
        </w:rPr>
        <w:t xml:space="preserve"> and </w:t>
      </w:r>
      <w:proofErr w:type="spellStart"/>
      <w:r>
        <w:rPr>
          <w:sz w:val="24"/>
          <w:szCs w:val="24"/>
        </w:rPr>
        <w:t>AdeG</w:t>
      </w:r>
      <w:proofErr w:type="spellEnd"/>
      <w:r>
        <w:rPr>
          <w:sz w:val="24"/>
          <w:szCs w:val="24"/>
        </w:rPr>
        <w:t xml:space="preserve">, but it was selected for inhibition studies in AdeG because there are already a number of compounds that have been identified as possible inhibitors of </w:t>
      </w:r>
      <w:proofErr w:type="spellStart"/>
      <w:r>
        <w:rPr>
          <w:sz w:val="24"/>
          <w:szCs w:val="24"/>
        </w:rPr>
        <w:t>AdeJ</w:t>
      </w:r>
      <w:proofErr w:type="spellEnd"/>
      <w:r>
        <w:rPr>
          <w:sz w:val="24"/>
          <w:szCs w:val="24"/>
        </w:rPr>
        <w:t xml:space="preserve"> but there are none for AdeG. Our studies demonstrated that SLUPP_1377 does have significant inhibitory activity in AdeG and potentiates the activity of chloramphenicol in Ab</w:t>
      </w:r>
      <w:r w:rsidRPr="0023411E">
        <w:rPr>
          <w:sz w:val="24"/>
          <w:szCs w:val="24"/>
        </w:rPr>
        <w:t>Δ3</w:t>
      </w:r>
      <w:r>
        <w:rPr>
          <w:sz w:val="24"/>
          <w:szCs w:val="24"/>
        </w:rPr>
        <w:t>(pAdeFGH).</w:t>
      </w:r>
      <w:bookmarkStart w:id="19" w:name="_Hlk152177617"/>
    </w:p>
    <w:p w14:paraId="6247633E" w14:textId="77777777" w:rsidR="00194286" w:rsidRDefault="00194286" w:rsidP="00194286">
      <w:pPr>
        <w:spacing w:line="360" w:lineRule="auto"/>
        <w:rPr>
          <w:sz w:val="24"/>
          <w:szCs w:val="24"/>
        </w:rPr>
      </w:pPr>
    </w:p>
    <w:p w14:paraId="104AFF94" w14:textId="11396794" w:rsidR="00FD502E" w:rsidRPr="00194286" w:rsidRDefault="00FD502E" w:rsidP="00194286">
      <w:pPr>
        <w:spacing w:line="360" w:lineRule="auto"/>
        <w:rPr>
          <w:sz w:val="24"/>
          <w:szCs w:val="24"/>
        </w:rPr>
      </w:pPr>
      <w:r w:rsidRPr="00734E96">
        <w:rPr>
          <w:b/>
          <w:bCs/>
          <w:sz w:val="24"/>
          <w:szCs w:val="24"/>
        </w:rPr>
        <w:t>References</w:t>
      </w:r>
    </w:p>
    <w:p w14:paraId="174AB115" w14:textId="77777777" w:rsidR="00A47835" w:rsidRPr="00A47835" w:rsidRDefault="005379D5" w:rsidP="00A47835">
      <w:pPr>
        <w:pStyle w:val="Bibliography"/>
        <w:rPr>
          <w:rFonts w:ascii="Times New Roman" w:hAnsi="Times New Roman" w:cs="Times New Roman"/>
        </w:rPr>
      </w:pPr>
      <w:r>
        <w:fldChar w:fldCharType="begin"/>
      </w:r>
      <w:r w:rsidR="00A47835">
        <w:instrText xml:space="preserve"> ADDIN ZOTERO_BIBL {"uncited":[],"omitted":[],"custom":[]} CSL_BIBLIOGRAPHY </w:instrText>
      </w:r>
      <w:r>
        <w:fldChar w:fldCharType="separate"/>
      </w:r>
      <w:r w:rsidR="00A47835" w:rsidRPr="00A47835">
        <w:rPr>
          <w:rFonts w:ascii="Times New Roman" w:hAnsi="Times New Roman" w:cs="Times New Roman"/>
        </w:rPr>
        <w:t>(1)</w:t>
      </w:r>
      <w:r w:rsidR="00A47835" w:rsidRPr="00A47835">
        <w:rPr>
          <w:rFonts w:ascii="Times New Roman" w:hAnsi="Times New Roman" w:cs="Times New Roman"/>
        </w:rPr>
        <w:tab/>
        <w:t xml:space="preserve">Peleg, A. Y.; Seifert, H.; Paterson, D. L. Acinetobacter Baumannii: Emergence of a Successful Pathogen. </w:t>
      </w:r>
      <w:r w:rsidR="00A47835" w:rsidRPr="00A47835">
        <w:rPr>
          <w:rFonts w:ascii="Times New Roman" w:hAnsi="Times New Roman" w:cs="Times New Roman"/>
          <w:i/>
          <w:iCs/>
        </w:rPr>
        <w:t>Clin. Microbiol. Rev.</w:t>
      </w:r>
      <w:r w:rsidR="00A47835" w:rsidRPr="00A47835">
        <w:rPr>
          <w:rFonts w:ascii="Times New Roman" w:hAnsi="Times New Roman" w:cs="Times New Roman"/>
        </w:rPr>
        <w:t xml:space="preserve"> </w:t>
      </w:r>
      <w:r w:rsidR="00A47835" w:rsidRPr="00A47835">
        <w:rPr>
          <w:rFonts w:ascii="Times New Roman" w:hAnsi="Times New Roman" w:cs="Times New Roman"/>
          <w:b/>
          <w:bCs/>
        </w:rPr>
        <w:t>2008</w:t>
      </w:r>
      <w:r w:rsidR="00A47835" w:rsidRPr="00A47835">
        <w:rPr>
          <w:rFonts w:ascii="Times New Roman" w:hAnsi="Times New Roman" w:cs="Times New Roman"/>
        </w:rPr>
        <w:t xml:space="preserve">, </w:t>
      </w:r>
      <w:r w:rsidR="00A47835" w:rsidRPr="00A47835">
        <w:rPr>
          <w:rFonts w:ascii="Times New Roman" w:hAnsi="Times New Roman" w:cs="Times New Roman"/>
          <w:i/>
          <w:iCs/>
        </w:rPr>
        <w:t>21</w:t>
      </w:r>
      <w:r w:rsidR="00A47835" w:rsidRPr="00A47835">
        <w:rPr>
          <w:rFonts w:ascii="Times New Roman" w:hAnsi="Times New Roman" w:cs="Times New Roman"/>
        </w:rPr>
        <w:t xml:space="preserve"> (3), 538–582. https://doi.org/10.1128/CMR.00058-07.</w:t>
      </w:r>
    </w:p>
    <w:p w14:paraId="2778304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w:t>
      </w:r>
      <w:r w:rsidRPr="00A47835">
        <w:rPr>
          <w:rFonts w:ascii="Times New Roman" w:hAnsi="Times New Roman" w:cs="Times New Roman"/>
        </w:rPr>
        <w:tab/>
        <w:t xml:space="preserve">Glew, R. H.; Moellering, R. C.; Kunz, L. J. Infections with Acinetobacter Calcoaceticus (Herellea Vaginicola): Clinical and Laboratory Studies. </w:t>
      </w:r>
      <w:r w:rsidRPr="00A47835">
        <w:rPr>
          <w:rFonts w:ascii="Times New Roman" w:hAnsi="Times New Roman" w:cs="Times New Roman"/>
          <w:i/>
          <w:iCs/>
        </w:rPr>
        <w:t>Medicine (Baltimore)</w:t>
      </w:r>
      <w:r w:rsidRPr="00A47835">
        <w:rPr>
          <w:rFonts w:ascii="Times New Roman" w:hAnsi="Times New Roman" w:cs="Times New Roman"/>
        </w:rPr>
        <w:t xml:space="preserve"> </w:t>
      </w:r>
      <w:r w:rsidRPr="00A47835">
        <w:rPr>
          <w:rFonts w:ascii="Times New Roman" w:hAnsi="Times New Roman" w:cs="Times New Roman"/>
          <w:b/>
          <w:bCs/>
        </w:rPr>
        <w:t>1977</w:t>
      </w:r>
      <w:r w:rsidRPr="00A47835">
        <w:rPr>
          <w:rFonts w:ascii="Times New Roman" w:hAnsi="Times New Roman" w:cs="Times New Roman"/>
        </w:rPr>
        <w:t xml:space="preserve">, </w:t>
      </w:r>
      <w:r w:rsidRPr="00A47835">
        <w:rPr>
          <w:rFonts w:ascii="Times New Roman" w:hAnsi="Times New Roman" w:cs="Times New Roman"/>
          <w:i/>
          <w:iCs/>
        </w:rPr>
        <w:t>56</w:t>
      </w:r>
      <w:r w:rsidRPr="00A47835">
        <w:rPr>
          <w:rFonts w:ascii="Times New Roman" w:hAnsi="Times New Roman" w:cs="Times New Roman"/>
        </w:rPr>
        <w:t xml:space="preserve"> (2), 79–97. https://doi.org/10.1097/00005792-197703000-00001.</w:t>
      </w:r>
    </w:p>
    <w:p w14:paraId="48E199E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w:t>
      </w:r>
      <w:r w:rsidRPr="00A47835">
        <w:rPr>
          <w:rFonts w:ascii="Times New Roman" w:hAnsi="Times New Roman" w:cs="Times New Roman"/>
        </w:rPr>
        <w:tab/>
        <w:t xml:space="preserve">Zin, E. B.-B. R.; Towner, K. J. Acinetobacter Spp. as Nosocomial Pathogens: Microbiological, Clinical, and Epidemiological Features. </w:t>
      </w:r>
      <w:r w:rsidRPr="00A47835">
        <w:rPr>
          <w:rFonts w:ascii="Times New Roman" w:hAnsi="Times New Roman" w:cs="Times New Roman"/>
          <w:i/>
          <w:iCs/>
        </w:rPr>
        <w:t>CLIN MICROBIOL REV</w:t>
      </w:r>
      <w:r w:rsidRPr="00A47835">
        <w:rPr>
          <w:rFonts w:ascii="Times New Roman" w:hAnsi="Times New Roman" w:cs="Times New Roman"/>
        </w:rPr>
        <w:t xml:space="preserve"> </w:t>
      </w:r>
      <w:r w:rsidRPr="00A47835">
        <w:rPr>
          <w:rFonts w:ascii="Times New Roman" w:hAnsi="Times New Roman" w:cs="Times New Roman"/>
          <w:b/>
          <w:bCs/>
        </w:rPr>
        <w:t>1996</w:t>
      </w:r>
      <w:r w:rsidRPr="00A47835">
        <w:rPr>
          <w:rFonts w:ascii="Times New Roman" w:hAnsi="Times New Roman" w:cs="Times New Roman"/>
        </w:rPr>
        <w:t xml:space="preserve">, </w:t>
      </w:r>
      <w:r w:rsidRPr="00A47835">
        <w:rPr>
          <w:rFonts w:ascii="Times New Roman" w:hAnsi="Times New Roman" w:cs="Times New Roman"/>
          <w:i/>
          <w:iCs/>
        </w:rPr>
        <w:t>9</w:t>
      </w:r>
      <w:r w:rsidRPr="00A47835">
        <w:rPr>
          <w:rFonts w:ascii="Times New Roman" w:hAnsi="Times New Roman" w:cs="Times New Roman"/>
        </w:rPr>
        <w:t>.</w:t>
      </w:r>
    </w:p>
    <w:p w14:paraId="11D9A83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w:t>
      </w:r>
      <w:r w:rsidRPr="00A47835">
        <w:rPr>
          <w:rFonts w:ascii="Times New Roman" w:hAnsi="Times New Roman" w:cs="Times New Roman"/>
        </w:rPr>
        <w:tab/>
        <w:t xml:space="preserve">Nocera, F. P.; Attili, A.-R.; De Martino, L. Acinetobacter Baumannii: Its Clinical Significance in Human and Veterinary Medicine. </w:t>
      </w:r>
      <w:r w:rsidRPr="00A47835">
        <w:rPr>
          <w:rFonts w:ascii="Times New Roman" w:hAnsi="Times New Roman" w:cs="Times New Roman"/>
          <w:i/>
          <w:iCs/>
        </w:rPr>
        <w:t>Pathogens</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(2), 127. https://doi.org/10.3390/pathogens10020127.</w:t>
      </w:r>
    </w:p>
    <w:p w14:paraId="6616ADB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w:t>
      </w:r>
      <w:r w:rsidRPr="00A47835">
        <w:rPr>
          <w:rFonts w:ascii="Times New Roman" w:hAnsi="Times New Roman" w:cs="Times New Roman"/>
        </w:rPr>
        <w:tab/>
        <w:t xml:space="preserve">Vester, B.; Long, K. S. Antibiotic Resistance in Bacteria Caused by Modified Nucleosides in 23S Ribosomal RNA. In </w:t>
      </w:r>
      <w:r w:rsidRPr="00A47835">
        <w:rPr>
          <w:rFonts w:ascii="Times New Roman" w:hAnsi="Times New Roman" w:cs="Times New Roman"/>
          <w:i/>
          <w:iCs/>
        </w:rPr>
        <w:t>Madame Curie Bioscience Database [Internet]</w:t>
      </w:r>
      <w:r w:rsidRPr="00A47835">
        <w:rPr>
          <w:rFonts w:ascii="Times New Roman" w:hAnsi="Times New Roman" w:cs="Times New Roman"/>
        </w:rPr>
        <w:t>; Landes Bioscience, 2013.</w:t>
      </w:r>
    </w:p>
    <w:p w14:paraId="0F12B1E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w:t>
      </w:r>
      <w:r w:rsidRPr="00A47835">
        <w:rPr>
          <w:rFonts w:ascii="Times New Roman" w:hAnsi="Times New Roman" w:cs="Times New Roman"/>
        </w:rPr>
        <w:tab/>
        <w:t xml:space="preserve">Hillyer, T.; Benin, B. M.; Sun, C.; Aguirre, N.; Willard, B.; Sham, Y. Y.; Shin, W. S. A Novel Strategy to Characterize the Pattern of β-Lactam Antibiotic-Induced Drug Resistance in Acinetobacter Baumannii. </w:t>
      </w:r>
      <w:r w:rsidRPr="00A47835">
        <w:rPr>
          <w:rFonts w:ascii="Times New Roman" w:hAnsi="Times New Roman" w:cs="Times New Roman"/>
          <w:i/>
          <w:iCs/>
        </w:rPr>
        <w:t>Sci. Rep.</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13</w:t>
      </w:r>
      <w:r w:rsidRPr="00A47835">
        <w:rPr>
          <w:rFonts w:ascii="Times New Roman" w:hAnsi="Times New Roman" w:cs="Times New Roman"/>
        </w:rPr>
        <w:t xml:space="preserve"> (1), 9177. https://doi.org/10.1038/s41598-023-36475-9.</w:t>
      </w:r>
    </w:p>
    <w:p w14:paraId="5B409B4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(7)</w:t>
      </w:r>
      <w:r w:rsidRPr="00A47835">
        <w:rPr>
          <w:rFonts w:ascii="Times New Roman" w:hAnsi="Times New Roman" w:cs="Times New Roman"/>
        </w:rPr>
        <w:tab/>
        <w:t xml:space="preserve">Bush, K.; Bradford, P. A. β-Lactams and β-Lactamase Inhibitors: An Overview. </w:t>
      </w:r>
      <w:r w:rsidRPr="00A47835">
        <w:rPr>
          <w:rFonts w:ascii="Times New Roman" w:hAnsi="Times New Roman" w:cs="Times New Roman"/>
          <w:i/>
          <w:iCs/>
        </w:rPr>
        <w:t>Cold Spring Harb. Perspect. Med.</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6</w:t>
      </w:r>
      <w:r w:rsidRPr="00A47835">
        <w:rPr>
          <w:rFonts w:ascii="Times New Roman" w:hAnsi="Times New Roman" w:cs="Times New Roman"/>
        </w:rPr>
        <w:t xml:space="preserve"> (8), a025247. https://doi.org/10.1101/cshperspect.a025247.</w:t>
      </w:r>
    </w:p>
    <w:p w14:paraId="5891C5E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w:t>
      </w:r>
      <w:r w:rsidRPr="00A47835">
        <w:rPr>
          <w:rFonts w:ascii="Times New Roman" w:hAnsi="Times New Roman" w:cs="Times New Roman"/>
        </w:rPr>
        <w:tab/>
        <w:t xml:space="preserve">Novović, K.; Jovčić, B. Colistin Resistance in Acinetobacter Baumannii: Molecular Mechanisms and Epidemiology. </w:t>
      </w:r>
      <w:r w:rsidRPr="00A47835">
        <w:rPr>
          <w:rFonts w:ascii="Times New Roman" w:hAnsi="Times New Roman" w:cs="Times New Roman"/>
          <w:i/>
          <w:iCs/>
        </w:rPr>
        <w:t>Antibiotics</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(3), 516. https://doi.org/10.3390/antibiotics12030516.</w:t>
      </w:r>
    </w:p>
    <w:p w14:paraId="6B61802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w:t>
      </w:r>
      <w:r w:rsidRPr="00A47835">
        <w:rPr>
          <w:rFonts w:ascii="Times New Roman" w:hAnsi="Times New Roman" w:cs="Times New Roman"/>
        </w:rPr>
        <w:tab/>
        <w:t xml:space="preserve">Evans, M. E.; Feola, D. J.; Rapp, R. P. Polymyxin B Sulfate and Colistin: Old Antibiotics for Emerging Multiresistant Gram-Negative Bacteria. </w:t>
      </w:r>
      <w:r w:rsidRPr="00A47835">
        <w:rPr>
          <w:rFonts w:ascii="Times New Roman" w:hAnsi="Times New Roman" w:cs="Times New Roman"/>
          <w:i/>
          <w:iCs/>
        </w:rPr>
        <w:t>Ann. Pharmacother.</w:t>
      </w:r>
      <w:r w:rsidRPr="00A47835">
        <w:rPr>
          <w:rFonts w:ascii="Times New Roman" w:hAnsi="Times New Roman" w:cs="Times New Roman"/>
        </w:rPr>
        <w:t xml:space="preserve"> </w:t>
      </w:r>
      <w:r w:rsidRPr="00A47835">
        <w:rPr>
          <w:rFonts w:ascii="Times New Roman" w:hAnsi="Times New Roman" w:cs="Times New Roman"/>
          <w:b/>
          <w:bCs/>
        </w:rPr>
        <w:t>1999</w:t>
      </w:r>
      <w:r w:rsidRPr="00A47835">
        <w:rPr>
          <w:rFonts w:ascii="Times New Roman" w:hAnsi="Times New Roman" w:cs="Times New Roman"/>
        </w:rPr>
        <w:t xml:space="preserve">, </w:t>
      </w:r>
      <w:r w:rsidRPr="00A47835">
        <w:rPr>
          <w:rFonts w:ascii="Times New Roman" w:hAnsi="Times New Roman" w:cs="Times New Roman"/>
          <w:i/>
          <w:iCs/>
        </w:rPr>
        <w:t>33</w:t>
      </w:r>
      <w:r w:rsidRPr="00A47835">
        <w:rPr>
          <w:rFonts w:ascii="Times New Roman" w:hAnsi="Times New Roman" w:cs="Times New Roman"/>
        </w:rPr>
        <w:t xml:space="preserve"> (9), 960–967. https://doi.org/10.1345/aph.18426.</w:t>
      </w:r>
    </w:p>
    <w:p w14:paraId="167E97E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w:t>
      </w:r>
      <w:r w:rsidRPr="00A47835">
        <w:rPr>
          <w:rFonts w:ascii="Times New Roman" w:hAnsi="Times New Roman" w:cs="Times New Roman"/>
        </w:rPr>
        <w:tab/>
        <w:t xml:space="preserve">Sauvage, E.; Kerff, F.; Terrak, M.; Ayala, J. A.; Charlier, P. The Penicillin-Binding Proteins: Structure and Role in Peptidoglycan Biosynthesis. </w:t>
      </w:r>
      <w:r w:rsidRPr="00A47835">
        <w:rPr>
          <w:rFonts w:ascii="Times New Roman" w:hAnsi="Times New Roman" w:cs="Times New Roman"/>
          <w:i/>
          <w:iCs/>
        </w:rPr>
        <w:t>FEMS Microbiol. Rev.</w:t>
      </w:r>
      <w:r w:rsidRPr="00A47835">
        <w:rPr>
          <w:rFonts w:ascii="Times New Roman" w:hAnsi="Times New Roman" w:cs="Times New Roman"/>
        </w:rPr>
        <w:t xml:space="preserve"> </w:t>
      </w:r>
      <w:r w:rsidRPr="00A47835">
        <w:rPr>
          <w:rFonts w:ascii="Times New Roman" w:hAnsi="Times New Roman" w:cs="Times New Roman"/>
          <w:b/>
          <w:bCs/>
        </w:rPr>
        <w:t>2008</w:t>
      </w:r>
      <w:r w:rsidRPr="00A47835">
        <w:rPr>
          <w:rFonts w:ascii="Times New Roman" w:hAnsi="Times New Roman" w:cs="Times New Roman"/>
        </w:rPr>
        <w:t xml:space="preserve">, </w:t>
      </w:r>
      <w:r w:rsidRPr="00A47835">
        <w:rPr>
          <w:rFonts w:ascii="Times New Roman" w:hAnsi="Times New Roman" w:cs="Times New Roman"/>
          <w:i/>
          <w:iCs/>
        </w:rPr>
        <w:t>32</w:t>
      </w:r>
      <w:r w:rsidRPr="00A47835">
        <w:rPr>
          <w:rFonts w:ascii="Times New Roman" w:hAnsi="Times New Roman" w:cs="Times New Roman"/>
        </w:rPr>
        <w:t xml:space="preserve"> (2), 234–258. https://doi.org/10.1111/j.1574-6976.2008.00105.x.</w:t>
      </w:r>
    </w:p>
    <w:p w14:paraId="1196989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w:t>
      </w:r>
      <w:r w:rsidRPr="00A47835">
        <w:rPr>
          <w:rFonts w:ascii="Times New Roman" w:hAnsi="Times New Roman" w:cs="Times New Roman"/>
        </w:rPr>
        <w:tab/>
        <w:t xml:space="preserve">Cayô, R.; Rodríguez, M.-C.; Espinal, P.; Fernández-Cuenca, F.; Ocampo-Sosa, A. A.; Pascual, Á.; Ayala, J. A.; Vila, J.; Martínez-Martínez, L. Analysis of Genes Encoding Penicillin-Binding Proteins in Clinical Isolates of Acinetobacter Baumannii ▿.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2011</w:t>
      </w:r>
      <w:r w:rsidRPr="00A47835">
        <w:rPr>
          <w:rFonts w:ascii="Times New Roman" w:hAnsi="Times New Roman" w:cs="Times New Roman"/>
        </w:rPr>
        <w:t xml:space="preserve">, </w:t>
      </w:r>
      <w:r w:rsidRPr="00A47835">
        <w:rPr>
          <w:rFonts w:ascii="Times New Roman" w:hAnsi="Times New Roman" w:cs="Times New Roman"/>
          <w:i/>
          <w:iCs/>
        </w:rPr>
        <w:t>55</w:t>
      </w:r>
      <w:r w:rsidRPr="00A47835">
        <w:rPr>
          <w:rFonts w:ascii="Times New Roman" w:hAnsi="Times New Roman" w:cs="Times New Roman"/>
        </w:rPr>
        <w:t xml:space="preserve"> (12), 5907–5913. https://doi.org/10.1128/AAC.00459-11.</w:t>
      </w:r>
    </w:p>
    <w:p w14:paraId="5968B59E"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w:t>
      </w:r>
      <w:r w:rsidRPr="00A47835">
        <w:rPr>
          <w:rFonts w:ascii="Times New Roman" w:hAnsi="Times New Roman" w:cs="Times New Roman"/>
        </w:rPr>
        <w:tab/>
        <w:t xml:space="preserve">Mcstrother. Methicillin-Resistant </w:t>
      </w:r>
      <w:r w:rsidRPr="00A47835">
        <w:rPr>
          <w:rFonts w:ascii="Times New Roman" w:hAnsi="Times New Roman" w:cs="Times New Roman"/>
          <w:i/>
          <w:iCs/>
        </w:rPr>
        <w:t>Staphylococcus Aureus</w:t>
      </w:r>
      <w:r w:rsidRPr="00A47835">
        <w:rPr>
          <w:rFonts w:ascii="Times New Roman" w:hAnsi="Times New Roman" w:cs="Times New Roman"/>
        </w:rPr>
        <w:t xml:space="preserve">. </w:t>
      </w:r>
      <w:r w:rsidRPr="00A47835">
        <w:rPr>
          <w:rFonts w:ascii="Times New Roman" w:hAnsi="Times New Roman" w:cs="Times New Roman"/>
          <w:i/>
          <w:iCs/>
        </w:rPr>
        <w:t>Wikipedia</w:t>
      </w:r>
      <w:r w:rsidRPr="00A47835">
        <w:rPr>
          <w:rFonts w:ascii="Times New Roman" w:hAnsi="Times New Roman" w:cs="Times New Roman"/>
        </w:rPr>
        <w:t>; 2024.</w:t>
      </w:r>
    </w:p>
    <w:p w14:paraId="210C434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w:t>
      </w:r>
      <w:r w:rsidRPr="00A47835">
        <w:rPr>
          <w:rFonts w:ascii="Times New Roman" w:hAnsi="Times New Roman" w:cs="Times New Roman"/>
        </w:rPr>
        <w:tab/>
        <w:t xml:space="preserve">Fernández, L.; Hancock, R. E. W. Adaptive and Mutational Resistance: Role of Porins and Efflux Pumps in Drug Resistance. </w:t>
      </w:r>
      <w:r w:rsidRPr="00A47835">
        <w:rPr>
          <w:rFonts w:ascii="Times New Roman" w:hAnsi="Times New Roman" w:cs="Times New Roman"/>
          <w:i/>
          <w:iCs/>
        </w:rPr>
        <w:t>Clin. Microbiol. Rev.</w:t>
      </w:r>
      <w:r w:rsidRPr="00A47835">
        <w:rPr>
          <w:rFonts w:ascii="Times New Roman" w:hAnsi="Times New Roman" w:cs="Times New Roman"/>
        </w:rPr>
        <w:t xml:space="preserve"> </w:t>
      </w:r>
      <w:r w:rsidRPr="00A47835">
        <w:rPr>
          <w:rFonts w:ascii="Times New Roman" w:hAnsi="Times New Roman" w:cs="Times New Roman"/>
          <w:b/>
          <w:bCs/>
        </w:rPr>
        <w:t>2012</w:t>
      </w:r>
      <w:r w:rsidRPr="00A47835">
        <w:rPr>
          <w:rFonts w:ascii="Times New Roman" w:hAnsi="Times New Roman" w:cs="Times New Roman"/>
        </w:rPr>
        <w:t xml:space="preserve">, </w:t>
      </w:r>
      <w:r w:rsidRPr="00A47835">
        <w:rPr>
          <w:rFonts w:ascii="Times New Roman" w:hAnsi="Times New Roman" w:cs="Times New Roman"/>
          <w:i/>
          <w:iCs/>
        </w:rPr>
        <w:t>25</w:t>
      </w:r>
      <w:r w:rsidRPr="00A47835">
        <w:rPr>
          <w:rFonts w:ascii="Times New Roman" w:hAnsi="Times New Roman" w:cs="Times New Roman"/>
        </w:rPr>
        <w:t xml:space="preserve"> (4), 661. https://doi.org/10.1128/CMR.00043-12.</w:t>
      </w:r>
    </w:p>
    <w:p w14:paraId="6E7E665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w:t>
      </w:r>
      <w:r w:rsidRPr="00A47835">
        <w:rPr>
          <w:rFonts w:ascii="Times New Roman" w:hAnsi="Times New Roman" w:cs="Times New Roman"/>
        </w:rPr>
        <w:tab/>
        <w:t xml:space="preserve">Sarshar, M.; Behzadi, P.; Scribano, D.; Palamara, A. T.; Ambrosi, C. Acinetobacter Baumannii: An Ancient Commensal with Weapons of a Pathogen. </w:t>
      </w:r>
      <w:r w:rsidRPr="00A47835">
        <w:rPr>
          <w:rFonts w:ascii="Times New Roman" w:hAnsi="Times New Roman" w:cs="Times New Roman"/>
          <w:i/>
          <w:iCs/>
        </w:rPr>
        <w:t>Pathogens</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(4), 387. https://doi.org/10.3390/pathogens10040387.</w:t>
      </w:r>
    </w:p>
    <w:p w14:paraId="022A00F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w:t>
      </w:r>
      <w:r w:rsidRPr="00A47835">
        <w:rPr>
          <w:rFonts w:ascii="Times New Roman" w:hAnsi="Times New Roman" w:cs="Times New Roman"/>
        </w:rPr>
        <w:tab/>
        <w:t xml:space="preserve">Abdi, S. N.; Ghotaslou, R.; Ganbarov, K.; Mobed, A.; Tanomand, A.; Yousefi, M.; Asgharzadeh, M.; Kafil, H. S. Acinetobacter Baumannii Efflux Pumps and Antibiotic Resistance. </w:t>
      </w:r>
      <w:r w:rsidRPr="00A47835">
        <w:rPr>
          <w:rFonts w:ascii="Times New Roman" w:hAnsi="Times New Roman" w:cs="Times New Roman"/>
          <w:i/>
          <w:iCs/>
        </w:rPr>
        <w:t>Infect. Drug Resist.</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13</w:t>
      </w:r>
      <w:r w:rsidRPr="00A47835">
        <w:rPr>
          <w:rFonts w:ascii="Times New Roman" w:hAnsi="Times New Roman" w:cs="Times New Roman"/>
        </w:rPr>
        <w:t>, 423–434. https://doi.org/10.2147/IDR.S228089.</w:t>
      </w:r>
    </w:p>
    <w:p w14:paraId="20749F7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w:t>
      </w:r>
      <w:r w:rsidRPr="00A47835">
        <w:rPr>
          <w:rFonts w:ascii="Times New Roman" w:hAnsi="Times New Roman" w:cs="Times New Roman"/>
        </w:rPr>
        <w:tab/>
        <w:t xml:space="preserve">Hirsch, E. B.; Tam, V. H. Impact of Multidrug-Resistant Pseudomonas Aeruginosa Infection on Patient Outcomes. </w:t>
      </w:r>
      <w:r w:rsidRPr="00A47835">
        <w:rPr>
          <w:rFonts w:ascii="Times New Roman" w:hAnsi="Times New Roman" w:cs="Times New Roman"/>
          <w:i/>
          <w:iCs/>
        </w:rPr>
        <w:t>Expert Rev. Pharmacoecon. Outcomes Res.</w:t>
      </w:r>
      <w:r w:rsidRPr="00A47835">
        <w:rPr>
          <w:rFonts w:ascii="Times New Roman" w:hAnsi="Times New Roman" w:cs="Times New Roman"/>
        </w:rPr>
        <w:t xml:space="preserve"> </w:t>
      </w:r>
      <w:r w:rsidRPr="00A47835">
        <w:rPr>
          <w:rFonts w:ascii="Times New Roman" w:hAnsi="Times New Roman" w:cs="Times New Roman"/>
          <w:b/>
          <w:bCs/>
        </w:rPr>
        <w:t>2010</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(4), 441–451. https://doi.org/10.1586/erp.10.49.</w:t>
      </w:r>
    </w:p>
    <w:p w14:paraId="35172D0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w:t>
      </w:r>
      <w:r w:rsidRPr="00A47835">
        <w:rPr>
          <w:rFonts w:ascii="Times New Roman" w:hAnsi="Times New Roman" w:cs="Times New Roman"/>
        </w:rPr>
        <w:tab/>
        <w:t xml:space="preserve">Bickenbach, J.; Schöneis, D.; Marx, G.; Marx, N.; Lemmen, S.; Dreher, M. Impact of Multidrug-Resistant Bacteria on Outcome in Patients with Prolonged Weaning. </w:t>
      </w:r>
      <w:r w:rsidRPr="00A47835">
        <w:rPr>
          <w:rFonts w:ascii="Times New Roman" w:hAnsi="Times New Roman" w:cs="Times New Roman"/>
          <w:i/>
          <w:iCs/>
        </w:rPr>
        <w:t>BMC Pulm. Med.</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18</w:t>
      </w:r>
      <w:r w:rsidRPr="00A47835">
        <w:rPr>
          <w:rFonts w:ascii="Times New Roman" w:hAnsi="Times New Roman" w:cs="Times New Roman"/>
        </w:rPr>
        <w:t xml:space="preserve"> (1), 141. https://doi.org/10.1186/s12890-018-0708-3.</w:t>
      </w:r>
    </w:p>
    <w:p w14:paraId="5526E28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(18)</w:t>
      </w:r>
      <w:r w:rsidRPr="00A47835">
        <w:rPr>
          <w:rFonts w:ascii="Times New Roman" w:hAnsi="Times New Roman" w:cs="Times New Roman"/>
        </w:rPr>
        <w:tab/>
        <w:t xml:space="preserve">Nelson, R. E.; Hatfield, K. M.; Wolford, H.; Samore, M. H.; Scott, R. D.; Reddy, S. C.; Olubajo, B.; Paul, P.; Jernigan, J. A.; Baggs, J. National Estimates of Healthcare Costs Associated With Multidrug-Resistant Bacterial Infections Among Hospitalized Patients in the United States. </w:t>
      </w:r>
      <w:r w:rsidRPr="00A47835">
        <w:rPr>
          <w:rFonts w:ascii="Times New Roman" w:hAnsi="Times New Roman" w:cs="Times New Roman"/>
          <w:i/>
          <w:iCs/>
        </w:rPr>
        <w:t>Clin. Infect. Dis. Off. Publ. Infect. Dis. Soc. Am.</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72</w:t>
      </w:r>
      <w:r w:rsidRPr="00A47835">
        <w:rPr>
          <w:rFonts w:ascii="Times New Roman" w:hAnsi="Times New Roman" w:cs="Times New Roman"/>
        </w:rPr>
        <w:t xml:space="preserve"> (Suppl 1), S17–S26. https://doi.org/10.1093/cid/ciaa1581.</w:t>
      </w:r>
    </w:p>
    <w:p w14:paraId="4FCDE48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(19)</w:t>
      </w:r>
      <w:r w:rsidRPr="00A47835">
        <w:rPr>
          <w:rFonts w:ascii="Times New Roman" w:hAnsi="Times New Roman" w:cs="Times New Roman"/>
        </w:rPr>
        <w:tab/>
        <w:t xml:space="preserve">CDC. </w:t>
      </w:r>
      <w:r w:rsidRPr="00A47835">
        <w:rPr>
          <w:rFonts w:ascii="Times New Roman" w:hAnsi="Times New Roman" w:cs="Times New Roman"/>
          <w:i/>
          <w:iCs/>
        </w:rPr>
        <w:t>COVID-19 &amp; Antibiotic Resistance</w:t>
      </w:r>
      <w:r w:rsidRPr="00A47835">
        <w:rPr>
          <w:rFonts w:ascii="Times New Roman" w:hAnsi="Times New Roman" w:cs="Times New Roman"/>
        </w:rPr>
        <w:t>. Centers for Disease Control and Prevention. https://www.cdc.gov/drugresistance/covid19.html (accessed 2023-12-06).</w:t>
      </w:r>
    </w:p>
    <w:p w14:paraId="28C42C4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(20)</w:t>
      </w:r>
      <w:r w:rsidRPr="00A47835">
        <w:rPr>
          <w:rFonts w:ascii="Times New Roman" w:hAnsi="Times New Roman" w:cs="Times New Roman"/>
        </w:rPr>
        <w:tab/>
        <w:t xml:space="preserve">Krishnamoorthy, G.; Leus, I. V.; Weeks, J. W.; Wolloscheck, D.; Rybenkov, V. V.; Zgurskaya, H. I. Synergy between Active Efflux and Outer Membrane Diffusion Defines Rules of Antibiotic Permeation into Gram-Negative Bacteria.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8</w:t>
      </w:r>
      <w:r w:rsidRPr="00A47835">
        <w:rPr>
          <w:rFonts w:ascii="Times New Roman" w:hAnsi="Times New Roman" w:cs="Times New Roman"/>
        </w:rPr>
        <w:t xml:space="preserve"> (5). https://doi.org/10.1128/mBio.01172-17.</w:t>
      </w:r>
    </w:p>
    <w:p w14:paraId="08E3DD4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(21)</w:t>
      </w:r>
      <w:r w:rsidRPr="00A47835">
        <w:rPr>
          <w:rFonts w:ascii="Times New Roman" w:hAnsi="Times New Roman" w:cs="Times New Roman"/>
        </w:rPr>
        <w:tab/>
        <w:t xml:space="preserve">Centers for Disease Control and Prevention (U.S.). </w:t>
      </w:r>
      <w:r w:rsidRPr="00A47835">
        <w:rPr>
          <w:rFonts w:ascii="Times New Roman" w:hAnsi="Times New Roman" w:cs="Times New Roman"/>
          <w:i/>
          <w:iCs/>
        </w:rPr>
        <w:t>Antibiotic Resistance Threats in the United States, 2019</w:t>
      </w:r>
      <w:r w:rsidRPr="00A47835">
        <w:rPr>
          <w:rFonts w:ascii="Times New Roman" w:hAnsi="Times New Roman" w:cs="Times New Roman"/>
        </w:rPr>
        <w:t>; Centers for Disease Control and Prevention (U.S.), 2019. https://doi.org/10.15620/cdc:82532.</w:t>
      </w:r>
    </w:p>
    <w:p w14:paraId="28AD218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(22)</w:t>
      </w:r>
      <w:r w:rsidRPr="00A47835">
        <w:rPr>
          <w:rFonts w:ascii="Times New Roman" w:hAnsi="Times New Roman" w:cs="Times New Roman"/>
        </w:rPr>
        <w:tab/>
        <w:t xml:space="preserve">Pearson, J. P.; Van Delden, C.; Iglewski, B. H. Active Efflux and Diffusion Are Involved in Transport of Pseudomonas Aeruginosa Cell-to-Cell Signals.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1999</w:t>
      </w:r>
      <w:r w:rsidRPr="00A47835">
        <w:rPr>
          <w:rFonts w:ascii="Times New Roman" w:hAnsi="Times New Roman" w:cs="Times New Roman"/>
        </w:rPr>
        <w:t xml:space="preserve">, </w:t>
      </w:r>
      <w:r w:rsidRPr="00A47835">
        <w:rPr>
          <w:rFonts w:ascii="Times New Roman" w:hAnsi="Times New Roman" w:cs="Times New Roman"/>
          <w:i/>
          <w:iCs/>
        </w:rPr>
        <w:t>181</w:t>
      </w:r>
      <w:r w:rsidRPr="00A47835">
        <w:rPr>
          <w:rFonts w:ascii="Times New Roman" w:hAnsi="Times New Roman" w:cs="Times New Roman"/>
        </w:rPr>
        <w:t xml:space="preserve"> (4), 1203–1210. https://doi.org/10.1128/JB.181.4.1203-1210.1999.</w:t>
      </w:r>
    </w:p>
    <w:p w14:paraId="14EBC9A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(23)</w:t>
      </w:r>
      <w:r w:rsidRPr="00A47835">
        <w:rPr>
          <w:rFonts w:ascii="Times New Roman" w:hAnsi="Times New Roman" w:cs="Times New Roman"/>
        </w:rPr>
        <w:tab/>
        <w:t xml:space="preserve">Vila, J.; Martí, S.; Sánchez-Céspedes, J. Porins, Efflux Pumps and Multidrug Resistance in Acinetobacter Baumannii. </w:t>
      </w:r>
      <w:r w:rsidRPr="00A47835">
        <w:rPr>
          <w:rFonts w:ascii="Times New Roman" w:hAnsi="Times New Roman" w:cs="Times New Roman"/>
          <w:i/>
          <w:iCs/>
        </w:rPr>
        <w:t>J. Antimicrob. Chemother.</w:t>
      </w:r>
      <w:r w:rsidRPr="00A47835">
        <w:rPr>
          <w:rFonts w:ascii="Times New Roman" w:hAnsi="Times New Roman" w:cs="Times New Roman"/>
        </w:rPr>
        <w:t xml:space="preserve"> </w:t>
      </w:r>
      <w:r w:rsidRPr="00A47835">
        <w:rPr>
          <w:rFonts w:ascii="Times New Roman" w:hAnsi="Times New Roman" w:cs="Times New Roman"/>
          <w:b/>
          <w:bCs/>
        </w:rPr>
        <w:t>2007</w:t>
      </w:r>
      <w:r w:rsidRPr="00A47835">
        <w:rPr>
          <w:rFonts w:ascii="Times New Roman" w:hAnsi="Times New Roman" w:cs="Times New Roman"/>
        </w:rPr>
        <w:t xml:space="preserve">, </w:t>
      </w:r>
      <w:r w:rsidRPr="00A47835">
        <w:rPr>
          <w:rFonts w:ascii="Times New Roman" w:hAnsi="Times New Roman" w:cs="Times New Roman"/>
          <w:i/>
          <w:iCs/>
        </w:rPr>
        <w:t>59</w:t>
      </w:r>
      <w:r w:rsidRPr="00A47835">
        <w:rPr>
          <w:rFonts w:ascii="Times New Roman" w:hAnsi="Times New Roman" w:cs="Times New Roman"/>
        </w:rPr>
        <w:t xml:space="preserve"> (6), 1210–1215. https://doi.org/10.1093/jac/dkl509.</w:t>
      </w:r>
    </w:p>
    <w:p w14:paraId="34A3D97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(24)</w:t>
      </w:r>
      <w:r w:rsidRPr="00A47835">
        <w:rPr>
          <w:rFonts w:ascii="Times New Roman" w:hAnsi="Times New Roman" w:cs="Times New Roman"/>
        </w:rPr>
        <w:tab/>
        <w:t xml:space="preserve">Huang, L.; Wu, C.; Gao, H.; Xu, C.; Dai, M.; Huang, L.; Hao, H.; Wang, X.; Cheng, G. Bacterial Multidrug Efflux Pumps at the Frontline of Antimicrobial Resistance: An Overview. </w:t>
      </w:r>
      <w:r w:rsidRPr="00A47835">
        <w:rPr>
          <w:rFonts w:ascii="Times New Roman" w:hAnsi="Times New Roman" w:cs="Times New Roman"/>
          <w:i/>
          <w:iCs/>
        </w:rPr>
        <w:t>Antibiotics</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11</w:t>
      </w:r>
      <w:r w:rsidRPr="00A47835">
        <w:rPr>
          <w:rFonts w:ascii="Times New Roman" w:hAnsi="Times New Roman" w:cs="Times New Roman"/>
        </w:rPr>
        <w:t xml:space="preserve"> (4), 520. https://doi.org/10.3390/antibiotics11040520.</w:t>
      </w:r>
    </w:p>
    <w:p w14:paraId="0CD9B2B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(25)</w:t>
      </w:r>
      <w:r w:rsidRPr="00A47835">
        <w:rPr>
          <w:rFonts w:ascii="Times New Roman" w:hAnsi="Times New Roman" w:cs="Times New Roman"/>
        </w:rPr>
        <w:tab/>
        <w:t xml:space="preserve">Nishino, K.; Yamasaki, S.; Nakashima, R.; Zwama, M.; Hayashi-Nishino, M. Function and Inhibitory Mechanisms of Multidrug Efflux Pumps. </w:t>
      </w:r>
      <w:r w:rsidRPr="00A47835">
        <w:rPr>
          <w:rFonts w:ascii="Times New Roman" w:hAnsi="Times New Roman" w:cs="Times New Roman"/>
          <w:i/>
          <w:iCs/>
        </w:rPr>
        <w:t>Front. Microbiol.</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3390. https://doi.org/10.3389/fmicb.2021.737288.</w:t>
      </w:r>
    </w:p>
    <w:p w14:paraId="16AA218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(26)</w:t>
      </w:r>
      <w:r w:rsidRPr="00A47835">
        <w:rPr>
          <w:rFonts w:ascii="Times New Roman" w:hAnsi="Times New Roman" w:cs="Times New Roman"/>
        </w:rPr>
        <w:tab/>
        <w:t xml:space="preserve">Wang, Z.; Fan, G.; Hryc, C. F.; Blaza, J. N.; Serysheva, I. I.; Schmid, M. F.; Chiu, W.; Luisi, B. F.; Du, D. An Allosteric Transport Mechanism for the AcrAB-TolC Multidrug Efflux Pump. </w:t>
      </w:r>
      <w:r w:rsidRPr="00A47835">
        <w:rPr>
          <w:rFonts w:ascii="Times New Roman" w:hAnsi="Times New Roman" w:cs="Times New Roman"/>
          <w:i/>
          <w:iCs/>
        </w:rPr>
        <w:t>eLife</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6</w:t>
      </w:r>
      <w:r w:rsidRPr="00A47835">
        <w:rPr>
          <w:rFonts w:ascii="Times New Roman" w:hAnsi="Times New Roman" w:cs="Times New Roman"/>
        </w:rPr>
        <w:t>, e24905. https://doi.org/10.7554/eLife.24905.</w:t>
      </w:r>
    </w:p>
    <w:p w14:paraId="17D5D67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(27)</w:t>
      </w:r>
      <w:r w:rsidRPr="00A47835">
        <w:rPr>
          <w:rFonts w:ascii="Times New Roman" w:hAnsi="Times New Roman" w:cs="Times New Roman"/>
        </w:rPr>
        <w:tab/>
        <w:t xml:space="preserve">Nikaido, H.; Takatsuka, Y. Mechanisms of RND Multidrug Efflux Pumps. </w:t>
      </w:r>
      <w:r w:rsidRPr="00A47835">
        <w:rPr>
          <w:rFonts w:ascii="Times New Roman" w:hAnsi="Times New Roman" w:cs="Times New Roman"/>
          <w:i/>
          <w:iCs/>
        </w:rPr>
        <w:t>Biochim. Biophys. Acta</w:t>
      </w:r>
      <w:r w:rsidRPr="00A47835">
        <w:rPr>
          <w:rFonts w:ascii="Times New Roman" w:hAnsi="Times New Roman" w:cs="Times New Roman"/>
        </w:rPr>
        <w:t xml:space="preserve"> </w:t>
      </w:r>
      <w:r w:rsidRPr="00A47835">
        <w:rPr>
          <w:rFonts w:ascii="Times New Roman" w:hAnsi="Times New Roman" w:cs="Times New Roman"/>
          <w:b/>
          <w:bCs/>
        </w:rPr>
        <w:t>2009</w:t>
      </w:r>
      <w:r w:rsidRPr="00A47835">
        <w:rPr>
          <w:rFonts w:ascii="Times New Roman" w:hAnsi="Times New Roman" w:cs="Times New Roman"/>
        </w:rPr>
        <w:t xml:space="preserve">, </w:t>
      </w:r>
      <w:r w:rsidRPr="00A47835">
        <w:rPr>
          <w:rFonts w:ascii="Times New Roman" w:hAnsi="Times New Roman" w:cs="Times New Roman"/>
          <w:i/>
          <w:iCs/>
        </w:rPr>
        <w:t>1794</w:t>
      </w:r>
      <w:r w:rsidRPr="00A47835">
        <w:rPr>
          <w:rFonts w:ascii="Times New Roman" w:hAnsi="Times New Roman" w:cs="Times New Roman"/>
        </w:rPr>
        <w:t xml:space="preserve"> (5), 769–781. https://doi.org/10.1016/j.bbapap.2008.10.004.</w:t>
      </w:r>
    </w:p>
    <w:p w14:paraId="0192896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(28)</w:t>
      </w:r>
      <w:r w:rsidRPr="00A47835">
        <w:rPr>
          <w:rFonts w:ascii="Times New Roman" w:hAnsi="Times New Roman" w:cs="Times New Roman"/>
        </w:rPr>
        <w:tab/>
        <w:t xml:space="preserve">Nikaido, H.; Zgurskaya, H. I. AcrAB and Related Multidrug Efflux Pumps of Escherichia Coli. </w:t>
      </w:r>
      <w:r w:rsidRPr="00A47835">
        <w:rPr>
          <w:rFonts w:ascii="Times New Roman" w:hAnsi="Times New Roman" w:cs="Times New Roman"/>
          <w:i/>
          <w:iCs/>
        </w:rPr>
        <w:t>J. Mol. Microbiol. Biotechnol.</w:t>
      </w:r>
      <w:r w:rsidRPr="00A47835">
        <w:rPr>
          <w:rFonts w:ascii="Times New Roman" w:hAnsi="Times New Roman" w:cs="Times New Roman"/>
        </w:rPr>
        <w:t xml:space="preserve"> </w:t>
      </w:r>
      <w:r w:rsidRPr="00A47835">
        <w:rPr>
          <w:rFonts w:ascii="Times New Roman" w:hAnsi="Times New Roman" w:cs="Times New Roman"/>
          <w:b/>
          <w:bCs/>
        </w:rPr>
        <w:t>2001</w:t>
      </w:r>
      <w:r w:rsidRPr="00A47835">
        <w:rPr>
          <w:rFonts w:ascii="Times New Roman" w:hAnsi="Times New Roman" w:cs="Times New Roman"/>
        </w:rPr>
        <w:t xml:space="preserve">, </w:t>
      </w:r>
      <w:r w:rsidRPr="00A47835">
        <w:rPr>
          <w:rFonts w:ascii="Times New Roman" w:hAnsi="Times New Roman" w:cs="Times New Roman"/>
          <w:i/>
          <w:iCs/>
        </w:rPr>
        <w:t>3</w:t>
      </w:r>
      <w:r w:rsidRPr="00A47835">
        <w:rPr>
          <w:rFonts w:ascii="Times New Roman" w:hAnsi="Times New Roman" w:cs="Times New Roman"/>
        </w:rPr>
        <w:t xml:space="preserve"> (2), 215–218.</w:t>
      </w:r>
    </w:p>
    <w:p w14:paraId="6DAED26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(29)</w:t>
      </w:r>
      <w:r w:rsidRPr="00A47835">
        <w:rPr>
          <w:rFonts w:ascii="Times New Roman" w:hAnsi="Times New Roman" w:cs="Times New Roman"/>
        </w:rPr>
        <w:tab/>
        <w:t xml:space="preserve">Du, D.; van Veen, H. W.; Murakami, S.; Pos, K. M.; Luisi, B. F. Structure, Mechanism and Cooperation of Bacterial Multidrug Transporters. </w:t>
      </w:r>
      <w:r w:rsidRPr="00A47835">
        <w:rPr>
          <w:rFonts w:ascii="Times New Roman" w:hAnsi="Times New Roman" w:cs="Times New Roman"/>
          <w:i/>
          <w:iCs/>
        </w:rPr>
        <w:t>Curr. Opin. Struct. Biol.</w:t>
      </w:r>
      <w:r w:rsidRPr="00A47835">
        <w:rPr>
          <w:rFonts w:ascii="Times New Roman" w:hAnsi="Times New Roman" w:cs="Times New Roman"/>
        </w:rPr>
        <w:t xml:space="preserve"> </w:t>
      </w:r>
      <w:r w:rsidRPr="00A47835">
        <w:rPr>
          <w:rFonts w:ascii="Times New Roman" w:hAnsi="Times New Roman" w:cs="Times New Roman"/>
          <w:b/>
          <w:bCs/>
        </w:rPr>
        <w:t>2015</w:t>
      </w:r>
      <w:r w:rsidRPr="00A47835">
        <w:rPr>
          <w:rFonts w:ascii="Times New Roman" w:hAnsi="Times New Roman" w:cs="Times New Roman"/>
        </w:rPr>
        <w:t xml:space="preserve">, </w:t>
      </w:r>
      <w:r w:rsidRPr="00A47835">
        <w:rPr>
          <w:rFonts w:ascii="Times New Roman" w:hAnsi="Times New Roman" w:cs="Times New Roman"/>
          <w:i/>
          <w:iCs/>
        </w:rPr>
        <w:t>33</w:t>
      </w:r>
      <w:r w:rsidRPr="00A47835">
        <w:rPr>
          <w:rFonts w:ascii="Times New Roman" w:hAnsi="Times New Roman" w:cs="Times New Roman"/>
        </w:rPr>
        <w:t>, 76–91. https://doi.org/10.1016/j.sbi.2015.07.015.</w:t>
      </w:r>
    </w:p>
    <w:p w14:paraId="66CB391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(30)</w:t>
      </w:r>
      <w:r w:rsidRPr="00A47835">
        <w:rPr>
          <w:rFonts w:ascii="Times New Roman" w:hAnsi="Times New Roman" w:cs="Times New Roman"/>
        </w:rPr>
        <w:tab/>
        <w:t xml:space="preserve">Russell Lewis, B.; Uddin, M. R.; Moniruzzaman, M.; Kuo, K. M.; Higgins, A. J.; Shah, L. M. N.; Sobott, F.; Parks, J. M.; Hammerschmid, D.; Gumbart, J. C.; Zgurskaya, H. I.; Reading, E. Conformational Restriction Shapes the Inhibition of a Multidrug Efflux Adaptor Protein. </w:t>
      </w:r>
      <w:r w:rsidRPr="00A47835">
        <w:rPr>
          <w:rFonts w:ascii="Times New Roman" w:hAnsi="Times New Roman" w:cs="Times New Roman"/>
          <w:i/>
          <w:iCs/>
        </w:rPr>
        <w:t>Nat. Commun.</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14</w:t>
      </w:r>
      <w:r w:rsidRPr="00A47835">
        <w:rPr>
          <w:rFonts w:ascii="Times New Roman" w:hAnsi="Times New Roman" w:cs="Times New Roman"/>
        </w:rPr>
        <w:t xml:space="preserve"> (1), 3900. https://doi.org/10.1038/s41467-023-39615-x.</w:t>
      </w:r>
    </w:p>
    <w:p w14:paraId="1D5969FE"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(31)</w:t>
      </w:r>
      <w:r w:rsidRPr="00A47835">
        <w:rPr>
          <w:rFonts w:ascii="Times New Roman" w:hAnsi="Times New Roman" w:cs="Times New Roman"/>
        </w:rPr>
        <w:tab/>
        <w:t xml:space="preserve">Daury, L.; Orange, F.; Taveau, J.-C.; Verchère, A.; Monlezun, L.; Gounou, C.; Marreddy, R. K. R.; Picard, M.; Broutin, I.; Pos, K. M.; Lambert, O. Tripartite Assembly of RND Multidrug Efflux Pumps. </w:t>
      </w:r>
      <w:r w:rsidRPr="00A47835">
        <w:rPr>
          <w:rFonts w:ascii="Times New Roman" w:hAnsi="Times New Roman" w:cs="Times New Roman"/>
          <w:i/>
          <w:iCs/>
        </w:rPr>
        <w:t>Nat. Commun.</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7</w:t>
      </w:r>
      <w:r w:rsidRPr="00A47835">
        <w:rPr>
          <w:rFonts w:ascii="Times New Roman" w:hAnsi="Times New Roman" w:cs="Times New Roman"/>
        </w:rPr>
        <w:t xml:space="preserve"> (1), 10731. https://doi.org/10.1038/ncomms10731.</w:t>
      </w:r>
    </w:p>
    <w:p w14:paraId="0A43F1D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(32)</w:t>
      </w:r>
      <w:r w:rsidRPr="00A47835">
        <w:rPr>
          <w:rFonts w:ascii="Times New Roman" w:hAnsi="Times New Roman" w:cs="Times New Roman"/>
        </w:rPr>
        <w:tab/>
        <w:t xml:space="preserve">Eda, S.; Maseda, H.; Yoshihara, E.; Nakae, T. Assignment of the Outer-Membrane-Subunit-Selective Domain of the Membrane Fusion Protein in the Tripartite Xenobiotic Efflux Pump of Pseudomonas Aeruginosa. </w:t>
      </w:r>
      <w:r w:rsidRPr="00A47835">
        <w:rPr>
          <w:rFonts w:ascii="Times New Roman" w:hAnsi="Times New Roman" w:cs="Times New Roman"/>
          <w:i/>
          <w:iCs/>
        </w:rPr>
        <w:t>FEMS Microbiol. Lett.</w:t>
      </w:r>
      <w:r w:rsidRPr="00A47835">
        <w:rPr>
          <w:rFonts w:ascii="Times New Roman" w:hAnsi="Times New Roman" w:cs="Times New Roman"/>
        </w:rPr>
        <w:t xml:space="preserve"> </w:t>
      </w:r>
      <w:r w:rsidRPr="00A47835">
        <w:rPr>
          <w:rFonts w:ascii="Times New Roman" w:hAnsi="Times New Roman" w:cs="Times New Roman"/>
          <w:b/>
          <w:bCs/>
        </w:rPr>
        <w:t>2006</w:t>
      </w:r>
      <w:r w:rsidRPr="00A47835">
        <w:rPr>
          <w:rFonts w:ascii="Times New Roman" w:hAnsi="Times New Roman" w:cs="Times New Roman"/>
        </w:rPr>
        <w:t xml:space="preserve">, </w:t>
      </w:r>
      <w:r w:rsidRPr="00A47835">
        <w:rPr>
          <w:rFonts w:ascii="Times New Roman" w:hAnsi="Times New Roman" w:cs="Times New Roman"/>
          <w:i/>
          <w:iCs/>
        </w:rPr>
        <w:t>254</w:t>
      </w:r>
      <w:r w:rsidRPr="00A47835">
        <w:rPr>
          <w:rFonts w:ascii="Times New Roman" w:hAnsi="Times New Roman" w:cs="Times New Roman"/>
        </w:rPr>
        <w:t xml:space="preserve"> (1), 101–107. https://doi.org/10.1111/j.1574-6968.2005.00010.x.</w:t>
      </w:r>
    </w:p>
    <w:p w14:paraId="6BA0AFC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(33)</w:t>
      </w:r>
      <w:r w:rsidRPr="00A47835">
        <w:rPr>
          <w:rFonts w:ascii="Times New Roman" w:hAnsi="Times New Roman" w:cs="Times New Roman"/>
        </w:rPr>
        <w:tab/>
        <w:t xml:space="preserve">Stegmeier, J. F.; Polleichtner, G.; Brandes, N.; Hotz, C.; Andersen, C. Importance of the Adaptor (Membrane Fusion) Protein Hairpin Domain for the Functionality of Multidrug Efflux Pumps. </w:t>
      </w:r>
      <w:r w:rsidRPr="00A47835">
        <w:rPr>
          <w:rFonts w:ascii="Times New Roman" w:hAnsi="Times New Roman" w:cs="Times New Roman"/>
          <w:i/>
          <w:iCs/>
        </w:rPr>
        <w:t>Biochemistry</w:t>
      </w:r>
      <w:r w:rsidRPr="00A47835">
        <w:rPr>
          <w:rFonts w:ascii="Times New Roman" w:hAnsi="Times New Roman" w:cs="Times New Roman"/>
        </w:rPr>
        <w:t xml:space="preserve"> </w:t>
      </w:r>
      <w:r w:rsidRPr="00A47835">
        <w:rPr>
          <w:rFonts w:ascii="Times New Roman" w:hAnsi="Times New Roman" w:cs="Times New Roman"/>
          <w:b/>
          <w:bCs/>
        </w:rPr>
        <w:t>2006</w:t>
      </w:r>
      <w:r w:rsidRPr="00A47835">
        <w:rPr>
          <w:rFonts w:ascii="Times New Roman" w:hAnsi="Times New Roman" w:cs="Times New Roman"/>
        </w:rPr>
        <w:t xml:space="preserve">, </w:t>
      </w:r>
      <w:r w:rsidRPr="00A47835">
        <w:rPr>
          <w:rFonts w:ascii="Times New Roman" w:hAnsi="Times New Roman" w:cs="Times New Roman"/>
          <w:i/>
          <w:iCs/>
        </w:rPr>
        <w:t>45</w:t>
      </w:r>
      <w:r w:rsidRPr="00A47835">
        <w:rPr>
          <w:rFonts w:ascii="Times New Roman" w:hAnsi="Times New Roman" w:cs="Times New Roman"/>
        </w:rPr>
        <w:t xml:space="preserve"> (34), 10303–10312. https://doi.org/10.1021/bi060320g.</w:t>
      </w:r>
    </w:p>
    <w:p w14:paraId="0E84186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(34)</w:t>
      </w:r>
      <w:r w:rsidRPr="00A47835">
        <w:rPr>
          <w:rFonts w:ascii="Times New Roman" w:hAnsi="Times New Roman" w:cs="Times New Roman"/>
        </w:rPr>
        <w:tab/>
        <w:t xml:space="preserve">Lobedanz, S.; Bokma, E.; Symmons, M. F.; Koronakis, E.; Hughes, C.; Koronakis, V. A Periplasmic Coiled-Coil Interface Underlying TolC Recruitment and the Assembly of Bacterial Drug Efflux Pumps. </w:t>
      </w:r>
      <w:r w:rsidRPr="00A47835">
        <w:rPr>
          <w:rFonts w:ascii="Times New Roman" w:hAnsi="Times New Roman" w:cs="Times New Roman"/>
          <w:i/>
          <w:iCs/>
        </w:rPr>
        <w:t>Proc. Natl. Acad. Sci. U. S. A.</w:t>
      </w:r>
      <w:r w:rsidRPr="00A47835">
        <w:rPr>
          <w:rFonts w:ascii="Times New Roman" w:hAnsi="Times New Roman" w:cs="Times New Roman"/>
        </w:rPr>
        <w:t xml:space="preserve"> </w:t>
      </w:r>
      <w:r w:rsidRPr="00A47835">
        <w:rPr>
          <w:rFonts w:ascii="Times New Roman" w:hAnsi="Times New Roman" w:cs="Times New Roman"/>
          <w:b/>
          <w:bCs/>
        </w:rPr>
        <w:t>2007</w:t>
      </w:r>
      <w:r w:rsidRPr="00A47835">
        <w:rPr>
          <w:rFonts w:ascii="Times New Roman" w:hAnsi="Times New Roman" w:cs="Times New Roman"/>
        </w:rPr>
        <w:t xml:space="preserve">, </w:t>
      </w:r>
      <w:r w:rsidRPr="00A47835">
        <w:rPr>
          <w:rFonts w:ascii="Times New Roman" w:hAnsi="Times New Roman" w:cs="Times New Roman"/>
          <w:i/>
          <w:iCs/>
        </w:rPr>
        <w:t>104</w:t>
      </w:r>
      <w:r w:rsidRPr="00A47835">
        <w:rPr>
          <w:rFonts w:ascii="Times New Roman" w:hAnsi="Times New Roman" w:cs="Times New Roman"/>
        </w:rPr>
        <w:t xml:space="preserve"> (11), 4612–4617. https://doi.org/10.1073/pnas.0610160104.</w:t>
      </w:r>
    </w:p>
    <w:p w14:paraId="7CA8B00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(35)</w:t>
      </w:r>
      <w:r w:rsidRPr="00A47835">
        <w:rPr>
          <w:rFonts w:ascii="Times New Roman" w:hAnsi="Times New Roman" w:cs="Times New Roman"/>
        </w:rPr>
        <w:tab/>
        <w:t xml:space="preserve">Ge, Q.; Yamada, Y.; Zgurskaya, H. The C-Terminal Domain of AcrA Is Essential for the Assembly and Function of the Multidrug Efflux Pump AcrAB-TolC.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2009</w:t>
      </w:r>
      <w:r w:rsidRPr="00A47835">
        <w:rPr>
          <w:rFonts w:ascii="Times New Roman" w:hAnsi="Times New Roman" w:cs="Times New Roman"/>
        </w:rPr>
        <w:t xml:space="preserve">, </w:t>
      </w:r>
      <w:r w:rsidRPr="00A47835">
        <w:rPr>
          <w:rFonts w:ascii="Times New Roman" w:hAnsi="Times New Roman" w:cs="Times New Roman"/>
          <w:i/>
          <w:iCs/>
        </w:rPr>
        <w:t>191</w:t>
      </w:r>
      <w:r w:rsidRPr="00A47835">
        <w:rPr>
          <w:rFonts w:ascii="Times New Roman" w:hAnsi="Times New Roman" w:cs="Times New Roman"/>
        </w:rPr>
        <w:t xml:space="preserve"> (13), 4365–4371. https://doi.org/10.1128/JB.00204-09.</w:t>
      </w:r>
    </w:p>
    <w:p w14:paraId="6E761ED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(36)</w:t>
      </w:r>
      <w:r w:rsidRPr="00A47835">
        <w:rPr>
          <w:rFonts w:ascii="Times New Roman" w:hAnsi="Times New Roman" w:cs="Times New Roman"/>
        </w:rPr>
        <w:tab/>
        <w:t xml:space="preserve">Alav, I.; Kobylka, J.; Kuth, M. S.; Pos, K. M.; Picard, M.; Blair, J. M. A.; Bavro, V. N. Structure, Assembly, and Function of Tripartite Efflux and Type 1 Secretion Systems in Gram-Negative Bacteria. </w:t>
      </w:r>
      <w:r w:rsidRPr="00A47835">
        <w:rPr>
          <w:rFonts w:ascii="Times New Roman" w:hAnsi="Times New Roman" w:cs="Times New Roman"/>
          <w:i/>
          <w:iCs/>
        </w:rPr>
        <w:t>Chem. Rev.</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121</w:t>
      </w:r>
      <w:r w:rsidRPr="00A47835">
        <w:rPr>
          <w:rFonts w:ascii="Times New Roman" w:hAnsi="Times New Roman" w:cs="Times New Roman"/>
        </w:rPr>
        <w:t xml:space="preserve"> (9), 5479–5596. https://doi.org/10.1021/acs.chemrev.1c00055.</w:t>
      </w:r>
    </w:p>
    <w:p w14:paraId="4489E25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(37)</w:t>
      </w:r>
      <w:r w:rsidRPr="00A47835">
        <w:rPr>
          <w:rFonts w:ascii="Times New Roman" w:hAnsi="Times New Roman" w:cs="Times New Roman"/>
        </w:rPr>
        <w:tab/>
        <w:t xml:space="preserve">Murakami, S.; Nakashima, R.; Yamashita, E.; Matsumoto, T.; Yamaguchi, A. Crystal Structures of a Multidrug Transporter Reveal a Functionally Rotating Mechanism. </w:t>
      </w:r>
      <w:r w:rsidRPr="00A47835">
        <w:rPr>
          <w:rFonts w:ascii="Times New Roman" w:hAnsi="Times New Roman" w:cs="Times New Roman"/>
          <w:i/>
          <w:iCs/>
        </w:rPr>
        <w:t>Nature</w:t>
      </w:r>
      <w:r w:rsidRPr="00A47835">
        <w:rPr>
          <w:rFonts w:ascii="Times New Roman" w:hAnsi="Times New Roman" w:cs="Times New Roman"/>
        </w:rPr>
        <w:t xml:space="preserve"> </w:t>
      </w:r>
      <w:r w:rsidRPr="00A47835">
        <w:rPr>
          <w:rFonts w:ascii="Times New Roman" w:hAnsi="Times New Roman" w:cs="Times New Roman"/>
          <w:b/>
          <w:bCs/>
        </w:rPr>
        <w:t>2006</w:t>
      </w:r>
      <w:r w:rsidRPr="00A47835">
        <w:rPr>
          <w:rFonts w:ascii="Times New Roman" w:hAnsi="Times New Roman" w:cs="Times New Roman"/>
        </w:rPr>
        <w:t xml:space="preserve">, </w:t>
      </w:r>
      <w:r w:rsidRPr="00A47835">
        <w:rPr>
          <w:rFonts w:ascii="Times New Roman" w:hAnsi="Times New Roman" w:cs="Times New Roman"/>
          <w:i/>
          <w:iCs/>
        </w:rPr>
        <w:t>443</w:t>
      </w:r>
      <w:r w:rsidRPr="00A47835">
        <w:rPr>
          <w:rFonts w:ascii="Times New Roman" w:hAnsi="Times New Roman" w:cs="Times New Roman"/>
        </w:rPr>
        <w:t xml:space="preserve"> (7108), 173–179. https://doi.org/10.1038/nature05076.</w:t>
      </w:r>
    </w:p>
    <w:p w14:paraId="78BDF5E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(38)</w:t>
      </w:r>
      <w:r w:rsidRPr="00A47835">
        <w:rPr>
          <w:rFonts w:ascii="Times New Roman" w:hAnsi="Times New Roman" w:cs="Times New Roman"/>
        </w:rPr>
        <w:tab/>
        <w:t xml:space="preserve">Pos, K. M. Drug Transport Mechanism of the AcrB Efflux Pump. </w:t>
      </w:r>
      <w:r w:rsidRPr="00A47835">
        <w:rPr>
          <w:rFonts w:ascii="Times New Roman" w:hAnsi="Times New Roman" w:cs="Times New Roman"/>
          <w:i/>
          <w:iCs/>
        </w:rPr>
        <w:t>Biochim. Biophys. Acta</w:t>
      </w:r>
      <w:r w:rsidRPr="00A47835">
        <w:rPr>
          <w:rFonts w:ascii="Times New Roman" w:hAnsi="Times New Roman" w:cs="Times New Roman"/>
        </w:rPr>
        <w:t xml:space="preserve"> </w:t>
      </w:r>
      <w:r w:rsidRPr="00A47835">
        <w:rPr>
          <w:rFonts w:ascii="Times New Roman" w:hAnsi="Times New Roman" w:cs="Times New Roman"/>
          <w:b/>
          <w:bCs/>
        </w:rPr>
        <w:t>2009</w:t>
      </w:r>
      <w:r w:rsidRPr="00A47835">
        <w:rPr>
          <w:rFonts w:ascii="Times New Roman" w:hAnsi="Times New Roman" w:cs="Times New Roman"/>
        </w:rPr>
        <w:t xml:space="preserve">, </w:t>
      </w:r>
      <w:r w:rsidRPr="00A47835">
        <w:rPr>
          <w:rFonts w:ascii="Times New Roman" w:hAnsi="Times New Roman" w:cs="Times New Roman"/>
          <w:i/>
          <w:iCs/>
        </w:rPr>
        <w:t>1794</w:t>
      </w:r>
      <w:r w:rsidRPr="00A47835">
        <w:rPr>
          <w:rFonts w:ascii="Times New Roman" w:hAnsi="Times New Roman" w:cs="Times New Roman"/>
        </w:rPr>
        <w:t xml:space="preserve"> (5), 782–793. https://doi.org/10.1016/j.bbapap.2008.12.015.</w:t>
      </w:r>
    </w:p>
    <w:p w14:paraId="2A8FA33E"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(39)</w:t>
      </w:r>
      <w:r w:rsidRPr="00A47835">
        <w:rPr>
          <w:rFonts w:ascii="Times New Roman" w:hAnsi="Times New Roman" w:cs="Times New Roman"/>
        </w:rPr>
        <w:tab/>
        <w:t xml:space="preserve">Cha, H.; Müller, R. T.; Pos, K. M. Switch-Loop Flexibility Affects Transport of Large Drugs by the Promiscuous AcrB Multidrug Efflux Transporter.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2014</w:t>
      </w:r>
      <w:r w:rsidRPr="00A47835">
        <w:rPr>
          <w:rFonts w:ascii="Times New Roman" w:hAnsi="Times New Roman" w:cs="Times New Roman"/>
        </w:rPr>
        <w:t xml:space="preserve">, </w:t>
      </w:r>
      <w:r w:rsidRPr="00A47835">
        <w:rPr>
          <w:rFonts w:ascii="Times New Roman" w:hAnsi="Times New Roman" w:cs="Times New Roman"/>
          <w:i/>
          <w:iCs/>
        </w:rPr>
        <w:t>58</w:t>
      </w:r>
      <w:r w:rsidRPr="00A47835">
        <w:rPr>
          <w:rFonts w:ascii="Times New Roman" w:hAnsi="Times New Roman" w:cs="Times New Roman"/>
        </w:rPr>
        <w:t xml:space="preserve"> (8), 4767–4772. https://doi.org/10.1128/AAC.02733-13.</w:t>
      </w:r>
    </w:p>
    <w:p w14:paraId="637652F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(40)</w:t>
      </w:r>
      <w:r w:rsidRPr="00A47835">
        <w:rPr>
          <w:rFonts w:ascii="Times New Roman" w:hAnsi="Times New Roman" w:cs="Times New Roman"/>
        </w:rPr>
        <w:tab/>
        <w:t xml:space="preserve">Klenotic, P. A.; Moseng, M. A.; Morgan, C. E.; Yu, E. W. Structural and Functional Diversity of RND Transporters. </w:t>
      </w:r>
      <w:r w:rsidRPr="00A47835">
        <w:rPr>
          <w:rFonts w:ascii="Times New Roman" w:hAnsi="Times New Roman" w:cs="Times New Roman"/>
          <w:i/>
          <w:iCs/>
        </w:rPr>
        <w:t>Chem. Rev.</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121</w:t>
      </w:r>
      <w:r w:rsidRPr="00A47835">
        <w:rPr>
          <w:rFonts w:ascii="Times New Roman" w:hAnsi="Times New Roman" w:cs="Times New Roman"/>
        </w:rPr>
        <w:t xml:space="preserve"> (9), 5378–5416. https://doi.org/10.1021/acs.chemrev.0c00621.</w:t>
      </w:r>
    </w:p>
    <w:p w14:paraId="4D59DEF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(41)</w:t>
      </w:r>
      <w:r w:rsidRPr="00A47835">
        <w:rPr>
          <w:rFonts w:ascii="Times New Roman" w:hAnsi="Times New Roman" w:cs="Times New Roman"/>
        </w:rPr>
        <w:tab/>
        <w:t xml:space="preserve">Schulz, R.; Kleinekathöfer, U. Transitions between Closed and Open Conformations of TolC: The Effects of Ions in Simulations. </w:t>
      </w:r>
      <w:r w:rsidRPr="00A47835">
        <w:rPr>
          <w:rFonts w:ascii="Times New Roman" w:hAnsi="Times New Roman" w:cs="Times New Roman"/>
          <w:i/>
          <w:iCs/>
        </w:rPr>
        <w:t>Biophys. J.</w:t>
      </w:r>
      <w:r w:rsidRPr="00A47835">
        <w:rPr>
          <w:rFonts w:ascii="Times New Roman" w:hAnsi="Times New Roman" w:cs="Times New Roman"/>
        </w:rPr>
        <w:t xml:space="preserve"> </w:t>
      </w:r>
      <w:r w:rsidRPr="00A47835">
        <w:rPr>
          <w:rFonts w:ascii="Times New Roman" w:hAnsi="Times New Roman" w:cs="Times New Roman"/>
          <w:b/>
          <w:bCs/>
        </w:rPr>
        <w:t>2009</w:t>
      </w:r>
      <w:r w:rsidRPr="00A47835">
        <w:rPr>
          <w:rFonts w:ascii="Times New Roman" w:hAnsi="Times New Roman" w:cs="Times New Roman"/>
        </w:rPr>
        <w:t xml:space="preserve">, </w:t>
      </w:r>
      <w:r w:rsidRPr="00A47835">
        <w:rPr>
          <w:rFonts w:ascii="Times New Roman" w:hAnsi="Times New Roman" w:cs="Times New Roman"/>
          <w:i/>
          <w:iCs/>
        </w:rPr>
        <w:t>96</w:t>
      </w:r>
      <w:r w:rsidRPr="00A47835">
        <w:rPr>
          <w:rFonts w:ascii="Times New Roman" w:hAnsi="Times New Roman" w:cs="Times New Roman"/>
        </w:rPr>
        <w:t xml:space="preserve"> (8), 3116–3125. https://doi.org/10.1016/j.bpj.2009.01.021.</w:t>
      </w:r>
    </w:p>
    <w:p w14:paraId="0BCA9E2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(42)</w:t>
      </w:r>
      <w:r w:rsidRPr="00A47835">
        <w:rPr>
          <w:rFonts w:ascii="Times New Roman" w:hAnsi="Times New Roman" w:cs="Times New Roman"/>
        </w:rPr>
        <w:tab/>
        <w:t xml:space="preserve">Andersen, C.; Koronakis, E.; Hughes, C.; Koronakis, V. An Aspartate Ring at the TolC Tunnel Entrance Determines Ion Selectivity and Presents a Target for Blocking by Large Cations. </w:t>
      </w:r>
      <w:r w:rsidRPr="00A47835">
        <w:rPr>
          <w:rFonts w:ascii="Times New Roman" w:hAnsi="Times New Roman" w:cs="Times New Roman"/>
          <w:i/>
          <w:iCs/>
        </w:rPr>
        <w:t>Mol. Microbiol.</w:t>
      </w:r>
      <w:r w:rsidRPr="00A47835">
        <w:rPr>
          <w:rFonts w:ascii="Times New Roman" w:hAnsi="Times New Roman" w:cs="Times New Roman"/>
        </w:rPr>
        <w:t xml:space="preserve"> </w:t>
      </w:r>
      <w:r w:rsidRPr="00A47835">
        <w:rPr>
          <w:rFonts w:ascii="Times New Roman" w:hAnsi="Times New Roman" w:cs="Times New Roman"/>
          <w:b/>
          <w:bCs/>
        </w:rPr>
        <w:t>2002</w:t>
      </w:r>
      <w:r w:rsidRPr="00A47835">
        <w:rPr>
          <w:rFonts w:ascii="Times New Roman" w:hAnsi="Times New Roman" w:cs="Times New Roman"/>
        </w:rPr>
        <w:t xml:space="preserve">, </w:t>
      </w:r>
      <w:r w:rsidRPr="00A47835">
        <w:rPr>
          <w:rFonts w:ascii="Times New Roman" w:hAnsi="Times New Roman" w:cs="Times New Roman"/>
          <w:i/>
          <w:iCs/>
        </w:rPr>
        <w:t>44</w:t>
      </w:r>
      <w:r w:rsidRPr="00A47835">
        <w:rPr>
          <w:rFonts w:ascii="Times New Roman" w:hAnsi="Times New Roman" w:cs="Times New Roman"/>
        </w:rPr>
        <w:t xml:space="preserve"> (5), 1131–1139. https://doi.org/10.1046/j.1365-2958.2002.02898.x.</w:t>
      </w:r>
    </w:p>
    <w:p w14:paraId="772195B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(43)</w:t>
      </w:r>
      <w:r w:rsidRPr="00A47835">
        <w:rPr>
          <w:rFonts w:ascii="Times New Roman" w:hAnsi="Times New Roman" w:cs="Times New Roman"/>
        </w:rPr>
        <w:tab/>
        <w:t xml:space="preserve">Krishnamoorthy, G.; Tikhonova, E. B.; Dhamdhere, G.; Zgurskaya, H. I. On the Role of TolC in Multidrug Efflux: The Function and Assembly of AcrAB-TolC Tolerate Significant Depletion of Intracellular TolC Protein. </w:t>
      </w:r>
      <w:r w:rsidRPr="00A47835">
        <w:rPr>
          <w:rFonts w:ascii="Times New Roman" w:hAnsi="Times New Roman" w:cs="Times New Roman"/>
          <w:i/>
          <w:iCs/>
        </w:rPr>
        <w:t>Mol. Microbiol.</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87</w:t>
      </w:r>
      <w:r w:rsidRPr="00A47835">
        <w:rPr>
          <w:rFonts w:ascii="Times New Roman" w:hAnsi="Times New Roman" w:cs="Times New Roman"/>
        </w:rPr>
        <w:t xml:space="preserve"> (5), 982–997. https://doi.org/10.1111/mmi.12143.</w:t>
      </w:r>
    </w:p>
    <w:p w14:paraId="5E79174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(44)</w:t>
      </w:r>
      <w:r w:rsidRPr="00A47835">
        <w:rPr>
          <w:rFonts w:ascii="Times New Roman" w:hAnsi="Times New Roman" w:cs="Times New Roman"/>
        </w:rPr>
        <w:tab/>
        <w:t xml:space="preserve">Seeger, M. A.; Schiefner, A.; Eicher, T.; Verrey, F.; Diederichs, K.; Pos, K. M. Structural Asymmetry of AcrB Trimer Suggests a Peristaltic Pump Mechanism. </w:t>
      </w:r>
      <w:r w:rsidRPr="00A47835">
        <w:rPr>
          <w:rFonts w:ascii="Times New Roman" w:hAnsi="Times New Roman" w:cs="Times New Roman"/>
          <w:i/>
          <w:iCs/>
        </w:rPr>
        <w:t>Science</w:t>
      </w:r>
      <w:r w:rsidRPr="00A47835">
        <w:rPr>
          <w:rFonts w:ascii="Times New Roman" w:hAnsi="Times New Roman" w:cs="Times New Roman"/>
        </w:rPr>
        <w:t xml:space="preserve"> </w:t>
      </w:r>
      <w:r w:rsidRPr="00A47835">
        <w:rPr>
          <w:rFonts w:ascii="Times New Roman" w:hAnsi="Times New Roman" w:cs="Times New Roman"/>
          <w:b/>
          <w:bCs/>
        </w:rPr>
        <w:t>2006</w:t>
      </w:r>
      <w:r w:rsidRPr="00A47835">
        <w:rPr>
          <w:rFonts w:ascii="Times New Roman" w:hAnsi="Times New Roman" w:cs="Times New Roman"/>
        </w:rPr>
        <w:t xml:space="preserve">, </w:t>
      </w:r>
      <w:r w:rsidRPr="00A47835">
        <w:rPr>
          <w:rFonts w:ascii="Times New Roman" w:hAnsi="Times New Roman" w:cs="Times New Roman"/>
          <w:i/>
          <w:iCs/>
        </w:rPr>
        <w:t>313</w:t>
      </w:r>
      <w:r w:rsidRPr="00A47835">
        <w:rPr>
          <w:rFonts w:ascii="Times New Roman" w:hAnsi="Times New Roman" w:cs="Times New Roman"/>
        </w:rPr>
        <w:t xml:space="preserve"> (5791), 1295–1298. https://doi.org/10.1126/science.1131542.</w:t>
      </w:r>
    </w:p>
    <w:p w14:paraId="667F90A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(45)</w:t>
      </w:r>
      <w:r w:rsidRPr="00A47835">
        <w:rPr>
          <w:rFonts w:ascii="Times New Roman" w:hAnsi="Times New Roman" w:cs="Times New Roman"/>
        </w:rPr>
        <w:tab/>
        <w:t xml:space="preserve">Du, D.; Wang-Kan, X.; Neuberger, A.; Van Veen, H. W.; Pos, K. M.; Piddock, L. J. V.; Luisi, B. F. Multidrug Efflux Pumps: Structure, Function and Regulation. </w:t>
      </w:r>
      <w:r w:rsidRPr="00A47835">
        <w:rPr>
          <w:rFonts w:ascii="Times New Roman" w:hAnsi="Times New Roman" w:cs="Times New Roman"/>
          <w:i/>
          <w:iCs/>
        </w:rPr>
        <w:t>Nat. Rev. Microbiol.</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16</w:t>
      </w:r>
      <w:r w:rsidRPr="00A47835">
        <w:rPr>
          <w:rFonts w:ascii="Times New Roman" w:hAnsi="Times New Roman" w:cs="Times New Roman"/>
        </w:rPr>
        <w:t xml:space="preserve"> (9), 523–539. https://doi.org/10.1038/s41579-018-0048-6.</w:t>
      </w:r>
    </w:p>
    <w:p w14:paraId="46DD52E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(46)</w:t>
      </w:r>
      <w:r w:rsidRPr="00A47835">
        <w:rPr>
          <w:rFonts w:ascii="Times New Roman" w:hAnsi="Times New Roman" w:cs="Times New Roman"/>
        </w:rPr>
        <w:tab/>
        <w:t xml:space="preserve">Yao, X.-Q.; Kimura, N.; Murakami, S.; Takada, S. Drug Uptake Pathways of Multidrug Transporter AcrB Studied by Molecular Simulations and Site-Directed Mutagenesis Experiments. </w:t>
      </w:r>
      <w:r w:rsidRPr="00A47835">
        <w:rPr>
          <w:rFonts w:ascii="Times New Roman" w:hAnsi="Times New Roman" w:cs="Times New Roman"/>
          <w:i/>
          <w:iCs/>
        </w:rPr>
        <w:t>J. Am. Chem. Soc.</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135</w:t>
      </w:r>
      <w:r w:rsidRPr="00A47835">
        <w:rPr>
          <w:rFonts w:ascii="Times New Roman" w:hAnsi="Times New Roman" w:cs="Times New Roman"/>
        </w:rPr>
        <w:t xml:space="preserve"> (20), 7474–7485. https://doi.org/10.1021/ja310548h.</w:t>
      </w:r>
    </w:p>
    <w:p w14:paraId="33C2218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(47)</w:t>
      </w:r>
      <w:r w:rsidRPr="00A47835">
        <w:rPr>
          <w:rFonts w:ascii="Times New Roman" w:hAnsi="Times New Roman" w:cs="Times New Roman"/>
        </w:rPr>
        <w:tab/>
        <w:t xml:space="preserve">Kobylka, J.; Kuth, M. S.; Müller, R. T.; Geertsma, E. R.; Pos, K. M. AcrB: A Mean, Keen, Drug Efflux Machine. </w:t>
      </w:r>
      <w:r w:rsidRPr="00A47835">
        <w:rPr>
          <w:rFonts w:ascii="Times New Roman" w:hAnsi="Times New Roman" w:cs="Times New Roman"/>
          <w:i/>
          <w:iCs/>
        </w:rPr>
        <w:t>Ann. N. Y. Acad. Sci.</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1459</w:t>
      </w:r>
      <w:r w:rsidRPr="00A47835">
        <w:rPr>
          <w:rFonts w:ascii="Times New Roman" w:hAnsi="Times New Roman" w:cs="Times New Roman"/>
        </w:rPr>
        <w:t xml:space="preserve"> (1), 38–68. https://doi.org/10.1111/nyas.14239.</w:t>
      </w:r>
    </w:p>
    <w:p w14:paraId="398D78C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(48)</w:t>
      </w:r>
      <w:r w:rsidRPr="00A47835">
        <w:rPr>
          <w:rFonts w:ascii="Times New Roman" w:hAnsi="Times New Roman" w:cs="Times New Roman"/>
        </w:rPr>
        <w:tab/>
        <w:t xml:space="preserve">Chen, M.; Shi, X.; Yu, Z.; Fan, G.; Serysheva, I. I.; Baker, M. L.; Luisi, B. F.; Ludtke, S. J.; Wang, Z. In Situ Structure of the AcrAB-TolC Efflux Pump at Subnanometer Resolution. </w:t>
      </w:r>
      <w:r w:rsidRPr="00A47835">
        <w:rPr>
          <w:rFonts w:ascii="Times New Roman" w:hAnsi="Times New Roman" w:cs="Times New Roman"/>
          <w:i/>
          <w:iCs/>
        </w:rPr>
        <w:t>Struct. Lond. Engl. 1993</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30</w:t>
      </w:r>
      <w:r w:rsidRPr="00A47835">
        <w:rPr>
          <w:rFonts w:ascii="Times New Roman" w:hAnsi="Times New Roman" w:cs="Times New Roman"/>
        </w:rPr>
        <w:t xml:space="preserve"> (1), 107-113.e3. https://doi.org/10.1016/j.str.2021.08.008.</w:t>
      </w:r>
    </w:p>
    <w:p w14:paraId="035E8B3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(49)</w:t>
      </w:r>
      <w:r w:rsidRPr="00A47835">
        <w:rPr>
          <w:rFonts w:ascii="Times New Roman" w:hAnsi="Times New Roman" w:cs="Times New Roman"/>
        </w:rPr>
        <w:tab/>
        <w:t xml:space="preserve">Yousefian, N.; Ornik-Cha, A.; Poussard, S.; Decossas, M.; Berbon, M.; Daury, L.; Taveau, J.-C.; Dupuy, J.-W.; Đorđević-Marquardt, S.; Lambert, O.; Pos, K. M. Structural Characterization of the EmrAB-TolC Efflux Complex from E. Coli. </w:t>
      </w:r>
      <w:r w:rsidRPr="00A47835">
        <w:rPr>
          <w:rFonts w:ascii="Times New Roman" w:hAnsi="Times New Roman" w:cs="Times New Roman"/>
          <w:i/>
          <w:iCs/>
        </w:rPr>
        <w:t>Biochim. Biophys. Acta BBA - Biomembr.</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1863</w:t>
      </w:r>
      <w:r w:rsidRPr="00A47835">
        <w:rPr>
          <w:rFonts w:ascii="Times New Roman" w:hAnsi="Times New Roman" w:cs="Times New Roman"/>
        </w:rPr>
        <w:t xml:space="preserve"> (1), 183488. https://doi.org/10.1016/j.bbamem.2020.183488.</w:t>
      </w:r>
    </w:p>
    <w:p w14:paraId="5D0F5D3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(50)</w:t>
      </w:r>
      <w:r w:rsidRPr="00A47835">
        <w:rPr>
          <w:rFonts w:ascii="Times New Roman" w:hAnsi="Times New Roman" w:cs="Times New Roman"/>
        </w:rPr>
        <w:tab/>
        <w:t xml:space="preserve">Sulavik, M. C.; Houseweart, C.; Cramer, C.; Jiwani, N.; Murgolo, N.; Greene, J.; DiDomenico, B.; Shaw, K. J.; Miller, G. H.; Hare, R.; Shimer, G. Antibiotic Susceptibility Profiles of Escherichia Coli Strains Lacking Multidrug Efflux Pump Genes.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2001</w:t>
      </w:r>
      <w:r w:rsidRPr="00A47835">
        <w:rPr>
          <w:rFonts w:ascii="Times New Roman" w:hAnsi="Times New Roman" w:cs="Times New Roman"/>
        </w:rPr>
        <w:t xml:space="preserve">, </w:t>
      </w:r>
      <w:r w:rsidRPr="00A47835">
        <w:rPr>
          <w:rFonts w:ascii="Times New Roman" w:hAnsi="Times New Roman" w:cs="Times New Roman"/>
          <w:i/>
          <w:iCs/>
        </w:rPr>
        <w:t>45</w:t>
      </w:r>
      <w:r w:rsidRPr="00A47835">
        <w:rPr>
          <w:rFonts w:ascii="Times New Roman" w:hAnsi="Times New Roman" w:cs="Times New Roman"/>
        </w:rPr>
        <w:t xml:space="preserve"> (4), 1126–1136. https://doi.org/10.1128/AAC.45.4.1126-1136.2001.</w:t>
      </w:r>
    </w:p>
    <w:p w14:paraId="31774B6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(51)</w:t>
      </w:r>
      <w:r w:rsidRPr="00A47835">
        <w:rPr>
          <w:rFonts w:ascii="Times New Roman" w:hAnsi="Times New Roman" w:cs="Times New Roman"/>
        </w:rPr>
        <w:tab/>
        <w:t xml:space="preserve">Damier-Piolle, L.; Magnet, S.; Brémont, S.; Lambert, T.; Courvalin, P. AdeIJK, a Resistance-Nodulation-Cell Division Pump Effluxing Multiple Antibiotics in </w:t>
      </w:r>
      <w:r w:rsidRPr="00A47835">
        <w:rPr>
          <w:rFonts w:ascii="Times New Roman" w:hAnsi="Times New Roman" w:cs="Times New Roman"/>
          <w:i/>
          <w:iCs/>
        </w:rPr>
        <w:t>Acinetobacter Baumannii</w:t>
      </w:r>
      <w:r w:rsidRPr="00A47835">
        <w:rPr>
          <w:rFonts w:ascii="Times New Roman" w:hAnsi="Times New Roman" w:cs="Times New Roman"/>
        </w:rPr>
        <w:t xml:space="preserve">.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2008</w:t>
      </w:r>
      <w:r w:rsidRPr="00A47835">
        <w:rPr>
          <w:rFonts w:ascii="Times New Roman" w:hAnsi="Times New Roman" w:cs="Times New Roman"/>
        </w:rPr>
        <w:t xml:space="preserve">, </w:t>
      </w:r>
      <w:r w:rsidRPr="00A47835">
        <w:rPr>
          <w:rFonts w:ascii="Times New Roman" w:hAnsi="Times New Roman" w:cs="Times New Roman"/>
          <w:i/>
          <w:iCs/>
        </w:rPr>
        <w:t>52</w:t>
      </w:r>
      <w:r w:rsidRPr="00A47835">
        <w:rPr>
          <w:rFonts w:ascii="Times New Roman" w:hAnsi="Times New Roman" w:cs="Times New Roman"/>
        </w:rPr>
        <w:t xml:space="preserve"> (2), 557–562. https://doi.org/10.1128/AAC.00732-07.</w:t>
      </w:r>
    </w:p>
    <w:p w14:paraId="4894EBD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(52)</w:t>
      </w:r>
      <w:r w:rsidRPr="00A47835">
        <w:rPr>
          <w:rFonts w:ascii="Times New Roman" w:hAnsi="Times New Roman" w:cs="Times New Roman"/>
        </w:rPr>
        <w:tab/>
        <w:t xml:space="preserve">Leus, I. V.; Weeks, J. W.; Bonifay, V.; Smith, L.; Richardson, S.; Zgurskaya, H. I. Substrate Specificities and Efflux Efficiencies of RND Efflux Pumps of Acinetobacter Baumannii.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200</w:t>
      </w:r>
      <w:r w:rsidRPr="00A47835">
        <w:rPr>
          <w:rFonts w:ascii="Times New Roman" w:hAnsi="Times New Roman" w:cs="Times New Roman"/>
        </w:rPr>
        <w:t xml:space="preserve"> (13). https://doi.org/10.1128/JB.00049-18.</w:t>
      </w:r>
    </w:p>
    <w:p w14:paraId="142851C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(53)</w:t>
      </w:r>
      <w:r w:rsidRPr="00A47835">
        <w:rPr>
          <w:rFonts w:ascii="Times New Roman" w:hAnsi="Times New Roman" w:cs="Times New Roman"/>
        </w:rPr>
        <w:tab/>
        <w:t xml:space="preserve">Yoon, E.-J.; Chabane, Y. N.; Goussard, S.; Snesrud, E.; Courvalin, P.; Dé, E.; Grillot-Courvalin, C. Contribution of Resistance-Nodulation-Cell Division Efflux Systems to Antibiotic Resistance and Biofilm Formation in Acinetobacter Baumannii.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2015</w:t>
      </w:r>
      <w:r w:rsidRPr="00A47835">
        <w:rPr>
          <w:rFonts w:ascii="Times New Roman" w:hAnsi="Times New Roman" w:cs="Times New Roman"/>
        </w:rPr>
        <w:t xml:space="preserve">, </w:t>
      </w:r>
      <w:r w:rsidRPr="00A47835">
        <w:rPr>
          <w:rFonts w:ascii="Times New Roman" w:hAnsi="Times New Roman" w:cs="Times New Roman"/>
          <w:i/>
          <w:iCs/>
        </w:rPr>
        <w:t>6</w:t>
      </w:r>
      <w:r w:rsidRPr="00A47835">
        <w:rPr>
          <w:rFonts w:ascii="Times New Roman" w:hAnsi="Times New Roman" w:cs="Times New Roman"/>
        </w:rPr>
        <w:t xml:space="preserve"> (2), e00309-15. https://doi.org/10.1128/mBio.00309-15.</w:t>
      </w:r>
    </w:p>
    <w:p w14:paraId="69D5FB6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(54)</w:t>
      </w:r>
      <w:r w:rsidRPr="00A47835">
        <w:rPr>
          <w:rFonts w:ascii="Times New Roman" w:hAnsi="Times New Roman" w:cs="Times New Roman"/>
        </w:rPr>
        <w:tab/>
        <w:t xml:space="preserve">Coyne, S.; Rosenfeld, N.; Lambert, T.; Courvalin, P.; Périchon, B. Overexpression of Resistance-Nodulation-Cell Division Pump AdeFGH Confers Multidrug Resistance in Acinetobacter Baumannii.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2010</w:t>
      </w:r>
      <w:r w:rsidRPr="00A47835">
        <w:rPr>
          <w:rFonts w:ascii="Times New Roman" w:hAnsi="Times New Roman" w:cs="Times New Roman"/>
        </w:rPr>
        <w:t xml:space="preserve">, </w:t>
      </w:r>
      <w:r w:rsidRPr="00A47835">
        <w:rPr>
          <w:rFonts w:ascii="Times New Roman" w:hAnsi="Times New Roman" w:cs="Times New Roman"/>
          <w:i/>
          <w:iCs/>
        </w:rPr>
        <w:t>54</w:t>
      </w:r>
      <w:r w:rsidRPr="00A47835">
        <w:rPr>
          <w:rFonts w:ascii="Times New Roman" w:hAnsi="Times New Roman" w:cs="Times New Roman"/>
        </w:rPr>
        <w:t xml:space="preserve"> (10), 4389–4393. https://doi.org/10.1128/AAC.00155-10.</w:t>
      </w:r>
    </w:p>
    <w:p w14:paraId="5119D25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(55)</w:t>
      </w:r>
      <w:r w:rsidRPr="00A47835">
        <w:rPr>
          <w:rFonts w:ascii="Times New Roman" w:hAnsi="Times New Roman" w:cs="Times New Roman"/>
        </w:rPr>
        <w:tab/>
        <w:t xml:space="preserve">Pao, S. S.; Paulsen, I. T.; Saier, M. H. Major Facilitator Superfamily. </w:t>
      </w:r>
      <w:r w:rsidRPr="00A47835">
        <w:rPr>
          <w:rFonts w:ascii="Times New Roman" w:hAnsi="Times New Roman" w:cs="Times New Roman"/>
          <w:i/>
          <w:iCs/>
        </w:rPr>
        <w:t>Microbiol. Mol. Biol. Rev. MMBR</w:t>
      </w:r>
      <w:r w:rsidRPr="00A47835">
        <w:rPr>
          <w:rFonts w:ascii="Times New Roman" w:hAnsi="Times New Roman" w:cs="Times New Roman"/>
        </w:rPr>
        <w:t xml:space="preserve"> </w:t>
      </w:r>
      <w:r w:rsidRPr="00A47835">
        <w:rPr>
          <w:rFonts w:ascii="Times New Roman" w:hAnsi="Times New Roman" w:cs="Times New Roman"/>
          <w:b/>
          <w:bCs/>
        </w:rPr>
        <w:t>1998</w:t>
      </w:r>
      <w:r w:rsidRPr="00A47835">
        <w:rPr>
          <w:rFonts w:ascii="Times New Roman" w:hAnsi="Times New Roman" w:cs="Times New Roman"/>
        </w:rPr>
        <w:t xml:space="preserve">, </w:t>
      </w:r>
      <w:r w:rsidRPr="00A47835">
        <w:rPr>
          <w:rFonts w:ascii="Times New Roman" w:hAnsi="Times New Roman" w:cs="Times New Roman"/>
          <w:i/>
          <w:iCs/>
        </w:rPr>
        <w:t>62</w:t>
      </w:r>
      <w:r w:rsidRPr="00A47835">
        <w:rPr>
          <w:rFonts w:ascii="Times New Roman" w:hAnsi="Times New Roman" w:cs="Times New Roman"/>
        </w:rPr>
        <w:t xml:space="preserve"> (1), 1–34.</w:t>
      </w:r>
    </w:p>
    <w:p w14:paraId="66A82BF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(56)</w:t>
      </w:r>
      <w:r w:rsidRPr="00A47835">
        <w:rPr>
          <w:rFonts w:ascii="Times New Roman" w:hAnsi="Times New Roman" w:cs="Times New Roman"/>
        </w:rPr>
        <w:tab/>
        <w:t xml:space="preserve">Drew, D.; North, R. A.; Nagarathinam, K.; Tanabe, M. Structures and General Transport Mechanisms by the Major Facilitator Superfamily (MFS). </w:t>
      </w:r>
      <w:r w:rsidRPr="00A47835">
        <w:rPr>
          <w:rFonts w:ascii="Times New Roman" w:hAnsi="Times New Roman" w:cs="Times New Roman"/>
          <w:i/>
          <w:iCs/>
        </w:rPr>
        <w:t>Chem. Rev.</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121</w:t>
      </w:r>
      <w:r w:rsidRPr="00A47835">
        <w:rPr>
          <w:rFonts w:ascii="Times New Roman" w:hAnsi="Times New Roman" w:cs="Times New Roman"/>
        </w:rPr>
        <w:t xml:space="preserve"> (9), 5289–5335. https://doi.org/10.1021/acs.chemrev.0c00983.</w:t>
      </w:r>
    </w:p>
    <w:p w14:paraId="5CABE8C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(57)</w:t>
      </w:r>
      <w:r w:rsidRPr="00A47835">
        <w:rPr>
          <w:rFonts w:ascii="Times New Roman" w:hAnsi="Times New Roman" w:cs="Times New Roman"/>
        </w:rPr>
        <w:tab/>
        <w:t xml:space="preserve">Lekshmi, M.; Ammini, P.; Adjei, J.; Sanford, L. M.; Shrestha, U.; Kumar, S.; Varela, M. F. Modulation of Antimicrobial Efflux Pumps of the Major Facilitator Superfamily in Staphylococcus Aureus. </w:t>
      </w:r>
      <w:r w:rsidRPr="00A47835">
        <w:rPr>
          <w:rFonts w:ascii="Times New Roman" w:hAnsi="Times New Roman" w:cs="Times New Roman"/>
          <w:i/>
          <w:iCs/>
        </w:rPr>
        <w:t>AIMS Microbiol.</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4</w:t>
      </w:r>
      <w:r w:rsidRPr="00A47835">
        <w:rPr>
          <w:rFonts w:ascii="Times New Roman" w:hAnsi="Times New Roman" w:cs="Times New Roman"/>
        </w:rPr>
        <w:t xml:space="preserve"> (1), 1. https://doi.org/10.3934/microbiol.2018.1.1.</w:t>
      </w:r>
    </w:p>
    <w:p w14:paraId="4A0D83F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(58)</w:t>
      </w:r>
      <w:r w:rsidRPr="00A47835">
        <w:rPr>
          <w:rFonts w:ascii="Times New Roman" w:hAnsi="Times New Roman" w:cs="Times New Roman"/>
        </w:rPr>
        <w:tab/>
        <w:t xml:space="preserve">Wan, Y.; Wang, M.; Chan, E. W. C.; Chen, S. Membrane Transporters of the Major Facilitator Superfamily Are Essential for Long-Term Maintenance of Phenotypic Tolerance to Multiple Antibiotics in E. Coli. </w:t>
      </w:r>
      <w:r w:rsidRPr="00A47835">
        <w:rPr>
          <w:rFonts w:ascii="Times New Roman" w:hAnsi="Times New Roman" w:cs="Times New Roman"/>
          <w:i/>
          <w:iCs/>
        </w:rPr>
        <w:t>Microbiol. Spectr.</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9</w:t>
      </w:r>
      <w:r w:rsidRPr="00A47835">
        <w:rPr>
          <w:rFonts w:ascii="Times New Roman" w:hAnsi="Times New Roman" w:cs="Times New Roman"/>
        </w:rPr>
        <w:t xml:space="preserve"> (3), e0184621. https://doi.org/10.1128/Spectrum.01846-21.</w:t>
      </w:r>
    </w:p>
    <w:p w14:paraId="038C6FA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(59)</w:t>
      </w:r>
      <w:r w:rsidRPr="00A47835">
        <w:rPr>
          <w:rFonts w:ascii="Times New Roman" w:hAnsi="Times New Roman" w:cs="Times New Roman"/>
        </w:rPr>
        <w:tab/>
        <w:t xml:space="preserve">Kumar, S.; Lekshmi, M.; Parvathi, A.; Ojha, M.; Wenzel, N.; Varela, M. F. Functional and Structural Roles of the Major Facilitator Superfamily Bacterial Multidrug Efflux Pumps. </w:t>
      </w:r>
      <w:r w:rsidRPr="00A47835">
        <w:rPr>
          <w:rFonts w:ascii="Times New Roman" w:hAnsi="Times New Roman" w:cs="Times New Roman"/>
          <w:i/>
          <w:iCs/>
        </w:rPr>
        <w:t>Microorganisms</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8</w:t>
      </w:r>
      <w:r w:rsidRPr="00A47835">
        <w:rPr>
          <w:rFonts w:ascii="Times New Roman" w:hAnsi="Times New Roman" w:cs="Times New Roman"/>
        </w:rPr>
        <w:t xml:space="preserve"> (2), 266. https://doi.org/10.3390/microorganisms8020266.</w:t>
      </w:r>
    </w:p>
    <w:p w14:paraId="3DA31F3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(60)</w:t>
      </w:r>
      <w:r w:rsidRPr="00A47835">
        <w:rPr>
          <w:rFonts w:ascii="Times New Roman" w:hAnsi="Times New Roman" w:cs="Times New Roman"/>
        </w:rPr>
        <w:tab/>
        <w:t xml:space="preserve">Lomovskaya, O.; Lewis, K. Emr, an Escherichia Coli Locus for Multidrug Resistance. </w:t>
      </w:r>
      <w:r w:rsidRPr="00A47835">
        <w:rPr>
          <w:rFonts w:ascii="Times New Roman" w:hAnsi="Times New Roman" w:cs="Times New Roman"/>
          <w:i/>
          <w:iCs/>
        </w:rPr>
        <w:t>Proc. Natl. Acad. Sci. U. S. A.</w:t>
      </w:r>
      <w:r w:rsidRPr="00A47835">
        <w:rPr>
          <w:rFonts w:ascii="Times New Roman" w:hAnsi="Times New Roman" w:cs="Times New Roman"/>
        </w:rPr>
        <w:t xml:space="preserve"> </w:t>
      </w:r>
      <w:r w:rsidRPr="00A47835">
        <w:rPr>
          <w:rFonts w:ascii="Times New Roman" w:hAnsi="Times New Roman" w:cs="Times New Roman"/>
          <w:b/>
          <w:bCs/>
        </w:rPr>
        <w:t>1992</w:t>
      </w:r>
      <w:r w:rsidRPr="00A47835">
        <w:rPr>
          <w:rFonts w:ascii="Times New Roman" w:hAnsi="Times New Roman" w:cs="Times New Roman"/>
        </w:rPr>
        <w:t xml:space="preserve">, </w:t>
      </w:r>
      <w:r w:rsidRPr="00A47835">
        <w:rPr>
          <w:rFonts w:ascii="Times New Roman" w:hAnsi="Times New Roman" w:cs="Times New Roman"/>
          <w:i/>
          <w:iCs/>
        </w:rPr>
        <w:t>89</w:t>
      </w:r>
      <w:r w:rsidRPr="00A47835">
        <w:rPr>
          <w:rFonts w:ascii="Times New Roman" w:hAnsi="Times New Roman" w:cs="Times New Roman"/>
        </w:rPr>
        <w:t xml:space="preserve"> (19), 8938–8942. https://doi.org/10.1073/pnas.89.19.8938.</w:t>
      </w:r>
    </w:p>
    <w:p w14:paraId="35F290B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(61)</w:t>
      </w:r>
      <w:r w:rsidRPr="00A47835">
        <w:rPr>
          <w:rFonts w:ascii="Times New Roman" w:hAnsi="Times New Roman" w:cs="Times New Roman"/>
        </w:rPr>
        <w:tab/>
        <w:t xml:space="preserve">Lewis, K. Multidrug Resistance Pumps in Bacteria: Variations on a Theme. </w:t>
      </w:r>
      <w:r w:rsidRPr="00A47835">
        <w:rPr>
          <w:rFonts w:ascii="Times New Roman" w:hAnsi="Times New Roman" w:cs="Times New Roman"/>
          <w:i/>
          <w:iCs/>
        </w:rPr>
        <w:t>Trends Biochem. Sci.</w:t>
      </w:r>
      <w:r w:rsidRPr="00A47835">
        <w:rPr>
          <w:rFonts w:ascii="Times New Roman" w:hAnsi="Times New Roman" w:cs="Times New Roman"/>
        </w:rPr>
        <w:t xml:space="preserve"> </w:t>
      </w:r>
      <w:r w:rsidRPr="00A47835">
        <w:rPr>
          <w:rFonts w:ascii="Times New Roman" w:hAnsi="Times New Roman" w:cs="Times New Roman"/>
          <w:b/>
          <w:bCs/>
        </w:rPr>
        <w:t>1994</w:t>
      </w:r>
      <w:r w:rsidRPr="00A47835">
        <w:rPr>
          <w:rFonts w:ascii="Times New Roman" w:hAnsi="Times New Roman" w:cs="Times New Roman"/>
        </w:rPr>
        <w:t xml:space="preserve">, </w:t>
      </w:r>
      <w:r w:rsidRPr="00A47835">
        <w:rPr>
          <w:rFonts w:ascii="Times New Roman" w:hAnsi="Times New Roman" w:cs="Times New Roman"/>
          <w:i/>
          <w:iCs/>
        </w:rPr>
        <w:t>19</w:t>
      </w:r>
      <w:r w:rsidRPr="00A47835">
        <w:rPr>
          <w:rFonts w:ascii="Times New Roman" w:hAnsi="Times New Roman" w:cs="Times New Roman"/>
        </w:rPr>
        <w:t xml:space="preserve"> (3), 119–123. https://doi.org/10.1016/0968-0004(94)90204-6.</w:t>
      </w:r>
    </w:p>
    <w:p w14:paraId="35A6E51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(62)</w:t>
      </w:r>
      <w:r w:rsidRPr="00A47835">
        <w:rPr>
          <w:rFonts w:ascii="Times New Roman" w:hAnsi="Times New Roman" w:cs="Times New Roman"/>
        </w:rPr>
        <w:tab/>
        <w:t xml:space="preserve">Nishino, K.; Yamaguchi, A. Analysis of a Complete Library of Putative Drug Transporter Genes in Escherichia Coli.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2001</w:t>
      </w:r>
      <w:r w:rsidRPr="00A47835">
        <w:rPr>
          <w:rFonts w:ascii="Times New Roman" w:hAnsi="Times New Roman" w:cs="Times New Roman"/>
        </w:rPr>
        <w:t xml:space="preserve">, </w:t>
      </w:r>
      <w:r w:rsidRPr="00A47835">
        <w:rPr>
          <w:rFonts w:ascii="Times New Roman" w:hAnsi="Times New Roman" w:cs="Times New Roman"/>
          <w:i/>
          <w:iCs/>
        </w:rPr>
        <w:t>183</w:t>
      </w:r>
      <w:r w:rsidRPr="00A47835">
        <w:rPr>
          <w:rFonts w:ascii="Times New Roman" w:hAnsi="Times New Roman" w:cs="Times New Roman"/>
        </w:rPr>
        <w:t xml:space="preserve"> (20), 5803–5812. https://doi.org/10.1128/JB.183.20.5803-5812.2001.</w:t>
      </w:r>
    </w:p>
    <w:p w14:paraId="5EAEB18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(63)</w:t>
      </w:r>
      <w:r w:rsidRPr="00A47835">
        <w:rPr>
          <w:rFonts w:ascii="Times New Roman" w:hAnsi="Times New Roman" w:cs="Times New Roman"/>
        </w:rPr>
        <w:tab/>
        <w:t xml:space="preserve">Nishino, K.; Yamaguchi, A. Role of Histone-like Protein H-NS in Multidrug Resistance of Escherichia Coli.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2004</w:t>
      </w:r>
      <w:r w:rsidRPr="00A47835">
        <w:rPr>
          <w:rFonts w:ascii="Times New Roman" w:hAnsi="Times New Roman" w:cs="Times New Roman"/>
        </w:rPr>
        <w:t xml:space="preserve">, </w:t>
      </w:r>
      <w:r w:rsidRPr="00A47835">
        <w:rPr>
          <w:rFonts w:ascii="Times New Roman" w:hAnsi="Times New Roman" w:cs="Times New Roman"/>
          <w:i/>
          <w:iCs/>
        </w:rPr>
        <w:t>186</w:t>
      </w:r>
      <w:r w:rsidRPr="00A47835">
        <w:rPr>
          <w:rFonts w:ascii="Times New Roman" w:hAnsi="Times New Roman" w:cs="Times New Roman"/>
        </w:rPr>
        <w:t xml:space="preserve"> (5), 1423–1429. https://doi.org/10.1128/JB.186.5.1423-1429.2004.</w:t>
      </w:r>
    </w:p>
    <w:p w14:paraId="6EDDD85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(64)</w:t>
      </w:r>
      <w:r w:rsidRPr="00A47835">
        <w:rPr>
          <w:rFonts w:ascii="Times New Roman" w:hAnsi="Times New Roman" w:cs="Times New Roman"/>
        </w:rPr>
        <w:tab/>
        <w:t xml:space="preserve">Leus, I. V.; Adamiak, J.; Trinh, A. N.; Smith, R. D.; Smith, L.; Richardson, S.; Ernst, R. K.; Zgurskaya, H. I. Inactivation of AdeABC and AdeIJK Efflux Pumps Elicits Specific Nonoverlapping Transcriptional and Phenotypic Responses in Acinetobacter Baumannii. </w:t>
      </w:r>
      <w:r w:rsidRPr="00A47835">
        <w:rPr>
          <w:rFonts w:ascii="Times New Roman" w:hAnsi="Times New Roman" w:cs="Times New Roman"/>
          <w:i/>
          <w:iCs/>
        </w:rPr>
        <w:t>Mol. Microbiol.</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114</w:t>
      </w:r>
      <w:r w:rsidRPr="00A47835">
        <w:rPr>
          <w:rFonts w:ascii="Times New Roman" w:hAnsi="Times New Roman" w:cs="Times New Roman"/>
        </w:rPr>
        <w:t xml:space="preserve"> (6), 1049–1065. https://doi.org/10.1111/mmi.14594.</w:t>
      </w:r>
    </w:p>
    <w:p w14:paraId="4FC1804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(65)</w:t>
      </w:r>
      <w:r w:rsidRPr="00A47835">
        <w:rPr>
          <w:rFonts w:ascii="Times New Roman" w:hAnsi="Times New Roman" w:cs="Times New Roman"/>
        </w:rPr>
        <w:tab/>
        <w:t xml:space="preserve">Fang, F. C.; Frawley, E. R.; Tapscott, T.; Vazquez-Torres, A. Bacterial Stress Responses during Host Infection. </w:t>
      </w:r>
      <w:r w:rsidRPr="00A47835">
        <w:rPr>
          <w:rFonts w:ascii="Times New Roman" w:hAnsi="Times New Roman" w:cs="Times New Roman"/>
          <w:i/>
          <w:iCs/>
        </w:rPr>
        <w:t>Cell Host Microbe</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20</w:t>
      </w:r>
      <w:r w:rsidRPr="00A47835">
        <w:rPr>
          <w:rFonts w:ascii="Times New Roman" w:hAnsi="Times New Roman" w:cs="Times New Roman"/>
        </w:rPr>
        <w:t xml:space="preserve"> (2), 133–143. https://doi.org/10.1016/j.chom.2016.07.009.</w:t>
      </w:r>
    </w:p>
    <w:p w14:paraId="4D64368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(66)</w:t>
      </w:r>
      <w:r w:rsidRPr="00A47835">
        <w:rPr>
          <w:rFonts w:ascii="Times New Roman" w:hAnsi="Times New Roman" w:cs="Times New Roman"/>
        </w:rPr>
        <w:tab/>
        <w:t xml:space="preserve">Dawan, J.; Ahn, J. Bacterial Stress Responses as Potential Targets in Overcoming Antibiotic Resistance. </w:t>
      </w:r>
      <w:r w:rsidRPr="00A47835">
        <w:rPr>
          <w:rFonts w:ascii="Times New Roman" w:hAnsi="Times New Roman" w:cs="Times New Roman"/>
          <w:i/>
          <w:iCs/>
        </w:rPr>
        <w:t>Microorganisms</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(7), 1385. https://doi.org/10.3390/microorganisms10071385.</w:t>
      </w:r>
    </w:p>
    <w:p w14:paraId="188CE57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(67)</w:t>
      </w:r>
      <w:r w:rsidRPr="00A47835">
        <w:rPr>
          <w:rFonts w:ascii="Times New Roman" w:hAnsi="Times New Roman" w:cs="Times New Roman"/>
        </w:rPr>
        <w:tab/>
        <w:t xml:space="preserve">Avican, K.; Aldahdooh, J.; Togninalli, M.; Mahmud, A. K. M. F.; Tang, J.; Borgwardt, K. M.; Rhen, M.; Fällman, M. RNA Atlas of Human Bacterial Pathogens Uncovers Stress Dynamics Linked to Infection. </w:t>
      </w:r>
      <w:r w:rsidRPr="00A47835">
        <w:rPr>
          <w:rFonts w:ascii="Times New Roman" w:hAnsi="Times New Roman" w:cs="Times New Roman"/>
          <w:i/>
          <w:iCs/>
        </w:rPr>
        <w:t>Nat. Commun.</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(1), 3282. https://doi.org/10.1038/s41467-021-23588-w.</w:t>
      </w:r>
    </w:p>
    <w:p w14:paraId="704BA27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(68)</w:t>
      </w:r>
      <w:r w:rsidRPr="00A47835">
        <w:rPr>
          <w:rFonts w:ascii="Times New Roman" w:hAnsi="Times New Roman" w:cs="Times New Roman"/>
        </w:rPr>
        <w:tab/>
        <w:t xml:space="preserve">Gaurav, A.; Bakht, P.; Saini, M.; Pandey, S.; Pathania, R. Role of Bacterial Efflux Pumps in Antibiotic Resistance, Virulence, and Strategies to Discover Novel Efflux Pump Inhibitors. </w:t>
      </w:r>
      <w:r w:rsidRPr="00A47835">
        <w:rPr>
          <w:rFonts w:ascii="Times New Roman" w:hAnsi="Times New Roman" w:cs="Times New Roman"/>
          <w:i/>
          <w:iCs/>
        </w:rPr>
        <w:t>Microbiology</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169</w:t>
      </w:r>
      <w:r w:rsidRPr="00A47835">
        <w:rPr>
          <w:rFonts w:ascii="Times New Roman" w:hAnsi="Times New Roman" w:cs="Times New Roman"/>
        </w:rPr>
        <w:t xml:space="preserve"> (5), 001333. https://doi.org/10.1099/mic.0.001333.</w:t>
      </w:r>
    </w:p>
    <w:p w14:paraId="20A50E8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(69)</w:t>
      </w:r>
      <w:r w:rsidRPr="00A47835">
        <w:rPr>
          <w:rFonts w:ascii="Times New Roman" w:hAnsi="Times New Roman" w:cs="Times New Roman"/>
        </w:rPr>
        <w:tab/>
        <w:t xml:space="preserve">Vabulas, R. M.; Raychaudhuri, S.; Hayer-Hartl, M.; Hartl, F. U. Protein Folding in the Cytoplasm and the Heat Shock Response. </w:t>
      </w:r>
      <w:r w:rsidRPr="00A47835">
        <w:rPr>
          <w:rFonts w:ascii="Times New Roman" w:hAnsi="Times New Roman" w:cs="Times New Roman"/>
          <w:i/>
          <w:iCs/>
        </w:rPr>
        <w:t>Cold Spring Harb. Perspect. Biol.</w:t>
      </w:r>
      <w:r w:rsidRPr="00A47835">
        <w:rPr>
          <w:rFonts w:ascii="Times New Roman" w:hAnsi="Times New Roman" w:cs="Times New Roman"/>
        </w:rPr>
        <w:t xml:space="preserve"> </w:t>
      </w:r>
      <w:r w:rsidRPr="00A47835">
        <w:rPr>
          <w:rFonts w:ascii="Times New Roman" w:hAnsi="Times New Roman" w:cs="Times New Roman"/>
          <w:b/>
          <w:bCs/>
        </w:rPr>
        <w:t>2010</w:t>
      </w:r>
      <w:r w:rsidRPr="00A47835">
        <w:rPr>
          <w:rFonts w:ascii="Times New Roman" w:hAnsi="Times New Roman" w:cs="Times New Roman"/>
        </w:rPr>
        <w:t xml:space="preserve">, </w:t>
      </w:r>
      <w:r w:rsidRPr="00A47835">
        <w:rPr>
          <w:rFonts w:ascii="Times New Roman" w:hAnsi="Times New Roman" w:cs="Times New Roman"/>
          <w:i/>
          <w:iCs/>
        </w:rPr>
        <w:t>2</w:t>
      </w:r>
      <w:r w:rsidRPr="00A47835">
        <w:rPr>
          <w:rFonts w:ascii="Times New Roman" w:hAnsi="Times New Roman" w:cs="Times New Roman"/>
        </w:rPr>
        <w:t xml:space="preserve"> (12), a004390. https://doi.org/10.1101/cshperspect.a004390.</w:t>
      </w:r>
    </w:p>
    <w:p w14:paraId="772AC2E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(70)</w:t>
      </w:r>
      <w:r w:rsidRPr="00A47835">
        <w:rPr>
          <w:rFonts w:ascii="Times New Roman" w:hAnsi="Times New Roman" w:cs="Times New Roman"/>
        </w:rPr>
        <w:tab/>
        <w:t xml:space="preserve">Tedesco, B.; Ferrari, V.; Cozzi, M.; Chierichetti, M.; Casarotto, E.; Pramaggiore, P.; Mina, F.; Galbiati, M.; Rusmini, P.; Crippa, V.; Cristofani, R.; Poletti, A. The Role of Small Heat Shock Proteins in Protein Misfolding Associated Motoneuron Diseases. </w:t>
      </w:r>
      <w:r w:rsidRPr="00A47835">
        <w:rPr>
          <w:rFonts w:ascii="Times New Roman" w:hAnsi="Times New Roman" w:cs="Times New Roman"/>
          <w:i/>
          <w:iCs/>
        </w:rPr>
        <w:t>Int. J. Mol. Sci.</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23</w:t>
      </w:r>
      <w:r w:rsidRPr="00A47835">
        <w:rPr>
          <w:rFonts w:ascii="Times New Roman" w:hAnsi="Times New Roman" w:cs="Times New Roman"/>
        </w:rPr>
        <w:t xml:space="preserve"> (19), 11759. https://doi.org/10.3390/ijms231911759.</w:t>
      </w:r>
    </w:p>
    <w:p w14:paraId="3E83254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(71)</w:t>
      </w:r>
      <w:r w:rsidRPr="00A47835">
        <w:rPr>
          <w:rFonts w:ascii="Times New Roman" w:hAnsi="Times New Roman" w:cs="Times New Roman"/>
        </w:rPr>
        <w:tab/>
        <w:t xml:space="preserve">Bromberg, Z.; Weiss, Y. The Role of the Membrane-Initiated Heat Shock Response in Cancer. </w:t>
      </w:r>
      <w:r w:rsidRPr="00A47835">
        <w:rPr>
          <w:rFonts w:ascii="Times New Roman" w:hAnsi="Times New Roman" w:cs="Times New Roman"/>
          <w:i/>
          <w:iCs/>
        </w:rPr>
        <w:t>Front. Mol. Biosci.</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3</w:t>
      </w:r>
      <w:r w:rsidRPr="00A47835">
        <w:rPr>
          <w:rFonts w:ascii="Times New Roman" w:hAnsi="Times New Roman" w:cs="Times New Roman"/>
        </w:rPr>
        <w:t>, 12. https://doi.org/10.3389/fmolb.2016.00012.</w:t>
      </w:r>
    </w:p>
    <w:p w14:paraId="4839F23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(72)</w:t>
      </w:r>
      <w:r w:rsidRPr="00A47835">
        <w:rPr>
          <w:rFonts w:ascii="Times New Roman" w:hAnsi="Times New Roman" w:cs="Times New Roman"/>
        </w:rPr>
        <w:tab/>
        <w:t xml:space="preserve">Zügel, U.; Kaufmann, S. H. E. Role of Heat Shock Proteins in Protection from and Pathogenesis of Infectious Diseases. </w:t>
      </w:r>
      <w:r w:rsidRPr="00A47835">
        <w:rPr>
          <w:rFonts w:ascii="Times New Roman" w:hAnsi="Times New Roman" w:cs="Times New Roman"/>
          <w:i/>
          <w:iCs/>
        </w:rPr>
        <w:t>Clin. Microbiol. Rev.</w:t>
      </w:r>
      <w:r w:rsidRPr="00A47835">
        <w:rPr>
          <w:rFonts w:ascii="Times New Roman" w:hAnsi="Times New Roman" w:cs="Times New Roman"/>
        </w:rPr>
        <w:t xml:space="preserve"> </w:t>
      </w:r>
      <w:r w:rsidRPr="00A47835">
        <w:rPr>
          <w:rFonts w:ascii="Times New Roman" w:hAnsi="Times New Roman" w:cs="Times New Roman"/>
          <w:b/>
          <w:bCs/>
        </w:rPr>
        <w:t>1999</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(1), 19–39.</w:t>
      </w:r>
    </w:p>
    <w:p w14:paraId="720E885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(73)</w:t>
      </w:r>
      <w:r w:rsidRPr="00A47835">
        <w:rPr>
          <w:rFonts w:ascii="Times New Roman" w:hAnsi="Times New Roman" w:cs="Times New Roman"/>
        </w:rPr>
        <w:tab/>
        <w:t xml:space="preserve">Sottile, M. L.; Nadin, S. B. Heat Shock Proteins and DNA Repair Mechanisms: An Updated Overview. </w:t>
      </w:r>
      <w:r w:rsidRPr="00A47835">
        <w:rPr>
          <w:rFonts w:ascii="Times New Roman" w:hAnsi="Times New Roman" w:cs="Times New Roman"/>
          <w:i/>
          <w:iCs/>
        </w:rPr>
        <w:t>Cell Stress Chaperones</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23</w:t>
      </w:r>
      <w:r w:rsidRPr="00A47835">
        <w:rPr>
          <w:rFonts w:ascii="Times New Roman" w:hAnsi="Times New Roman" w:cs="Times New Roman"/>
        </w:rPr>
        <w:t xml:space="preserve"> (3), 303–315. https://doi.org/10.1007/s12192-017-0843-4.</w:t>
      </w:r>
    </w:p>
    <w:p w14:paraId="32905ED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(74)</w:t>
      </w:r>
      <w:r w:rsidRPr="00A47835">
        <w:rPr>
          <w:rFonts w:ascii="Times New Roman" w:hAnsi="Times New Roman" w:cs="Times New Roman"/>
        </w:rPr>
        <w:tab/>
        <w:t xml:space="preserve">Wang, M.; Lu, J.; Qin, P.; Wang, S.; Ding, W.; Fu, H.-H.; Zhang, Y.-Z.; Zhang, W. Biofilm Formation Stabilizes Metabolism in a Roseobacteraceae Bacterium under Temperature Increase. </w:t>
      </w:r>
      <w:r w:rsidRPr="00A47835">
        <w:rPr>
          <w:rFonts w:ascii="Times New Roman" w:hAnsi="Times New Roman" w:cs="Times New Roman"/>
          <w:i/>
          <w:iCs/>
        </w:rPr>
        <w:t>Appl. Environ. Microbiol.</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89</w:t>
      </w:r>
      <w:r w:rsidRPr="00A47835">
        <w:rPr>
          <w:rFonts w:ascii="Times New Roman" w:hAnsi="Times New Roman" w:cs="Times New Roman"/>
        </w:rPr>
        <w:t xml:space="preserve"> (10), e00601-23. https://doi.org/10.1128/aem.00601-23.</w:t>
      </w:r>
    </w:p>
    <w:p w14:paraId="67927E9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(75)</w:t>
      </w:r>
      <w:r w:rsidRPr="00A47835">
        <w:rPr>
          <w:rFonts w:ascii="Times New Roman" w:hAnsi="Times New Roman" w:cs="Times New Roman"/>
        </w:rPr>
        <w:tab/>
        <w:t xml:space="preserve">Sobanski, T.; Rose, M.; Suraweera, A.; O’Byrne, K.; Richard, D. J.; Bolderson, E. Cell Metabolism and DNA Repair Pathways: Implications for Cancer Therapy. </w:t>
      </w:r>
      <w:r w:rsidRPr="00A47835">
        <w:rPr>
          <w:rFonts w:ascii="Times New Roman" w:hAnsi="Times New Roman" w:cs="Times New Roman"/>
          <w:i/>
          <w:iCs/>
        </w:rPr>
        <w:t>Front. Cell Dev. Biol.</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9</w:t>
      </w:r>
      <w:r w:rsidRPr="00A47835">
        <w:rPr>
          <w:rFonts w:ascii="Times New Roman" w:hAnsi="Times New Roman" w:cs="Times New Roman"/>
        </w:rPr>
        <w:t>, 633305. https://doi.org/10.3389/fcell.2021.633305.</w:t>
      </w:r>
    </w:p>
    <w:p w14:paraId="7A0E908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(76)</w:t>
      </w:r>
      <w:r w:rsidRPr="00A47835">
        <w:rPr>
          <w:rFonts w:ascii="Times New Roman" w:hAnsi="Times New Roman" w:cs="Times New Roman"/>
        </w:rPr>
        <w:tab/>
        <w:t xml:space="preserve">Guan, N.; Liu, L. Microbial Response to Acid Stress: Mechanisms and Applications. </w:t>
      </w:r>
      <w:r w:rsidRPr="00A47835">
        <w:rPr>
          <w:rFonts w:ascii="Times New Roman" w:hAnsi="Times New Roman" w:cs="Times New Roman"/>
          <w:i/>
          <w:iCs/>
        </w:rPr>
        <w:t>Appl. Microbiol. Biotechnol.</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104</w:t>
      </w:r>
      <w:r w:rsidRPr="00A47835">
        <w:rPr>
          <w:rFonts w:ascii="Times New Roman" w:hAnsi="Times New Roman" w:cs="Times New Roman"/>
        </w:rPr>
        <w:t xml:space="preserve"> (1), 51–65. https://doi.org/10.1007/s00253-019-10226-1.</w:t>
      </w:r>
    </w:p>
    <w:p w14:paraId="1BCBCE6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(77)</w:t>
      </w:r>
      <w:r w:rsidRPr="00A47835">
        <w:rPr>
          <w:rFonts w:ascii="Times New Roman" w:hAnsi="Times New Roman" w:cs="Times New Roman"/>
        </w:rPr>
        <w:tab/>
        <w:t xml:space="preserve">Kar, N. S.; Dasgupta, A. K. The Possible Role of Surface Charge in Membrane Organization in an Acidophile. </w:t>
      </w:r>
      <w:r w:rsidRPr="00A47835">
        <w:rPr>
          <w:rFonts w:ascii="Times New Roman" w:hAnsi="Times New Roman" w:cs="Times New Roman"/>
          <w:i/>
          <w:iCs/>
        </w:rPr>
        <w:t>Indian J. Biochem. Biophys.</w:t>
      </w:r>
      <w:r w:rsidRPr="00A47835">
        <w:rPr>
          <w:rFonts w:ascii="Times New Roman" w:hAnsi="Times New Roman" w:cs="Times New Roman"/>
        </w:rPr>
        <w:t xml:space="preserve"> </w:t>
      </w:r>
      <w:r w:rsidRPr="00A47835">
        <w:rPr>
          <w:rFonts w:ascii="Times New Roman" w:hAnsi="Times New Roman" w:cs="Times New Roman"/>
          <w:b/>
          <w:bCs/>
        </w:rPr>
        <w:t>1996</w:t>
      </w:r>
      <w:r w:rsidRPr="00A47835">
        <w:rPr>
          <w:rFonts w:ascii="Times New Roman" w:hAnsi="Times New Roman" w:cs="Times New Roman"/>
        </w:rPr>
        <w:t xml:space="preserve">, </w:t>
      </w:r>
      <w:r w:rsidRPr="00A47835">
        <w:rPr>
          <w:rFonts w:ascii="Times New Roman" w:hAnsi="Times New Roman" w:cs="Times New Roman"/>
          <w:i/>
          <w:iCs/>
        </w:rPr>
        <w:t>33</w:t>
      </w:r>
      <w:r w:rsidRPr="00A47835">
        <w:rPr>
          <w:rFonts w:ascii="Times New Roman" w:hAnsi="Times New Roman" w:cs="Times New Roman"/>
        </w:rPr>
        <w:t xml:space="preserve"> (5), 398–402.</w:t>
      </w:r>
    </w:p>
    <w:p w14:paraId="74B94DC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(78)</w:t>
      </w:r>
      <w:r w:rsidRPr="00A47835">
        <w:rPr>
          <w:rFonts w:ascii="Times New Roman" w:hAnsi="Times New Roman" w:cs="Times New Roman"/>
        </w:rPr>
        <w:tab/>
        <w:t xml:space="preserve">Richard, H.; Foster, J. W. Escherichia Coli Glutamate- and Arginine-Dependent Acid Resistance Systems Increase Internal pH and Reverse Transmembrane Potential.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2004</w:t>
      </w:r>
      <w:r w:rsidRPr="00A47835">
        <w:rPr>
          <w:rFonts w:ascii="Times New Roman" w:hAnsi="Times New Roman" w:cs="Times New Roman"/>
        </w:rPr>
        <w:t xml:space="preserve">, </w:t>
      </w:r>
      <w:r w:rsidRPr="00A47835">
        <w:rPr>
          <w:rFonts w:ascii="Times New Roman" w:hAnsi="Times New Roman" w:cs="Times New Roman"/>
          <w:i/>
          <w:iCs/>
        </w:rPr>
        <w:t>186</w:t>
      </w:r>
      <w:r w:rsidRPr="00A47835">
        <w:rPr>
          <w:rFonts w:ascii="Times New Roman" w:hAnsi="Times New Roman" w:cs="Times New Roman"/>
        </w:rPr>
        <w:t xml:space="preserve"> (18), 6032–6041. https://doi.org/10.1128/JB.186.18.6032-6041.2004.</w:t>
      </w:r>
    </w:p>
    <w:p w14:paraId="03E8E23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(79)</w:t>
      </w:r>
      <w:r w:rsidRPr="00A47835">
        <w:rPr>
          <w:rFonts w:ascii="Times New Roman" w:hAnsi="Times New Roman" w:cs="Times New Roman"/>
        </w:rPr>
        <w:tab/>
        <w:t xml:space="preserve">Aquino, P.; Honda, B.; Jaini, S.; Lyubetskaya, A.; Hosur, K.; Chiu, J. G.; Ekladious, I.; Hu, D.; Jin, L.; Sayeg, M. K.; Stettner, A. I.; Wang, J.; Wong, B. G.; Wong, W. S.; Alexander, S. L.; Ba, C.; Bensussen, S. I.; Bernstein, D. B.; Braff, D.; Cha, S.; Cheng, D. I.; Cho, J. H.; Chou, K.; Chuang, J.; Gastler, D. E.; Grasso, D. J.; Greifenberger, J. S.; Guo, C.; Hawes, A. K.; Israni, D. V.; Jain, S. R.; Kim, J.; Lei, J.; Li, H.; Li, D.; Li, Q.; Mancuso, C. P.; Mao, N.; Masud, S. F.; Meisel, C. L.; Mi, J.; Nykyforchyn, C. S.; Park, M.; Peterson, H. M.; Ramirez, A. K.; Reynolds, D. S.; Rim, N. G.; Saffie, J. C.; Su, H.; Su, W. R.; Su, Y.; Sun, M.; Thommes, M. M.; Tu, T.; Varongchayakul, N.; Wagner, T. E.; Weinberg, B. H.; Yang, R.; Yaroslavsky, A.; Yoon, C.; Zhao, Y.; Zollinger, A. J.; Stringer, A. M.; Foster, J. W.; Wade, J.; Raman, S.; Broude, N.; Wong, W. W.; Galagan, J. E. Coordinated Regulation of Acid Resistance in Escherichia Coli. </w:t>
      </w:r>
      <w:r w:rsidRPr="00A47835">
        <w:rPr>
          <w:rFonts w:ascii="Times New Roman" w:hAnsi="Times New Roman" w:cs="Times New Roman"/>
          <w:i/>
          <w:iCs/>
        </w:rPr>
        <w:t>BMC Syst. Biol.</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11</w:t>
      </w:r>
      <w:r w:rsidRPr="00A47835">
        <w:rPr>
          <w:rFonts w:ascii="Times New Roman" w:hAnsi="Times New Roman" w:cs="Times New Roman"/>
        </w:rPr>
        <w:t xml:space="preserve"> (1), 1. https://doi.org/10.1186/s12918-016-0376-y.</w:t>
      </w:r>
    </w:p>
    <w:p w14:paraId="183C4B8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(80)</w:t>
      </w:r>
      <w:r w:rsidRPr="00A47835">
        <w:rPr>
          <w:rFonts w:ascii="Times New Roman" w:hAnsi="Times New Roman" w:cs="Times New Roman"/>
        </w:rPr>
        <w:tab/>
        <w:t xml:space="preserve">Foster, J. W. Escherichia Coli Acid Resistance: Tales of an Amateur Acidophile. </w:t>
      </w:r>
      <w:r w:rsidRPr="00A47835">
        <w:rPr>
          <w:rFonts w:ascii="Times New Roman" w:hAnsi="Times New Roman" w:cs="Times New Roman"/>
          <w:i/>
          <w:iCs/>
        </w:rPr>
        <w:t>Nat. Rev. Microbiol.</w:t>
      </w:r>
      <w:r w:rsidRPr="00A47835">
        <w:rPr>
          <w:rFonts w:ascii="Times New Roman" w:hAnsi="Times New Roman" w:cs="Times New Roman"/>
        </w:rPr>
        <w:t xml:space="preserve"> </w:t>
      </w:r>
      <w:r w:rsidRPr="00A47835">
        <w:rPr>
          <w:rFonts w:ascii="Times New Roman" w:hAnsi="Times New Roman" w:cs="Times New Roman"/>
          <w:b/>
          <w:bCs/>
        </w:rPr>
        <w:t>2004</w:t>
      </w:r>
      <w:r w:rsidRPr="00A47835">
        <w:rPr>
          <w:rFonts w:ascii="Times New Roman" w:hAnsi="Times New Roman" w:cs="Times New Roman"/>
        </w:rPr>
        <w:t xml:space="preserve">, </w:t>
      </w:r>
      <w:r w:rsidRPr="00A47835">
        <w:rPr>
          <w:rFonts w:ascii="Times New Roman" w:hAnsi="Times New Roman" w:cs="Times New Roman"/>
          <w:i/>
          <w:iCs/>
        </w:rPr>
        <w:t>2</w:t>
      </w:r>
      <w:r w:rsidRPr="00A47835">
        <w:rPr>
          <w:rFonts w:ascii="Times New Roman" w:hAnsi="Times New Roman" w:cs="Times New Roman"/>
        </w:rPr>
        <w:t xml:space="preserve"> (11), 898–907. https://doi.org/10.1038/nrmicro1021.</w:t>
      </w:r>
    </w:p>
    <w:p w14:paraId="5C2B30B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(81)</w:t>
      </w:r>
      <w:r w:rsidRPr="00A47835">
        <w:rPr>
          <w:rFonts w:ascii="Times New Roman" w:hAnsi="Times New Roman" w:cs="Times New Roman"/>
        </w:rPr>
        <w:tab/>
        <w:t xml:space="preserve">Wiebe, M. A.; Brannon, J. R.; Steiner, B. D.; Bamidele, A.; Schrimpe-Rutledge, A. C.; Codreanu, S. G.; Sherrod, S. D.; McLean, J. A.; Hadjifrangiskou, M. Serine Deamination Is a New Acid Tolerance Mechanism Observed in Uropathogenic Escherichia Coli.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i/>
          <w:iCs/>
        </w:rPr>
        <w:t>13</w:t>
      </w:r>
      <w:r w:rsidRPr="00A47835">
        <w:rPr>
          <w:rFonts w:ascii="Times New Roman" w:hAnsi="Times New Roman" w:cs="Times New Roman"/>
        </w:rPr>
        <w:t xml:space="preserve"> (6), e02963-22. https://doi.org/10.1128/mbio.02963-22.</w:t>
      </w:r>
    </w:p>
    <w:p w14:paraId="7FF7F9A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(82)</w:t>
      </w:r>
      <w:r w:rsidRPr="00A47835">
        <w:rPr>
          <w:rFonts w:ascii="Times New Roman" w:hAnsi="Times New Roman" w:cs="Times New Roman"/>
        </w:rPr>
        <w:tab/>
        <w:t xml:space="preserve">Caza, M.; Kronstad, J. W. Shared and Distinct Mechanisms of Iron Acquisition by Bacterial and Fungal Pathogens of Humans. </w:t>
      </w:r>
      <w:r w:rsidRPr="00A47835">
        <w:rPr>
          <w:rFonts w:ascii="Times New Roman" w:hAnsi="Times New Roman" w:cs="Times New Roman"/>
          <w:i/>
          <w:iCs/>
        </w:rPr>
        <w:t>Front. Cell. Infect. Microbiol.</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3</w:t>
      </w:r>
      <w:r w:rsidRPr="00A47835">
        <w:rPr>
          <w:rFonts w:ascii="Times New Roman" w:hAnsi="Times New Roman" w:cs="Times New Roman"/>
        </w:rPr>
        <w:t>, 80. https://doi.org/10.3389/fcimb.2013.00080.</w:t>
      </w:r>
    </w:p>
    <w:p w14:paraId="67313F1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(83)</w:t>
      </w:r>
      <w:r w:rsidRPr="00A47835">
        <w:rPr>
          <w:rFonts w:ascii="Times New Roman" w:hAnsi="Times New Roman" w:cs="Times New Roman"/>
        </w:rPr>
        <w:tab/>
        <w:t xml:space="preserve">Murdoch, C. C.; Skaar, E. P. Nutritional Immunity: The Battle for Nutrient Metals at the Host–Pathogen Interface. </w:t>
      </w:r>
      <w:r w:rsidRPr="00A47835">
        <w:rPr>
          <w:rFonts w:ascii="Times New Roman" w:hAnsi="Times New Roman" w:cs="Times New Roman"/>
          <w:i/>
          <w:iCs/>
        </w:rPr>
        <w:t>Nat. Rev. Microbiol.</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20</w:t>
      </w:r>
      <w:r w:rsidRPr="00A47835">
        <w:rPr>
          <w:rFonts w:ascii="Times New Roman" w:hAnsi="Times New Roman" w:cs="Times New Roman"/>
        </w:rPr>
        <w:t xml:space="preserve"> (11), 657–670. https://doi.org/10.1038/s41579-022-00745-6.</w:t>
      </w:r>
    </w:p>
    <w:p w14:paraId="674EB49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(84)</w:t>
      </w:r>
      <w:r w:rsidRPr="00A47835">
        <w:rPr>
          <w:rFonts w:ascii="Times New Roman" w:hAnsi="Times New Roman" w:cs="Times New Roman"/>
        </w:rPr>
        <w:tab/>
        <w:t xml:space="preserve">Haschka, D.; Hoffmann, A.; Weiss, G. Iron in Immune Cell Function and Host Defense. </w:t>
      </w:r>
      <w:r w:rsidRPr="00A47835">
        <w:rPr>
          <w:rFonts w:ascii="Times New Roman" w:hAnsi="Times New Roman" w:cs="Times New Roman"/>
          <w:i/>
          <w:iCs/>
        </w:rPr>
        <w:t>Semin. Cell Dev. Biol.</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115</w:t>
      </w:r>
      <w:r w:rsidRPr="00A47835">
        <w:rPr>
          <w:rFonts w:ascii="Times New Roman" w:hAnsi="Times New Roman" w:cs="Times New Roman"/>
        </w:rPr>
        <w:t>, 27–36. https://doi.org/10.1016/j.semcdb.2020.12.005.</w:t>
      </w:r>
    </w:p>
    <w:p w14:paraId="5171FCA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(85)</w:t>
      </w:r>
      <w:r w:rsidRPr="00A47835">
        <w:rPr>
          <w:rFonts w:ascii="Times New Roman" w:hAnsi="Times New Roman" w:cs="Times New Roman"/>
        </w:rPr>
        <w:tab/>
        <w:t xml:space="preserve">Khasheii, B.; Mahmoodi, P.; Mohammadzadeh, A. Siderophores: Importance in Bacterial Pathogenesis and Applications in Medicine and Industry. </w:t>
      </w:r>
      <w:r w:rsidRPr="00A47835">
        <w:rPr>
          <w:rFonts w:ascii="Times New Roman" w:hAnsi="Times New Roman" w:cs="Times New Roman"/>
          <w:i/>
          <w:iCs/>
        </w:rPr>
        <w:t>Microbiol. Res.</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250</w:t>
      </w:r>
      <w:r w:rsidRPr="00A47835">
        <w:rPr>
          <w:rFonts w:ascii="Times New Roman" w:hAnsi="Times New Roman" w:cs="Times New Roman"/>
        </w:rPr>
        <w:t>, 126790. https://doi.org/10.1016/j.micres.2021.126790.</w:t>
      </w:r>
    </w:p>
    <w:p w14:paraId="1CF5CA84" w14:textId="77777777" w:rsidR="00A47835" w:rsidRPr="00042322" w:rsidRDefault="00A47835" w:rsidP="00A47835">
      <w:pPr>
        <w:pStyle w:val="Bibliography"/>
        <w:rPr>
          <w:rFonts w:ascii="Times New Roman" w:hAnsi="Times New Roman" w:cs="Times New Roman"/>
          <w:lang w:val="es-ES"/>
        </w:rPr>
      </w:pPr>
      <w:r w:rsidRPr="00A47835">
        <w:rPr>
          <w:rFonts w:ascii="Times New Roman" w:hAnsi="Times New Roman" w:cs="Times New Roman"/>
        </w:rPr>
        <w:t>(86)</w:t>
      </w:r>
      <w:r w:rsidRPr="00A47835">
        <w:rPr>
          <w:rFonts w:ascii="Times New Roman" w:hAnsi="Times New Roman" w:cs="Times New Roman"/>
        </w:rPr>
        <w:tab/>
        <w:t xml:space="preserve">Zeng, X.; Xu, F.; Lin, J. Specific TonB-ExbB-ExbD Energy Transduction Systems Required for Ferric Enterobactin Acquisition in Campylobacter. </w:t>
      </w:r>
      <w:r w:rsidRPr="00042322">
        <w:rPr>
          <w:rFonts w:ascii="Times New Roman" w:hAnsi="Times New Roman" w:cs="Times New Roman"/>
          <w:i/>
          <w:iCs/>
          <w:lang w:val="es-ES"/>
        </w:rPr>
        <w:t>FEMS Microbiol. Lett.</w:t>
      </w:r>
      <w:r w:rsidRPr="00042322">
        <w:rPr>
          <w:rFonts w:ascii="Times New Roman" w:hAnsi="Times New Roman" w:cs="Times New Roman"/>
          <w:lang w:val="es-ES"/>
        </w:rPr>
        <w:t xml:space="preserve"> </w:t>
      </w:r>
      <w:r w:rsidRPr="00042322">
        <w:rPr>
          <w:rFonts w:ascii="Times New Roman" w:hAnsi="Times New Roman" w:cs="Times New Roman"/>
          <w:b/>
          <w:bCs/>
          <w:lang w:val="es-ES"/>
        </w:rPr>
        <w:t>2013</w:t>
      </w:r>
      <w:r w:rsidRPr="00042322">
        <w:rPr>
          <w:rFonts w:ascii="Times New Roman" w:hAnsi="Times New Roman" w:cs="Times New Roman"/>
          <w:lang w:val="es-ES"/>
        </w:rPr>
        <w:t xml:space="preserve">, </w:t>
      </w:r>
      <w:r w:rsidRPr="00042322">
        <w:rPr>
          <w:rFonts w:ascii="Times New Roman" w:hAnsi="Times New Roman" w:cs="Times New Roman"/>
          <w:i/>
          <w:iCs/>
          <w:lang w:val="es-ES"/>
        </w:rPr>
        <w:t>347</w:t>
      </w:r>
      <w:r w:rsidRPr="00042322">
        <w:rPr>
          <w:rFonts w:ascii="Times New Roman" w:hAnsi="Times New Roman" w:cs="Times New Roman"/>
          <w:lang w:val="es-ES"/>
        </w:rPr>
        <w:t xml:space="preserve"> (1), 83–91. https://doi.org/10.1111/1574-6968.12221.</w:t>
      </w:r>
    </w:p>
    <w:p w14:paraId="1C66E081" w14:textId="77777777" w:rsidR="00A47835" w:rsidRPr="00A47835" w:rsidRDefault="00A47835" w:rsidP="00A47835">
      <w:pPr>
        <w:pStyle w:val="Bibliography"/>
        <w:rPr>
          <w:rFonts w:ascii="Times New Roman" w:hAnsi="Times New Roman" w:cs="Times New Roman"/>
        </w:rPr>
      </w:pPr>
      <w:r w:rsidRPr="00042322">
        <w:rPr>
          <w:rFonts w:ascii="Times New Roman" w:hAnsi="Times New Roman" w:cs="Times New Roman"/>
          <w:lang w:val="es-ES"/>
        </w:rPr>
        <w:t>(87)</w:t>
      </w:r>
      <w:r w:rsidRPr="00042322">
        <w:rPr>
          <w:rFonts w:ascii="Times New Roman" w:hAnsi="Times New Roman" w:cs="Times New Roman"/>
          <w:lang w:val="es-ES"/>
        </w:rPr>
        <w:tab/>
        <w:t xml:space="preserve">Andrews, S. C.; Robinson, A. K.; Rodríguez-Quiñones, F. Bacterial Iron Homeostasis. </w:t>
      </w:r>
      <w:r w:rsidRPr="00A47835">
        <w:rPr>
          <w:rFonts w:ascii="Times New Roman" w:hAnsi="Times New Roman" w:cs="Times New Roman"/>
          <w:i/>
          <w:iCs/>
        </w:rPr>
        <w:t>FEMS Microbiol. Rev.</w:t>
      </w:r>
      <w:r w:rsidRPr="00A47835">
        <w:rPr>
          <w:rFonts w:ascii="Times New Roman" w:hAnsi="Times New Roman" w:cs="Times New Roman"/>
        </w:rPr>
        <w:t xml:space="preserve"> </w:t>
      </w:r>
      <w:r w:rsidRPr="00A47835">
        <w:rPr>
          <w:rFonts w:ascii="Times New Roman" w:hAnsi="Times New Roman" w:cs="Times New Roman"/>
          <w:b/>
          <w:bCs/>
        </w:rPr>
        <w:t>2003</w:t>
      </w:r>
      <w:r w:rsidRPr="00A47835">
        <w:rPr>
          <w:rFonts w:ascii="Times New Roman" w:hAnsi="Times New Roman" w:cs="Times New Roman"/>
        </w:rPr>
        <w:t xml:space="preserve">, </w:t>
      </w:r>
      <w:r w:rsidRPr="00A47835">
        <w:rPr>
          <w:rFonts w:ascii="Times New Roman" w:hAnsi="Times New Roman" w:cs="Times New Roman"/>
          <w:i/>
          <w:iCs/>
        </w:rPr>
        <w:t>27</w:t>
      </w:r>
      <w:r w:rsidRPr="00A47835">
        <w:rPr>
          <w:rFonts w:ascii="Times New Roman" w:hAnsi="Times New Roman" w:cs="Times New Roman"/>
        </w:rPr>
        <w:t xml:space="preserve"> (2–3), 215–237. https://doi.org/10.1016/S0168-6445(03)00055-X.</w:t>
      </w:r>
    </w:p>
    <w:p w14:paraId="31BF715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(88)</w:t>
      </w:r>
      <w:r w:rsidRPr="00A47835">
        <w:rPr>
          <w:rFonts w:ascii="Times New Roman" w:hAnsi="Times New Roman" w:cs="Times New Roman"/>
        </w:rPr>
        <w:tab/>
        <w:t xml:space="preserve">Wood, J. M. Bacterial Responses to Osmotic Challenges. </w:t>
      </w:r>
      <w:r w:rsidRPr="00A47835">
        <w:rPr>
          <w:rFonts w:ascii="Times New Roman" w:hAnsi="Times New Roman" w:cs="Times New Roman"/>
          <w:i/>
          <w:iCs/>
        </w:rPr>
        <w:t>J. Gen. Physiol.</w:t>
      </w:r>
      <w:r w:rsidRPr="00A47835">
        <w:rPr>
          <w:rFonts w:ascii="Times New Roman" w:hAnsi="Times New Roman" w:cs="Times New Roman"/>
        </w:rPr>
        <w:t xml:space="preserve"> </w:t>
      </w:r>
      <w:r w:rsidRPr="00A47835">
        <w:rPr>
          <w:rFonts w:ascii="Times New Roman" w:hAnsi="Times New Roman" w:cs="Times New Roman"/>
          <w:b/>
          <w:bCs/>
        </w:rPr>
        <w:t>2015</w:t>
      </w:r>
      <w:r w:rsidRPr="00A47835">
        <w:rPr>
          <w:rFonts w:ascii="Times New Roman" w:hAnsi="Times New Roman" w:cs="Times New Roman"/>
        </w:rPr>
        <w:t xml:space="preserve">, </w:t>
      </w:r>
      <w:r w:rsidRPr="00A47835">
        <w:rPr>
          <w:rFonts w:ascii="Times New Roman" w:hAnsi="Times New Roman" w:cs="Times New Roman"/>
          <w:i/>
          <w:iCs/>
        </w:rPr>
        <w:t>145</w:t>
      </w:r>
      <w:r w:rsidRPr="00A47835">
        <w:rPr>
          <w:rFonts w:ascii="Times New Roman" w:hAnsi="Times New Roman" w:cs="Times New Roman"/>
        </w:rPr>
        <w:t xml:space="preserve"> (5), 381–388. https://doi.org/10.1085/jgp.201411296.</w:t>
      </w:r>
    </w:p>
    <w:p w14:paraId="186B93C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(89)</w:t>
      </w:r>
      <w:r w:rsidRPr="00A47835">
        <w:rPr>
          <w:rFonts w:ascii="Times New Roman" w:hAnsi="Times New Roman" w:cs="Times New Roman"/>
        </w:rPr>
        <w:tab/>
        <w:t xml:space="preserve">Auer, G. K.; Weibel, D. B. Bacterial Cell Mechanics. </w:t>
      </w:r>
      <w:r w:rsidRPr="00A47835">
        <w:rPr>
          <w:rFonts w:ascii="Times New Roman" w:hAnsi="Times New Roman" w:cs="Times New Roman"/>
          <w:i/>
          <w:iCs/>
        </w:rPr>
        <w:t>Biochemistry</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56</w:t>
      </w:r>
      <w:r w:rsidRPr="00A47835">
        <w:rPr>
          <w:rFonts w:ascii="Times New Roman" w:hAnsi="Times New Roman" w:cs="Times New Roman"/>
        </w:rPr>
        <w:t xml:space="preserve"> (29), 3710–3724. https://doi.org/10.1021/acs.biochem.7b00346.</w:t>
      </w:r>
    </w:p>
    <w:p w14:paraId="7210570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(90)</w:t>
      </w:r>
      <w:r w:rsidRPr="00A47835">
        <w:rPr>
          <w:rFonts w:ascii="Times New Roman" w:hAnsi="Times New Roman" w:cs="Times New Roman"/>
        </w:rPr>
        <w:tab/>
        <w:t xml:space="preserve">Saum, S. H.; Müller, V. Salinity-Dependent Switching of Osmolyte Strategies in a Moderately Halophilic Bacterium: Glutamate Induces Proline Biosynthesis in Halobacillus Halophilus.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2007</w:t>
      </w:r>
      <w:r w:rsidRPr="00A47835">
        <w:rPr>
          <w:rFonts w:ascii="Times New Roman" w:hAnsi="Times New Roman" w:cs="Times New Roman"/>
        </w:rPr>
        <w:t xml:space="preserve">, </w:t>
      </w:r>
      <w:r w:rsidRPr="00A47835">
        <w:rPr>
          <w:rFonts w:ascii="Times New Roman" w:hAnsi="Times New Roman" w:cs="Times New Roman"/>
          <w:i/>
          <w:iCs/>
        </w:rPr>
        <w:t>189</w:t>
      </w:r>
      <w:r w:rsidRPr="00A47835">
        <w:rPr>
          <w:rFonts w:ascii="Times New Roman" w:hAnsi="Times New Roman" w:cs="Times New Roman"/>
        </w:rPr>
        <w:t xml:space="preserve"> (19), 6968–6975. https://doi.org/10.1128/JB.00775-07.</w:t>
      </w:r>
    </w:p>
    <w:p w14:paraId="77E8D5A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(91)</w:t>
      </w:r>
      <w:r w:rsidRPr="00A47835">
        <w:rPr>
          <w:rFonts w:ascii="Times New Roman" w:hAnsi="Times New Roman" w:cs="Times New Roman"/>
        </w:rPr>
        <w:tab/>
        <w:t xml:space="preserve">Gregory, G. J.; Boyd, E. F. Stressed out: Bacterial Response to High Salinity Using Compatible Solute Biosynthesis and Uptake Systems, Lessons from Vibrionaceae. </w:t>
      </w:r>
      <w:r w:rsidRPr="00A47835">
        <w:rPr>
          <w:rFonts w:ascii="Times New Roman" w:hAnsi="Times New Roman" w:cs="Times New Roman"/>
          <w:i/>
          <w:iCs/>
        </w:rPr>
        <w:t>Comput. Struct. Biotechnol. J.</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19</w:t>
      </w:r>
      <w:r w:rsidRPr="00A47835">
        <w:rPr>
          <w:rFonts w:ascii="Times New Roman" w:hAnsi="Times New Roman" w:cs="Times New Roman"/>
        </w:rPr>
        <w:t>, 1014–1027. https://doi.org/10.1016/j.csbj.2021.01.030.</w:t>
      </w:r>
    </w:p>
    <w:p w14:paraId="3A58730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(92)</w:t>
      </w:r>
      <w:r w:rsidRPr="00A47835">
        <w:rPr>
          <w:rFonts w:ascii="Times New Roman" w:hAnsi="Times New Roman" w:cs="Times New Roman"/>
        </w:rPr>
        <w:tab/>
        <w:t xml:space="preserve">Wood, J. M. Bacterial Osmoregulation: A Paradigm for the Study of Cellular Homeostasis. </w:t>
      </w:r>
      <w:r w:rsidRPr="00A47835">
        <w:rPr>
          <w:rFonts w:ascii="Times New Roman" w:hAnsi="Times New Roman" w:cs="Times New Roman"/>
          <w:i/>
          <w:iCs/>
        </w:rPr>
        <w:t>Annu. Rev. Microbiol.</w:t>
      </w:r>
      <w:r w:rsidRPr="00A47835">
        <w:rPr>
          <w:rFonts w:ascii="Times New Roman" w:hAnsi="Times New Roman" w:cs="Times New Roman"/>
        </w:rPr>
        <w:t xml:space="preserve"> </w:t>
      </w:r>
      <w:r w:rsidRPr="00A47835">
        <w:rPr>
          <w:rFonts w:ascii="Times New Roman" w:hAnsi="Times New Roman" w:cs="Times New Roman"/>
          <w:b/>
          <w:bCs/>
        </w:rPr>
        <w:t>2011</w:t>
      </w:r>
      <w:r w:rsidRPr="00A47835">
        <w:rPr>
          <w:rFonts w:ascii="Times New Roman" w:hAnsi="Times New Roman" w:cs="Times New Roman"/>
        </w:rPr>
        <w:t xml:space="preserve">, </w:t>
      </w:r>
      <w:r w:rsidRPr="00A47835">
        <w:rPr>
          <w:rFonts w:ascii="Times New Roman" w:hAnsi="Times New Roman" w:cs="Times New Roman"/>
          <w:i/>
          <w:iCs/>
        </w:rPr>
        <w:t>65</w:t>
      </w:r>
      <w:r w:rsidRPr="00A47835">
        <w:rPr>
          <w:rFonts w:ascii="Times New Roman" w:hAnsi="Times New Roman" w:cs="Times New Roman"/>
        </w:rPr>
        <w:t>, 215–238. https://doi.org/10.1146/annurev-micro-090110-102815.</w:t>
      </w:r>
    </w:p>
    <w:p w14:paraId="6E40CE6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(93)</w:t>
      </w:r>
      <w:r w:rsidRPr="00A47835">
        <w:rPr>
          <w:rFonts w:ascii="Times New Roman" w:hAnsi="Times New Roman" w:cs="Times New Roman"/>
        </w:rPr>
        <w:tab/>
        <w:t xml:space="preserve">Robin, B.; Nicol, M.; Le, H.; Tahrioui, A.; Schaumann, A.; Vuillemenot, J.-B.; Vergoz, D.; Lesouhaitier, O.; Jouenne, T.; Hardouin, J.; Potron, A.; Perrot, V.; Dé, E. MacAB-TolC Contributes to the Development of Acinetobacter Baumannii Biofilm at the Solid–Liquid Interface. </w:t>
      </w:r>
      <w:r w:rsidRPr="00A47835">
        <w:rPr>
          <w:rFonts w:ascii="Times New Roman" w:hAnsi="Times New Roman" w:cs="Times New Roman"/>
          <w:i/>
          <w:iCs/>
        </w:rPr>
        <w:t>Front. Microbiol.</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w:t>
      </w:r>
    </w:p>
    <w:p w14:paraId="473ADB2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(94)</w:t>
      </w:r>
      <w:r w:rsidRPr="00A47835">
        <w:rPr>
          <w:rFonts w:ascii="Times New Roman" w:hAnsi="Times New Roman" w:cs="Times New Roman"/>
        </w:rPr>
        <w:tab/>
        <w:t xml:space="preserve">Achouak, W.; Heulin, T.; Pagès, J.-M. Multiple Facets of Bacterial Porins. </w:t>
      </w:r>
      <w:r w:rsidRPr="00A47835">
        <w:rPr>
          <w:rFonts w:ascii="Times New Roman" w:hAnsi="Times New Roman" w:cs="Times New Roman"/>
          <w:i/>
          <w:iCs/>
        </w:rPr>
        <w:t>FEMS Microbiol. Lett.</w:t>
      </w:r>
      <w:r w:rsidRPr="00A47835">
        <w:rPr>
          <w:rFonts w:ascii="Times New Roman" w:hAnsi="Times New Roman" w:cs="Times New Roman"/>
        </w:rPr>
        <w:t xml:space="preserve"> </w:t>
      </w:r>
      <w:r w:rsidRPr="00A47835">
        <w:rPr>
          <w:rFonts w:ascii="Times New Roman" w:hAnsi="Times New Roman" w:cs="Times New Roman"/>
          <w:b/>
          <w:bCs/>
        </w:rPr>
        <w:t>2001</w:t>
      </w:r>
      <w:r w:rsidRPr="00A47835">
        <w:rPr>
          <w:rFonts w:ascii="Times New Roman" w:hAnsi="Times New Roman" w:cs="Times New Roman"/>
        </w:rPr>
        <w:t xml:space="preserve">, </w:t>
      </w:r>
      <w:r w:rsidRPr="00A47835">
        <w:rPr>
          <w:rFonts w:ascii="Times New Roman" w:hAnsi="Times New Roman" w:cs="Times New Roman"/>
          <w:i/>
          <w:iCs/>
        </w:rPr>
        <w:t>199</w:t>
      </w:r>
      <w:r w:rsidRPr="00A47835">
        <w:rPr>
          <w:rFonts w:ascii="Times New Roman" w:hAnsi="Times New Roman" w:cs="Times New Roman"/>
        </w:rPr>
        <w:t xml:space="preserve"> (1), 1–7. https://doi.org/10.1111/j.1574-6968.2001.tb10642.x.</w:t>
      </w:r>
    </w:p>
    <w:p w14:paraId="37F60E5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(95)</w:t>
      </w:r>
      <w:r w:rsidRPr="00A47835">
        <w:rPr>
          <w:rFonts w:ascii="Times New Roman" w:hAnsi="Times New Roman" w:cs="Times New Roman"/>
        </w:rPr>
        <w:tab/>
        <w:t xml:space="preserve">Masi, M.; Pagès, J.-M. Structure, Function and Regulation of Outer Membrane Proteins Involved in Drug Transport in Enterobactericeae: The OmpF/C – TolC Case. </w:t>
      </w:r>
      <w:r w:rsidRPr="00A47835">
        <w:rPr>
          <w:rFonts w:ascii="Times New Roman" w:hAnsi="Times New Roman" w:cs="Times New Roman"/>
          <w:i/>
          <w:iCs/>
        </w:rPr>
        <w:t>Open Microbiol. J.</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7</w:t>
      </w:r>
      <w:r w:rsidRPr="00A47835">
        <w:rPr>
          <w:rFonts w:ascii="Times New Roman" w:hAnsi="Times New Roman" w:cs="Times New Roman"/>
        </w:rPr>
        <w:t>, 22–33. https://doi.org/10.2174/1874285801307010022.</w:t>
      </w:r>
    </w:p>
    <w:p w14:paraId="759192D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(96)</w:t>
      </w:r>
      <w:r w:rsidRPr="00A47835">
        <w:rPr>
          <w:rFonts w:ascii="Times New Roman" w:hAnsi="Times New Roman" w:cs="Times New Roman"/>
        </w:rPr>
        <w:tab/>
        <w:t xml:space="preserve">Chen, C.; Yu, L.; Tian, F.; Zhao, J.; Zhai, Q. Identification of Novel Bile Salt-Tolerant Genes in Lactobacillus Using Comparative Genomics and Its Application in the Rapid Screening of Tolerant Strains. </w:t>
      </w:r>
      <w:r w:rsidRPr="00A47835">
        <w:rPr>
          <w:rFonts w:ascii="Times New Roman" w:hAnsi="Times New Roman" w:cs="Times New Roman"/>
          <w:i/>
          <w:iCs/>
        </w:rPr>
        <w:t>Microorganisms</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(12), 2371. https://doi.org/10.3390/microorganisms10122371.</w:t>
      </w:r>
    </w:p>
    <w:p w14:paraId="6CBA735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(97)</w:t>
      </w:r>
      <w:r w:rsidRPr="00A47835">
        <w:rPr>
          <w:rFonts w:ascii="Times New Roman" w:hAnsi="Times New Roman" w:cs="Times New Roman"/>
        </w:rPr>
        <w:tab/>
        <w:t xml:space="preserve">Sistrunk, J. R.; Nickerson, K. P.; Chanin, R. B.; Rasko, D. A.; Faherty, C. S. Survival of the Fittest: How Bacterial Pathogens Utilize Bile To Enhance Infection. </w:t>
      </w:r>
      <w:r w:rsidRPr="00A47835">
        <w:rPr>
          <w:rFonts w:ascii="Times New Roman" w:hAnsi="Times New Roman" w:cs="Times New Roman"/>
          <w:i/>
          <w:iCs/>
        </w:rPr>
        <w:t>Clin. Microbiol. Rev.</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29</w:t>
      </w:r>
      <w:r w:rsidRPr="00A47835">
        <w:rPr>
          <w:rFonts w:ascii="Times New Roman" w:hAnsi="Times New Roman" w:cs="Times New Roman"/>
        </w:rPr>
        <w:t xml:space="preserve"> (4), 819–836. https://doi.org/10.1128/CMR.00031-16.</w:t>
      </w:r>
    </w:p>
    <w:p w14:paraId="47E847A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(98)</w:t>
      </w:r>
      <w:r w:rsidRPr="00A47835">
        <w:rPr>
          <w:rFonts w:ascii="Times New Roman" w:hAnsi="Times New Roman" w:cs="Times New Roman"/>
        </w:rPr>
        <w:tab/>
        <w:t xml:space="preserve">Begley, M.; Gahan, C. G. M.; Hill, C. The Interaction between Bacteria and Bile. </w:t>
      </w:r>
      <w:r w:rsidRPr="00A47835">
        <w:rPr>
          <w:rFonts w:ascii="Times New Roman" w:hAnsi="Times New Roman" w:cs="Times New Roman"/>
          <w:i/>
          <w:iCs/>
        </w:rPr>
        <w:t>FEMS Microbiol. Rev.</w:t>
      </w:r>
      <w:r w:rsidRPr="00A47835">
        <w:rPr>
          <w:rFonts w:ascii="Times New Roman" w:hAnsi="Times New Roman" w:cs="Times New Roman"/>
        </w:rPr>
        <w:t xml:space="preserve"> </w:t>
      </w:r>
      <w:r w:rsidRPr="00A47835">
        <w:rPr>
          <w:rFonts w:ascii="Times New Roman" w:hAnsi="Times New Roman" w:cs="Times New Roman"/>
          <w:b/>
          <w:bCs/>
        </w:rPr>
        <w:t>2005</w:t>
      </w:r>
      <w:r w:rsidRPr="00A47835">
        <w:rPr>
          <w:rFonts w:ascii="Times New Roman" w:hAnsi="Times New Roman" w:cs="Times New Roman"/>
        </w:rPr>
        <w:t xml:space="preserve">, </w:t>
      </w:r>
      <w:r w:rsidRPr="00A47835">
        <w:rPr>
          <w:rFonts w:ascii="Times New Roman" w:hAnsi="Times New Roman" w:cs="Times New Roman"/>
          <w:i/>
          <w:iCs/>
        </w:rPr>
        <w:t>29</w:t>
      </w:r>
      <w:r w:rsidRPr="00A47835">
        <w:rPr>
          <w:rFonts w:ascii="Times New Roman" w:hAnsi="Times New Roman" w:cs="Times New Roman"/>
        </w:rPr>
        <w:t xml:space="preserve"> (4), 625–651. https://doi.org/10.1016/j.femsre.2004.09.003.</w:t>
      </w:r>
    </w:p>
    <w:p w14:paraId="351159D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(99)</w:t>
      </w:r>
      <w:r w:rsidRPr="00A47835">
        <w:rPr>
          <w:rFonts w:ascii="Times New Roman" w:hAnsi="Times New Roman" w:cs="Times New Roman"/>
        </w:rPr>
        <w:tab/>
        <w:t xml:space="preserve">Thanassi, D. G.; Cheng, L. W.; Nikaido, H. Active Efflux of Bile Salts by Escherichia Coli.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1997</w:t>
      </w:r>
      <w:r w:rsidRPr="00A47835">
        <w:rPr>
          <w:rFonts w:ascii="Times New Roman" w:hAnsi="Times New Roman" w:cs="Times New Roman"/>
        </w:rPr>
        <w:t xml:space="preserve">, </w:t>
      </w:r>
      <w:r w:rsidRPr="00A47835">
        <w:rPr>
          <w:rFonts w:ascii="Times New Roman" w:hAnsi="Times New Roman" w:cs="Times New Roman"/>
          <w:i/>
          <w:iCs/>
        </w:rPr>
        <w:t>179</w:t>
      </w:r>
      <w:r w:rsidRPr="00A47835">
        <w:rPr>
          <w:rFonts w:ascii="Times New Roman" w:hAnsi="Times New Roman" w:cs="Times New Roman"/>
        </w:rPr>
        <w:t xml:space="preserve"> (8), 2512–2518. https://doi.org/10.1128/jb.179.8.2512-2518.1997.</w:t>
      </w:r>
    </w:p>
    <w:p w14:paraId="75B038D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(100)</w:t>
      </w:r>
      <w:r w:rsidRPr="00A47835">
        <w:rPr>
          <w:rFonts w:ascii="Times New Roman" w:hAnsi="Times New Roman" w:cs="Times New Roman"/>
        </w:rPr>
        <w:tab/>
        <w:t xml:space="preserve">Dussurget, O.; Cabanes, D.; Dehoux, P.; Lecuit, M.; Buchrieser, C.; Glaser, P.; Cossart, P.; European Listeria Genome Consortium. Listeria Monocytogenes Bile Salt Hydrolase Is a PrfA-Regulated Virulence Factor Involved in the Intestinal and Hepatic Phases of Listeriosis. </w:t>
      </w:r>
      <w:r w:rsidRPr="00A47835">
        <w:rPr>
          <w:rFonts w:ascii="Times New Roman" w:hAnsi="Times New Roman" w:cs="Times New Roman"/>
          <w:i/>
          <w:iCs/>
        </w:rPr>
        <w:t>Mol. Microbiol.</w:t>
      </w:r>
      <w:r w:rsidRPr="00A47835">
        <w:rPr>
          <w:rFonts w:ascii="Times New Roman" w:hAnsi="Times New Roman" w:cs="Times New Roman"/>
        </w:rPr>
        <w:t xml:space="preserve"> </w:t>
      </w:r>
      <w:r w:rsidRPr="00A47835">
        <w:rPr>
          <w:rFonts w:ascii="Times New Roman" w:hAnsi="Times New Roman" w:cs="Times New Roman"/>
          <w:b/>
          <w:bCs/>
        </w:rPr>
        <w:t>2002</w:t>
      </w:r>
      <w:r w:rsidRPr="00A47835">
        <w:rPr>
          <w:rFonts w:ascii="Times New Roman" w:hAnsi="Times New Roman" w:cs="Times New Roman"/>
        </w:rPr>
        <w:t xml:space="preserve">, </w:t>
      </w:r>
      <w:r w:rsidRPr="00A47835">
        <w:rPr>
          <w:rFonts w:ascii="Times New Roman" w:hAnsi="Times New Roman" w:cs="Times New Roman"/>
          <w:i/>
          <w:iCs/>
        </w:rPr>
        <w:t>45</w:t>
      </w:r>
      <w:r w:rsidRPr="00A47835">
        <w:rPr>
          <w:rFonts w:ascii="Times New Roman" w:hAnsi="Times New Roman" w:cs="Times New Roman"/>
        </w:rPr>
        <w:t xml:space="preserve"> (4), 1095–1106. https://doi.org/10.1046/j.1365-2958.2002.03080.x.</w:t>
      </w:r>
    </w:p>
    <w:p w14:paraId="0482532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(101)</w:t>
      </w:r>
      <w:r w:rsidRPr="00A47835">
        <w:rPr>
          <w:rFonts w:ascii="Times New Roman" w:hAnsi="Times New Roman" w:cs="Times New Roman"/>
        </w:rPr>
        <w:tab/>
        <w:t xml:space="preserve">Jung, H.-J.; Sorbara, M. T.; Pamer, E. G. TAM Mediates Adaptation of Carbapenem-Resistant Klebsiella Pneumoniae to Antimicrobial Stress during Host Colonization and Infection. </w:t>
      </w:r>
      <w:r w:rsidRPr="00A47835">
        <w:rPr>
          <w:rFonts w:ascii="Times New Roman" w:hAnsi="Times New Roman" w:cs="Times New Roman"/>
          <w:i/>
          <w:iCs/>
        </w:rPr>
        <w:t>PLoS Pathog.</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17</w:t>
      </w:r>
      <w:r w:rsidRPr="00A47835">
        <w:rPr>
          <w:rFonts w:ascii="Times New Roman" w:hAnsi="Times New Roman" w:cs="Times New Roman"/>
        </w:rPr>
        <w:t xml:space="preserve"> (2), e1009309. https://doi.org/10.1371/journal.ppat.1009309.</w:t>
      </w:r>
    </w:p>
    <w:p w14:paraId="16BBA83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(102)</w:t>
      </w:r>
      <w:r w:rsidRPr="00A47835">
        <w:rPr>
          <w:rFonts w:ascii="Times New Roman" w:hAnsi="Times New Roman" w:cs="Times New Roman"/>
        </w:rPr>
        <w:tab/>
        <w:t xml:space="preserve">Lomovskaya, O.; Warren, M. S.; Lee, A.; Galazzo, J.; Fronko, R.; Lee, M.; Blais, J.; Cho, D.; Chamberland, S.; Renau, T.; Leger, R.; Hecker, S.; Watkins, W.; Hoshino, K.; Ishida, H.; </w:t>
      </w:r>
      <w:r w:rsidRPr="00A47835">
        <w:rPr>
          <w:rFonts w:ascii="Times New Roman" w:hAnsi="Times New Roman" w:cs="Times New Roman"/>
        </w:rPr>
        <w:lastRenderedPageBreak/>
        <w:t xml:space="preserve">Lee, V. J. Identification and Characterization of Inhibitors of Multidrug Resistance Efflux Pumps in Pseudomonas Aeruginosa: Novel Agents for Combination Therapy.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2001</w:t>
      </w:r>
      <w:r w:rsidRPr="00A47835">
        <w:rPr>
          <w:rFonts w:ascii="Times New Roman" w:hAnsi="Times New Roman" w:cs="Times New Roman"/>
        </w:rPr>
        <w:t xml:space="preserve">, </w:t>
      </w:r>
      <w:r w:rsidRPr="00A47835">
        <w:rPr>
          <w:rFonts w:ascii="Times New Roman" w:hAnsi="Times New Roman" w:cs="Times New Roman"/>
          <w:i/>
          <w:iCs/>
        </w:rPr>
        <w:t>45</w:t>
      </w:r>
      <w:r w:rsidRPr="00A47835">
        <w:rPr>
          <w:rFonts w:ascii="Times New Roman" w:hAnsi="Times New Roman" w:cs="Times New Roman"/>
        </w:rPr>
        <w:t xml:space="preserve"> (1), 105–116. https://doi.org/10.1128/AAC.45.1.105-116.2001.</w:t>
      </w:r>
    </w:p>
    <w:p w14:paraId="3830817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(103)</w:t>
      </w:r>
      <w:r w:rsidRPr="00A47835">
        <w:rPr>
          <w:rFonts w:ascii="Times New Roman" w:hAnsi="Times New Roman" w:cs="Times New Roman"/>
        </w:rPr>
        <w:tab/>
        <w:t xml:space="preserve">Zhang, S.; Wang, J.; Ahn, J. Advances in the Discovery of Efflux Pump Inhibitors as Novel Potentiators to Control Antimicrobial-Resistant Pathogens. </w:t>
      </w:r>
      <w:r w:rsidRPr="00A47835">
        <w:rPr>
          <w:rFonts w:ascii="Times New Roman" w:hAnsi="Times New Roman" w:cs="Times New Roman"/>
          <w:i/>
          <w:iCs/>
        </w:rPr>
        <w:t>Antibiotics</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(9), 1417. https://doi.org/10.3390/antibiotics12091417.</w:t>
      </w:r>
    </w:p>
    <w:p w14:paraId="37E4BE3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(104)</w:t>
      </w:r>
      <w:r w:rsidRPr="00A47835">
        <w:rPr>
          <w:rFonts w:ascii="Times New Roman" w:hAnsi="Times New Roman" w:cs="Times New Roman"/>
        </w:rPr>
        <w:tab/>
        <w:t xml:space="preserve">Piddock, L. J. V. Multidrug-Resistance Efflux Pumps - Not Just for Resistance. </w:t>
      </w:r>
      <w:r w:rsidRPr="00A47835">
        <w:rPr>
          <w:rFonts w:ascii="Times New Roman" w:hAnsi="Times New Roman" w:cs="Times New Roman"/>
          <w:i/>
          <w:iCs/>
        </w:rPr>
        <w:t>Nat. Rev. Microbiol.</w:t>
      </w:r>
      <w:r w:rsidRPr="00A47835">
        <w:rPr>
          <w:rFonts w:ascii="Times New Roman" w:hAnsi="Times New Roman" w:cs="Times New Roman"/>
        </w:rPr>
        <w:t xml:space="preserve"> </w:t>
      </w:r>
      <w:r w:rsidRPr="00A47835">
        <w:rPr>
          <w:rFonts w:ascii="Times New Roman" w:hAnsi="Times New Roman" w:cs="Times New Roman"/>
          <w:b/>
          <w:bCs/>
        </w:rPr>
        <w:t>2006</w:t>
      </w:r>
      <w:r w:rsidRPr="00A47835">
        <w:rPr>
          <w:rFonts w:ascii="Times New Roman" w:hAnsi="Times New Roman" w:cs="Times New Roman"/>
        </w:rPr>
        <w:t xml:space="preserve">, </w:t>
      </w:r>
      <w:r w:rsidRPr="00A47835">
        <w:rPr>
          <w:rFonts w:ascii="Times New Roman" w:hAnsi="Times New Roman" w:cs="Times New Roman"/>
          <w:i/>
          <w:iCs/>
        </w:rPr>
        <w:t>4</w:t>
      </w:r>
      <w:r w:rsidRPr="00A47835">
        <w:rPr>
          <w:rFonts w:ascii="Times New Roman" w:hAnsi="Times New Roman" w:cs="Times New Roman"/>
        </w:rPr>
        <w:t xml:space="preserve"> (8), 629–636. https://doi.org/10.1038/nrmicro1464.</w:t>
      </w:r>
    </w:p>
    <w:p w14:paraId="5D628FC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(105)</w:t>
      </w:r>
      <w:r w:rsidRPr="00A47835">
        <w:rPr>
          <w:rFonts w:ascii="Times New Roman" w:hAnsi="Times New Roman" w:cs="Times New Roman"/>
        </w:rPr>
        <w:tab/>
        <w:t xml:space="preserve">Renau, T. E.; Léger, R.; Flamme, E. M.; Sangalang, J.; She, M. W.; Yen, R.; Gannon, C. L.; Griffith, D.; Chamberland, S.; Lomovskaya, O.; Hecker, S. J.; Lee, V. J.; Ohta, T.; Nakayama, K. Inhibitors of Efflux Pumps in Pseudomonas Aeruginosa Potentiate the Activity of the Fluoroquinolone Antibacterial Levofloxacin. </w:t>
      </w:r>
      <w:r w:rsidRPr="00A47835">
        <w:rPr>
          <w:rFonts w:ascii="Times New Roman" w:hAnsi="Times New Roman" w:cs="Times New Roman"/>
          <w:i/>
          <w:iCs/>
        </w:rPr>
        <w:t>J. Med. Chem.</w:t>
      </w:r>
      <w:r w:rsidRPr="00A47835">
        <w:rPr>
          <w:rFonts w:ascii="Times New Roman" w:hAnsi="Times New Roman" w:cs="Times New Roman"/>
        </w:rPr>
        <w:t xml:space="preserve"> </w:t>
      </w:r>
      <w:r w:rsidRPr="00A47835">
        <w:rPr>
          <w:rFonts w:ascii="Times New Roman" w:hAnsi="Times New Roman" w:cs="Times New Roman"/>
          <w:b/>
          <w:bCs/>
        </w:rPr>
        <w:t>1999</w:t>
      </w:r>
      <w:r w:rsidRPr="00A47835">
        <w:rPr>
          <w:rFonts w:ascii="Times New Roman" w:hAnsi="Times New Roman" w:cs="Times New Roman"/>
        </w:rPr>
        <w:t xml:space="preserve">, </w:t>
      </w:r>
      <w:r w:rsidRPr="00A47835">
        <w:rPr>
          <w:rFonts w:ascii="Times New Roman" w:hAnsi="Times New Roman" w:cs="Times New Roman"/>
          <w:i/>
          <w:iCs/>
        </w:rPr>
        <w:t>42</w:t>
      </w:r>
      <w:r w:rsidRPr="00A47835">
        <w:rPr>
          <w:rFonts w:ascii="Times New Roman" w:hAnsi="Times New Roman" w:cs="Times New Roman"/>
        </w:rPr>
        <w:t xml:space="preserve"> (24), 4928–4931. https://doi.org/10.1021/jm9904598.</w:t>
      </w:r>
    </w:p>
    <w:p w14:paraId="2932EE4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(106)</w:t>
      </w:r>
      <w:r w:rsidRPr="00A47835">
        <w:rPr>
          <w:rFonts w:ascii="Times New Roman" w:hAnsi="Times New Roman" w:cs="Times New Roman"/>
        </w:rPr>
        <w:tab/>
        <w:t xml:space="preserve">Radchenko, M.; Symersky, J.; Nie, R.; Lu, M. Structural Basis for the Blockade of MATE Multidrug Efflux Pumps. </w:t>
      </w:r>
      <w:r w:rsidRPr="00A47835">
        <w:rPr>
          <w:rFonts w:ascii="Times New Roman" w:hAnsi="Times New Roman" w:cs="Times New Roman"/>
          <w:i/>
          <w:iCs/>
        </w:rPr>
        <w:t>Nat. Commun.</w:t>
      </w:r>
      <w:r w:rsidRPr="00A47835">
        <w:rPr>
          <w:rFonts w:ascii="Times New Roman" w:hAnsi="Times New Roman" w:cs="Times New Roman"/>
        </w:rPr>
        <w:t xml:space="preserve"> </w:t>
      </w:r>
      <w:r w:rsidRPr="00A47835">
        <w:rPr>
          <w:rFonts w:ascii="Times New Roman" w:hAnsi="Times New Roman" w:cs="Times New Roman"/>
          <w:b/>
          <w:bCs/>
        </w:rPr>
        <w:t>2015</w:t>
      </w:r>
      <w:r w:rsidRPr="00A47835">
        <w:rPr>
          <w:rFonts w:ascii="Times New Roman" w:hAnsi="Times New Roman" w:cs="Times New Roman"/>
        </w:rPr>
        <w:t xml:space="preserve">, </w:t>
      </w:r>
      <w:r w:rsidRPr="00A47835">
        <w:rPr>
          <w:rFonts w:ascii="Times New Roman" w:hAnsi="Times New Roman" w:cs="Times New Roman"/>
          <w:i/>
          <w:iCs/>
        </w:rPr>
        <w:t>6</w:t>
      </w:r>
      <w:r w:rsidRPr="00A47835">
        <w:rPr>
          <w:rFonts w:ascii="Times New Roman" w:hAnsi="Times New Roman" w:cs="Times New Roman"/>
        </w:rPr>
        <w:t xml:space="preserve"> (1), 7995. https://doi.org/10.1038/ncomms8995.</w:t>
      </w:r>
    </w:p>
    <w:p w14:paraId="21EB247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(107)</w:t>
      </w:r>
      <w:r w:rsidRPr="00A47835">
        <w:rPr>
          <w:rFonts w:ascii="Times New Roman" w:hAnsi="Times New Roman" w:cs="Times New Roman"/>
        </w:rPr>
        <w:tab/>
        <w:t xml:space="preserve">Compagne, N.; Vieira Da Cruz, A.; Müller, R. T.; Hartkoorn, R. C.; Flipo, M.; Pos, K. M. Update on the Discovery of Efflux Pump Inhibitors against Critical Priority Gram-Negative Bacteria. </w:t>
      </w:r>
      <w:r w:rsidRPr="00A47835">
        <w:rPr>
          <w:rFonts w:ascii="Times New Roman" w:hAnsi="Times New Roman" w:cs="Times New Roman"/>
          <w:i/>
          <w:iCs/>
        </w:rPr>
        <w:t>Antibiotics</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(1), 180. https://doi.org/10.3390/antibiotics12010180.</w:t>
      </w:r>
    </w:p>
    <w:p w14:paraId="54E2651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(108)</w:t>
      </w:r>
      <w:r w:rsidRPr="00A47835">
        <w:rPr>
          <w:rFonts w:ascii="Times New Roman" w:hAnsi="Times New Roman" w:cs="Times New Roman"/>
        </w:rPr>
        <w:tab/>
        <w:t xml:space="preserve">Green, A. T.; Moniruzzaman, M.; Cooper, C. J.; Walker, J. K.; Smith, J. C.; Parks, J. M.; Zgurskaya, H. I. Discovery of Multidrug Efflux Pump Inhibitors with a Novel Chemical Scaffold. </w:t>
      </w:r>
      <w:r w:rsidRPr="00A47835">
        <w:rPr>
          <w:rFonts w:ascii="Times New Roman" w:hAnsi="Times New Roman" w:cs="Times New Roman"/>
          <w:i/>
          <w:iCs/>
        </w:rPr>
        <w:t>Biochim. Biophys. Acta Gen. Subj.</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1864</w:t>
      </w:r>
      <w:r w:rsidRPr="00A47835">
        <w:rPr>
          <w:rFonts w:ascii="Times New Roman" w:hAnsi="Times New Roman" w:cs="Times New Roman"/>
        </w:rPr>
        <w:t xml:space="preserve"> (6), 129546. https://doi.org/10.1016/j.bbagen.2020.129546.</w:t>
      </w:r>
    </w:p>
    <w:p w14:paraId="0C4DBD6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(109)</w:t>
      </w:r>
      <w:r w:rsidRPr="00A47835">
        <w:rPr>
          <w:rFonts w:ascii="Times New Roman" w:hAnsi="Times New Roman" w:cs="Times New Roman"/>
        </w:rPr>
        <w:tab/>
        <w:t xml:space="preserve">Abdali, N.; Parks, J. M.; Haynes, K. M.; Chaney, J. L.; Green, A. T.; Wolloscheck, D.; Walker, J. K.; Rybenkov, V. V.; Baudry, J.; Smith, J. C.; Zgurskaya, H. I. Reviving Antibiotics: Efflux Pump Inhibitors That Interact with AcrA, a Membrane Fusion Protein of the AcrAB-TolC Multidrug Efflux Pump. </w:t>
      </w:r>
      <w:r w:rsidRPr="00A47835">
        <w:rPr>
          <w:rFonts w:ascii="Times New Roman" w:hAnsi="Times New Roman" w:cs="Times New Roman"/>
          <w:i/>
          <w:iCs/>
        </w:rPr>
        <w:t>ACS Infect. Dis.</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3</w:t>
      </w:r>
      <w:r w:rsidRPr="00A47835">
        <w:rPr>
          <w:rFonts w:ascii="Times New Roman" w:hAnsi="Times New Roman" w:cs="Times New Roman"/>
        </w:rPr>
        <w:t xml:space="preserve"> (1), 89–98. https://doi.org/10.1021/acsinfecdis.6b00167.</w:t>
      </w:r>
    </w:p>
    <w:p w14:paraId="1D674D1E"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(110)</w:t>
      </w:r>
      <w:r w:rsidRPr="00A47835">
        <w:rPr>
          <w:rFonts w:ascii="Times New Roman" w:hAnsi="Times New Roman" w:cs="Times New Roman"/>
        </w:rPr>
        <w:tab/>
        <w:t xml:space="preserve">Grenier, F.; Matteau, D.; Baby, V.; Rodrigue, S. Complete Genome Sequence of Escherichia Coli BW25113. </w:t>
      </w:r>
      <w:r w:rsidRPr="00A47835">
        <w:rPr>
          <w:rFonts w:ascii="Times New Roman" w:hAnsi="Times New Roman" w:cs="Times New Roman"/>
          <w:i/>
          <w:iCs/>
        </w:rPr>
        <w:t>Genome Announc.</w:t>
      </w:r>
      <w:r w:rsidRPr="00A47835">
        <w:rPr>
          <w:rFonts w:ascii="Times New Roman" w:hAnsi="Times New Roman" w:cs="Times New Roman"/>
        </w:rPr>
        <w:t xml:space="preserve"> </w:t>
      </w:r>
      <w:r w:rsidRPr="00A47835">
        <w:rPr>
          <w:rFonts w:ascii="Times New Roman" w:hAnsi="Times New Roman" w:cs="Times New Roman"/>
          <w:b/>
          <w:bCs/>
        </w:rPr>
        <w:t>2014</w:t>
      </w:r>
      <w:r w:rsidRPr="00A47835">
        <w:rPr>
          <w:rFonts w:ascii="Times New Roman" w:hAnsi="Times New Roman" w:cs="Times New Roman"/>
        </w:rPr>
        <w:t xml:space="preserve">, </w:t>
      </w:r>
      <w:r w:rsidRPr="00A47835">
        <w:rPr>
          <w:rFonts w:ascii="Times New Roman" w:hAnsi="Times New Roman" w:cs="Times New Roman"/>
          <w:i/>
          <w:iCs/>
        </w:rPr>
        <w:t>2</w:t>
      </w:r>
      <w:r w:rsidRPr="00A47835">
        <w:rPr>
          <w:rFonts w:ascii="Times New Roman" w:hAnsi="Times New Roman" w:cs="Times New Roman"/>
        </w:rPr>
        <w:t xml:space="preserve"> (5), 10.1128/genomea.01038-14. https://doi.org/10.1128/genomea.01038-14.</w:t>
      </w:r>
    </w:p>
    <w:p w14:paraId="1F063CA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(111)</w:t>
      </w:r>
      <w:r w:rsidRPr="00A47835">
        <w:rPr>
          <w:rFonts w:ascii="Times New Roman" w:hAnsi="Times New Roman" w:cs="Times New Roman"/>
        </w:rPr>
        <w:tab/>
        <w:t xml:space="preserve">Taylor, R. G.; Walker, D. C.; McInnes, R. R. E. Coli Host Strains Significantly Affect the Quality of Small Scale Plasmid DNA Preparations Used for Sequencing. </w:t>
      </w:r>
      <w:r w:rsidRPr="00A47835">
        <w:rPr>
          <w:rFonts w:ascii="Times New Roman" w:hAnsi="Times New Roman" w:cs="Times New Roman"/>
          <w:i/>
          <w:iCs/>
        </w:rPr>
        <w:t>Nucleic Acids Res.</w:t>
      </w:r>
      <w:r w:rsidRPr="00A47835">
        <w:rPr>
          <w:rFonts w:ascii="Times New Roman" w:hAnsi="Times New Roman" w:cs="Times New Roman"/>
        </w:rPr>
        <w:t xml:space="preserve"> </w:t>
      </w:r>
      <w:r w:rsidRPr="00A47835">
        <w:rPr>
          <w:rFonts w:ascii="Times New Roman" w:hAnsi="Times New Roman" w:cs="Times New Roman"/>
          <w:b/>
          <w:bCs/>
        </w:rPr>
        <w:t>1993</w:t>
      </w:r>
      <w:r w:rsidRPr="00A47835">
        <w:rPr>
          <w:rFonts w:ascii="Times New Roman" w:hAnsi="Times New Roman" w:cs="Times New Roman"/>
        </w:rPr>
        <w:t xml:space="preserve">, </w:t>
      </w:r>
      <w:r w:rsidRPr="00A47835">
        <w:rPr>
          <w:rFonts w:ascii="Times New Roman" w:hAnsi="Times New Roman" w:cs="Times New Roman"/>
          <w:i/>
          <w:iCs/>
        </w:rPr>
        <w:t>21</w:t>
      </w:r>
      <w:r w:rsidRPr="00A47835">
        <w:rPr>
          <w:rFonts w:ascii="Times New Roman" w:hAnsi="Times New Roman" w:cs="Times New Roman"/>
        </w:rPr>
        <w:t xml:space="preserve"> (7), 1677–1678. https://doi.org/10.1093/nar/21.7.1677.</w:t>
      </w:r>
    </w:p>
    <w:p w14:paraId="4D52D5A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(112)</w:t>
      </w:r>
      <w:r w:rsidRPr="00A47835">
        <w:rPr>
          <w:rFonts w:ascii="Times New Roman" w:hAnsi="Times New Roman" w:cs="Times New Roman"/>
        </w:rPr>
        <w:tab/>
        <w:t xml:space="preserve">Simon, R.; Priefer, U.; Pühler, A. A Broad Host Range Mobilization System for In Vivo Genetic Engineering: Transposon Mutagenesis in Gram Negative Bacteria. </w:t>
      </w:r>
      <w:r w:rsidRPr="00A47835">
        <w:rPr>
          <w:rFonts w:ascii="Times New Roman" w:hAnsi="Times New Roman" w:cs="Times New Roman"/>
          <w:i/>
          <w:iCs/>
        </w:rPr>
        <w:t>Bio/Technology</w:t>
      </w:r>
      <w:r w:rsidRPr="00A47835">
        <w:rPr>
          <w:rFonts w:ascii="Times New Roman" w:hAnsi="Times New Roman" w:cs="Times New Roman"/>
        </w:rPr>
        <w:t xml:space="preserve"> </w:t>
      </w:r>
      <w:r w:rsidRPr="00A47835">
        <w:rPr>
          <w:rFonts w:ascii="Times New Roman" w:hAnsi="Times New Roman" w:cs="Times New Roman"/>
          <w:b/>
          <w:bCs/>
        </w:rPr>
        <w:t>1983</w:t>
      </w:r>
      <w:r w:rsidRPr="00A47835">
        <w:rPr>
          <w:rFonts w:ascii="Times New Roman" w:hAnsi="Times New Roman" w:cs="Times New Roman"/>
        </w:rPr>
        <w:t xml:space="preserve">, </w:t>
      </w:r>
      <w:r w:rsidRPr="00A47835">
        <w:rPr>
          <w:rFonts w:ascii="Times New Roman" w:hAnsi="Times New Roman" w:cs="Times New Roman"/>
          <w:i/>
          <w:iCs/>
        </w:rPr>
        <w:t>1</w:t>
      </w:r>
      <w:r w:rsidRPr="00A47835">
        <w:rPr>
          <w:rFonts w:ascii="Times New Roman" w:hAnsi="Times New Roman" w:cs="Times New Roman"/>
        </w:rPr>
        <w:t xml:space="preserve"> (9), 784–791. https://doi.org/10.1038/nbt1183-784.</w:t>
      </w:r>
    </w:p>
    <w:p w14:paraId="7DDC07F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(113)</w:t>
      </w:r>
      <w:r w:rsidRPr="00A47835">
        <w:rPr>
          <w:rFonts w:ascii="Times New Roman" w:hAnsi="Times New Roman" w:cs="Times New Roman"/>
        </w:rPr>
        <w:tab/>
        <w:t xml:space="preserve">Leus, I. V.; Olvera, M.; Adamiak, J. W.; Nguyen, L. L.; Zgurskaya, H. I. Acinetobacter Baumannii Survival under Infection-Associated Stresses Depends on the Expression of Resistance–Nodulation–Division and Major Facilitator Superfamily Efflux Pumps. </w:t>
      </w:r>
      <w:r w:rsidRPr="00A47835">
        <w:rPr>
          <w:rFonts w:ascii="Times New Roman" w:hAnsi="Times New Roman" w:cs="Times New Roman"/>
          <w:i/>
          <w:iCs/>
        </w:rPr>
        <w:t>Antibiotics</w:t>
      </w:r>
      <w:r w:rsidRPr="00A47835">
        <w:rPr>
          <w:rFonts w:ascii="Times New Roman" w:hAnsi="Times New Roman" w:cs="Times New Roman"/>
        </w:rPr>
        <w:t xml:space="preserve"> </w:t>
      </w:r>
      <w:r w:rsidRPr="00A47835">
        <w:rPr>
          <w:rFonts w:ascii="Times New Roman" w:hAnsi="Times New Roman" w:cs="Times New Roman"/>
          <w:b/>
          <w:bCs/>
        </w:rPr>
        <w:t>2024</w:t>
      </w:r>
      <w:r w:rsidRPr="00A47835">
        <w:rPr>
          <w:rFonts w:ascii="Times New Roman" w:hAnsi="Times New Roman" w:cs="Times New Roman"/>
        </w:rPr>
        <w:t xml:space="preserve">, </w:t>
      </w:r>
      <w:r w:rsidRPr="00A47835">
        <w:rPr>
          <w:rFonts w:ascii="Times New Roman" w:hAnsi="Times New Roman" w:cs="Times New Roman"/>
          <w:i/>
          <w:iCs/>
        </w:rPr>
        <w:t>13</w:t>
      </w:r>
      <w:r w:rsidRPr="00A47835">
        <w:rPr>
          <w:rFonts w:ascii="Times New Roman" w:hAnsi="Times New Roman" w:cs="Times New Roman"/>
        </w:rPr>
        <w:t xml:space="preserve"> (1), 7. https://doi.org/10.3390/antibiotics13010007.</w:t>
      </w:r>
    </w:p>
    <w:p w14:paraId="7D2B735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(114)</w:t>
      </w:r>
      <w:r w:rsidRPr="00A47835">
        <w:rPr>
          <w:rFonts w:ascii="Times New Roman" w:hAnsi="Times New Roman" w:cs="Times New Roman"/>
        </w:rPr>
        <w:tab/>
        <w:t xml:space="preserve">Kyriakidis, I.; Vasileiou, E.; Pana, Z. D.; Tragiannidis, A. Acinetobacter Baumannii Antibiotic Resistance Mechanisms. </w:t>
      </w:r>
      <w:r w:rsidRPr="00A47835">
        <w:rPr>
          <w:rFonts w:ascii="Times New Roman" w:hAnsi="Times New Roman" w:cs="Times New Roman"/>
          <w:i/>
          <w:iCs/>
        </w:rPr>
        <w:t>Pathogens</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(3), 373. https://doi.org/10.3390/pathogens10030373.</w:t>
      </w:r>
    </w:p>
    <w:p w14:paraId="06F3AE6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(115)</w:t>
      </w:r>
      <w:r w:rsidRPr="00A47835">
        <w:rPr>
          <w:rFonts w:ascii="Times New Roman" w:hAnsi="Times New Roman" w:cs="Times New Roman"/>
        </w:rPr>
        <w:tab/>
        <w:t xml:space="preserve">Houang, E. T.; Sormunen, R. T.; Lai, L.; Chan, C. Y.; Leong, A. S. Effect of Desiccation on the Ultrastructural Appearances of Acinetobacter Baumannii and Acinetobacter Lwoffii. </w:t>
      </w:r>
      <w:r w:rsidRPr="00A47835">
        <w:rPr>
          <w:rFonts w:ascii="Times New Roman" w:hAnsi="Times New Roman" w:cs="Times New Roman"/>
          <w:i/>
          <w:iCs/>
        </w:rPr>
        <w:t>J. Clin. Pathol.</w:t>
      </w:r>
      <w:r w:rsidRPr="00A47835">
        <w:rPr>
          <w:rFonts w:ascii="Times New Roman" w:hAnsi="Times New Roman" w:cs="Times New Roman"/>
        </w:rPr>
        <w:t xml:space="preserve"> </w:t>
      </w:r>
      <w:r w:rsidRPr="00A47835">
        <w:rPr>
          <w:rFonts w:ascii="Times New Roman" w:hAnsi="Times New Roman" w:cs="Times New Roman"/>
          <w:b/>
          <w:bCs/>
        </w:rPr>
        <w:t>1998</w:t>
      </w:r>
      <w:r w:rsidRPr="00A47835">
        <w:rPr>
          <w:rFonts w:ascii="Times New Roman" w:hAnsi="Times New Roman" w:cs="Times New Roman"/>
        </w:rPr>
        <w:t xml:space="preserve">, </w:t>
      </w:r>
      <w:r w:rsidRPr="00A47835">
        <w:rPr>
          <w:rFonts w:ascii="Times New Roman" w:hAnsi="Times New Roman" w:cs="Times New Roman"/>
          <w:i/>
          <w:iCs/>
        </w:rPr>
        <w:t>51</w:t>
      </w:r>
      <w:r w:rsidRPr="00A47835">
        <w:rPr>
          <w:rFonts w:ascii="Times New Roman" w:hAnsi="Times New Roman" w:cs="Times New Roman"/>
        </w:rPr>
        <w:t xml:space="preserve"> (10), 786–788. https://doi.org/10.1136/jcp.51.10.786.</w:t>
      </w:r>
    </w:p>
    <w:p w14:paraId="4D75DC3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(116)</w:t>
      </w:r>
      <w:r w:rsidRPr="00A47835">
        <w:rPr>
          <w:rFonts w:ascii="Times New Roman" w:hAnsi="Times New Roman" w:cs="Times New Roman"/>
        </w:rPr>
        <w:tab/>
        <w:t xml:space="preserve">Jacobs, A. C.; Thompson, M. G.; Black, C. C.; Kessler, J. L.; Clark, L. P.; McQueary, C. N.; Gancz, H. Y.; Corey, B. W.; Moon, J. K.; Si, Y.; Owen, M. T.; Hallock, J. D.; Kwak, Y. I.; Summers, A.; Li, C. Z.; Rasko, D. A.; Penwell, W. F.; Honnold, C. L.; Wise, M. C.; </w:t>
      </w:r>
      <w:r w:rsidRPr="00A47835">
        <w:rPr>
          <w:rFonts w:ascii="Times New Roman" w:hAnsi="Times New Roman" w:cs="Times New Roman"/>
        </w:rPr>
        <w:lastRenderedPageBreak/>
        <w:t xml:space="preserve">Waterman, P. E.; Lesho, E. P.; Stewart, R. L.; Actis, L. A.; Palys, T. J.; Craft, D. W.; Zurawski, D. V. AB5075, a Highly Virulent Isolate of Acinetobacter Baumannii, as a Model Strain for the Evaluation of Pathogenesis and Antimicrobial Treatments.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2014</w:t>
      </w:r>
      <w:r w:rsidRPr="00A47835">
        <w:rPr>
          <w:rFonts w:ascii="Times New Roman" w:hAnsi="Times New Roman" w:cs="Times New Roman"/>
        </w:rPr>
        <w:t xml:space="preserve">, </w:t>
      </w:r>
      <w:r w:rsidRPr="00A47835">
        <w:rPr>
          <w:rFonts w:ascii="Times New Roman" w:hAnsi="Times New Roman" w:cs="Times New Roman"/>
          <w:i/>
          <w:iCs/>
        </w:rPr>
        <w:t>5</w:t>
      </w:r>
      <w:r w:rsidRPr="00A47835">
        <w:rPr>
          <w:rFonts w:ascii="Times New Roman" w:hAnsi="Times New Roman" w:cs="Times New Roman"/>
        </w:rPr>
        <w:t xml:space="preserve"> (3), 10.1128/mbio.01076-14. https://doi.org/10.1128/mbio.01076-14.</w:t>
      </w:r>
    </w:p>
    <w:p w14:paraId="3D8DF21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(117)</w:t>
      </w:r>
      <w:r w:rsidRPr="00A47835">
        <w:rPr>
          <w:rFonts w:ascii="Times New Roman" w:hAnsi="Times New Roman" w:cs="Times New Roman"/>
        </w:rPr>
        <w:tab/>
        <w:t xml:space="preserve">Krishnamoorthy, G.; Wolloscheck, D.; Weeks, J. W.; Croft, C.; Rybenkov, V. V.; Zgurskaya, H. I. Breaking the Permeability Barrier of Escherichia Coli by Controlled Hyperporination of the Outer Membrane.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60</w:t>
      </w:r>
      <w:r w:rsidRPr="00A47835">
        <w:rPr>
          <w:rFonts w:ascii="Times New Roman" w:hAnsi="Times New Roman" w:cs="Times New Roman"/>
        </w:rPr>
        <w:t xml:space="preserve"> (12), 7372–7381. https://doi.org/10.1128/AAC.01882-16.</w:t>
      </w:r>
    </w:p>
    <w:p w14:paraId="098C1F9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(118)</w:t>
      </w:r>
      <w:r w:rsidRPr="00A47835">
        <w:rPr>
          <w:rFonts w:ascii="Times New Roman" w:hAnsi="Times New Roman" w:cs="Times New Roman"/>
        </w:rPr>
        <w:tab/>
        <w:t xml:space="preserve">Ram, Y.; Dellus-Gur, E.; Bibi, M.; Karkare, K.; Obolski, U.; Feldman, M. W.; Cooper, T. F.; Berman, J.; Hadany, L. Predicting Microbial Growth in a Mixed Culture from Growth Curve Data. </w:t>
      </w:r>
      <w:r w:rsidRPr="00A47835">
        <w:rPr>
          <w:rFonts w:ascii="Times New Roman" w:hAnsi="Times New Roman" w:cs="Times New Roman"/>
          <w:i/>
          <w:iCs/>
        </w:rPr>
        <w:t>Proc. Natl. Acad. Sci. U. S. A.</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116</w:t>
      </w:r>
      <w:r w:rsidRPr="00A47835">
        <w:rPr>
          <w:rFonts w:ascii="Times New Roman" w:hAnsi="Times New Roman" w:cs="Times New Roman"/>
        </w:rPr>
        <w:t xml:space="preserve"> (29), 14698–14707. https://doi.org/10.1073/pnas.1902217116.</w:t>
      </w:r>
    </w:p>
    <w:p w14:paraId="5FA58EA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(119)</w:t>
      </w:r>
      <w:r w:rsidRPr="00A47835">
        <w:rPr>
          <w:rFonts w:ascii="Times New Roman" w:hAnsi="Times New Roman" w:cs="Times New Roman"/>
        </w:rPr>
        <w:tab/>
        <w:t xml:space="preserve">Sprouffske, K.; Wagner, A. Growthcurver: An R Package for Obtaining Interpretable Metrics from Microbial Growth Curves. </w:t>
      </w:r>
      <w:r w:rsidRPr="00A47835">
        <w:rPr>
          <w:rFonts w:ascii="Times New Roman" w:hAnsi="Times New Roman" w:cs="Times New Roman"/>
          <w:i/>
          <w:iCs/>
        </w:rPr>
        <w:t>BMC Bioinformatics</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17</w:t>
      </w:r>
      <w:r w:rsidRPr="00A47835">
        <w:rPr>
          <w:rFonts w:ascii="Times New Roman" w:hAnsi="Times New Roman" w:cs="Times New Roman"/>
        </w:rPr>
        <w:t>, 172. https://doi.org/10.1186/s12859-016-1016-7.</w:t>
      </w:r>
    </w:p>
    <w:p w14:paraId="6D5F1EA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(120)</w:t>
      </w:r>
      <w:r w:rsidRPr="00A47835">
        <w:rPr>
          <w:rFonts w:ascii="Times New Roman" w:hAnsi="Times New Roman" w:cs="Times New Roman"/>
        </w:rPr>
        <w:tab/>
        <w:t xml:space="preserve">Leus, I. V.; Adamiak, J.; Chandar, B.; Bonifay, V.; Zhao, S.; Walker, S. S.; Squadroni, B.; Balibar, C. J.; Kinarivala, N.; Standke, L. C.; Voss, H. U.; Tan, D. S.; Rybenkov, V. V.; Zgurskaya, H. I. Functional Diversity of Gram-Negative Permeability Barriers Reflected in Antibacterial Activities and Intracellular Accumulation of Antibiotics.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67</w:t>
      </w:r>
      <w:r w:rsidRPr="00A47835">
        <w:rPr>
          <w:rFonts w:ascii="Times New Roman" w:hAnsi="Times New Roman" w:cs="Times New Roman"/>
        </w:rPr>
        <w:t xml:space="preserve"> (2), e0137722. https://doi.org/10.1128/aac.01377-22.</w:t>
      </w:r>
    </w:p>
    <w:p w14:paraId="752788B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(121)</w:t>
      </w:r>
      <w:r w:rsidRPr="00A47835">
        <w:rPr>
          <w:rFonts w:ascii="Times New Roman" w:hAnsi="Times New Roman" w:cs="Times New Roman"/>
        </w:rPr>
        <w:tab/>
        <w:t xml:space="preserve">Koronakis, V.; Li, J.; Koronakis, E.; Stauffer, K. Structure of TolC, the Outer Membrane Component of the Bacterial Type I Efflux System, Derived from Two-Dimensional Crystals. </w:t>
      </w:r>
      <w:r w:rsidRPr="00A47835">
        <w:rPr>
          <w:rFonts w:ascii="Times New Roman" w:hAnsi="Times New Roman" w:cs="Times New Roman"/>
          <w:i/>
          <w:iCs/>
        </w:rPr>
        <w:t>Mol. Microbiol.</w:t>
      </w:r>
      <w:r w:rsidRPr="00A47835">
        <w:rPr>
          <w:rFonts w:ascii="Times New Roman" w:hAnsi="Times New Roman" w:cs="Times New Roman"/>
        </w:rPr>
        <w:t xml:space="preserve"> </w:t>
      </w:r>
      <w:r w:rsidRPr="00A47835">
        <w:rPr>
          <w:rFonts w:ascii="Times New Roman" w:hAnsi="Times New Roman" w:cs="Times New Roman"/>
          <w:b/>
          <w:bCs/>
        </w:rPr>
        <w:t>1997</w:t>
      </w:r>
      <w:r w:rsidRPr="00A47835">
        <w:rPr>
          <w:rFonts w:ascii="Times New Roman" w:hAnsi="Times New Roman" w:cs="Times New Roman"/>
        </w:rPr>
        <w:t xml:space="preserve">, </w:t>
      </w:r>
      <w:r w:rsidRPr="00A47835">
        <w:rPr>
          <w:rFonts w:ascii="Times New Roman" w:hAnsi="Times New Roman" w:cs="Times New Roman"/>
          <w:i/>
          <w:iCs/>
        </w:rPr>
        <w:t>23</w:t>
      </w:r>
      <w:r w:rsidRPr="00A47835">
        <w:rPr>
          <w:rFonts w:ascii="Times New Roman" w:hAnsi="Times New Roman" w:cs="Times New Roman"/>
        </w:rPr>
        <w:t xml:space="preserve"> (3), 617–626. https://doi.org/10.1046/j.1365-2958.1997.d01-1880.x.</w:t>
      </w:r>
    </w:p>
    <w:p w14:paraId="08B3C5B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(122)</w:t>
      </w:r>
      <w:r w:rsidRPr="00A47835">
        <w:rPr>
          <w:rFonts w:ascii="Times New Roman" w:hAnsi="Times New Roman" w:cs="Times New Roman"/>
        </w:rPr>
        <w:tab/>
        <w:t xml:space="preserve">Westfall, D. A.; Krishnamoorthy, G.; Wolloscheck, D.; Sarkar, R.; Zgurskaya, H. I.; Rybenkov, V. V. Bifurcation Kinetics of Drug Uptake by Gram-Negative Bacteria. </w:t>
      </w:r>
      <w:r w:rsidRPr="00A47835">
        <w:rPr>
          <w:rFonts w:ascii="Times New Roman" w:hAnsi="Times New Roman" w:cs="Times New Roman"/>
          <w:i/>
          <w:iCs/>
        </w:rPr>
        <w:t>PLoS ONE</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(9). https://doi.org/10.1371/journal.pone.0184671.</w:t>
      </w:r>
    </w:p>
    <w:p w14:paraId="73B5E2F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(123)</w:t>
      </w:r>
      <w:r w:rsidRPr="00A47835">
        <w:rPr>
          <w:rFonts w:ascii="Times New Roman" w:hAnsi="Times New Roman" w:cs="Times New Roman"/>
        </w:rPr>
        <w:tab/>
        <w:t xml:space="preserve">Yang, J.; Yan, R.; Roy, A.; Xu, D.; Poisson, J.; Zhang, Y. The I-TASSER Suite: Protein Structure and Function Prediction. </w:t>
      </w:r>
      <w:r w:rsidRPr="00A47835">
        <w:rPr>
          <w:rFonts w:ascii="Times New Roman" w:hAnsi="Times New Roman" w:cs="Times New Roman"/>
          <w:i/>
          <w:iCs/>
        </w:rPr>
        <w:t>Nat. Methods</w:t>
      </w:r>
      <w:r w:rsidRPr="00A47835">
        <w:rPr>
          <w:rFonts w:ascii="Times New Roman" w:hAnsi="Times New Roman" w:cs="Times New Roman"/>
        </w:rPr>
        <w:t xml:space="preserve"> </w:t>
      </w:r>
      <w:r w:rsidRPr="00A47835">
        <w:rPr>
          <w:rFonts w:ascii="Times New Roman" w:hAnsi="Times New Roman" w:cs="Times New Roman"/>
          <w:b/>
          <w:bCs/>
        </w:rPr>
        <w:t>2015</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(1), 7–8. https://doi.org/10.1038/nmeth.3213.</w:t>
      </w:r>
    </w:p>
    <w:p w14:paraId="23D0E88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(124)</w:t>
      </w:r>
      <w:r w:rsidRPr="00A47835">
        <w:rPr>
          <w:rFonts w:ascii="Times New Roman" w:hAnsi="Times New Roman" w:cs="Times New Roman"/>
        </w:rPr>
        <w:tab/>
        <w:t xml:space="preserve">Roy, A.; Kucukural, A.; Zhang, Y. I-TASSER: A Unified Platform for Automated Protein Structure and Function Prediction. </w:t>
      </w:r>
      <w:r w:rsidRPr="00A47835">
        <w:rPr>
          <w:rFonts w:ascii="Times New Roman" w:hAnsi="Times New Roman" w:cs="Times New Roman"/>
          <w:i/>
          <w:iCs/>
        </w:rPr>
        <w:t>Nat. Protoc.</w:t>
      </w:r>
      <w:r w:rsidRPr="00A47835">
        <w:rPr>
          <w:rFonts w:ascii="Times New Roman" w:hAnsi="Times New Roman" w:cs="Times New Roman"/>
        </w:rPr>
        <w:t xml:space="preserve"> </w:t>
      </w:r>
      <w:r w:rsidRPr="00A47835">
        <w:rPr>
          <w:rFonts w:ascii="Times New Roman" w:hAnsi="Times New Roman" w:cs="Times New Roman"/>
          <w:b/>
          <w:bCs/>
        </w:rPr>
        <w:t>2010</w:t>
      </w:r>
      <w:r w:rsidRPr="00A47835">
        <w:rPr>
          <w:rFonts w:ascii="Times New Roman" w:hAnsi="Times New Roman" w:cs="Times New Roman"/>
        </w:rPr>
        <w:t xml:space="preserve">, </w:t>
      </w:r>
      <w:r w:rsidRPr="00A47835">
        <w:rPr>
          <w:rFonts w:ascii="Times New Roman" w:hAnsi="Times New Roman" w:cs="Times New Roman"/>
          <w:i/>
          <w:iCs/>
        </w:rPr>
        <w:t>5</w:t>
      </w:r>
      <w:r w:rsidRPr="00A47835">
        <w:rPr>
          <w:rFonts w:ascii="Times New Roman" w:hAnsi="Times New Roman" w:cs="Times New Roman"/>
        </w:rPr>
        <w:t xml:space="preserve"> (4), 725–738. https://doi.org/10.1038/nprot.2010.5.</w:t>
      </w:r>
    </w:p>
    <w:p w14:paraId="2074A7D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(125)</w:t>
      </w:r>
      <w:r w:rsidRPr="00A47835">
        <w:rPr>
          <w:rFonts w:ascii="Times New Roman" w:hAnsi="Times New Roman" w:cs="Times New Roman"/>
        </w:rPr>
        <w:tab/>
        <w:t xml:space="preserve">Zhang, Y. I-TASSER Server for Protein 3D Structure Prediction. </w:t>
      </w:r>
      <w:r w:rsidRPr="00A47835">
        <w:rPr>
          <w:rFonts w:ascii="Times New Roman" w:hAnsi="Times New Roman" w:cs="Times New Roman"/>
          <w:i/>
          <w:iCs/>
        </w:rPr>
        <w:t>BMC Bioinformatics</w:t>
      </w:r>
      <w:r w:rsidRPr="00A47835">
        <w:rPr>
          <w:rFonts w:ascii="Times New Roman" w:hAnsi="Times New Roman" w:cs="Times New Roman"/>
        </w:rPr>
        <w:t xml:space="preserve"> </w:t>
      </w:r>
      <w:r w:rsidRPr="00A47835">
        <w:rPr>
          <w:rFonts w:ascii="Times New Roman" w:hAnsi="Times New Roman" w:cs="Times New Roman"/>
          <w:b/>
          <w:bCs/>
        </w:rPr>
        <w:t>2008</w:t>
      </w:r>
      <w:r w:rsidRPr="00A47835">
        <w:rPr>
          <w:rFonts w:ascii="Times New Roman" w:hAnsi="Times New Roman" w:cs="Times New Roman"/>
        </w:rPr>
        <w:t xml:space="preserve">, </w:t>
      </w:r>
      <w:r w:rsidRPr="00A47835">
        <w:rPr>
          <w:rFonts w:ascii="Times New Roman" w:hAnsi="Times New Roman" w:cs="Times New Roman"/>
          <w:i/>
          <w:iCs/>
        </w:rPr>
        <w:t>9</w:t>
      </w:r>
      <w:r w:rsidRPr="00A47835">
        <w:rPr>
          <w:rFonts w:ascii="Times New Roman" w:hAnsi="Times New Roman" w:cs="Times New Roman"/>
        </w:rPr>
        <w:t xml:space="preserve"> (1), 40. https://doi.org/10.1186/1471-2105-9-40.</w:t>
      </w:r>
    </w:p>
    <w:p w14:paraId="3658543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(126)</w:t>
      </w:r>
      <w:r w:rsidRPr="00A47835">
        <w:rPr>
          <w:rFonts w:ascii="Times New Roman" w:hAnsi="Times New Roman" w:cs="Times New Roman"/>
        </w:rPr>
        <w:tab/>
        <w:t xml:space="preserve">Rice, L. B. Federal Funding for the Study of Antimicrobial Resistance in Nosocomial Pathogens: No ESKAPE. </w:t>
      </w:r>
      <w:r w:rsidRPr="00A47835">
        <w:rPr>
          <w:rFonts w:ascii="Times New Roman" w:hAnsi="Times New Roman" w:cs="Times New Roman"/>
          <w:i/>
          <w:iCs/>
        </w:rPr>
        <w:t>J. Infect. Dis.</w:t>
      </w:r>
      <w:r w:rsidRPr="00A47835">
        <w:rPr>
          <w:rFonts w:ascii="Times New Roman" w:hAnsi="Times New Roman" w:cs="Times New Roman"/>
        </w:rPr>
        <w:t xml:space="preserve"> </w:t>
      </w:r>
      <w:r w:rsidRPr="00A47835">
        <w:rPr>
          <w:rFonts w:ascii="Times New Roman" w:hAnsi="Times New Roman" w:cs="Times New Roman"/>
          <w:b/>
          <w:bCs/>
        </w:rPr>
        <w:t>2008</w:t>
      </w:r>
      <w:r w:rsidRPr="00A47835">
        <w:rPr>
          <w:rFonts w:ascii="Times New Roman" w:hAnsi="Times New Roman" w:cs="Times New Roman"/>
        </w:rPr>
        <w:t xml:space="preserve">, </w:t>
      </w:r>
      <w:r w:rsidRPr="00A47835">
        <w:rPr>
          <w:rFonts w:ascii="Times New Roman" w:hAnsi="Times New Roman" w:cs="Times New Roman"/>
          <w:i/>
          <w:iCs/>
        </w:rPr>
        <w:t>197</w:t>
      </w:r>
      <w:r w:rsidRPr="00A47835">
        <w:rPr>
          <w:rFonts w:ascii="Times New Roman" w:hAnsi="Times New Roman" w:cs="Times New Roman"/>
        </w:rPr>
        <w:t xml:space="preserve"> (8), 1079–1081. https://doi.org/10.1086/533452.</w:t>
      </w:r>
    </w:p>
    <w:p w14:paraId="75A3FC7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(127)</w:t>
      </w:r>
      <w:r w:rsidRPr="00A47835">
        <w:rPr>
          <w:rFonts w:ascii="Times New Roman" w:hAnsi="Times New Roman" w:cs="Times New Roman"/>
        </w:rPr>
        <w:tab/>
        <w:t xml:space="preserve">Pendleton, J. N.; Gorman, S. P.; Gilmore, B. F. Clinical Relevance of the ESKAPE Pathogens. </w:t>
      </w:r>
      <w:r w:rsidRPr="00A47835">
        <w:rPr>
          <w:rFonts w:ascii="Times New Roman" w:hAnsi="Times New Roman" w:cs="Times New Roman"/>
          <w:i/>
          <w:iCs/>
        </w:rPr>
        <w:t>Expert Rev. Anti Infect. Ther.</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11</w:t>
      </w:r>
      <w:r w:rsidRPr="00A47835">
        <w:rPr>
          <w:rFonts w:ascii="Times New Roman" w:hAnsi="Times New Roman" w:cs="Times New Roman"/>
        </w:rPr>
        <w:t xml:space="preserve"> (3), 297–308. https://doi.org/10.1586/eri.13.12.</w:t>
      </w:r>
    </w:p>
    <w:p w14:paraId="2F19B22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(128)</w:t>
      </w:r>
      <w:r w:rsidRPr="00A47835">
        <w:rPr>
          <w:rFonts w:ascii="Times New Roman" w:hAnsi="Times New Roman" w:cs="Times New Roman"/>
        </w:rPr>
        <w:tab/>
        <w:t xml:space="preserve">De Oliveira, D. M. P.; Forde, B. M.; Kidd, T. J.; Harris, P. N. A.; Schembri, M. A.; Beatson, S. A.; Paterson, D. L.; Walker, M. J. Antimicrobial Resistance in ESKAPE Pathogens. </w:t>
      </w:r>
      <w:r w:rsidRPr="00A47835">
        <w:rPr>
          <w:rFonts w:ascii="Times New Roman" w:hAnsi="Times New Roman" w:cs="Times New Roman"/>
          <w:i/>
          <w:iCs/>
        </w:rPr>
        <w:t>Clin. Microbiol. Rev.</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33</w:t>
      </w:r>
      <w:r w:rsidRPr="00A47835">
        <w:rPr>
          <w:rFonts w:ascii="Times New Roman" w:hAnsi="Times New Roman" w:cs="Times New Roman"/>
        </w:rPr>
        <w:t xml:space="preserve"> (3), e00181-19. https://doi.org/10.1128/CMR.00181-19.</w:t>
      </w:r>
    </w:p>
    <w:p w14:paraId="07D385B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(129)</w:t>
      </w:r>
      <w:r w:rsidRPr="00A47835">
        <w:rPr>
          <w:rFonts w:ascii="Times New Roman" w:hAnsi="Times New Roman" w:cs="Times New Roman"/>
        </w:rPr>
        <w:tab/>
        <w:t xml:space="preserve">Kornelsen, V.; Kumar, A. Update on Multidrug Resistance Efflux Pumps in Acinetobacter Spp.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65</w:t>
      </w:r>
      <w:r w:rsidRPr="00A47835">
        <w:rPr>
          <w:rFonts w:ascii="Times New Roman" w:hAnsi="Times New Roman" w:cs="Times New Roman"/>
        </w:rPr>
        <w:t xml:space="preserve"> (7), e00514-21. https://doi.org/10.1128/AAC.00514-21.</w:t>
      </w:r>
    </w:p>
    <w:p w14:paraId="58BD7C4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(130)</w:t>
      </w:r>
      <w:r w:rsidRPr="00A47835">
        <w:rPr>
          <w:rFonts w:ascii="Times New Roman" w:hAnsi="Times New Roman" w:cs="Times New Roman"/>
        </w:rPr>
        <w:tab/>
        <w:t xml:space="preserve">Geisinger, E.; Huo, W.; Hernandez-Bird, J.; Isberg, R. R. Acinetobacter Baumannii: Envelope Determinants That Control Drug Resistance, Virulence, and Surface Variability. </w:t>
      </w:r>
      <w:r w:rsidRPr="00A47835">
        <w:rPr>
          <w:rFonts w:ascii="Times New Roman" w:hAnsi="Times New Roman" w:cs="Times New Roman"/>
          <w:i/>
          <w:iCs/>
        </w:rPr>
        <w:lastRenderedPageBreak/>
        <w:t>Annu. Rev. Microbiol.</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73</w:t>
      </w:r>
      <w:r w:rsidRPr="00A47835">
        <w:rPr>
          <w:rFonts w:ascii="Times New Roman" w:hAnsi="Times New Roman" w:cs="Times New Roman"/>
        </w:rPr>
        <w:t>, 481–506. https://doi.org/10.1146/annurev-micro-020518-115714.</w:t>
      </w:r>
    </w:p>
    <w:p w14:paraId="7855452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(131)</w:t>
      </w:r>
      <w:r w:rsidRPr="00A47835">
        <w:rPr>
          <w:rFonts w:ascii="Times New Roman" w:hAnsi="Times New Roman" w:cs="Times New Roman"/>
        </w:rPr>
        <w:tab/>
        <w:t xml:space="preserve">Yoon, E.-J.; Courvalin, P.; Grillot-Courvalin, C. RND-Type Efflux Pumps in Multidrug-Resistant Clinical Isolates of Acinetobacter Baumannii: Major Role for AdeABC Overexpression and AdeRS Mutations.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57</w:t>
      </w:r>
      <w:r w:rsidRPr="00A47835">
        <w:rPr>
          <w:rFonts w:ascii="Times New Roman" w:hAnsi="Times New Roman" w:cs="Times New Roman"/>
        </w:rPr>
        <w:t xml:space="preserve"> (7), 2989–2995. https://doi.org/10.1128/AAC.02556-12.</w:t>
      </w:r>
    </w:p>
    <w:p w14:paraId="7A4A93B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(132)</w:t>
      </w:r>
      <w:r w:rsidRPr="00A47835">
        <w:rPr>
          <w:rFonts w:ascii="Times New Roman" w:hAnsi="Times New Roman" w:cs="Times New Roman"/>
        </w:rPr>
        <w:tab/>
        <w:t xml:space="preserve">Lin, M.-F.; Lin, Y.-Y.; Lan, C.-Y. Contribution of EmrAB Efflux Pumps to Colistin Resistance in Acinetobacter Baumannii. </w:t>
      </w:r>
      <w:r w:rsidRPr="00A47835">
        <w:rPr>
          <w:rFonts w:ascii="Times New Roman" w:hAnsi="Times New Roman" w:cs="Times New Roman"/>
          <w:i/>
          <w:iCs/>
        </w:rPr>
        <w:t>J. Microbiol. Seoul Korea</w:t>
      </w:r>
      <w:r w:rsidRPr="00A47835">
        <w:rPr>
          <w:rFonts w:ascii="Times New Roman" w:hAnsi="Times New Roman" w:cs="Times New Roman"/>
        </w:rPr>
        <w:t xml:space="preserve"> </w:t>
      </w:r>
      <w:r w:rsidRPr="00A47835">
        <w:rPr>
          <w:rFonts w:ascii="Times New Roman" w:hAnsi="Times New Roman" w:cs="Times New Roman"/>
          <w:b/>
          <w:bCs/>
        </w:rPr>
        <w:t>2017</w:t>
      </w:r>
      <w:r w:rsidRPr="00A47835">
        <w:rPr>
          <w:rFonts w:ascii="Times New Roman" w:hAnsi="Times New Roman" w:cs="Times New Roman"/>
        </w:rPr>
        <w:t xml:space="preserve">, </w:t>
      </w:r>
      <w:r w:rsidRPr="00A47835">
        <w:rPr>
          <w:rFonts w:ascii="Times New Roman" w:hAnsi="Times New Roman" w:cs="Times New Roman"/>
          <w:i/>
          <w:iCs/>
        </w:rPr>
        <w:t>55</w:t>
      </w:r>
      <w:r w:rsidRPr="00A47835">
        <w:rPr>
          <w:rFonts w:ascii="Times New Roman" w:hAnsi="Times New Roman" w:cs="Times New Roman"/>
        </w:rPr>
        <w:t xml:space="preserve"> (2), 130–136. https://doi.org/10.1007/s12275-017-6408-5.</w:t>
      </w:r>
    </w:p>
    <w:p w14:paraId="1A12270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(133)</w:t>
      </w:r>
      <w:r w:rsidRPr="00A47835">
        <w:rPr>
          <w:rFonts w:ascii="Times New Roman" w:hAnsi="Times New Roman" w:cs="Times New Roman"/>
        </w:rPr>
        <w:tab/>
        <w:t xml:space="preserve">Moreno-Hagelsieb, G.; Collado-Vides, J. A Powerful Non-Homology Method for the Prediction of Operons in Prokaryotes. </w:t>
      </w:r>
      <w:r w:rsidRPr="00A47835">
        <w:rPr>
          <w:rFonts w:ascii="Times New Roman" w:hAnsi="Times New Roman" w:cs="Times New Roman"/>
          <w:i/>
          <w:iCs/>
        </w:rPr>
        <w:t>Bioinforma. Oxf. Engl.</w:t>
      </w:r>
      <w:r w:rsidRPr="00A47835">
        <w:rPr>
          <w:rFonts w:ascii="Times New Roman" w:hAnsi="Times New Roman" w:cs="Times New Roman"/>
        </w:rPr>
        <w:t xml:space="preserve"> </w:t>
      </w:r>
      <w:r w:rsidRPr="00A47835">
        <w:rPr>
          <w:rFonts w:ascii="Times New Roman" w:hAnsi="Times New Roman" w:cs="Times New Roman"/>
          <w:b/>
          <w:bCs/>
        </w:rPr>
        <w:t>2002</w:t>
      </w:r>
      <w:r w:rsidRPr="00A47835">
        <w:rPr>
          <w:rFonts w:ascii="Times New Roman" w:hAnsi="Times New Roman" w:cs="Times New Roman"/>
        </w:rPr>
        <w:t xml:space="preserve">, </w:t>
      </w:r>
      <w:r w:rsidRPr="00A47835">
        <w:rPr>
          <w:rFonts w:ascii="Times New Roman" w:hAnsi="Times New Roman" w:cs="Times New Roman"/>
          <w:i/>
          <w:iCs/>
        </w:rPr>
        <w:t>18 Suppl 1</w:t>
      </w:r>
      <w:r w:rsidRPr="00A47835">
        <w:rPr>
          <w:rFonts w:ascii="Times New Roman" w:hAnsi="Times New Roman" w:cs="Times New Roman"/>
        </w:rPr>
        <w:t>, S329-336. https://doi.org/10.1093/bioinformatics/18.suppl_1.s329.</w:t>
      </w:r>
    </w:p>
    <w:p w14:paraId="456F228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(134)</w:t>
      </w:r>
      <w:r w:rsidRPr="00A47835">
        <w:rPr>
          <w:rFonts w:ascii="Times New Roman" w:hAnsi="Times New Roman" w:cs="Times New Roman"/>
        </w:rPr>
        <w:tab/>
      </w:r>
      <w:r w:rsidRPr="00A47835">
        <w:rPr>
          <w:rFonts w:ascii="Times New Roman" w:hAnsi="Times New Roman" w:cs="Times New Roman"/>
          <w:i/>
          <w:iCs/>
        </w:rPr>
        <w:t>tolC - Outer membrane protein TolC - Escherichia coli (strain K12) | UniProtKB | UniProt</w:t>
      </w:r>
      <w:r w:rsidRPr="00A47835">
        <w:rPr>
          <w:rFonts w:ascii="Times New Roman" w:hAnsi="Times New Roman" w:cs="Times New Roman"/>
        </w:rPr>
        <w:t>. https://www.uniprot.org/uniprotkb/P02930/entry#sequences (accessed 2023-11-23).</w:t>
      </w:r>
    </w:p>
    <w:p w14:paraId="538BCA9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(135)</w:t>
      </w:r>
      <w:r w:rsidRPr="00A47835">
        <w:rPr>
          <w:rFonts w:ascii="Times New Roman" w:hAnsi="Times New Roman" w:cs="Times New Roman"/>
        </w:rPr>
        <w:tab/>
        <w:t xml:space="preserve">Buroni, S.; Pasca, M. R.; Flannagan, R. S.; Bazzini, S.; Milano, A.; Bertani, I.; Venturi, V.; Valvano, M. A.; Riccardi, G. Assessment of Three Resistance-Nodulation-Cell Division Drug Efflux Transporters of Burkholderia Cenocepacia in Intrinsic Antibiotic Resistance. </w:t>
      </w:r>
      <w:r w:rsidRPr="00A47835">
        <w:rPr>
          <w:rFonts w:ascii="Times New Roman" w:hAnsi="Times New Roman" w:cs="Times New Roman"/>
          <w:i/>
          <w:iCs/>
        </w:rPr>
        <w:t>BMC Microbiol.</w:t>
      </w:r>
      <w:r w:rsidRPr="00A47835">
        <w:rPr>
          <w:rFonts w:ascii="Times New Roman" w:hAnsi="Times New Roman" w:cs="Times New Roman"/>
        </w:rPr>
        <w:t xml:space="preserve"> </w:t>
      </w:r>
      <w:r w:rsidRPr="00A47835">
        <w:rPr>
          <w:rFonts w:ascii="Times New Roman" w:hAnsi="Times New Roman" w:cs="Times New Roman"/>
          <w:b/>
          <w:bCs/>
        </w:rPr>
        <w:t>2009</w:t>
      </w:r>
      <w:r w:rsidRPr="00A47835">
        <w:rPr>
          <w:rFonts w:ascii="Times New Roman" w:hAnsi="Times New Roman" w:cs="Times New Roman"/>
        </w:rPr>
        <w:t xml:space="preserve">, </w:t>
      </w:r>
      <w:r w:rsidRPr="00A47835">
        <w:rPr>
          <w:rFonts w:ascii="Times New Roman" w:hAnsi="Times New Roman" w:cs="Times New Roman"/>
          <w:i/>
          <w:iCs/>
        </w:rPr>
        <w:t>9</w:t>
      </w:r>
      <w:r w:rsidRPr="00A47835">
        <w:rPr>
          <w:rFonts w:ascii="Times New Roman" w:hAnsi="Times New Roman" w:cs="Times New Roman"/>
        </w:rPr>
        <w:t>, 200. https://doi.org/10.1186/1471-2180-9-200.</w:t>
      </w:r>
    </w:p>
    <w:p w14:paraId="34E6E16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(136)</w:t>
      </w:r>
      <w:r w:rsidRPr="00A47835">
        <w:rPr>
          <w:rFonts w:ascii="Times New Roman" w:hAnsi="Times New Roman" w:cs="Times New Roman"/>
        </w:rPr>
        <w:tab/>
        <w:t xml:space="preserve">Ozer, B.; Duran, N.; Onlen, Y.; Savas, L. Efflux Pump Genes and Antimicrobial Resistance of Pseudomonas Aeruginosa Strains Isolated from Lower Respiratory Tract Infections Acquired in an Intensive Care Unit. </w:t>
      </w:r>
      <w:r w:rsidRPr="00A47835">
        <w:rPr>
          <w:rFonts w:ascii="Times New Roman" w:hAnsi="Times New Roman" w:cs="Times New Roman"/>
          <w:i/>
          <w:iCs/>
        </w:rPr>
        <w:t>J. Antibiot. (Tokyo)</w:t>
      </w:r>
      <w:r w:rsidRPr="00A47835">
        <w:rPr>
          <w:rFonts w:ascii="Times New Roman" w:hAnsi="Times New Roman" w:cs="Times New Roman"/>
        </w:rPr>
        <w:t xml:space="preserve"> </w:t>
      </w:r>
      <w:r w:rsidRPr="00A47835">
        <w:rPr>
          <w:rFonts w:ascii="Times New Roman" w:hAnsi="Times New Roman" w:cs="Times New Roman"/>
          <w:b/>
          <w:bCs/>
        </w:rPr>
        <w:t>2012</w:t>
      </w:r>
      <w:r w:rsidRPr="00A47835">
        <w:rPr>
          <w:rFonts w:ascii="Times New Roman" w:hAnsi="Times New Roman" w:cs="Times New Roman"/>
        </w:rPr>
        <w:t xml:space="preserve">, </w:t>
      </w:r>
      <w:r w:rsidRPr="00A47835">
        <w:rPr>
          <w:rFonts w:ascii="Times New Roman" w:hAnsi="Times New Roman" w:cs="Times New Roman"/>
          <w:i/>
          <w:iCs/>
        </w:rPr>
        <w:t>65</w:t>
      </w:r>
      <w:r w:rsidRPr="00A47835">
        <w:rPr>
          <w:rFonts w:ascii="Times New Roman" w:hAnsi="Times New Roman" w:cs="Times New Roman"/>
        </w:rPr>
        <w:t xml:space="preserve"> (1), 9–13. https://doi.org/10.1038/ja.2011.102.</w:t>
      </w:r>
    </w:p>
    <w:p w14:paraId="18615C1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(137)</w:t>
      </w:r>
      <w:r w:rsidRPr="00A47835">
        <w:rPr>
          <w:rFonts w:ascii="Times New Roman" w:hAnsi="Times New Roman" w:cs="Times New Roman"/>
        </w:rPr>
        <w:tab/>
        <w:t xml:space="preserve">Hinchliffe, P.; Greene, N. P.; Paterson, N. G.; Crow, A.; Hughes, C.; Koronakis, V. Structure of the Periplasmic Adaptor Protein from a Major Facilitator Superfamily (MFS) Multidrug Efflux Pump. </w:t>
      </w:r>
      <w:r w:rsidRPr="00A47835">
        <w:rPr>
          <w:rFonts w:ascii="Times New Roman" w:hAnsi="Times New Roman" w:cs="Times New Roman"/>
          <w:i/>
          <w:iCs/>
        </w:rPr>
        <w:t>FEBS Lett.</w:t>
      </w:r>
      <w:r w:rsidRPr="00A47835">
        <w:rPr>
          <w:rFonts w:ascii="Times New Roman" w:hAnsi="Times New Roman" w:cs="Times New Roman"/>
        </w:rPr>
        <w:t xml:space="preserve"> </w:t>
      </w:r>
      <w:r w:rsidRPr="00A47835">
        <w:rPr>
          <w:rFonts w:ascii="Times New Roman" w:hAnsi="Times New Roman" w:cs="Times New Roman"/>
          <w:b/>
          <w:bCs/>
        </w:rPr>
        <w:t>2014</w:t>
      </w:r>
      <w:r w:rsidRPr="00A47835">
        <w:rPr>
          <w:rFonts w:ascii="Times New Roman" w:hAnsi="Times New Roman" w:cs="Times New Roman"/>
        </w:rPr>
        <w:t xml:space="preserve">, </w:t>
      </w:r>
      <w:r w:rsidRPr="00A47835">
        <w:rPr>
          <w:rFonts w:ascii="Times New Roman" w:hAnsi="Times New Roman" w:cs="Times New Roman"/>
          <w:i/>
          <w:iCs/>
        </w:rPr>
        <w:t>588</w:t>
      </w:r>
      <w:r w:rsidRPr="00A47835">
        <w:rPr>
          <w:rFonts w:ascii="Times New Roman" w:hAnsi="Times New Roman" w:cs="Times New Roman"/>
        </w:rPr>
        <w:t xml:space="preserve"> (17), 3147–3153. https://doi.org/10.1016/j.febslet.2014.06.055.</w:t>
      </w:r>
    </w:p>
    <w:p w14:paraId="6A16E95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(138)</w:t>
      </w:r>
      <w:r w:rsidRPr="00A47835">
        <w:rPr>
          <w:rFonts w:ascii="Times New Roman" w:hAnsi="Times New Roman" w:cs="Times New Roman"/>
        </w:rPr>
        <w:tab/>
        <w:t xml:space="preserve">Jumper, J.; Evans, R.; Pritzel, A.; Green, T.; Figurnov, M.; Ronneberger, O.; Tunyasuvunakool, K.; Bates, R.; Žídek, A.; Potapenko, A.; Bridgland, A.; Meyer, C.; Kohl, S. A. A.; Ballard, A. J.; Cowie, A.; Romera-Paredes, B.; Nikolov, S.; Jain, R.; Adler, J.; Back, T.; Petersen, S.; Reiman, D.; Clancy, E.; Zielinski, M.; Steinegger, M.; Pacholska, M.; Berghammer, T.; Bodenstein, S.; Silver, D.; Vinyals, O.; Senior, A. W.; Kavukcuoglu, K.; Kohli, P.; Hassabis, D. Highly Accurate Protein Structure Prediction with AlphaFold. </w:t>
      </w:r>
      <w:r w:rsidRPr="00A47835">
        <w:rPr>
          <w:rFonts w:ascii="Times New Roman" w:hAnsi="Times New Roman" w:cs="Times New Roman"/>
          <w:i/>
          <w:iCs/>
        </w:rPr>
        <w:t>Nature</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596</w:t>
      </w:r>
      <w:r w:rsidRPr="00A47835">
        <w:rPr>
          <w:rFonts w:ascii="Times New Roman" w:hAnsi="Times New Roman" w:cs="Times New Roman"/>
        </w:rPr>
        <w:t xml:space="preserve"> (7873), 583–589. https://doi.org/10.1038/s41586-021-03819-2.</w:t>
      </w:r>
    </w:p>
    <w:p w14:paraId="0C02D30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(139)</w:t>
      </w:r>
      <w:r w:rsidRPr="00A47835">
        <w:rPr>
          <w:rFonts w:ascii="Times New Roman" w:hAnsi="Times New Roman" w:cs="Times New Roman"/>
        </w:rPr>
        <w:tab/>
        <w:t xml:space="preserve">Varadi, M.; Bertoni, D.; Magana, P.; Paramval, U.; Pidruchna, I.; Radhakrishnan, M.; Tsenkov, M.; Nair, S.; Mirdita, M.; Yeo, J.; Kovalevskiy, O.; Tunyasuvunakool, K.; Laydon, A.; Žídek, A.; Tomlinson, H.; Hariharan, D.; Abrahamson, J.; Green, T.; Jumper, J.; Birney, E.; Steinegger, M.; Hassabis, D.; Velankar, S. AlphaFold Protein Structure Database in 2024: Providing Structure Coverage for over 214 Million Protein Sequences. </w:t>
      </w:r>
      <w:r w:rsidRPr="00A47835">
        <w:rPr>
          <w:rFonts w:ascii="Times New Roman" w:hAnsi="Times New Roman" w:cs="Times New Roman"/>
          <w:i/>
          <w:iCs/>
        </w:rPr>
        <w:t>Nucleic Acids Res.</w:t>
      </w:r>
      <w:r w:rsidRPr="00A47835">
        <w:rPr>
          <w:rFonts w:ascii="Times New Roman" w:hAnsi="Times New Roman" w:cs="Times New Roman"/>
        </w:rPr>
        <w:t xml:space="preserve"> </w:t>
      </w:r>
      <w:r w:rsidRPr="00A47835">
        <w:rPr>
          <w:rFonts w:ascii="Times New Roman" w:hAnsi="Times New Roman" w:cs="Times New Roman"/>
          <w:b/>
          <w:bCs/>
        </w:rPr>
        <w:t>2024</w:t>
      </w:r>
      <w:r w:rsidRPr="00A47835">
        <w:rPr>
          <w:rFonts w:ascii="Times New Roman" w:hAnsi="Times New Roman" w:cs="Times New Roman"/>
        </w:rPr>
        <w:t xml:space="preserve">, </w:t>
      </w:r>
      <w:r w:rsidRPr="00A47835">
        <w:rPr>
          <w:rFonts w:ascii="Times New Roman" w:hAnsi="Times New Roman" w:cs="Times New Roman"/>
          <w:i/>
          <w:iCs/>
        </w:rPr>
        <w:t>52</w:t>
      </w:r>
      <w:r w:rsidRPr="00A47835">
        <w:rPr>
          <w:rFonts w:ascii="Times New Roman" w:hAnsi="Times New Roman" w:cs="Times New Roman"/>
        </w:rPr>
        <w:t xml:space="preserve"> (D1), D368–D375. https://doi.org/10.1093/nar/gkad1011.</w:t>
      </w:r>
    </w:p>
    <w:p w14:paraId="63656E6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(140)</w:t>
      </w:r>
      <w:r w:rsidRPr="00A47835">
        <w:rPr>
          <w:rFonts w:ascii="Times New Roman" w:hAnsi="Times New Roman" w:cs="Times New Roman"/>
        </w:rPr>
        <w:tab/>
        <w:t xml:space="preserve">Varadi, M.; Anyango, S.; Deshpande, M.; Nair, S.; Natassia, C.; Yordanova, G.; Yuan, D.; Stroe, O.; Wood, G.; Laydon, A.; Žídek, A.; Green, T.; Tunyasuvunakool, K.; Petersen, S.; Jumper, J.; Clancy, E.; Green, R.; Vora, A.; Lutfi, M.; Figurnov, M.; Cowie, A.; Hobbs, N.; Kohli, P.; Kleywegt, G.; Birney, E.; Hassabis, D.; Velankar, S. AlphaFold Protein Structure Database: Massively Expanding the Structural Coverage of Protein-Sequence Space with High-Accuracy Models. </w:t>
      </w:r>
      <w:r w:rsidRPr="00A47835">
        <w:rPr>
          <w:rFonts w:ascii="Times New Roman" w:hAnsi="Times New Roman" w:cs="Times New Roman"/>
          <w:i/>
          <w:iCs/>
        </w:rPr>
        <w:t>Nucleic Acids Res.</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50</w:t>
      </w:r>
      <w:r w:rsidRPr="00A47835">
        <w:rPr>
          <w:rFonts w:ascii="Times New Roman" w:hAnsi="Times New Roman" w:cs="Times New Roman"/>
        </w:rPr>
        <w:t xml:space="preserve"> (D1), D439–D444. https://doi.org/10.1093/nar/gkab1061.</w:t>
      </w:r>
    </w:p>
    <w:p w14:paraId="45496997"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(141)</w:t>
      </w:r>
      <w:r w:rsidRPr="00A47835">
        <w:rPr>
          <w:rFonts w:ascii="Times New Roman" w:hAnsi="Times New Roman" w:cs="Times New Roman"/>
        </w:rPr>
        <w:tab/>
        <w:t>The PyMOL Molecular Graphics System.</w:t>
      </w:r>
    </w:p>
    <w:p w14:paraId="2C64AF9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(142)</w:t>
      </w:r>
      <w:r w:rsidRPr="00A47835">
        <w:rPr>
          <w:rFonts w:ascii="Times New Roman" w:hAnsi="Times New Roman" w:cs="Times New Roman"/>
        </w:rPr>
        <w:tab/>
        <w:t xml:space="preserve">Zgurskaya, H. I. Multicomponent Drug Efflux Complexes: Architecture and Mechanism of Assembly. </w:t>
      </w:r>
      <w:r w:rsidRPr="00A47835">
        <w:rPr>
          <w:rFonts w:ascii="Times New Roman" w:hAnsi="Times New Roman" w:cs="Times New Roman"/>
          <w:i/>
          <w:iCs/>
        </w:rPr>
        <w:t>Future Microbiol.</w:t>
      </w:r>
      <w:r w:rsidRPr="00A47835">
        <w:rPr>
          <w:rFonts w:ascii="Times New Roman" w:hAnsi="Times New Roman" w:cs="Times New Roman"/>
        </w:rPr>
        <w:t xml:space="preserve"> </w:t>
      </w:r>
      <w:r w:rsidRPr="00A47835">
        <w:rPr>
          <w:rFonts w:ascii="Times New Roman" w:hAnsi="Times New Roman" w:cs="Times New Roman"/>
          <w:b/>
          <w:bCs/>
        </w:rPr>
        <w:t>2009</w:t>
      </w:r>
      <w:r w:rsidRPr="00A47835">
        <w:rPr>
          <w:rFonts w:ascii="Times New Roman" w:hAnsi="Times New Roman" w:cs="Times New Roman"/>
        </w:rPr>
        <w:t xml:space="preserve">, </w:t>
      </w:r>
      <w:r w:rsidRPr="00A47835">
        <w:rPr>
          <w:rFonts w:ascii="Times New Roman" w:hAnsi="Times New Roman" w:cs="Times New Roman"/>
          <w:i/>
          <w:iCs/>
        </w:rPr>
        <w:t>4</w:t>
      </w:r>
      <w:r w:rsidRPr="00A47835">
        <w:rPr>
          <w:rFonts w:ascii="Times New Roman" w:hAnsi="Times New Roman" w:cs="Times New Roman"/>
        </w:rPr>
        <w:t>, 919–932. https://doi.org/10.2217/fmb.09.62.</w:t>
      </w:r>
    </w:p>
    <w:p w14:paraId="2DB0A5EC"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(143)</w:t>
      </w:r>
      <w:r w:rsidRPr="00A47835">
        <w:rPr>
          <w:rFonts w:ascii="Times New Roman" w:hAnsi="Times New Roman" w:cs="Times New Roman"/>
        </w:rPr>
        <w:tab/>
        <w:t xml:space="preserve">Jiang, J.-H.; Hassan, K. A.; Begg, S. L.; Rupasinghe, T. W. T.; Naidu, V.; Pederick, V. G.; Khorvash, M.; Whittall, J. J.; Paton, J. C.; Paulsen, I. T.; McDevitt, C. A.; Peleg, A. Y.; </w:t>
      </w:r>
      <w:r w:rsidRPr="00A47835">
        <w:rPr>
          <w:rFonts w:ascii="Times New Roman" w:hAnsi="Times New Roman" w:cs="Times New Roman"/>
        </w:rPr>
        <w:lastRenderedPageBreak/>
        <w:t xml:space="preserve">Eijkelkamp, B. A. Identification of Novel Acinetobacter Baumannii Host Fatty Acid Stress Adaptation Strategies.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(1), e02056-18. https://doi.org/10.1128/mBio.02056-18.</w:t>
      </w:r>
    </w:p>
    <w:p w14:paraId="6CDA0A7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(144)</w:t>
      </w:r>
      <w:r w:rsidRPr="00A47835">
        <w:rPr>
          <w:rFonts w:ascii="Times New Roman" w:hAnsi="Times New Roman" w:cs="Times New Roman"/>
        </w:rPr>
        <w:tab/>
        <w:t xml:space="preserve">Schumacher, K.; Brameyer, S.; Jung, K. Bacterial Acid Stress Response: From Cellular Changes to Antibiotic Tolerance and Phenotypic Heterogeneity. </w:t>
      </w:r>
      <w:r w:rsidRPr="00A47835">
        <w:rPr>
          <w:rFonts w:ascii="Times New Roman" w:hAnsi="Times New Roman" w:cs="Times New Roman"/>
          <w:i/>
          <w:iCs/>
        </w:rPr>
        <w:t>Curr. Opin. Microbiol.</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75</w:t>
      </w:r>
      <w:r w:rsidRPr="00A47835">
        <w:rPr>
          <w:rFonts w:ascii="Times New Roman" w:hAnsi="Times New Roman" w:cs="Times New Roman"/>
        </w:rPr>
        <w:t>, 102367. https://doi.org/10.1016/j.mib.2023.102367.</w:t>
      </w:r>
    </w:p>
    <w:p w14:paraId="03CFD51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(145)</w:t>
      </w:r>
      <w:r w:rsidRPr="00A47835">
        <w:rPr>
          <w:rFonts w:ascii="Times New Roman" w:hAnsi="Times New Roman" w:cs="Times New Roman"/>
        </w:rPr>
        <w:tab/>
        <w:t xml:space="preserve">Fanelli, G.; Pasqua, M.; Colonna, B.; Prosseda, G.; Grossi, M. Expression Profile of Multidrug Resistance Efflux Pumps During Intracellular Life of Adherent-Invasive Escherichia Coli Strain LF82. </w:t>
      </w:r>
      <w:r w:rsidRPr="00A47835">
        <w:rPr>
          <w:rFonts w:ascii="Times New Roman" w:hAnsi="Times New Roman" w:cs="Times New Roman"/>
          <w:i/>
          <w:iCs/>
        </w:rPr>
        <w:t>Front. Microbiol.</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11</w:t>
      </w:r>
      <w:r w:rsidRPr="00A47835">
        <w:rPr>
          <w:rFonts w:ascii="Times New Roman" w:hAnsi="Times New Roman" w:cs="Times New Roman"/>
        </w:rPr>
        <w:t>. https://doi.org/10.3389/fmicb.2020.01935.</w:t>
      </w:r>
    </w:p>
    <w:p w14:paraId="572DA73E"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(146)</w:t>
      </w:r>
      <w:r w:rsidRPr="00A47835">
        <w:rPr>
          <w:rFonts w:ascii="Times New Roman" w:hAnsi="Times New Roman" w:cs="Times New Roman"/>
        </w:rPr>
        <w:tab/>
        <w:t xml:space="preserve">Pasqua, M.; Grossi, M.; Scinicariello, S.; Aussel, L.; Barras, F.; Colonna, B.; Prosseda, G. The MFS Efflux Pump EmrKY Contributes to the Survival of Shigella within Macrophages. </w:t>
      </w:r>
      <w:r w:rsidRPr="00A47835">
        <w:rPr>
          <w:rFonts w:ascii="Times New Roman" w:hAnsi="Times New Roman" w:cs="Times New Roman"/>
          <w:i/>
          <w:iCs/>
        </w:rPr>
        <w:t>Sci. Rep.</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9</w:t>
      </w:r>
      <w:r w:rsidRPr="00A47835">
        <w:rPr>
          <w:rFonts w:ascii="Times New Roman" w:hAnsi="Times New Roman" w:cs="Times New Roman"/>
        </w:rPr>
        <w:t xml:space="preserve"> (1), 2906. https://doi.org/10.1038/s41598-019-39749-3.</w:t>
      </w:r>
    </w:p>
    <w:p w14:paraId="0D75ECF6"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(147)</w:t>
      </w:r>
      <w:r w:rsidRPr="00A47835">
        <w:rPr>
          <w:rFonts w:ascii="Times New Roman" w:hAnsi="Times New Roman" w:cs="Times New Roman"/>
        </w:rPr>
        <w:tab/>
        <w:t xml:space="preserve">Distel, J. S.; Di Venanzio, G.; Mackel, J. J.; Rosen, D. A.; Feldman, M. F. Replicative Acinetobacter Baumannii Strains Interfere with Phagosomal Maturation by Modulating the Vacuolar pH. </w:t>
      </w:r>
      <w:r w:rsidRPr="00A47835">
        <w:rPr>
          <w:rFonts w:ascii="Times New Roman" w:hAnsi="Times New Roman" w:cs="Times New Roman"/>
          <w:i/>
          <w:iCs/>
        </w:rPr>
        <w:t>PLoS Pathog.</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19</w:t>
      </w:r>
      <w:r w:rsidRPr="00A47835">
        <w:rPr>
          <w:rFonts w:ascii="Times New Roman" w:hAnsi="Times New Roman" w:cs="Times New Roman"/>
        </w:rPr>
        <w:t xml:space="preserve"> (6), e1011173. https://doi.org/10.1371/journal.ppat.1011173.</w:t>
      </w:r>
    </w:p>
    <w:p w14:paraId="00106161"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(148)</w:t>
      </w:r>
      <w:r w:rsidRPr="00A47835">
        <w:rPr>
          <w:rFonts w:ascii="Times New Roman" w:hAnsi="Times New Roman" w:cs="Times New Roman"/>
        </w:rPr>
        <w:tab/>
        <w:t xml:space="preserve">Lewinson, O.; Padan, E.; Bibi, E. Alkalitolerance: A Biological Function for a Multidrug Transporter in pH Homeostasis. </w:t>
      </w:r>
      <w:r w:rsidRPr="00A47835">
        <w:rPr>
          <w:rFonts w:ascii="Times New Roman" w:hAnsi="Times New Roman" w:cs="Times New Roman"/>
          <w:i/>
          <w:iCs/>
        </w:rPr>
        <w:t>Proc. Natl. Acad. Sci. U. S. A.</w:t>
      </w:r>
      <w:r w:rsidRPr="00A47835">
        <w:rPr>
          <w:rFonts w:ascii="Times New Roman" w:hAnsi="Times New Roman" w:cs="Times New Roman"/>
        </w:rPr>
        <w:t xml:space="preserve"> </w:t>
      </w:r>
      <w:r w:rsidRPr="00A47835">
        <w:rPr>
          <w:rFonts w:ascii="Times New Roman" w:hAnsi="Times New Roman" w:cs="Times New Roman"/>
          <w:b/>
          <w:bCs/>
        </w:rPr>
        <w:t>2004</w:t>
      </w:r>
      <w:r w:rsidRPr="00A47835">
        <w:rPr>
          <w:rFonts w:ascii="Times New Roman" w:hAnsi="Times New Roman" w:cs="Times New Roman"/>
        </w:rPr>
        <w:t xml:space="preserve">, </w:t>
      </w:r>
      <w:r w:rsidRPr="00A47835">
        <w:rPr>
          <w:rFonts w:ascii="Times New Roman" w:hAnsi="Times New Roman" w:cs="Times New Roman"/>
          <w:i/>
          <w:iCs/>
        </w:rPr>
        <w:t>101</w:t>
      </w:r>
      <w:r w:rsidRPr="00A47835">
        <w:rPr>
          <w:rFonts w:ascii="Times New Roman" w:hAnsi="Times New Roman" w:cs="Times New Roman"/>
        </w:rPr>
        <w:t xml:space="preserve"> (39), 14073–14078. https://doi.org/10.1073/pnas.0405375101.</w:t>
      </w:r>
    </w:p>
    <w:p w14:paraId="0F7468B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(149)</w:t>
      </w:r>
      <w:r w:rsidRPr="00A47835">
        <w:rPr>
          <w:rFonts w:ascii="Times New Roman" w:hAnsi="Times New Roman" w:cs="Times New Roman"/>
        </w:rPr>
        <w:tab/>
        <w:t xml:space="preserve">Murata, T.; Tseng, W.; Guina, T.; Miller, S. I.; Nikaido, H. PhoPQ-Mediated Regulation Produces a More Robust Permeability Barrier in the Outer Membrane of Salmonella Enterica Serovar Typhimurium.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2007</w:t>
      </w:r>
      <w:r w:rsidRPr="00A47835">
        <w:rPr>
          <w:rFonts w:ascii="Times New Roman" w:hAnsi="Times New Roman" w:cs="Times New Roman"/>
        </w:rPr>
        <w:t xml:space="preserve">, </w:t>
      </w:r>
      <w:r w:rsidRPr="00A47835">
        <w:rPr>
          <w:rFonts w:ascii="Times New Roman" w:hAnsi="Times New Roman" w:cs="Times New Roman"/>
          <w:i/>
          <w:iCs/>
        </w:rPr>
        <w:t>189</w:t>
      </w:r>
      <w:r w:rsidRPr="00A47835">
        <w:rPr>
          <w:rFonts w:ascii="Times New Roman" w:hAnsi="Times New Roman" w:cs="Times New Roman"/>
        </w:rPr>
        <w:t xml:space="preserve"> (20), 7213–7222. https://doi.org/10.1128/JB.00973-07.</w:t>
      </w:r>
    </w:p>
    <w:p w14:paraId="7FE1B08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(150)</w:t>
      </w:r>
      <w:r w:rsidRPr="00A47835">
        <w:rPr>
          <w:rFonts w:ascii="Times New Roman" w:hAnsi="Times New Roman" w:cs="Times New Roman"/>
        </w:rPr>
        <w:tab/>
        <w:t xml:space="preserve">Van Riet, S.; Tadesse, W.; Mortier, J.; Schlegel, S.; Simoens, K.; Bernaerts, K.; Dal Co, A.; Aertsen, A. Heterogeneity and Evolutionary Tunability of Escherichia Coli Resistance against Extreme Acid Stress. </w:t>
      </w:r>
      <w:r w:rsidRPr="00A47835">
        <w:rPr>
          <w:rFonts w:ascii="Times New Roman" w:hAnsi="Times New Roman" w:cs="Times New Roman"/>
          <w:i/>
          <w:iCs/>
        </w:rPr>
        <w:t>Microbiol. Spectr.</w:t>
      </w:r>
      <w:r w:rsidRPr="00A47835">
        <w:rPr>
          <w:rFonts w:ascii="Times New Roman" w:hAnsi="Times New Roman" w:cs="Times New Roman"/>
        </w:rPr>
        <w:t xml:space="preserve"> </w:t>
      </w:r>
      <w:r w:rsidRPr="00A47835">
        <w:rPr>
          <w:rFonts w:ascii="Times New Roman" w:hAnsi="Times New Roman" w:cs="Times New Roman"/>
          <w:b/>
          <w:bCs/>
        </w:rPr>
        <w:t>2022</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(6), e0375722. https://doi.org/10.1128/spectrum.03757-22.</w:t>
      </w:r>
    </w:p>
    <w:p w14:paraId="103D610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(151)</w:t>
      </w:r>
      <w:r w:rsidRPr="00A47835">
        <w:rPr>
          <w:rFonts w:ascii="Times New Roman" w:hAnsi="Times New Roman" w:cs="Times New Roman"/>
        </w:rPr>
        <w:tab/>
        <w:t xml:space="preserve">Bearson, S.; Bearson, B.; Foster, J. W. Acid Stress Responses in Enterobacteria. </w:t>
      </w:r>
      <w:r w:rsidRPr="00A47835">
        <w:rPr>
          <w:rFonts w:ascii="Times New Roman" w:hAnsi="Times New Roman" w:cs="Times New Roman"/>
          <w:i/>
          <w:iCs/>
        </w:rPr>
        <w:t>FEMS Microbiol. Lett.</w:t>
      </w:r>
      <w:r w:rsidRPr="00A47835">
        <w:rPr>
          <w:rFonts w:ascii="Times New Roman" w:hAnsi="Times New Roman" w:cs="Times New Roman"/>
        </w:rPr>
        <w:t xml:space="preserve"> </w:t>
      </w:r>
      <w:r w:rsidRPr="00A47835">
        <w:rPr>
          <w:rFonts w:ascii="Times New Roman" w:hAnsi="Times New Roman" w:cs="Times New Roman"/>
          <w:b/>
          <w:bCs/>
        </w:rPr>
        <w:t>1997</w:t>
      </w:r>
      <w:r w:rsidRPr="00A47835">
        <w:rPr>
          <w:rFonts w:ascii="Times New Roman" w:hAnsi="Times New Roman" w:cs="Times New Roman"/>
        </w:rPr>
        <w:t xml:space="preserve">, </w:t>
      </w:r>
      <w:r w:rsidRPr="00A47835">
        <w:rPr>
          <w:rFonts w:ascii="Times New Roman" w:hAnsi="Times New Roman" w:cs="Times New Roman"/>
          <w:i/>
          <w:iCs/>
        </w:rPr>
        <w:t>147</w:t>
      </w:r>
      <w:r w:rsidRPr="00A47835">
        <w:rPr>
          <w:rFonts w:ascii="Times New Roman" w:hAnsi="Times New Roman" w:cs="Times New Roman"/>
        </w:rPr>
        <w:t xml:space="preserve"> (2), 173–180. https://doi.org/10.1111/j.1574-6968.1997.tb10238.x.</w:t>
      </w:r>
    </w:p>
    <w:p w14:paraId="1DC056A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(152)</w:t>
      </w:r>
      <w:r w:rsidRPr="00A47835">
        <w:rPr>
          <w:rFonts w:ascii="Times New Roman" w:hAnsi="Times New Roman" w:cs="Times New Roman"/>
        </w:rPr>
        <w:tab/>
        <w:t xml:space="preserve">Ren, X.; Palmer, L. D. Acinetobacter Metabolism in Infection and Antimicrobial Resistance. </w:t>
      </w:r>
      <w:r w:rsidRPr="00A47835">
        <w:rPr>
          <w:rFonts w:ascii="Times New Roman" w:hAnsi="Times New Roman" w:cs="Times New Roman"/>
          <w:i/>
          <w:iCs/>
        </w:rPr>
        <w:t>Infect. Immun.</w:t>
      </w:r>
      <w:r w:rsidRPr="00A47835">
        <w:rPr>
          <w:rFonts w:ascii="Times New Roman" w:hAnsi="Times New Roman" w:cs="Times New Roman"/>
        </w:rPr>
        <w:t xml:space="preserve"> </w:t>
      </w:r>
      <w:r w:rsidRPr="00A47835">
        <w:rPr>
          <w:rFonts w:ascii="Times New Roman" w:hAnsi="Times New Roman" w:cs="Times New Roman"/>
          <w:i/>
          <w:iCs/>
        </w:rPr>
        <w:t>91</w:t>
      </w:r>
      <w:r w:rsidRPr="00A47835">
        <w:rPr>
          <w:rFonts w:ascii="Times New Roman" w:hAnsi="Times New Roman" w:cs="Times New Roman"/>
        </w:rPr>
        <w:t xml:space="preserve"> (6), e00433-22. https://doi.org/10.1128/iai.00433-22.</w:t>
      </w:r>
    </w:p>
    <w:p w14:paraId="76C85FD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(153)</w:t>
      </w:r>
      <w:r w:rsidRPr="00A47835">
        <w:rPr>
          <w:rFonts w:ascii="Times New Roman" w:hAnsi="Times New Roman" w:cs="Times New Roman"/>
        </w:rPr>
        <w:tab/>
        <w:t xml:space="preserve">Whittle, E. E.; McNeil, H. E.; Trampari, E.; Webber, M.; Overton, T. W.; Blair, J. M. A. Efflux Impacts Intracellular Accumulation Only in Actively Growing Bacterial Cells.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(5), e0260821. https://doi.org/10.1128/mBio.02608-21.</w:t>
      </w:r>
    </w:p>
    <w:p w14:paraId="00109C0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(154)</w:t>
      </w:r>
      <w:r w:rsidRPr="00A47835">
        <w:rPr>
          <w:rFonts w:ascii="Times New Roman" w:hAnsi="Times New Roman" w:cs="Times New Roman"/>
        </w:rPr>
        <w:tab/>
        <w:t xml:space="preserve">Coyne, S.; Courvalin, P.; Périchon, B. Efflux-Mediated Antibiotic Resistance in Acinetobacter Spp.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2011</w:t>
      </w:r>
      <w:r w:rsidRPr="00A47835">
        <w:rPr>
          <w:rFonts w:ascii="Times New Roman" w:hAnsi="Times New Roman" w:cs="Times New Roman"/>
        </w:rPr>
        <w:t xml:space="preserve">, </w:t>
      </w:r>
      <w:r w:rsidRPr="00A47835">
        <w:rPr>
          <w:rFonts w:ascii="Times New Roman" w:hAnsi="Times New Roman" w:cs="Times New Roman"/>
          <w:i/>
          <w:iCs/>
        </w:rPr>
        <w:t>55</w:t>
      </w:r>
      <w:r w:rsidRPr="00A47835">
        <w:rPr>
          <w:rFonts w:ascii="Times New Roman" w:hAnsi="Times New Roman" w:cs="Times New Roman"/>
        </w:rPr>
        <w:t xml:space="preserve"> (3), 947–953. https://doi.org/10.1128/AAC.01388-10.</w:t>
      </w:r>
    </w:p>
    <w:p w14:paraId="183EC74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(155)</w:t>
      </w:r>
      <w:r w:rsidRPr="00A47835">
        <w:rPr>
          <w:rFonts w:ascii="Times New Roman" w:hAnsi="Times New Roman" w:cs="Times New Roman"/>
        </w:rPr>
        <w:tab/>
        <w:t xml:space="preserve">Su, C.-C.; Li, M.; Gu, R.; Takatsuka, Y.; McDermott, G.; Nikaido, H.; Yu, E. W. Conformation of the AcrB Multidrug Efflux Pump in Mutants of the Putative Proton Relay Pathway. </w:t>
      </w:r>
      <w:r w:rsidRPr="00A47835">
        <w:rPr>
          <w:rFonts w:ascii="Times New Roman" w:hAnsi="Times New Roman" w:cs="Times New Roman"/>
          <w:i/>
          <w:iCs/>
        </w:rPr>
        <w:t>J. Bacteriol.</w:t>
      </w:r>
      <w:r w:rsidRPr="00A47835">
        <w:rPr>
          <w:rFonts w:ascii="Times New Roman" w:hAnsi="Times New Roman" w:cs="Times New Roman"/>
        </w:rPr>
        <w:t xml:space="preserve"> </w:t>
      </w:r>
      <w:r w:rsidRPr="00A47835">
        <w:rPr>
          <w:rFonts w:ascii="Times New Roman" w:hAnsi="Times New Roman" w:cs="Times New Roman"/>
          <w:b/>
          <w:bCs/>
        </w:rPr>
        <w:t>2006</w:t>
      </w:r>
      <w:r w:rsidRPr="00A47835">
        <w:rPr>
          <w:rFonts w:ascii="Times New Roman" w:hAnsi="Times New Roman" w:cs="Times New Roman"/>
        </w:rPr>
        <w:t xml:space="preserve">, </w:t>
      </w:r>
      <w:r w:rsidRPr="00A47835">
        <w:rPr>
          <w:rFonts w:ascii="Times New Roman" w:hAnsi="Times New Roman" w:cs="Times New Roman"/>
          <w:i/>
          <w:iCs/>
        </w:rPr>
        <w:t>188</w:t>
      </w:r>
      <w:r w:rsidRPr="00A47835">
        <w:rPr>
          <w:rFonts w:ascii="Times New Roman" w:hAnsi="Times New Roman" w:cs="Times New Roman"/>
        </w:rPr>
        <w:t xml:space="preserve"> (20), 7290–7296. https://doi.org/10.1128/JB.00684-06.</w:t>
      </w:r>
    </w:p>
    <w:p w14:paraId="3B6FEFF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(156)</w:t>
      </w:r>
      <w:r w:rsidRPr="00A47835">
        <w:rPr>
          <w:rFonts w:ascii="Times New Roman" w:hAnsi="Times New Roman" w:cs="Times New Roman"/>
        </w:rPr>
        <w:tab/>
        <w:t xml:space="preserve">Sharma, A.; Gupta, V. K.; Pathania, R. Efflux Pump Inhibitors for Bacterial Pathogens: From Bench to Bedside. </w:t>
      </w:r>
      <w:r w:rsidRPr="00A47835">
        <w:rPr>
          <w:rFonts w:ascii="Times New Roman" w:hAnsi="Times New Roman" w:cs="Times New Roman"/>
          <w:i/>
          <w:iCs/>
        </w:rPr>
        <w:t>Indian J. Med. Res.</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149</w:t>
      </w:r>
      <w:r w:rsidRPr="00A47835">
        <w:rPr>
          <w:rFonts w:ascii="Times New Roman" w:hAnsi="Times New Roman" w:cs="Times New Roman"/>
        </w:rPr>
        <w:t xml:space="preserve"> (2), 129–145. https://doi.org/10.4103/ijmr.IJMR_2079_17.</w:t>
      </w:r>
    </w:p>
    <w:p w14:paraId="5055EA4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(157)</w:t>
      </w:r>
      <w:r w:rsidRPr="00A47835">
        <w:rPr>
          <w:rFonts w:ascii="Times New Roman" w:hAnsi="Times New Roman" w:cs="Times New Roman"/>
        </w:rPr>
        <w:tab/>
        <w:t xml:space="preserve">Reza, A.; Sutton, J. M.; Rahman, K. M. Effectiveness of Efflux Pump Inhibitors as Biofilm Disruptors and Resistance Breakers in Gram-Negative (ESKAPEE) Bacteria. </w:t>
      </w:r>
      <w:r w:rsidRPr="00A47835">
        <w:rPr>
          <w:rFonts w:ascii="Times New Roman" w:hAnsi="Times New Roman" w:cs="Times New Roman"/>
          <w:i/>
          <w:iCs/>
        </w:rPr>
        <w:t>Antibiot. Basel Switz.</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8</w:t>
      </w:r>
      <w:r w:rsidRPr="00A47835">
        <w:rPr>
          <w:rFonts w:ascii="Times New Roman" w:hAnsi="Times New Roman" w:cs="Times New Roman"/>
        </w:rPr>
        <w:t xml:space="preserve"> (4), 229. https://doi.org/10.3390/antibiotics8040229.</w:t>
      </w:r>
    </w:p>
    <w:p w14:paraId="0B09B715"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(158)</w:t>
      </w:r>
      <w:r w:rsidRPr="00A47835">
        <w:rPr>
          <w:rFonts w:ascii="Times New Roman" w:hAnsi="Times New Roman" w:cs="Times New Roman"/>
        </w:rPr>
        <w:tab/>
        <w:t xml:space="preserve">Zhu, Y. </w:t>
      </w:r>
      <w:r w:rsidRPr="00A47835">
        <w:rPr>
          <w:rFonts w:ascii="Times New Roman" w:hAnsi="Times New Roman" w:cs="Times New Roman"/>
          <w:i/>
          <w:iCs/>
        </w:rPr>
        <w:t>Development and evaluation of bacterial efflux pump inhibitors</w:t>
      </w:r>
      <w:r w:rsidRPr="00A47835">
        <w:rPr>
          <w:rFonts w:ascii="Times New Roman" w:hAnsi="Times New Roman" w:cs="Times New Roman"/>
        </w:rPr>
        <w:t>. King’s College London. https://kclpure.kcl.ac.uk/portal/en/studentTheses/development-and-evaluation-of-bacterial-efflux-pump-inhibitors (accessed 2024-01-31).</w:t>
      </w:r>
    </w:p>
    <w:p w14:paraId="0EC15BD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(159)</w:t>
      </w:r>
      <w:r w:rsidRPr="00A47835">
        <w:rPr>
          <w:rFonts w:ascii="Times New Roman" w:hAnsi="Times New Roman" w:cs="Times New Roman"/>
        </w:rPr>
        <w:tab/>
        <w:t xml:space="preserve">Webb, B.; Sali, A. Comparative Protein Structure Modeling Using MODELLER. </w:t>
      </w:r>
      <w:r w:rsidRPr="00A47835">
        <w:rPr>
          <w:rFonts w:ascii="Times New Roman" w:hAnsi="Times New Roman" w:cs="Times New Roman"/>
          <w:i/>
          <w:iCs/>
        </w:rPr>
        <w:t>Curr. Protoc. Bioinforma.</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54</w:t>
      </w:r>
      <w:r w:rsidRPr="00A47835">
        <w:rPr>
          <w:rFonts w:ascii="Times New Roman" w:hAnsi="Times New Roman" w:cs="Times New Roman"/>
        </w:rPr>
        <w:t>, 5.6.1-5.6.37. https://doi.org/10.1002/cpbi.3.</w:t>
      </w:r>
    </w:p>
    <w:p w14:paraId="2AEC7429"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(160)</w:t>
      </w:r>
      <w:r w:rsidRPr="00A47835">
        <w:rPr>
          <w:rFonts w:ascii="Times New Roman" w:hAnsi="Times New Roman" w:cs="Times New Roman"/>
        </w:rPr>
        <w:tab/>
        <w:t xml:space="preserve">Su, C.-C.; Morgan, C. E.; Kambakam, S.; Rajavel, M.; Scott, H.; Huang, W.; Emerson, C. C.; Taylor, D. J.; Stewart, P. L.; Bonomo, R. A.; Yu, E. W. Cryo-Electron Microscopy Structure of an Acinetobacter Baumannii Multidrug Efflux Pump.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(4), e01295-19. https://doi.org/10.1128/mBio.01295-19.</w:t>
      </w:r>
    </w:p>
    <w:p w14:paraId="4C311FD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(161)</w:t>
      </w:r>
      <w:r w:rsidRPr="00A47835">
        <w:rPr>
          <w:rFonts w:ascii="Times New Roman" w:hAnsi="Times New Roman" w:cs="Times New Roman"/>
        </w:rPr>
        <w:tab/>
        <w:t xml:space="preserve">Nakashima, R.; Sakurai, K.; Yamasaki, S.; Nishino, K.; Yamaguchi, A. Structures of the Multidrug Exporter AcrB Reveal a Proximal Multisite Drug-Binding Pocket. </w:t>
      </w:r>
      <w:r w:rsidRPr="00A47835">
        <w:rPr>
          <w:rFonts w:ascii="Times New Roman" w:hAnsi="Times New Roman" w:cs="Times New Roman"/>
          <w:i/>
          <w:iCs/>
        </w:rPr>
        <w:t>Nature</w:t>
      </w:r>
      <w:r w:rsidRPr="00A47835">
        <w:rPr>
          <w:rFonts w:ascii="Times New Roman" w:hAnsi="Times New Roman" w:cs="Times New Roman"/>
        </w:rPr>
        <w:t xml:space="preserve"> </w:t>
      </w:r>
      <w:r w:rsidRPr="00A47835">
        <w:rPr>
          <w:rFonts w:ascii="Times New Roman" w:hAnsi="Times New Roman" w:cs="Times New Roman"/>
          <w:b/>
          <w:bCs/>
        </w:rPr>
        <w:t>2011</w:t>
      </w:r>
      <w:r w:rsidRPr="00A47835">
        <w:rPr>
          <w:rFonts w:ascii="Times New Roman" w:hAnsi="Times New Roman" w:cs="Times New Roman"/>
        </w:rPr>
        <w:t xml:space="preserve">, </w:t>
      </w:r>
      <w:r w:rsidRPr="00A47835">
        <w:rPr>
          <w:rFonts w:ascii="Times New Roman" w:hAnsi="Times New Roman" w:cs="Times New Roman"/>
          <w:i/>
          <w:iCs/>
        </w:rPr>
        <w:t>480</w:t>
      </w:r>
      <w:r w:rsidRPr="00A47835">
        <w:rPr>
          <w:rFonts w:ascii="Times New Roman" w:hAnsi="Times New Roman" w:cs="Times New Roman"/>
        </w:rPr>
        <w:t xml:space="preserve"> (7378), 565–569. https://doi.org/10.1038/nature10641.</w:t>
      </w:r>
    </w:p>
    <w:p w14:paraId="139E3D04"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(162)</w:t>
      </w:r>
      <w:r w:rsidRPr="00A47835">
        <w:rPr>
          <w:rFonts w:ascii="Times New Roman" w:hAnsi="Times New Roman" w:cs="Times New Roman"/>
        </w:rPr>
        <w:tab/>
        <w:t xml:space="preserve">D’Cunha, N.; Moniruzzaman, M.; Haynes, K.; Malloci, G.; Cooper, C. J.; Margiotta, E.; Vargiu, A. V.; Uddin, M. R.; Leus, I. V.; Cao, F.; Parks, J. M.; Rybenkov, V. V.; Ruggerone, P.; Zgurskaya, H. I.; Walker, J. K. Mechanistic Duality of Bacterial Efflux Substrates and Inhibitors: Example of Simple Substituted Cinnamoyl and Naphthyl Amides. </w:t>
      </w:r>
      <w:r w:rsidRPr="00A47835">
        <w:rPr>
          <w:rFonts w:ascii="Times New Roman" w:hAnsi="Times New Roman" w:cs="Times New Roman"/>
          <w:i/>
          <w:iCs/>
        </w:rPr>
        <w:t>ACS Infect. Dis.</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7</w:t>
      </w:r>
      <w:r w:rsidRPr="00A47835">
        <w:rPr>
          <w:rFonts w:ascii="Times New Roman" w:hAnsi="Times New Roman" w:cs="Times New Roman"/>
        </w:rPr>
        <w:t xml:space="preserve"> (9), 2650–2665. https://doi.org/10.1021/acsinfecdis.1c00100.</w:t>
      </w:r>
    </w:p>
    <w:p w14:paraId="38977CC0"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(163)</w:t>
      </w:r>
      <w:r w:rsidRPr="00A47835">
        <w:rPr>
          <w:rFonts w:ascii="Times New Roman" w:hAnsi="Times New Roman" w:cs="Times New Roman"/>
        </w:rPr>
        <w:tab/>
        <w:t xml:space="preserve">Wang-Kan, X.; Rodríguez-Blanco, G.; Southam, A. D.; Winder, C. L.; Dunn, W. B.; Ivens, A.; Piddock, L. J. V. Metabolomics Reveal Potential Natural Substrates of AcrB in Escherichia Coli and Salmonella Enterica Serovar Typhimurium.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(2), 10.1128/mbio.00109-21. https://doi.org/10.1128/mbio.00109-21.</w:t>
      </w:r>
    </w:p>
    <w:p w14:paraId="2699915E"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(164)</w:t>
      </w:r>
      <w:r w:rsidRPr="00A47835">
        <w:rPr>
          <w:rFonts w:ascii="Times New Roman" w:hAnsi="Times New Roman" w:cs="Times New Roman"/>
        </w:rPr>
        <w:tab/>
        <w:t xml:space="preserve">Sjuts, H.; Vargiu, A. V.; Kwasny, S. M.; Nguyen, S. T.; Kim, H.-S.; Ding, X.; Ornik, A. R.; Ruggerone, P.; Bowlin, T. L.; Nikaido, H.; Pos, K. M.; Opperman, T. J. Molecular Basis for Inhibition of AcrB Multidrug Efflux Pump by Novel and Powerful Pyranopyridine Derivatives. </w:t>
      </w:r>
      <w:r w:rsidRPr="00A47835">
        <w:rPr>
          <w:rFonts w:ascii="Times New Roman" w:hAnsi="Times New Roman" w:cs="Times New Roman"/>
          <w:i/>
          <w:iCs/>
        </w:rPr>
        <w:t>Proc. Natl. Acad. Sci. U. S. A.</w:t>
      </w:r>
      <w:r w:rsidRPr="00A47835">
        <w:rPr>
          <w:rFonts w:ascii="Times New Roman" w:hAnsi="Times New Roman" w:cs="Times New Roman"/>
        </w:rPr>
        <w:t xml:space="preserve"> </w:t>
      </w:r>
      <w:r w:rsidRPr="00A47835">
        <w:rPr>
          <w:rFonts w:ascii="Times New Roman" w:hAnsi="Times New Roman" w:cs="Times New Roman"/>
          <w:b/>
          <w:bCs/>
        </w:rPr>
        <w:t>2016</w:t>
      </w:r>
      <w:r w:rsidRPr="00A47835">
        <w:rPr>
          <w:rFonts w:ascii="Times New Roman" w:hAnsi="Times New Roman" w:cs="Times New Roman"/>
        </w:rPr>
        <w:t xml:space="preserve">, </w:t>
      </w:r>
      <w:r w:rsidRPr="00A47835">
        <w:rPr>
          <w:rFonts w:ascii="Times New Roman" w:hAnsi="Times New Roman" w:cs="Times New Roman"/>
          <w:i/>
          <w:iCs/>
        </w:rPr>
        <w:t>113</w:t>
      </w:r>
      <w:r w:rsidRPr="00A47835">
        <w:rPr>
          <w:rFonts w:ascii="Times New Roman" w:hAnsi="Times New Roman" w:cs="Times New Roman"/>
        </w:rPr>
        <w:t xml:space="preserve"> (13), 3509–3514. https://doi.org/10.1073/pnas.1602472113.</w:t>
      </w:r>
    </w:p>
    <w:p w14:paraId="6C6A7ECA"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(165)</w:t>
      </w:r>
      <w:r w:rsidRPr="00A47835">
        <w:rPr>
          <w:rFonts w:ascii="Times New Roman" w:hAnsi="Times New Roman" w:cs="Times New Roman"/>
        </w:rPr>
        <w:tab/>
        <w:t xml:space="preserve">Nakashima, R.; Sakurai, K.; Yamasaki, S.; Hayashi, K.; Nagata, C.; Hoshino, K.; Onodera, Y.; Nishino, K.; Yamaguchi, A. Structural Basis for the Inhibition of Bacterial Multidrug Exporters. </w:t>
      </w:r>
      <w:r w:rsidRPr="00A47835">
        <w:rPr>
          <w:rFonts w:ascii="Times New Roman" w:hAnsi="Times New Roman" w:cs="Times New Roman"/>
          <w:i/>
          <w:iCs/>
        </w:rPr>
        <w:t>Nature</w:t>
      </w:r>
      <w:r w:rsidRPr="00A47835">
        <w:rPr>
          <w:rFonts w:ascii="Times New Roman" w:hAnsi="Times New Roman" w:cs="Times New Roman"/>
        </w:rPr>
        <w:t xml:space="preserve"> </w:t>
      </w:r>
      <w:r w:rsidRPr="00A47835">
        <w:rPr>
          <w:rFonts w:ascii="Times New Roman" w:hAnsi="Times New Roman" w:cs="Times New Roman"/>
          <w:b/>
          <w:bCs/>
        </w:rPr>
        <w:t>2013</w:t>
      </w:r>
      <w:r w:rsidRPr="00A47835">
        <w:rPr>
          <w:rFonts w:ascii="Times New Roman" w:hAnsi="Times New Roman" w:cs="Times New Roman"/>
        </w:rPr>
        <w:t xml:space="preserve">, </w:t>
      </w:r>
      <w:r w:rsidRPr="00A47835">
        <w:rPr>
          <w:rFonts w:ascii="Times New Roman" w:hAnsi="Times New Roman" w:cs="Times New Roman"/>
          <w:i/>
          <w:iCs/>
        </w:rPr>
        <w:t>500</w:t>
      </w:r>
      <w:r w:rsidRPr="00A47835">
        <w:rPr>
          <w:rFonts w:ascii="Times New Roman" w:hAnsi="Times New Roman" w:cs="Times New Roman"/>
        </w:rPr>
        <w:t xml:space="preserve"> (7460), 102–106. https://doi.org/10.1038/nature12300.</w:t>
      </w:r>
    </w:p>
    <w:p w14:paraId="4C8EFBB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(166)</w:t>
      </w:r>
      <w:r w:rsidRPr="00A47835">
        <w:rPr>
          <w:rFonts w:ascii="Times New Roman" w:hAnsi="Times New Roman" w:cs="Times New Roman"/>
        </w:rPr>
        <w:tab/>
        <w:t xml:space="preserve">Aron, Z.; Opperman, T. J. The Hydrophobic Trap—the Achilles Heel of RND Efflux Pumps. </w:t>
      </w:r>
      <w:r w:rsidRPr="00A47835">
        <w:rPr>
          <w:rFonts w:ascii="Times New Roman" w:hAnsi="Times New Roman" w:cs="Times New Roman"/>
          <w:i/>
          <w:iCs/>
        </w:rPr>
        <w:t>Res. Microbiol.</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169</w:t>
      </w:r>
      <w:r w:rsidRPr="00A47835">
        <w:rPr>
          <w:rFonts w:ascii="Times New Roman" w:hAnsi="Times New Roman" w:cs="Times New Roman"/>
        </w:rPr>
        <w:t xml:space="preserve"> (7–8), 393–400. https://doi.org/10.1016/j.resmic.2017.11.001.</w:t>
      </w:r>
    </w:p>
    <w:p w14:paraId="245AE6A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(167)</w:t>
      </w:r>
      <w:r w:rsidRPr="00A47835">
        <w:rPr>
          <w:rFonts w:ascii="Times New Roman" w:hAnsi="Times New Roman" w:cs="Times New Roman"/>
        </w:rPr>
        <w:tab/>
        <w:t xml:space="preserve">Harding, C. M.; Hennon, S. W.; Feldman, M. F. Uncovering the Mechanisms of Acinetobacter Baumannii Virulence. </w:t>
      </w:r>
      <w:r w:rsidRPr="00A47835">
        <w:rPr>
          <w:rFonts w:ascii="Times New Roman" w:hAnsi="Times New Roman" w:cs="Times New Roman"/>
          <w:i/>
          <w:iCs/>
        </w:rPr>
        <w:t>Nat. Rev. Microbiol.</w:t>
      </w:r>
      <w:r w:rsidRPr="00A47835">
        <w:rPr>
          <w:rFonts w:ascii="Times New Roman" w:hAnsi="Times New Roman" w:cs="Times New Roman"/>
        </w:rPr>
        <w:t xml:space="preserve"> </w:t>
      </w:r>
      <w:r w:rsidRPr="00A47835">
        <w:rPr>
          <w:rFonts w:ascii="Times New Roman" w:hAnsi="Times New Roman" w:cs="Times New Roman"/>
          <w:b/>
          <w:bCs/>
        </w:rPr>
        <w:t>2018</w:t>
      </w:r>
      <w:r w:rsidRPr="00A47835">
        <w:rPr>
          <w:rFonts w:ascii="Times New Roman" w:hAnsi="Times New Roman" w:cs="Times New Roman"/>
        </w:rPr>
        <w:t xml:space="preserve">, </w:t>
      </w:r>
      <w:r w:rsidRPr="00A47835">
        <w:rPr>
          <w:rFonts w:ascii="Times New Roman" w:hAnsi="Times New Roman" w:cs="Times New Roman"/>
          <w:i/>
          <w:iCs/>
        </w:rPr>
        <w:t>16</w:t>
      </w:r>
      <w:r w:rsidRPr="00A47835">
        <w:rPr>
          <w:rFonts w:ascii="Times New Roman" w:hAnsi="Times New Roman" w:cs="Times New Roman"/>
        </w:rPr>
        <w:t xml:space="preserve"> (2), 91–102. https://doi.org/10.1038/nrmicro.2017.148.</w:t>
      </w:r>
    </w:p>
    <w:p w14:paraId="4E4F92B2"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(168)</w:t>
      </w:r>
      <w:r w:rsidRPr="00A47835">
        <w:rPr>
          <w:rFonts w:ascii="Times New Roman" w:hAnsi="Times New Roman" w:cs="Times New Roman"/>
        </w:rPr>
        <w:tab/>
        <w:t xml:space="preserve">Breijyeh, Z.; Jubeh, B.; Karaman, R. Resistance of Gram-Negative Bacteria to Current Antibacterial Agents and Approaches to Resolve It. </w:t>
      </w:r>
      <w:r w:rsidRPr="00A47835">
        <w:rPr>
          <w:rFonts w:ascii="Times New Roman" w:hAnsi="Times New Roman" w:cs="Times New Roman"/>
          <w:i/>
          <w:iCs/>
        </w:rPr>
        <w:t>Molecules</w:t>
      </w:r>
      <w:r w:rsidRPr="00A47835">
        <w:rPr>
          <w:rFonts w:ascii="Times New Roman" w:hAnsi="Times New Roman" w:cs="Times New Roman"/>
        </w:rPr>
        <w:t xml:space="preserve"> </w:t>
      </w:r>
      <w:r w:rsidRPr="00A47835">
        <w:rPr>
          <w:rFonts w:ascii="Times New Roman" w:hAnsi="Times New Roman" w:cs="Times New Roman"/>
          <w:b/>
          <w:bCs/>
        </w:rPr>
        <w:t>2020</w:t>
      </w:r>
      <w:r w:rsidRPr="00A47835">
        <w:rPr>
          <w:rFonts w:ascii="Times New Roman" w:hAnsi="Times New Roman" w:cs="Times New Roman"/>
        </w:rPr>
        <w:t xml:space="preserve">, </w:t>
      </w:r>
      <w:r w:rsidRPr="00A47835">
        <w:rPr>
          <w:rFonts w:ascii="Times New Roman" w:hAnsi="Times New Roman" w:cs="Times New Roman"/>
          <w:i/>
          <w:iCs/>
        </w:rPr>
        <w:t>25</w:t>
      </w:r>
      <w:r w:rsidRPr="00A47835">
        <w:rPr>
          <w:rFonts w:ascii="Times New Roman" w:hAnsi="Times New Roman" w:cs="Times New Roman"/>
        </w:rPr>
        <w:t xml:space="preserve"> (6), 1340. https://doi.org/10.3390/molecules25061340.</w:t>
      </w:r>
    </w:p>
    <w:p w14:paraId="5DBBA46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(169)</w:t>
      </w:r>
      <w:r w:rsidRPr="00A47835">
        <w:rPr>
          <w:rFonts w:ascii="Times New Roman" w:hAnsi="Times New Roman" w:cs="Times New Roman"/>
        </w:rPr>
        <w:tab/>
        <w:t xml:space="preserve">Zack, K. M.; Sorenson, T.; Joshi, S. G. Types and Mechanisms of Efflux Pump Systems and the Potential of Efflux Pump Inhibitors in the Restoration of Antimicrobial Susceptibility, with a Special Reference to Acinetobacter Baumannii. </w:t>
      </w:r>
      <w:r w:rsidRPr="00A47835">
        <w:rPr>
          <w:rFonts w:ascii="Times New Roman" w:hAnsi="Times New Roman" w:cs="Times New Roman"/>
          <w:i/>
          <w:iCs/>
        </w:rPr>
        <w:t>Pathogens</w:t>
      </w:r>
      <w:r w:rsidRPr="00A47835">
        <w:rPr>
          <w:rFonts w:ascii="Times New Roman" w:hAnsi="Times New Roman" w:cs="Times New Roman"/>
        </w:rPr>
        <w:t xml:space="preserve"> </w:t>
      </w:r>
      <w:r w:rsidRPr="00A47835">
        <w:rPr>
          <w:rFonts w:ascii="Times New Roman" w:hAnsi="Times New Roman" w:cs="Times New Roman"/>
          <w:b/>
          <w:bCs/>
        </w:rPr>
        <w:t>2024</w:t>
      </w:r>
      <w:r w:rsidRPr="00A47835">
        <w:rPr>
          <w:rFonts w:ascii="Times New Roman" w:hAnsi="Times New Roman" w:cs="Times New Roman"/>
        </w:rPr>
        <w:t xml:space="preserve">, </w:t>
      </w:r>
      <w:r w:rsidRPr="00A47835">
        <w:rPr>
          <w:rFonts w:ascii="Times New Roman" w:hAnsi="Times New Roman" w:cs="Times New Roman"/>
          <w:i/>
          <w:iCs/>
        </w:rPr>
        <w:t>13</w:t>
      </w:r>
      <w:r w:rsidRPr="00A47835">
        <w:rPr>
          <w:rFonts w:ascii="Times New Roman" w:hAnsi="Times New Roman" w:cs="Times New Roman"/>
        </w:rPr>
        <w:t xml:space="preserve"> (3), 197. https://doi.org/10.3390/pathogens13030197.</w:t>
      </w:r>
    </w:p>
    <w:p w14:paraId="02A0142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(170)</w:t>
      </w:r>
      <w:r w:rsidRPr="00A47835">
        <w:rPr>
          <w:rFonts w:ascii="Times New Roman" w:hAnsi="Times New Roman" w:cs="Times New Roman"/>
        </w:rPr>
        <w:tab/>
        <w:t xml:space="preserve">He, X.; Lu, F.; Yuan, F.; Jiang, D.; Zhao, P.; Zhu, J.; Cheng, H.; Cao, J.; Lu, G. Biofilm Formation Caused by Clinical Acinetobacter Baumannii Isolates Is Associated with Overexpression of the AdeFGH Efflux Pump.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2015</w:t>
      </w:r>
      <w:r w:rsidRPr="00A47835">
        <w:rPr>
          <w:rFonts w:ascii="Times New Roman" w:hAnsi="Times New Roman" w:cs="Times New Roman"/>
        </w:rPr>
        <w:t xml:space="preserve">, </w:t>
      </w:r>
      <w:r w:rsidRPr="00A47835">
        <w:rPr>
          <w:rFonts w:ascii="Times New Roman" w:hAnsi="Times New Roman" w:cs="Times New Roman"/>
          <w:i/>
          <w:iCs/>
        </w:rPr>
        <w:t>59</w:t>
      </w:r>
      <w:r w:rsidRPr="00A47835">
        <w:rPr>
          <w:rFonts w:ascii="Times New Roman" w:hAnsi="Times New Roman" w:cs="Times New Roman"/>
        </w:rPr>
        <w:t xml:space="preserve"> (8), 4817–4825. https://doi.org/10.1128/AAC.00877-15.</w:t>
      </w:r>
    </w:p>
    <w:p w14:paraId="52314613"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(171)</w:t>
      </w:r>
      <w:r w:rsidRPr="00A47835">
        <w:rPr>
          <w:rFonts w:ascii="Times New Roman" w:hAnsi="Times New Roman" w:cs="Times New Roman"/>
        </w:rPr>
        <w:tab/>
        <w:t xml:space="preserve">Rosenfeld, N.; Bouchier, C.; Courvalin, P.; Périchon, B. Expression of the Resistance-Nodulation-Cell Division Pump AdeIJK in Acinetobacter Baumannii Is Regulated by AdeN, a TetR-Type Regulator.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2012</w:t>
      </w:r>
      <w:r w:rsidRPr="00A47835">
        <w:rPr>
          <w:rFonts w:ascii="Times New Roman" w:hAnsi="Times New Roman" w:cs="Times New Roman"/>
        </w:rPr>
        <w:t xml:space="preserve">, </w:t>
      </w:r>
      <w:r w:rsidRPr="00A47835">
        <w:rPr>
          <w:rFonts w:ascii="Times New Roman" w:hAnsi="Times New Roman" w:cs="Times New Roman"/>
          <w:i/>
          <w:iCs/>
        </w:rPr>
        <w:t>56</w:t>
      </w:r>
      <w:r w:rsidRPr="00A47835">
        <w:rPr>
          <w:rFonts w:ascii="Times New Roman" w:hAnsi="Times New Roman" w:cs="Times New Roman"/>
        </w:rPr>
        <w:t xml:space="preserve"> (5), 2504–2510. https://doi.org/10.1128/aac.06422-11.</w:t>
      </w:r>
    </w:p>
    <w:p w14:paraId="475A2C0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(172)</w:t>
      </w:r>
      <w:r w:rsidRPr="00A47835">
        <w:rPr>
          <w:rFonts w:ascii="Times New Roman" w:hAnsi="Times New Roman" w:cs="Times New Roman"/>
        </w:rPr>
        <w:tab/>
      </w:r>
      <w:r w:rsidRPr="00A47835">
        <w:rPr>
          <w:rFonts w:ascii="Times New Roman" w:hAnsi="Times New Roman" w:cs="Times New Roman"/>
          <w:i/>
          <w:iCs/>
        </w:rPr>
        <w:t>About erythromycin</w:t>
      </w:r>
      <w:r w:rsidRPr="00A47835">
        <w:rPr>
          <w:rFonts w:ascii="Times New Roman" w:hAnsi="Times New Roman" w:cs="Times New Roman"/>
        </w:rPr>
        <w:t>. nhs.uk. https://www.nhs.uk/medicines/erythromycin/about-erythromycin/ (accessed 2024-01-12).</w:t>
      </w:r>
    </w:p>
    <w:p w14:paraId="69590E2B"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lastRenderedPageBreak/>
        <w:t>(173)</w:t>
      </w:r>
      <w:r w:rsidRPr="00A47835">
        <w:rPr>
          <w:rFonts w:ascii="Times New Roman" w:hAnsi="Times New Roman" w:cs="Times New Roman"/>
        </w:rPr>
        <w:tab/>
        <w:t xml:space="preserve">Zhang, Z.; Morgan, C. E.; Bonomo, R. A.; Yu, E. W. Cryo-EM Structures of the Klebsiella Pneumoniae AcrB Multidrug Efflux Pump.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2023</w:t>
      </w:r>
      <w:r w:rsidRPr="00A47835">
        <w:rPr>
          <w:rFonts w:ascii="Times New Roman" w:hAnsi="Times New Roman" w:cs="Times New Roman"/>
        </w:rPr>
        <w:t xml:space="preserve">, </w:t>
      </w:r>
      <w:r w:rsidRPr="00A47835">
        <w:rPr>
          <w:rFonts w:ascii="Times New Roman" w:hAnsi="Times New Roman" w:cs="Times New Roman"/>
          <w:i/>
          <w:iCs/>
        </w:rPr>
        <w:t>14</w:t>
      </w:r>
      <w:r w:rsidRPr="00A47835">
        <w:rPr>
          <w:rFonts w:ascii="Times New Roman" w:hAnsi="Times New Roman" w:cs="Times New Roman"/>
        </w:rPr>
        <w:t xml:space="preserve"> (3), e0065923. https://doi.org/10.1128/mbio.00659-23.</w:t>
      </w:r>
    </w:p>
    <w:p w14:paraId="188175D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(174)</w:t>
      </w:r>
      <w:r w:rsidRPr="00A47835">
        <w:rPr>
          <w:rFonts w:ascii="Times New Roman" w:hAnsi="Times New Roman" w:cs="Times New Roman"/>
        </w:rPr>
        <w:tab/>
        <w:t xml:space="preserve">Zhang, Z.; Morgan, C. E.; Bonomo, R. A.; Yu, E. W. Cryo-EM Determination of Eravacycline-Bound Structures of the Ribosome and the Multidrug Efflux Pump AdeJ of Acinetobacter Baumannii.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(3), e0103121. https://doi.org/10.1128/mbio.01031-21.</w:t>
      </w:r>
    </w:p>
    <w:p w14:paraId="39929A5D"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(175)</w:t>
      </w:r>
      <w:r w:rsidRPr="00A47835">
        <w:rPr>
          <w:rFonts w:ascii="Times New Roman" w:hAnsi="Times New Roman" w:cs="Times New Roman"/>
        </w:rPr>
        <w:tab/>
        <w:t xml:space="preserve">Su, C.-C.; Morgan, C. E.; Kambakam, S.; Rajavel, M.; Scott, H.; Huang, W.; Emerson, C. C.; Taylor, D. J.; Stewart, P. L.; Bonomo, R. A.; Yu, E. W. Cryo-Electron Microscopy Structure of an Acinetobacter Baumannii Multidrug Efflux Pump.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2019</w:t>
      </w:r>
      <w:r w:rsidRPr="00A47835">
        <w:rPr>
          <w:rFonts w:ascii="Times New Roman" w:hAnsi="Times New Roman" w:cs="Times New Roman"/>
        </w:rPr>
        <w:t xml:space="preserve">, </w:t>
      </w:r>
      <w:r w:rsidRPr="00A47835">
        <w:rPr>
          <w:rFonts w:ascii="Times New Roman" w:hAnsi="Times New Roman" w:cs="Times New Roman"/>
          <w:i/>
          <w:iCs/>
        </w:rPr>
        <w:t>10</w:t>
      </w:r>
      <w:r w:rsidRPr="00A47835">
        <w:rPr>
          <w:rFonts w:ascii="Times New Roman" w:hAnsi="Times New Roman" w:cs="Times New Roman"/>
        </w:rPr>
        <w:t xml:space="preserve"> (4), 10.1128/mbio.01295-19. https://doi.org/10.1128/mbio.01295-19.</w:t>
      </w:r>
    </w:p>
    <w:p w14:paraId="4838B2C8"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(176)</w:t>
      </w:r>
      <w:r w:rsidRPr="00A47835">
        <w:rPr>
          <w:rFonts w:ascii="Times New Roman" w:hAnsi="Times New Roman" w:cs="Times New Roman"/>
        </w:rPr>
        <w:tab/>
        <w:t xml:space="preserve">Morgan, C. E.; Glaza, P.; Leus, I. V.; Trinh, A.; Su, C.-C.; Cui, M.; Zgurskaya, H. I.; Yu, E. W. Cryoelectron Microscopy Structures of AdeB Illuminate Mechanisms of Simultaneous Binding and Exporting of Substrates. </w:t>
      </w:r>
      <w:r w:rsidRPr="00A47835">
        <w:rPr>
          <w:rFonts w:ascii="Times New Roman" w:hAnsi="Times New Roman" w:cs="Times New Roman"/>
          <w:i/>
          <w:iCs/>
        </w:rPr>
        <w:t>mBio</w:t>
      </w:r>
      <w:r w:rsidRPr="00A47835">
        <w:rPr>
          <w:rFonts w:ascii="Times New Roman" w:hAnsi="Times New Roman" w:cs="Times New Roman"/>
        </w:rPr>
        <w:t xml:space="preserve"> </w:t>
      </w:r>
      <w:r w:rsidRPr="00A47835">
        <w:rPr>
          <w:rFonts w:ascii="Times New Roman" w:hAnsi="Times New Roman" w:cs="Times New Roman"/>
          <w:b/>
          <w:bCs/>
        </w:rPr>
        <w:t>2021</w:t>
      </w:r>
      <w:r w:rsidRPr="00A47835">
        <w:rPr>
          <w:rFonts w:ascii="Times New Roman" w:hAnsi="Times New Roman" w:cs="Times New Roman"/>
        </w:rPr>
        <w:t xml:space="preserve">, </w:t>
      </w:r>
      <w:r w:rsidRPr="00A47835">
        <w:rPr>
          <w:rFonts w:ascii="Times New Roman" w:hAnsi="Times New Roman" w:cs="Times New Roman"/>
          <w:i/>
          <w:iCs/>
        </w:rPr>
        <w:t>12</w:t>
      </w:r>
      <w:r w:rsidRPr="00A47835">
        <w:rPr>
          <w:rFonts w:ascii="Times New Roman" w:hAnsi="Times New Roman" w:cs="Times New Roman"/>
        </w:rPr>
        <w:t xml:space="preserve"> (1), e03690-20. https://doi.org/10.1128/mBio.03690-20.</w:t>
      </w:r>
    </w:p>
    <w:p w14:paraId="422F8A0F" w14:textId="77777777" w:rsidR="00A47835" w:rsidRPr="00A47835" w:rsidRDefault="00A47835" w:rsidP="00A47835">
      <w:pPr>
        <w:pStyle w:val="Bibliography"/>
        <w:rPr>
          <w:rFonts w:ascii="Times New Roman" w:hAnsi="Times New Roman" w:cs="Times New Roman"/>
        </w:rPr>
      </w:pPr>
      <w:r w:rsidRPr="00A47835">
        <w:rPr>
          <w:rFonts w:ascii="Times New Roman" w:hAnsi="Times New Roman" w:cs="Times New Roman"/>
        </w:rPr>
        <w:t>(177)</w:t>
      </w:r>
      <w:r w:rsidRPr="00A47835">
        <w:rPr>
          <w:rFonts w:ascii="Times New Roman" w:hAnsi="Times New Roman" w:cs="Times New Roman"/>
        </w:rPr>
        <w:tab/>
        <w:t xml:space="preserve">Kaatz, G. W.; Seo, S. M.; Ruble, C. A. Efflux-Mediated Fluoroquinolone Resistance in Staphylococcus Aureus. </w:t>
      </w:r>
      <w:r w:rsidRPr="00A47835">
        <w:rPr>
          <w:rFonts w:ascii="Times New Roman" w:hAnsi="Times New Roman" w:cs="Times New Roman"/>
          <w:i/>
          <w:iCs/>
        </w:rPr>
        <w:t>Antimicrob. Agents Chemother.</w:t>
      </w:r>
      <w:r w:rsidRPr="00A47835">
        <w:rPr>
          <w:rFonts w:ascii="Times New Roman" w:hAnsi="Times New Roman" w:cs="Times New Roman"/>
        </w:rPr>
        <w:t xml:space="preserve"> </w:t>
      </w:r>
      <w:r w:rsidRPr="00A47835">
        <w:rPr>
          <w:rFonts w:ascii="Times New Roman" w:hAnsi="Times New Roman" w:cs="Times New Roman"/>
          <w:b/>
          <w:bCs/>
        </w:rPr>
        <w:t>1993</w:t>
      </w:r>
      <w:r w:rsidRPr="00A47835">
        <w:rPr>
          <w:rFonts w:ascii="Times New Roman" w:hAnsi="Times New Roman" w:cs="Times New Roman"/>
        </w:rPr>
        <w:t xml:space="preserve">, </w:t>
      </w:r>
      <w:r w:rsidRPr="00A47835">
        <w:rPr>
          <w:rFonts w:ascii="Times New Roman" w:hAnsi="Times New Roman" w:cs="Times New Roman"/>
          <w:i/>
          <w:iCs/>
        </w:rPr>
        <w:t>37</w:t>
      </w:r>
      <w:r w:rsidRPr="00A47835">
        <w:rPr>
          <w:rFonts w:ascii="Times New Roman" w:hAnsi="Times New Roman" w:cs="Times New Roman"/>
        </w:rPr>
        <w:t xml:space="preserve"> (5), 1086–1094.</w:t>
      </w:r>
    </w:p>
    <w:p w14:paraId="49A90926" w14:textId="3190EDCD" w:rsidR="005379D5" w:rsidRPr="00734E96" w:rsidRDefault="005379D5" w:rsidP="00FD502E">
      <w:pPr>
        <w:rPr>
          <w:sz w:val="24"/>
          <w:szCs w:val="24"/>
        </w:rPr>
      </w:pPr>
      <w:r>
        <w:rPr>
          <w:sz w:val="24"/>
          <w:szCs w:val="24"/>
        </w:rPr>
        <w:fldChar w:fldCharType="end"/>
      </w:r>
      <w:bookmarkEnd w:id="19"/>
    </w:p>
    <w:p w14:paraId="50ACD309" w14:textId="4A696210" w:rsidR="00FD502E" w:rsidRDefault="00FD502E" w:rsidP="00FD502E">
      <w:pPr>
        <w:rPr>
          <w:b/>
          <w:bCs/>
          <w:sz w:val="24"/>
          <w:szCs w:val="24"/>
        </w:rPr>
      </w:pPr>
      <w:r w:rsidRPr="00734E96">
        <w:rPr>
          <w:b/>
          <w:bCs/>
          <w:sz w:val="24"/>
          <w:szCs w:val="24"/>
        </w:rPr>
        <w:t>Appendices</w:t>
      </w:r>
    </w:p>
    <w:p w14:paraId="5EF37101" w14:textId="08CCB7B4" w:rsidR="00DE5416" w:rsidRDefault="00DE5416" w:rsidP="00FD502E">
      <w:pPr>
        <w:rPr>
          <w:sz w:val="24"/>
          <w:szCs w:val="24"/>
          <w:u w:val="single"/>
        </w:rPr>
      </w:pPr>
      <w:r>
        <w:rPr>
          <w:sz w:val="24"/>
          <w:szCs w:val="24"/>
          <w:u w:val="single"/>
        </w:rPr>
        <w:t xml:space="preserve">List of Tables and Figures </w:t>
      </w:r>
    </w:p>
    <w:tbl>
      <w:tblPr>
        <w:tblStyle w:val="TableGrid"/>
        <w:tblpPr w:leftFromText="180" w:rightFromText="180" w:vertAnchor="text" w:horzAnchor="margin" w:tblpY="49"/>
        <w:tblW w:w="0" w:type="auto"/>
        <w:tblLook w:val="04A0" w:firstRow="1" w:lastRow="0" w:firstColumn="1" w:lastColumn="0" w:noHBand="0" w:noVBand="1"/>
      </w:tblPr>
      <w:tblGrid>
        <w:gridCol w:w="8630"/>
      </w:tblGrid>
      <w:tr w:rsidR="00C93FF8" w14:paraId="3ACA4376" w14:textId="77777777" w:rsidTr="00F570EC">
        <w:trPr>
          <w:trHeight w:val="432"/>
        </w:trPr>
        <w:tc>
          <w:tcPr>
            <w:tcW w:w="8630" w:type="dxa"/>
            <w:vAlign w:val="center"/>
          </w:tcPr>
          <w:p w14:paraId="3C7049C1" w14:textId="039D8D8A" w:rsidR="00C93FF8" w:rsidRDefault="00C93FF8" w:rsidP="004A7526">
            <w:pPr>
              <w:rPr>
                <w:rFonts w:ascii="Times New Roman" w:hAnsi="Times New Roman" w:cs="Times New Roman"/>
                <w:sz w:val="24"/>
                <w:szCs w:val="24"/>
              </w:rPr>
            </w:pPr>
            <w:bookmarkStart w:id="20" w:name="_Hlk160539027"/>
            <w:r>
              <w:rPr>
                <w:rFonts w:ascii="Times New Roman" w:hAnsi="Times New Roman" w:cs="Times New Roman"/>
                <w:sz w:val="24"/>
                <w:szCs w:val="24"/>
              </w:rPr>
              <w:t xml:space="preserve">Fig. 1.1 – Representation of </w:t>
            </w:r>
            <w:r w:rsidR="003A5E63">
              <w:rPr>
                <w:rFonts w:ascii="Times New Roman" w:hAnsi="Times New Roman" w:cs="Times New Roman"/>
                <w:sz w:val="24"/>
                <w:szCs w:val="24"/>
              </w:rPr>
              <w:t xml:space="preserve"> methylation of 16S and 23S ribosomal RNA ………</w:t>
            </w:r>
            <w:r w:rsidR="008E6443">
              <w:rPr>
                <w:rFonts w:ascii="Times New Roman" w:hAnsi="Times New Roman" w:cs="Times New Roman"/>
                <w:sz w:val="24"/>
                <w:szCs w:val="24"/>
              </w:rPr>
              <w:t>…...</w:t>
            </w:r>
            <w:r w:rsidR="00652721">
              <w:rPr>
                <w:rFonts w:ascii="Times New Roman" w:hAnsi="Times New Roman" w:cs="Times New Roman"/>
                <w:sz w:val="24"/>
                <w:szCs w:val="24"/>
              </w:rPr>
              <w:t>2</w:t>
            </w:r>
          </w:p>
        </w:tc>
      </w:tr>
      <w:tr w:rsidR="00C93FF8" w14:paraId="748A2D62" w14:textId="77777777" w:rsidTr="00F570EC">
        <w:trPr>
          <w:trHeight w:val="432"/>
        </w:trPr>
        <w:tc>
          <w:tcPr>
            <w:tcW w:w="8630" w:type="dxa"/>
            <w:vAlign w:val="center"/>
          </w:tcPr>
          <w:p w14:paraId="7C8AD13E" w14:textId="4509E942"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Fig. 1.2 – Representation of </w:t>
            </w:r>
            <w:r w:rsidR="003A5E63" w:rsidRPr="002455C9">
              <w:rPr>
                <w:rFonts w:cstheme="minorHAnsi"/>
                <w:sz w:val="24"/>
                <w:szCs w:val="24"/>
              </w:rPr>
              <w:t xml:space="preserve"> β-lactam</w:t>
            </w:r>
            <w:r w:rsidR="003A5E63">
              <w:rPr>
                <w:rFonts w:cstheme="minorHAnsi"/>
                <w:sz w:val="24"/>
                <w:szCs w:val="24"/>
              </w:rPr>
              <w:t xml:space="preserve"> modification </w:t>
            </w:r>
            <w:r w:rsidR="003A5E63" w:rsidRPr="00852BE7">
              <w:rPr>
                <w:rFonts w:ascii="Times New Roman" w:hAnsi="Times New Roman" w:cs="Times New Roman"/>
                <w:sz w:val="24"/>
                <w:szCs w:val="24"/>
              </w:rPr>
              <w:t>of  β-lactamase</w:t>
            </w:r>
            <w:r w:rsidR="003A5E63">
              <w:rPr>
                <w:rFonts w:ascii="Times New Roman" w:hAnsi="Times New Roman" w:cs="Times New Roman"/>
                <w:sz w:val="24"/>
                <w:szCs w:val="24"/>
              </w:rPr>
              <w:t xml:space="preserve"> ……</w:t>
            </w:r>
            <w:r>
              <w:rPr>
                <w:rFonts w:ascii="Times New Roman" w:hAnsi="Times New Roman" w:cs="Times New Roman"/>
                <w:sz w:val="24"/>
                <w:szCs w:val="24"/>
              </w:rPr>
              <w:t>……………</w:t>
            </w:r>
            <w:r w:rsidR="008E6443">
              <w:rPr>
                <w:rFonts w:ascii="Times New Roman" w:hAnsi="Times New Roman" w:cs="Times New Roman"/>
                <w:sz w:val="24"/>
                <w:szCs w:val="24"/>
              </w:rPr>
              <w:t>.</w:t>
            </w:r>
            <w:r w:rsidR="00652721">
              <w:rPr>
                <w:rFonts w:ascii="Times New Roman" w:hAnsi="Times New Roman" w:cs="Times New Roman"/>
                <w:sz w:val="24"/>
                <w:szCs w:val="24"/>
              </w:rPr>
              <w:t>3</w:t>
            </w:r>
          </w:p>
        </w:tc>
      </w:tr>
      <w:tr w:rsidR="00C93FF8" w14:paraId="25526AF3" w14:textId="77777777" w:rsidTr="00F570EC">
        <w:trPr>
          <w:trHeight w:val="432"/>
        </w:trPr>
        <w:tc>
          <w:tcPr>
            <w:tcW w:w="8630" w:type="dxa"/>
            <w:vAlign w:val="center"/>
          </w:tcPr>
          <w:p w14:paraId="73FBFE29" w14:textId="2FB138F1"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Fig. 1.3 – Representation of </w:t>
            </w:r>
            <w:r w:rsidRPr="002455C9">
              <w:rPr>
                <w:rFonts w:cstheme="minorHAnsi"/>
                <w:sz w:val="24"/>
                <w:szCs w:val="24"/>
              </w:rPr>
              <w:t xml:space="preserve"> </w:t>
            </w:r>
            <w:r w:rsidR="002C7B55">
              <w:rPr>
                <w:rFonts w:cstheme="minorHAnsi"/>
                <w:sz w:val="24"/>
                <w:szCs w:val="24"/>
              </w:rPr>
              <w:t>antibiotic resistance mechanisms in the cell envelope</w:t>
            </w:r>
            <w:r>
              <w:rPr>
                <w:rFonts w:ascii="Times New Roman" w:hAnsi="Times New Roman" w:cs="Times New Roman"/>
                <w:sz w:val="24"/>
                <w:szCs w:val="24"/>
              </w:rPr>
              <w:t>…..</w:t>
            </w:r>
            <w:r w:rsidR="00652721">
              <w:rPr>
                <w:rFonts w:ascii="Times New Roman" w:hAnsi="Times New Roman" w:cs="Times New Roman"/>
                <w:sz w:val="24"/>
                <w:szCs w:val="24"/>
              </w:rPr>
              <w:t>4</w:t>
            </w:r>
          </w:p>
        </w:tc>
      </w:tr>
      <w:tr w:rsidR="00C93FF8" w14:paraId="04B92499" w14:textId="77777777" w:rsidTr="00F570EC">
        <w:trPr>
          <w:trHeight w:val="432"/>
        </w:trPr>
        <w:tc>
          <w:tcPr>
            <w:tcW w:w="8630" w:type="dxa"/>
            <w:vAlign w:val="center"/>
          </w:tcPr>
          <w:p w14:paraId="65DDB016" w14:textId="51BEB8FB"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Fig. 1.4 – Representation of </w:t>
            </w:r>
            <w:r w:rsidR="00D26E4D">
              <w:rPr>
                <w:rFonts w:ascii="Times New Roman" w:hAnsi="Times New Roman" w:cs="Times New Roman"/>
                <w:sz w:val="24"/>
                <w:szCs w:val="24"/>
              </w:rPr>
              <w:t>m</w:t>
            </w:r>
            <w:r>
              <w:rPr>
                <w:rFonts w:ascii="Times New Roman" w:hAnsi="Times New Roman" w:cs="Times New Roman"/>
                <w:sz w:val="24"/>
                <w:szCs w:val="24"/>
              </w:rPr>
              <w:t xml:space="preserve">echanisms to </w:t>
            </w:r>
            <w:r w:rsidR="00D26E4D">
              <w:rPr>
                <w:rFonts w:ascii="Times New Roman" w:hAnsi="Times New Roman" w:cs="Times New Roman"/>
                <w:sz w:val="24"/>
                <w:szCs w:val="24"/>
              </w:rPr>
              <w:t>r</w:t>
            </w:r>
            <w:r>
              <w:rPr>
                <w:rFonts w:ascii="Times New Roman" w:hAnsi="Times New Roman" w:cs="Times New Roman"/>
                <w:sz w:val="24"/>
                <w:szCs w:val="24"/>
              </w:rPr>
              <w:t xml:space="preserve">educe </w:t>
            </w:r>
            <w:r w:rsidR="00D26E4D">
              <w:rPr>
                <w:rFonts w:ascii="Times New Roman" w:hAnsi="Times New Roman" w:cs="Times New Roman"/>
                <w:sz w:val="24"/>
                <w:szCs w:val="24"/>
              </w:rPr>
              <w:t>a</w:t>
            </w:r>
            <w:r>
              <w:rPr>
                <w:rFonts w:ascii="Times New Roman" w:hAnsi="Times New Roman" w:cs="Times New Roman"/>
                <w:sz w:val="24"/>
                <w:szCs w:val="24"/>
              </w:rPr>
              <w:t xml:space="preserve">ntibiotic </w:t>
            </w:r>
            <w:r w:rsidR="00D26E4D">
              <w:rPr>
                <w:rFonts w:ascii="Times New Roman" w:hAnsi="Times New Roman" w:cs="Times New Roman"/>
                <w:sz w:val="24"/>
                <w:szCs w:val="24"/>
              </w:rPr>
              <w:t>a</w:t>
            </w:r>
            <w:r>
              <w:rPr>
                <w:rFonts w:ascii="Times New Roman" w:hAnsi="Times New Roman" w:cs="Times New Roman"/>
                <w:sz w:val="24"/>
                <w:szCs w:val="24"/>
              </w:rPr>
              <w:t>ccumulation………</w:t>
            </w:r>
            <w:r w:rsidR="008E6443">
              <w:rPr>
                <w:rFonts w:ascii="Times New Roman" w:hAnsi="Times New Roman" w:cs="Times New Roman"/>
                <w:sz w:val="24"/>
                <w:szCs w:val="24"/>
              </w:rPr>
              <w:t>…..</w:t>
            </w:r>
            <w:r w:rsidR="00652721">
              <w:rPr>
                <w:rFonts w:ascii="Times New Roman" w:hAnsi="Times New Roman" w:cs="Times New Roman"/>
                <w:sz w:val="24"/>
                <w:szCs w:val="24"/>
              </w:rPr>
              <w:t>5</w:t>
            </w:r>
          </w:p>
        </w:tc>
      </w:tr>
      <w:tr w:rsidR="00C93FF8" w14:paraId="7F5F6E92" w14:textId="77777777" w:rsidTr="00F570EC">
        <w:trPr>
          <w:trHeight w:val="432"/>
        </w:trPr>
        <w:tc>
          <w:tcPr>
            <w:tcW w:w="8630" w:type="dxa"/>
            <w:vAlign w:val="center"/>
          </w:tcPr>
          <w:p w14:paraId="4DBDA493" w14:textId="40865520" w:rsidR="00C93FF8" w:rsidRPr="00852BE7" w:rsidRDefault="00C93FF8" w:rsidP="004A7526">
            <w:r>
              <w:rPr>
                <w:rFonts w:ascii="Times New Roman" w:hAnsi="Times New Roman" w:cs="Times New Roman"/>
                <w:sz w:val="24"/>
                <w:szCs w:val="24"/>
              </w:rPr>
              <w:t xml:space="preserve">Fig 1.5 – Gram-negative cell envelope of </w:t>
            </w:r>
            <w:r w:rsidRPr="00852BE7">
              <w:rPr>
                <w:rFonts w:ascii="Times New Roman" w:hAnsi="Times New Roman" w:cs="Times New Roman"/>
                <w:i/>
                <w:iCs/>
                <w:sz w:val="24"/>
                <w:szCs w:val="24"/>
              </w:rPr>
              <w:t>Acinetobacter baumannii</w:t>
            </w:r>
            <w:r w:rsidRPr="00852BE7">
              <w:rPr>
                <w:rFonts w:ascii="Times New Roman" w:hAnsi="Times New Roman" w:cs="Times New Roman"/>
                <w:sz w:val="24"/>
                <w:szCs w:val="24"/>
              </w:rPr>
              <w:t>…………………..</w:t>
            </w:r>
            <w:r w:rsidR="00652721">
              <w:rPr>
                <w:rFonts w:ascii="Times New Roman" w:hAnsi="Times New Roman" w:cs="Times New Roman"/>
                <w:sz w:val="24"/>
                <w:szCs w:val="24"/>
              </w:rPr>
              <w:t>7</w:t>
            </w:r>
            <w:r>
              <w:t xml:space="preserve"> </w:t>
            </w:r>
          </w:p>
        </w:tc>
      </w:tr>
      <w:tr w:rsidR="00C93FF8" w14:paraId="2A1D905C" w14:textId="77777777" w:rsidTr="00F570EC">
        <w:trPr>
          <w:trHeight w:val="432"/>
        </w:trPr>
        <w:tc>
          <w:tcPr>
            <w:tcW w:w="8630" w:type="dxa"/>
            <w:vAlign w:val="center"/>
          </w:tcPr>
          <w:p w14:paraId="0B21C8B5" w14:textId="4FE918C8"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Fig. 1.6 – Efflux </w:t>
            </w:r>
            <w:r w:rsidR="00D26E4D">
              <w:rPr>
                <w:rFonts w:ascii="Times New Roman" w:hAnsi="Times New Roman" w:cs="Times New Roman"/>
                <w:sz w:val="24"/>
                <w:szCs w:val="24"/>
              </w:rPr>
              <w:t>p</w:t>
            </w:r>
            <w:r>
              <w:rPr>
                <w:rFonts w:ascii="Times New Roman" w:hAnsi="Times New Roman" w:cs="Times New Roman"/>
                <w:sz w:val="24"/>
                <w:szCs w:val="24"/>
              </w:rPr>
              <w:t xml:space="preserve">ump </w:t>
            </w:r>
            <w:r w:rsidR="00D26E4D">
              <w:rPr>
                <w:rFonts w:ascii="Times New Roman" w:hAnsi="Times New Roman" w:cs="Times New Roman"/>
                <w:sz w:val="24"/>
                <w:szCs w:val="24"/>
              </w:rPr>
              <w:t>f</w:t>
            </w:r>
            <w:r>
              <w:rPr>
                <w:rFonts w:ascii="Times New Roman" w:hAnsi="Times New Roman" w:cs="Times New Roman"/>
                <w:sz w:val="24"/>
                <w:szCs w:val="24"/>
              </w:rPr>
              <w:t>amilies………………………………………………………</w:t>
            </w:r>
            <w:r w:rsidR="008E6443">
              <w:rPr>
                <w:rFonts w:ascii="Times New Roman" w:hAnsi="Times New Roman" w:cs="Times New Roman"/>
                <w:sz w:val="24"/>
                <w:szCs w:val="24"/>
              </w:rPr>
              <w:t>...</w:t>
            </w:r>
            <w:r w:rsidR="00652721">
              <w:rPr>
                <w:rFonts w:ascii="Times New Roman" w:hAnsi="Times New Roman" w:cs="Times New Roman"/>
                <w:sz w:val="24"/>
                <w:szCs w:val="24"/>
              </w:rPr>
              <w:t>8</w:t>
            </w:r>
          </w:p>
        </w:tc>
      </w:tr>
      <w:tr w:rsidR="00C93FF8" w14:paraId="3C8A825E" w14:textId="77777777" w:rsidTr="00F570EC">
        <w:trPr>
          <w:trHeight w:val="432"/>
        </w:trPr>
        <w:tc>
          <w:tcPr>
            <w:tcW w:w="8630" w:type="dxa"/>
            <w:vAlign w:val="center"/>
          </w:tcPr>
          <w:p w14:paraId="4B37F3A3" w14:textId="44A1553C"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Fig. 1.7 – </w:t>
            </w:r>
            <w:proofErr w:type="spellStart"/>
            <w:r w:rsidR="00F570EC">
              <w:rPr>
                <w:rFonts w:ascii="Times New Roman" w:hAnsi="Times New Roman" w:cs="Times New Roman"/>
                <w:sz w:val="24"/>
                <w:szCs w:val="24"/>
              </w:rPr>
              <w:t>AcrAB-TolC</w:t>
            </w:r>
            <w:proofErr w:type="spellEnd"/>
            <w:r w:rsidR="00F570EC">
              <w:rPr>
                <w:rFonts w:ascii="Times New Roman" w:hAnsi="Times New Roman" w:cs="Times New Roman"/>
                <w:sz w:val="24"/>
                <w:szCs w:val="24"/>
              </w:rPr>
              <w:t xml:space="preserve"> protomers and tripartite complex </w:t>
            </w:r>
            <w:r>
              <w:rPr>
                <w:rFonts w:ascii="Times New Roman" w:hAnsi="Times New Roman" w:cs="Times New Roman"/>
                <w:sz w:val="24"/>
                <w:szCs w:val="24"/>
              </w:rPr>
              <w:t>………………………</w:t>
            </w:r>
            <w:r w:rsidR="00652721">
              <w:rPr>
                <w:rFonts w:ascii="Times New Roman" w:hAnsi="Times New Roman" w:cs="Times New Roman"/>
                <w:sz w:val="24"/>
                <w:szCs w:val="24"/>
              </w:rPr>
              <w:t>..</w:t>
            </w:r>
            <w:r>
              <w:rPr>
                <w:rFonts w:ascii="Times New Roman" w:hAnsi="Times New Roman" w:cs="Times New Roman"/>
                <w:sz w:val="24"/>
                <w:szCs w:val="24"/>
              </w:rPr>
              <w:t>……</w:t>
            </w:r>
            <w:r w:rsidR="00652721">
              <w:rPr>
                <w:rFonts w:ascii="Times New Roman" w:hAnsi="Times New Roman" w:cs="Times New Roman"/>
                <w:sz w:val="24"/>
                <w:szCs w:val="24"/>
              </w:rPr>
              <w:t>9</w:t>
            </w:r>
          </w:p>
        </w:tc>
      </w:tr>
      <w:tr w:rsidR="00F570EC" w14:paraId="4EC4DBA0" w14:textId="77777777" w:rsidTr="00F570EC">
        <w:trPr>
          <w:trHeight w:val="432"/>
        </w:trPr>
        <w:tc>
          <w:tcPr>
            <w:tcW w:w="8630" w:type="dxa"/>
            <w:vAlign w:val="center"/>
          </w:tcPr>
          <w:p w14:paraId="63ABBED5" w14:textId="174BCF55" w:rsidR="00F570EC" w:rsidRDefault="00F570EC" w:rsidP="004A7526">
            <w:pPr>
              <w:rPr>
                <w:rFonts w:ascii="Times New Roman" w:hAnsi="Times New Roman" w:cs="Times New Roman"/>
                <w:sz w:val="24"/>
                <w:szCs w:val="24"/>
              </w:rPr>
            </w:pPr>
            <w:r>
              <w:rPr>
                <w:rFonts w:ascii="Times New Roman" w:hAnsi="Times New Roman" w:cs="Times New Roman"/>
                <w:sz w:val="24"/>
                <w:szCs w:val="24"/>
              </w:rPr>
              <w:t>Fig. 1.8 – Diagram of AcrB trimer ……………………………………………………</w:t>
            </w:r>
            <w:r w:rsidR="008E6443">
              <w:rPr>
                <w:rFonts w:ascii="Times New Roman" w:hAnsi="Times New Roman" w:cs="Times New Roman"/>
                <w:sz w:val="24"/>
                <w:szCs w:val="24"/>
              </w:rPr>
              <w:t>1</w:t>
            </w:r>
            <w:r w:rsidR="00652721">
              <w:rPr>
                <w:rFonts w:ascii="Times New Roman" w:hAnsi="Times New Roman" w:cs="Times New Roman"/>
                <w:sz w:val="24"/>
                <w:szCs w:val="24"/>
              </w:rPr>
              <w:t>1</w:t>
            </w:r>
          </w:p>
        </w:tc>
      </w:tr>
      <w:tr w:rsidR="00F570EC" w14:paraId="1039901A" w14:textId="77777777" w:rsidTr="00F570EC">
        <w:trPr>
          <w:trHeight w:val="432"/>
        </w:trPr>
        <w:tc>
          <w:tcPr>
            <w:tcW w:w="8630" w:type="dxa"/>
            <w:vAlign w:val="center"/>
          </w:tcPr>
          <w:p w14:paraId="056509E7" w14:textId="6EFFD854" w:rsidR="00F570EC" w:rsidRDefault="00F570EC" w:rsidP="004A7526">
            <w:pPr>
              <w:rPr>
                <w:rFonts w:ascii="Times New Roman" w:hAnsi="Times New Roman" w:cs="Times New Roman"/>
                <w:sz w:val="24"/>
                <w:szCs w:val="24"/>
              </w:rPr>
            </w:pPr>
            <w:r>
              <w:rPr>
                <w:rFonts w:ascii="Times New Roman" w:hAnsi="Times New Roman" w:cs="Times New Roman"/>
                <w:sz w:val="24"/>
                <w:szCs w:val="24"/>
              </w:rPr>
              <w:t>Fig. 1.9 – AcrB trimer bound to three MBX3132 ……………………………………</w:t>
            </w:r>
            <w:r w:rsidR="008E6443">
              <w:rPr>
                <w:rFonts w:ascii="Times New Roman" w:hAnsi="Times New Roman" w:cs="Times New Roman"/>
                <w:sz w:val="24"/>
                <w:szCs w:val="24"/>
              </w:rPr>
              <w:t>.1</w:t>
            </w:r>
            <w:r w:rsidR="00652721">
              <w:rPr>
                <w:rFonts w:ascii="Times New Roman" w:hAnsi="Times New Roman" w:cs="Times New Roman"/>
                <w:sz w:val="24"/>
                <w:szCs w:val="24"/>
              </w:rPr>
              <w:t>3</w:t>
            </w:r>
          </w:p>
        </w:tc>
      </w:tr>
      <w:tr w:rsidR="00F570EC" w14:paraId="4100C28A" w14:textId="77777777" w:rsidTr="00F570EC">
        <w:trPr>
          <w:trHeight w:val="432"/>
        </w:trPr>
        <w:tc>
          <w:tcPr>
            <w:tcW w:w="8630" w:type="dxa"/>
            <w:vAlign w:val="center"/>
          </w:tcPr>
          <w:p w14:paraId="1654745D" w14:textId="2E1EC1DD" w:rsidR="00F570EC" w:rsidRDefault="00F570EC" w:rsidP="004A7526">
            <w:pPr>
              <w:rPr>
                <w:rFonts w:ascii="Times New Roman" w:hAnsi="Times New Roman" w:cs="Times New Roman"/>
                <w:sz w:val="24"/>
                <w:szCs w:val="24"/>
              </w:rPr>
            </w:pPr>
            <w:r>
              <w:rPr>
                <w:rFonts w:ascii="Times New Roman" w:hAnsi="Times New Roman" w:cs="Times New Roman"/>
                <w:sz w:val="24"/>
                <w:szCs w:val="24"/>
              </w:rPr>
              <w:t>Fig. 1.10 – Human host infection stress conditions …………………………………</w:t>
            </w:r>
            <w:r w:rsidR="008E6443">
              <w:rPr>
                <w:rFonts w:ascii="Times New Roman" w:hAnsi="Times New Roman" w:cs="Times New Roman"/>
                <w:sz w:val="24"/>
                <w:szCs w:val="24"/>
              </w:rPr>
              <w:t>..1</w:t>
            </w:r>
            <w:r w:rsidR="002C7B55">
              <w:rPr>
                <w:rFonts w:ascii="Times New Roman" w:hAnsi="Times New Roman" w:cs="Times New Roman"/>
                <w:sz w:val="24"/>
                <w:szCs w:val="24"/>
              </w:rPr>
              <w:t>8</w:t>
            </w:r>
          </w:p>
        </w:tc>
      </w:tr>
      <w:tr w:rsidR="00C93FF8" w14:paraId="3907E4EC" w14:textId="77777777" w:rsidTr="00F570EC">
        <w:trPr>
          <w:trHeight w:val="432"/>
        </w:trPr>
        <w:tc>
          <w:tcPr>
            <w:tcW w:w="8630" w:type="dxa"/>
            <w:vAlign w:val="center"/>
          </w:tcPr>
          <w:p w14:paraId="28B814EF" w14:textId="32DED059" w:rsidR="00C93FF8" w:rsidRDefault="008E6443" w:rsidP="004A7526">
            <w:pPr>
              <w:rPr>
                <w:rFonts w:ascii="Times New Roman" w:hAnsi="Times New Roman" w:cs="Times New Roman"/>
                <w:sz w:val="24"/>
                <w:szCs w:val="24"/>
              </w:rPr>
            </w:pPr>
            <w:r>
              <w:rPr>
                <w:rFonts w:ascii="Times New Roman" w:hAnsi="Times New Roman" w:cs="Times New Roman"/>
                <w:sz w:val="24"/>
                <w:szCs w:val="24"/>
              </w:rPr>
              <w:t xml:space="preserve">Fig. 1.11 – Structures of six </w:t>
            </w:r>
            <w:proofErr w:type="spellStart"/>
            <w:r>
              <w:rPr>
                <w:rFonts w:ascii="Times New Roman" w:hAnsi="Times New Roman" w:cs="Times New Roman"/>
                <w:sz w:val="24"/>
                <w:szCs w:val="24"/>
              </w:rPr>
              <w:t>Chembridge</w:t>
            </w:r>
            <w:proofErr w:type="spellEnd"/>
            <w:r>
              <w:rPr>
                <w:rFonts w:ascii="Times New Roman" w:hAnsi="Times New Roman" w:cs="Times New Roman"/>
                <w:sz w:val="24"/>
                <w:szCs w:val="24"/>
              </w:rPr>
              <w:t xml:space="preserve"> efflux pump inhibitors ……………………2</w:t>
            </w:r>
            <w:r w:rsidR="002C7B55">
              <w:rPr>
                <w:rFonts w:ascii="Times New Roman" w:hAnsi="Times New Roman" w:cs="Times New Roman"/>
                <w:sz w:val="24"/>
                <w:szCs w:val="24"/>
              </w:rPr>
              <w:t>5</w:t>
            </w:r>
          </w:p>
        </w:tc>
      </w:tr>
      <w:tr w:rsidR="008E6443" w14:paraId="1A4098AB" w14:textId="77777777" w:rsidTr="00F570EC">
        <w:trPr>
          <w:trHeight w:val="432"/>
        </w:trPr>
        <w:tc>
          <w:tcPr>
            <w:tcW w:w="8630" w:type="dxa"/>
            <w:vAlign w:val="center"/>
          </w:tcPr>
          <w:p w14:paraId="34181093" w14:textId="74B4469F" w:rsidR="008E6443" w:rsidRDefault="008E6443" w:rsidP="004A7526">
            <w:pPr>
              <w:rPr>
                <w:rFonts w:ascii="Times New Roman" w:hAnsi="Times New Roman" w:cs="Times New Roman"/>
                <w:sz w:val="24"/>
                <w:szCs w:val="24"/>
              </w:rPr>
            </w:pPr>
            <w:r>
              <w:rPr>
                <w:rFonts w:ascii="Times New Roman" w:hAnsi="Times New Roman" w:cs="Times New Roman"/>
                <w:sz w:val="24"/>
                <w:szCs w:val="24"/>
              </w:rPr>
              <w:t>Fig. 1.12 – Structure of four NSC efflux pump inhibitors ……………………………2</w:t>
            </w:r>
            <w:r w:rsidR="002C7B55">
              <w:rPr>
                <w:rFonts w:ascii="Times New Roman" w:hAnsi="Times New Roman" w:cs="Times New Roman"/>
                <w:sz w:val="24"/>
                <w:szCs w:val="24"/>
              </w:rPr>
              <w:t>6</w:t>
            </w:r>
          </w:p>
        </w:tc>
      </w:tr>
      <w:tr w:rsidR="008E6443" w14:paraId="283C5F4E" w14:textId="77777777" w:rsidTr="00F570EC">
        <w:trPr>
          <w:trHeight w:val="432"/>
        </w:trPr>
        <w:tc>
          <w:tcPr>
            <w:tcW w:w="8630" w:type="dxa"/>
            <w:vAlign w:val="center"/>
          </w:tcPr>
          <w:p w14:paraId="5E84D06A" w14:textId="77777777" w:rsidR="008E6443" w:rsidRDefault="008E6443" w:rsidP="004A7526">
            <w:pPr>
              <w:rPr>
                <w:rFonts w:ascii="Times New Roman" w:hAnsi="Times New Roman" w:cs="Times New Roman"/>
                <w:sz w:val="24"/>
                <w:szCs w:val="24"/>
              </w:rPr>
            </w:pPr>
          </w:p>
        </w:tc>
      </w:tr>
      <w:tr w:rsidR="00C93FF8" w14:paraId="5B56AC90" w14:textId="77777777" w:rsidTr="00F570EC">
        <w:trPr>
          <w:trHeight w:val="432"/>
        </w:trPr>
        <w:tc>
          <w:tcPr>
            <w:tcW w:w="8630" w:type="dxa"/>
            <w:vAlign w:val="center"/>
          </w:tcPr>
          <w:p w14:paraId="7EE6123D" w14:textId="62682F1D"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Table 2.1 – List of </w:t>
            </w:r>
            <w:r w:rsidR="00F570EC">
              <w:rPr>
                <w:rFonts w:ascii="Times New Roman" w:hAnsi="Times New Roman" w:cs="Times New Roman"/>
                <w:sz w:val="24"/>
                <w:szCs w:val="24"/>
              </w:rPr>
              <w:t>b</w:t>
            </w:r>
            <w:r>
              <w:rPr>
                <w:rFonts w:ascii="Times New Roman" w:hAnsi="Times New Roman" w:cs="Times New Roman"/>
                <w:sz w:val="24"/>
                <w:szCs w:val="24"/>
              </w:rPr>
              <w:t xml:space="preserve">acterial </w:t>
            </w:r>
            <w:r w:rsidR="00F570EC">
              <w:rPr>
                <w:rFonts w:ascii="Times New Roman" w:hAnsi="Times New Roman" w:cs="Times New Roman"/>
                <w:sz w:val="24"/>
                <w:szCs w:val="24"/>
              </w:rPr>
              <w:t>s</w:t>
            </w:r>
            <w:r>
              <w:rPr>
                <w:rFonts w:ascii="Times New Roman" w:hAnsi="Times New Roman" w:cs="Times New Roman"/>
                <w:sz w:val="24"/>
                <w:szCs w:val="24"/>
              </w:rPr>
              <w:t xml:space="preserve">trains used in these </w:t>
            </w:r>
            <w:r w:rsidR="00F570EC">
              <w:rPr>
                <w:rFonts w:ascii="Times New Roman" w:hAnsi="Times New Roman" w:cs="Times New Roman"/>
                <w:sz w:val="24"/>
                <w:szCs w:val="24"/>
              </w:rPr>
              <w:t>s</w:t>
            </w:r>
            <w:r>
              <w:rPr>
                <w:rFonts w:ascii="Times New Roman" w:hAnsi="Times New Roman" w:cs="Times New Roman"/>
                <w:sz w:val="24"/>
                <w:szCs w:val="24"/>
              </w:rPr>
              <w:t>tudies……………………………</w:t>
            </w:r>
            <w:r w:rsidR="008E6443">
              <w:rPr>
                <w:rFonts w:ascii="Times New Roman" w:hAnsi="Times New Roman" w:cs="Times New Roman"/>
                <w:sz w:val="24"/>
                <w:szCs w:val="24"/>
              </w:rPr>
              <w:t>..2</w:t>
            </w:r>
            <w:r w:rsidR="002C7B55">
              <w:rPr>
                <w:rFonts w:ascii="Times New Roman" w:hAnsi="Times New Roman" w:cs="Times New Roman"/>
                <w:sz w:val="24"/>
                <w:szCs w:val="24"/>
              </w:rPr>
              <w:t>7</w:t>
            </w:r>
          </w:p>
        </w:tc>
      </w:tr>
      <w:tr w:rsidR="00C93FF8" w14:paraId="1D6A0F64" w14:textId="77777777" w:rsidTr="00F570EC">
        <w:trPr>
          <w:trHeight w:val="432"/>
        </w:trPr>
        <w:tc>
          <w:tcPr>
            <w:tcW w:w="8630" w:type="dxa"/>
            <w:vAlign w:val="center"/>
          </w:tcPr>
          <w:p w14:paraId="2726FAA3" w14:textId="6CFDFFC4"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Table 2.2 – List of </w:t>
            </w:r>
            <w:r w:rsidR="00F570EC">
              <w:rPr>
                <w:rFonts w:ascii="Times New Roman" w:hAnsi="Times New Roman" w:cs="Times New Roman"/>
                <w:sz w:val="24"/>
                <w:szCs w:val="24"/>
              </w:rPr>
              <w:t>p</w:t>
            </w:r>
            <w:r>
              <w:rPr>
                <w:rFonts w:ascii="Times New Roman" w:hAnsi="Times New Roman" w:cs="Times New Roman"/>
                <w:sz w:val="24"/>
                <w:szCs w:val="24"/>
              </w:rPr>
              <w:t xml:space="preserve">lasmids used in these </w:t>
            </w:r>
            <w:r w:rsidR="00F570EC">
              <w:rPr>
                <w:rFonts w:ascii="Times New Roman" w:hAnsi="Times New Roman" w:cs="Times New Roman"/>
                <w:sz w:val="24"/>
                <w:szCs w:val="24"/>
              </w:rPr>
              <w:t>s</w:t>
            </w:r>
            <w:r>
              <w:rPr>
                <w:rFonts w:ascii="Times New Roman" w:hAnsi="Times New Roman" w:cs="Times New Roman"/>
                <w:sz w:val="24"/>
                <w:szCs w:val="24"/>
              </w:rPr>
              <w:t>tudies……………………</w:t>
            </w:r>
            <w:r w:rsidR="002C7B55">
              <w:rPr>
                <w:rFonts w:ascii="Times New Roman" w:hAnsi="Times New Roman" w:cs="Times New Roman"/>
                <w:sz w:val="24"/>
                <w:szCs w:val="24"/>
              </w:rPr>
              <w:t>.</w:t>
            </w:r>
            <w:r>
              <w:rPr>
                <w:rFonts w:ascii="Times New Roman" w:hAnsi="Times New Roman" w:cs="Times New Roman"/>
                <w:sz w:val="24"/>
                <w:szCs w:val="24"/>
              </w:rPr>
              <w:t>………………</w:t>
            </w:r>
            <w:r w:rsidR="002C7B55">
              <w:rPr>
                <w:rFonts w:ascii="Times New Roman" w:hAnsi="Times New Roman" w:cs="Times New Roman"/>
                <w:sz w:val="24"/>
                <w:szCs w:val="24"/>
              </w:rPr>
              <w:t>29</w:t>
            </w:r>
          </w:p>
        </w:tc>
      </w:tr>
      <w:tr w:rsidR="00C93FF8" w14:paraId="289832F9" w14:textId="77777777" w:rsidTr="00F570EC">
        <w:trPr>
          <w:trHeight w:val="432"/>
        </w:trPr>
        <w:tc>
          <w:tcPr>
            <w:tcW w:w="8630" w:type="dxa"/>
            <w:vAlign w:val="center"/>
          </w:tcPr>
          <w:p w14:paraId="08DD3072" w14:textId="705882DD"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Table 2.3 – List of </w:t>
            </w:r>
            <w:r w:rsidR="00F570EC">
              <w:rPr>
                <w:rFonts w:ascii="Times New Roman" w:hAnsi="Times New Roman" w:cs="Times New Roman"/>
                <w:sz w:val="24"/>
                <w:szCs w:val="24"/>
              </w:rPr>
              <w:t>p</w:t>
            </w:r>
            <w:r>
              <w:rPr>
                <w:rFonts w:ascii="Times New Roman" w:hAnsi="Times New Roman" w:cs="Times New Roman"/>
                <w:sz w:val="24"/>
                <w:szCs w:val="24"/>
              </w:rPr>
              <w:t xml:space="preserve">rimers used in these </w:t>
            </w:r>
            <w:r w:rsidR="00F570EC">
              <w:rPr>
                <w:rFonts w:ascii="Times New Roman" w:hAnsi="Times New Roman" w:cs="Times New Roman"/>
                <w:sz w:val="24"/>
                <w:szCs w:val="24"/>
              </w:rPr>
              <w:t>s</w:t>
            </w:r>
            <w:r>
              <w:rPr>
                <w:rFonts w:ascii="Times New Roman" w:hAnsi="Times New Roman" w:cs="Times New Roman"/>
                <w:sz w:val="24"/>
                <w:szCs w:val="24"/>
              </w:rPr>
              <w:t>tudies………………………</w:t>
            </w:r>
            <w:r w:rsidR="002C7B55">
              <w:rPr>
                <w:rFonts w:ascii="Times New Roman" w:hAnsi="Times New Roman" w:cs="Times New Roman"/>
                <w:sz w:val="24"/>
                <w:szCs w:val="24"/>
              </w:rPr>
              <w:t>.</w:t>
            </w:r>
            <w:r>
              <w:rPr>
                <w:rFonts w:ascii="Times New Roman" w:hAnsi="Times New Roman" w:cs="Times New Roman"/>
                <w:sz w:val="24"/>
                <w:szCs w:val="24"/>
              </w:rPr>
              <w:t>……………..</w:t>
            </w:r>
            <w:r w:rsidR="008E6443">
              <w:rPr>
                <w:rFonts w:ascii="Times New Roman" w:hAnsi="Times New Roman" w:cs="Times New Roman"/>
                <w:sz w:val="24"/>
                <w:szCs w:val="24"/>
              </w:rPr>
              <w:t>3</w:t>
            </w:r>
            <w:r w:rsidR="00652721">
              <w:rPr>
                <w:rFonts w:ascii="Times New Roman" w:hAnsi="Times New Roman" w:cs="Times New Roman"/>
                <w:sz w:val="24"/>
                <w:szCs w:val="24"/>
              </w:rPr>
              <w:t>0</w:t>
            </w:r>
          </w:p>
        </w:tc>
      </w:tr>
      <w:tr w:rsidR="00C93FF8" w14:paraId="75BADE86" w14:textId="77777777" w:rsidTr="00F570EC">
        <w:trPr>
          <w:trHeight w:val="432"/>
        </w:trPr>
        <w:tc>
          <w:tcPr>
            <w:tcW w:w="8630" w:type="dxa"/>
            <w:vAlign w:val="center"/>
          </w:tcPr>
          <w:p w14:paraId="71E83EB7" w14:textId="77777777" w:rsidR="00C93FF8" w:rsidRDefault="00C93FF8" w:rsidP="004A7526">
            <w:pPr>
              <w:rPr>
                <w:rFonts w:ascii="Times New Roman" w:hAnsi="Times New Roman" w:cs="Times New Roman"/>
                <w:sz w:val="24"/>
                <w:szCs w:val="24"/>
              </w:rPr>
            </w:pPr>
          </w:p>
        </w:tc>
      </w:tr>
      <w:tr w:rsidR="00C93FF8" w14:paraId="6661C681" w14:textId="77777777" w:rsidTr="00F570EC">
        <w:trPr>
          <w:trHeight w:val="432"/>
        </w:trPr>
        <w:tc>
          <w:tcPr>
            <w:tcW w:w="8630" w:type="dxa"/>
            <w:vAlign w:val="center"/>
          </w:tcPr>
          <w:p w14:paraId="1CF7B830" w14:textId="4A55537E" w:rsidR="00C93FF8" w:rsidRPr="00852BE7"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Fig. 3.1 – </w:t>
            </w:r>
            <w:r w:rsidR="00F570EC">
              <w:rPr>
                <w:rFonts w:ascii="Times New Roman" w:hAnsi="Times New Roman" w:cs="Times New Roman"/>
                <w:sz w:val="24"/>
                <w:szCs w:val="24"/>
              </w:rPr>
              <w:t xml:space="preserve">Genomic locus of </w:t>
            </w:r>
            <w:proofErr w:type="spellStart"/>
            <w:r w:rsidR="00F570EC">
              <w:rPr>
                <w:rFonts w:ascii="Times New Roman" w:hAnsi="Times New Roman" w:cs="Times New Roman"/>
                <w:i/>
                <w:iCs/>
                <w:sz w:val="24"/>
                <w:szCs w:val="24"/>
              </w:rPr>
              <w:t>amfAB</w:t>
            </w:r>
            <w:proofErr w:type="spellEnd"/>
            <w:r>
              <w:rPr>
                <w:rFonts w:ascii="Times New Roman" w:hAnsi="Times New Roman" w:cs="Times New Roman"/>
                <w:sz w:val="24"/>
                <w:szCs w:val="24"/>
              </w:rPr>
              <w:t>…………………………………………</w:t>
            </w:r>
            <w:r w:rsidR="002C7B55">
              <w:rPr>
                <w:rFonts w:ascii="Times New Roman" w:hAnsi="Times New Roman" w:cs="Times New Roman"/>
                <w:sz w:val="24"/>
                <w:szCs w:val="24"/>
              </w:rPr>
              <w:t>.</w:t>
            </w:r>
            <w:r>
              <w:rPr>
                <w:rFonts w:ascii="Times New Roman" w:hAnsi="Times New Roman" w:cs="Times New Roman"/>
                <w:sz w:val="24"/>
                <w:szCs w:val="24"/>
              </w:rPr>
              <w:t>………</w:t>
            </w:r>
            <w:r w:rsidR="008E6443">
              <w:rPr>
                <w:rFonts w:ascii="Times New Roman" w:hAnsi="Times New Roman" w:cs="Times New Roman"/>
                <w:sz w:val="24"/>
                <w:szCs w:val="24"/>
              </w:rPr>
              <w:t>..4</w:t>
            </w:r>
            <w:r w:rsidR="002C7B55">
              <w:rPr>
                <w:rFonts w:ascii="Times New Roman" w:hAnsi="Times New Roman" w:cs="Times New Roman"/>
                <w:sz w:val="24"/>
                <w:szCs w:val="24"/>
              </w:rPr>
              <w:t>2</w:t>
            </w:r>
          </w:p>
        </w:tc>
      </w:tr>
      <w:tr w:rsidR="00F570EC" w14:paraId="58DB190D" w14:textId="77777777" w:rsidTr="00F570EC">
        <w:trPr>
          <w:trHeight w:val="432"/>
        </w:trPr>
        <w:tc>
          <w:tcPr>
            <w:tcW w:w="8630" w:type="dxa"/>
            <w:vAlign w:val="center"/>
          </w:tcPr>
          <w:p w14:paraId="7FCC3A07" w14:textId="5F0EA241" w:rsidR="00F570EC" w:rsidRPr="00F570EC" w:rsidRDefault="00F570EC" w:rsidP="004A7526">
            <w:pPr>
              <w:rPr>
                <w:rFonts w:ascii="Times New Roman" w:hAnsi="Times New Roman" w:cs="Times New Roman"/>
                <w:sz w:val="24"/>
                <w:szCs w:val="24"/>
              </w:rPr>
            </w:pPr>
            <w:r>
              <w:rPr>
                <w:rFonts w:ascii="Times New Roman" w:hAnsi="Times New Roman" w:cs="Times New Roman"/>
                <w:sz w:val="24"/>
                <w:szCs w:val="24"/>
              </w:rPr>
              <w:t xml:space="preserve">Fig. 3.2 – Genomic locus of </w:t>
            </w:r>
            <w:proofErr w:type="spellStart"/>
            <w:r>
              <w:rPr>
                <w:rFonts w:ascii="Times New Roman" w:hAnsi="Times New Roman" w:cs="Times New Roman"/>
                <w:i/>
                <w:iCs/>
                <w:sz w:val="24"/>
                <w:szCs w:val="24"/>
              </w:rPr>
              <w:t>amfCD</w:t>
            </w:r>
            <w:proofErr w:type="spellEnd"/>
            <w:r>
              <w:rPr>
                <w:rFonts w:ascii="Times New Roman" w:hAnsi="Times New Roman" w:cs="Times New Roman"/>
                <w:sz w:val="24"/>
                <w:szCs w:val="24"/>
              </w:rPr>
              <w:t>…………………………………………</w:t>
            </w:r>
            <w:r w:rsidR="002C7B55">
              <w:rPr>
                <w:rFonts w:ascii="Times New Roman" w:hAnsi="Times New Roman" w:cs="Times New Roman"/>
                <w:sz w:val="24"/>
                <w:szCs w:val="24"/>
              </w:rPr>
              <w:t>.</w:t>
            </w:r>
            <w:r>
              <w:rPr>
                <w:rFonts w:ascii="Times New Roman" w:hAnsi="Times New Roman" w:cs="Times New Roman"/>
                <w:sz w:val="24"/>
                <w:szCs w:val="24"/>
              </w:rPr>
              <w:t>………</w:t>
            </w:r>
            <w:r w:rsidR="008E6443">
              <w:rPr>
                <w:rFonts w:ascii="Times New Roman" w:hAnsi="Times New Roman" w:cs="Times New Roman"/>
                <w:sz w:val="24"/>
                <w:szCs w:val="24"/>
              </w:rPr>
              <w:t>.4</w:t>
            </w:r>
            <w:r w:rsidR="00652721">
              <w:rPr>
                <w:rFonts w:ascii="Times New Roman" w:hAnsi="Times New Roman" w:cs="Times New Roman"/>
                <w:sz w:val="24"/>
                <w:szCs w:val="24"/>
              </w:rPr>
              <w:t>3</w:t>
            </w:r>
          </w:p>
        </w:tc>
      </w:tr>
      <w:tr w:rsidR="00C93FF8" w14:paraId="08D5949C" w14:textId="77777777" w:rsidTr="00F570EC">
        <w:trPr>
          <w:trHeight w:val="432"/>
        </w:trPr>
        <w:tc>
          <w:tcPr>
            <w:tcW w:w="8630" w:type="dxa"/>
            <w:vAlign w:val="center"/>
          </w:tcPr>
          <w:p w14:paraId="50091E20" w14:textId="409FB6C9" w:rsidR="00C93FF8" w:rsidRPr="00852BE7" w:rsidRDefault="00C93FF8" w:rsidP="004A7526">
            <w:pPr>
              <w:rPr>
                <w:rFonts w:ascii="Times New Roman" w:hAnsi="Times New Roman" w:cs="Times New Roman"/>
                <w:sz w:val="24"/>
                <w:szCs w:val="24"/>
              </w:rPr>
            </w:pPr>
            <w:r>
              <w:rPr>
                <w:rFonts w:ascii="Times New Roman" w:hAnsi="Times New Roman" w:cs="Times New Roman"/>
                <w:sz w:val="24"/>
                <w:szCs w:val="24"/>
              </w:rPr>
              <w:t>Fig. 3.</w:t>
            </w:r>
            <w:r w:rsidR="00F570EC">
              <w:rPr>
                <w:rFonts w:ascii="Times New Roman" w:hAnsi="Times New Roman" w:cs="Times New Roman"/>
                <w:sz w:val="24"/>
                <w:szCs w:val="24"/>
              </w:rPr>
              <w:t>3 – Transporter protomer structure models……………………………</w:t>
            </w:r>
            <w:r w:rsidR="002C7B55">
              <w:rPr>
                <w:rFonts w:ascii="Times New Roman" w:hAnsi="Times New Roman" w:cs="Times New Roman"/>
                <w:sz w:val="24"/>
                <w:szCs w:val="24"/>
              </w:rPr>
              <w:t>.</w:t>
            </w:r>
            <w:r w:rsidR="00F570EC">
              <w:rPr>
                <w:rFonts w:ascii="Times New Roman" w:hAnsi="Times New Roman" w:cs="Times New Roman"/>
                <w:sz w:val="24"/>
                <w:szCs w:val="24"/>
              </w:rPr>
              <w:t>………</w:t>
            </w:r>
            <w:r w:rsidR="008E6443">
              <w:rPr>
                <w:rFonts w:ascii="Times New Roman" w:hAnsi="Times New Roman" w:cs="Times New Roman"/>
                <w:sz w:val="24"/>
                <w:szCs w:val="24"/>
              </w:rPr>
              <w:t>4</w:t>
            </w:r>
            <w:r w:rsidR="002C7B55">
              <w:rPr>
                <w:rFonts w:ascii="Times New Roman" w:hAnsi="Times New Roman" w:cs="Times New Roman"/>
                <w:sz w:val="24"/>
                <w:szCs w:val="24"/>
              </w:rPr>
              <w:t>7</w:t>
            </w:r>
          </w:p>
        </w:tc>
      </w:tr>
      <w:tr w:rsidR="00F570EC" w14:paraId="74855219" w14:textId="77777777" w:rsidTr="00F570EC">
        <w:trPr>
          <w:trHeight w:val="432"/>
        </w:trPr>
        <w:tc>
          <w:tcPr>
            <w:tcW w:w="8630" w:type="dxa"/>
            <w:vAlign w:val="center"/>
          </w:tcPr>
          <w:p w14:paraId="691C0F56" w14:textId="31C0165C" w:rsidR="00F570EC" w:rsidRDefault="00F570EC" w:rsidP="004A7526">
            <w:pPr>
              <w:rPr>
                <w:rFonts w:ascii="Times New Roman" w:hAnsi="Times New Roman" w:cs="Times New Roman"/>
                <w:sz w:val="24"/>
                <w:szCs w:val="24"/>
              </w:rPr>
            </w:pPr>
            <w:r>
              <w:rPr>
                <w:rFonts w:ascii="Times New Roman" w:hAnsi="Times New Roman" w:cs="Times New Roman"/>
                <w:sz w:val="24"/>
                <w:szCs w:val="24"/>
              </w:rPr>
              <w:t>Fig. 3.4 – MFP protomer structure models…………………………………………</w:t>
            </w:r>
            <w:r w:rsidR="00200DA2">
              <w:rPr>
                <w:rFonts w:ascii="Times New Roman" w:hAnsi="Times New Roman" w:cs="Times New Roman"/>
                <w:sz w:val="24"/>
                <w:szCs w:val="24"/>
              </w:rPr>
              <w:t>…</w:t>
            </w:r>
            <w:r w:rsidR="008E6443">
              <w:rPr>
                <w:rFonts w:ascii="Times New Roman" w:hAnsi="Times New Roman" w:cs="Times New Roman"/>
                <w:sz w:val="24"/>
                <w:szCs w:val="24"/>
              </w:rPr>
              <w:t>5</w:t>
            </w:r>
            <w:r w:rsidR="002C7B55">
              <w:rPr>
                <w:rFonts w:ascii="Times New Roman" w:hAnsi="Times New Roman" w:cs="Times New Roman"/>
                <w:sz w:val="24"/>
                <w:szCs w:val="24"/>
              </w:rPr>
              <w:t>0</w:t>
            </w:r>
          </w:p>
        </w:tc>
      </w:tr>
      <w:tr w:rsidR="00F570EC" w14:paraId="20FCD012" w14:textId="77777777" w:rsidTr="00F570EC">
        <w:trPr>
          <w:trHeight w:val="432"/>
        </w:trPr>
        <w:tc>
          <w:tcPr>
            <w:tcW w:w="8630" w:type="dxa"/>
            <w:vAlign w:val="center"/>
          </w:tcPr>
          <w:p w14:paraId="007198BA" w14:textId="3255D564" w:rsidR="00F570EC" w:rsidRDefault="00F570EC" w:rsidP="004A7526">
            <w:pPr>
              <w:rPr>
                <w:rFonts w:ascii="Times New Roman" w:hAnsi="Times New Roman" w:cs="Times New Roman"/>
                <w:sz w:val="24"/>
                <w:szCs w:val="24"/>
              </w:rPr>
            </w:pPr>
            <w:r>
              <w:rPr>
                <w:rFonts w:ascii="Times New Roman" w:hAnsi="Times New Roman" w:cs="Times New Roman"/>
                <w:sz w:val="24"/>
                <w:szCs w:val="24"/>
              </w:rPr>
              <w:t xml:space="preserve">Fig. 3.5 – Expression of </w:t>
            </w:r>
            <w:proofErr w:type="spellStart"/>
            <w:r>
              <w:rPr>
                <w:rFonts w:ascii="Times New Roman" w:hAnsi="Times New Roman" w:cs="Times New Roman"/>
                <w:sz w:val="24"/>
                <w:szCs w:val="24"/>
              </w:rPr>
              <w:t>AmfB</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AmfC</w:t>
            </w:r>
            <w:proofErr w:type="spellEnd"/>
            <w:r>
              <w:rPr>
                <w:rFonts w:ascii="Times New Roman" w:hAnsi="Times New Roman" w:cs="Times New Roman"/>
                <w:sz w:val="24"/>
                <w:szCs w:val="24"/>
              </w:rPr>
              <w:t xml:space="preserve"> proteins in </w:t>
            </w:r>
            <w:proofErr w:type="spellStart"/>
            <w:r>
              <w:rPr>
                <w:rFonts w:ascii="Times New Roman" w:hAnsi="Times New Roman" w:cs="Times New Roman"/>
                <w:sz w:val="24"/>
                <w:szCs w:val="24"/>
              </w:rPr>
              <w:t>AbWT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AbWT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pAmfCD</w:t>
            </w:r>
            <w:proofErr w:type="spellEnd"/>
            <w:r>
              <w:rPr>
                <w:rFonts w:ascii="Times New Roman" w:hAnsi="Times New Roman" w:cs="Times New Roman"/>
                <w:sz w:val="24"/>
                <w:szCs w:val="24"/>
              </w:rPr>
              <w:t>) cells………………………………………………………</w:t>
            </w:r>
            <w:r w:rsidR="002C7B55">
              <w:rPr>
                <w:rFonts w:ascii="Times New Roman" w:hAnsi="Times New Roman" w:cs="Times New Roman"/>
                <w:sz w:val="24"/>
                <w:szCs w:val="24"/>
              </w:rPr>
              <w:t>.</w:t>
            </w:r>
            <w:r>
              <w:rPr>
                <w:rFonts w:ascii="Times New Roman" w:hAnsi="Times New Roman" w:cs="Times New Roman"/>
                <w:sz w:val="24"/>
                <w:szCs w:val="24"/>
              </w:rPr>
              <w:t>………………</w:t>
            </w:r>
            <w:r w:rsidR="00200DA2">
              <w:rPr>
                <w:rFonts w:ascii="Times New Roman" w:hAnsi="Times New Roman" w:cs="Times New Roman"/>
                <w:sz w:val="24"/>
                <w:szCs w:val="24"/>
              </w:rPr>
              <w:t>5</w:t>
            </w:r>
            <w:r w:rsidR="002C7B55">
              <w:rPr>
                <w:rFonts w:ascii="Times New Roman" w:hAnsi="Times New Roman" w:cs="Times New Roman"/>
                <w:sz w:val="24"/>
                <w:szCs w:val="24"/>
              </w:rPr>
              <w:t>1</w:t>
            </w:r>
          </w:p>
        </w:tc>
      </w:tr>
      <w:tr w:rsidR="00F570EC" w14:paraId="4354CC92" w14:textId="77777777" w:rsidTr="00F570EC">
        <w:trPr>
          <w:trHeight w:val="432"/>
        </w:trPr>
        <w:tc>
          <w:tcPr>
            <w:tcW w:w="8630" w:type="dxa"/>
            <w:vAlign w:val="center"/>
          </w:tcPr>
          <w:p w14:paraId="74999778" w14:textId="6015FEBF" w:rsidR="00F570EC" w:rsidRDefault="00F570EC" w:rsidP="004A7526">
            <w:pPr>
              <w:rPr>
                <w:rFonts w:ascii="Times New Roman" w:hAnsi="Times New Roman" w:cs="Times New Roman"/>
                <w:sz w:val="24"/>
                <w:szCs w:val="24"/>
              </w:rPr>
            </w:pPr>
            <w:r>
              <w:rPr>
                <w:rFonts w:ascii="Times New Roman" w:hAnsi="Times New Roman" w:cs="Times New Roman"/>
                <w:sz w:val="24"/>
                <w:szCs w:val="24"/>
              </w:rPr>
              <w:t xml:space="preserve">Fig. 3.6 – Growth curves of </w:t>
            </w:r>
            <w:proofErr w:type="spellStart"/>
            <w:r>
              <w:rPr>
                <w:rFonts w:ascii="Times New Roman" w:hAnsi="Times New Roman" w:cs="Times New Roman"/>
                <w:sz w:val="24"/>
                <w:szCs w:val="24"/>
              </w:rPr>
              <w:t>AbWT</w:t>
            </w:r>
            <w:proofErr w:type="spellEnd"/>
            <w:r>
              <w:rPr>
                <w:rFonts w:ascii="Times New Roman" w:hAnsi="Times New Roman" w:cs="Times New Roman"/>
                <w:sz w:val="24"/>
                <w:szCs w:val="24"/>
              </w:rPr>
              <w:t xml:space="preserve"> and Ab</w:t>
            </w:r>
            <w:r w:rsidRPr="00852BE7">
              <w:rPr>
                <w:rFonts w:ascii="Times New Roman" w:hAnsi="Times New Roman" w:cs="Times New Roman"/>
                <w:sz w:val="24"/>
                <w:szCs w:val="24"/>
              </w:rPr>
              <w:t>Δ3</w:t>
            </w:r>
            <w:r>
              <w:rPr>
                <w:rFonts w:ascii="Times New Roman" w:hAnsi="Times New Roman" w:cs="Times New Roman"/>
                <w:sz w:val="24"/>
                <w:szCs w:val="24"/>
              </w:rPr>
              <w:t xml:space="preserve"> strains under different stresses……</w:t>
            </w:r>
            <w:r w:rsidR="00200DA2">
              <w:rPr>
                <w:rFonts w:ascii="Times New Roman" w:hAnsi="Times New Roman" w:cs="Times New Roman"/>
                <w:sz w:val="24"/>
                <w:szCs w:val="24"/>
              </w:rPr>
              <w:t>…5</w:t>
            </w:r>
            <w:r w:rsidR="002C7B55">
              <w:rPr>
                <w:rFonts w:ascii="Times New Roman" w:hAnsi="Times New Roman" w:cs="Times New Roman"/>
                <w:sz w:val="24"/>
                <w:szCs w:val="24"/>
              </w:rPr>
              <w:t>4</w:t>
            </w:r>
          </w:p>
        </w:tc>
      </w:tr>
      <w:tr w:rsidR="00C93FF8" w14:paraId="7AB7C994" w14:textId="77777777" w:rsidTr="00F570EC">
        <w:trPr>
          <w:trHeight w:val="432"/>
        </w:trPr>
        <w:tc>
          <w:tcPr>
            <w:tcW w:w="8630" w:type="dxa"/>
            <w:vAlign w:val="center"/>
          </w:tcPr>
          <w:p w14:paraId="601758D5" w14:textId="54E637B4" w:rsidR="00C93FF8" w:rsidRDefault="00C93FF8" w:rsidP="004A7526">
            <w:pPr>
              <w:rPr>
                <w:rFonts w:ascii="Times New Roman" w:hAnsi="Times New Roman" w:cs="Times New Roman"/>
                <w:sz w:val="24"/>
                <w:szCs w:val="24"/>
              </w:rPr>
            </w:pPr>
            <w:r>
              <w:rPr>
                <w:rFonts w:ascii="Times New Roman" w:hAnsi="Times New Roman" w:cs="Times New Roman"/>
                <w:sz w:val="24"/>
                <w:szCs w:val="24"/>
              </w:rPr>
              <w:t>Fig. 3.</w:t>
            </w:r>
            <w:r w:rsidR="00F570EC">
              <w:rPr>
                <w:rFonts w:ascii="Times New Roman" w:hAnsi="Times New Roman" w:cs="Times New Roman"/>
                <w:sz w:val="24"/>
                <w:szCs w:val="24"/>
              </w:rPr>
              <w:t>7</w:t>
            </w:r>
            <w:r>
              <w:rPr>
                <w:rFonts w:ascii="Times New Roman" w:hAnsi="Times New Roman" w:cs="Times New Roman"/>
                <w:sz w:val="24"/>
                <w:szCs w:val="24"/>
              </w:rPr>
              <w:t xml:space="preserve"> – Growth </w:t>
            </w:r>
            <w:r w:rsidR="00F570EC">
              <w:rPr>
                <w:rFonts w:ascii="Times New Roman" w:hAnsi="Times New Roman" w:cs="Times New Roman"/>
                <w:sz w:val="24"/>
                <w:szCs w:val="24"/>
              </w:rPr>
              <w:t>c</w:t>
            </w:r>
            <w:r>
              <w:rPr>
                <w:rFonts w:ascii="Times New Roman" w:hAnsi="Times New Roman" w:cs="Times New Roman"/>
                <w:sz w:val="24"/>
                <w:szCs w:val="24"/>
              </w:rPr>
              <w:t xml:space="preserve">urves of </w:t>
            </w:r>
            <w:proofErr w:type="spellStart"/>
            <w:r>
              <w:rPr>
                <w:rFonts w:ascii="Times New Roman" w:hAnsi="Times New Roman" w:cs="Times New Roman"/>
                <w:sz w:val="24"/>
                <w:szCs w:val="24"/>
              </w:rPr>
              <w:t>AbWT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pAmfCD</w:t>
            </w:r>
            <w:proofErr w:type="spellEnd"/>
            <w:r>
              <w:rPr>
                <w:rFonts w:ascii="Times New Roman" w:hAnsi="Times New Roman" w:cs="Times New Roman"/>
                <w:sz w:val="24"/>
                <w:szCs w:val="24"/>
              </w:rPr>
              <w:t xml:space="preserve">) </w:t>
            </w:r>
            <w:r w:rsidR="00F570EC">
              <w:rPr>
                <w:rFonts w:ascii="Times New Roman" w:hAnsi="Times New Roman" w:cs="Times New Roman"/>
                <w:sz w:val="24"/>
                <w:szCs w:val="24"/>
              </w:rPr>
              <w:t>o</w:t>
            </w:r>
            <w:r>
              <w:rPr>
                <w:rFonts w:ascii="Times New Roman" w:hAnsi="Times New Roman" w:cs="Times New Roman"/>
                <w:sz w:val="24"/>
                <w:szCs w:val="24"/>
              </w:rPr>
              <w:t xml:space="preserve">verexpression </w:t>
            </w:r>
            <w:r w:rsidR="00F570EC">
              <w:rPr>
                <w:rFonts w:ascii="Times New Roman" w:hAnsi="Times New Roman" w:cs="Times New Roman"/>
                <w:sz w:val="24"/>
                <w:szCs w:val="24"/>
              </w:rPr>
              <w:t>s</w:t>
            </w:r>
            <w:r>
              <w:rPr>
                <w:rFonts w:ascii="Times New Roman" w:hAnsi="Times New Roman" w:cs="Times New Roman"/>
                <w:sz w:val="24"/>
                <w:szCs w:val="24"/>
              </w:rPr>
              <w:t xml:space="preserve">trains </w:t>
            </w:r>
            <w:r w:rsidR="00F570EC">
              <w:rPr>
                <w:rFonts w:ascii="Times New Roman" w:hAnsi="Times New Roman" w:cs="Times New Roman"/>
                <w:sz w:val="24"/>
                <w:szCs w:val="24"/>
              </w:rPr>
              <w:t>u</w:t>
            </w:r>
            <w:r>
              <w:rPr>
                <w:rFonts w:ascii="Times New Roman" w:hAnsi="Times New Roman" w:cs="Times New Roman"/>
                <w:sz w:val="24"/>
                <w:szCs w:val="24"/>
              </w:rPr>
              <w:t xml:space="preserve">nder </w:t>
            </w:r>
            <w:r w:rsidR="00F570EC">
              <w:rPr>
                <w:rFonts w:ascii="Times New Roman" w:hAnsi="Times New Roman" w:cs="Times New Roman"/>
                <w:sz w:val="24"/>
                <w:szCs w:val="24"/>
              </w:rPr>
              <w:t>d</w:t>
            </w:r>
            <w:r>
              <w:rPr>
                <w:rFonts w:ascii="Times New Roman" w:hAnsi="Times New Roman" w:cs="Times New Roman"/>
                <w:sz w:val="24"/>
                <w:szCs w:val="24"/>
              </w:rPr>
              <w:t xml:space="preserve">ifferent </w:t>
            </w:r>
            <w:r w:rsidR="00F570EC">
              <w:rPr>
                <w:rFonts w:ascii="Times New Roman" w:hAnsi="Times New Roman" w:cs="Times New Roman"/>
                <w:sz w:val="24"/>
                <w:szCs w:val="24"/>
              </w:rPr>
              <w:t>s</w:t>
            </w:r>
            <w:r>
              <w:rPr>
                <w:rFonts w:ascii="Times New Roman" w:hAnsi="Times New Roman" w:cs="Times New Roman"/>
                <w:sz w:val="24"/>
                <w:szCs w:val="24"/>
              </w:rPr>
              <w:t>tresses..………………………………………………………………</w:t>
            </w:r>
            <w:r w:rsidR="00200DA2">
              <w:rPr>
                <w:rFonts w:ascii="Times New Roman" w:hAnsi="Times New Roman" w:cs="Times New Roman"/>
                <w:sz w:val="24"/>
                <w:szCs w:val="24"/>
              </w:rPr>
              <w:t>5</w:t>
            </w:r>
            <w:r w:rsidR="002C7B55">
              <w:rPr>
                <w:rFonts w:ascii="Times New Roman" w:hAnsi="Times New Roman" w:cs="Times New Roman"/>
                <w:sz w:val="24"/>
                <w:szCs w:val="24"/>
              </w:rPr>
              <w:t>6</w:t>
            </w:r>
          </w:p>
        </w:tc>
      </w:tr>
      <w:tr w:rsidR="00C93FF8" w14:paraId="2EF4B5E1" w14:textId="77777777" w:rsidTr="00F570EC">
        <w:trPr>
          <w:trHeight w:val="432"/>
        </w:trPr>
        <w:tc>
          <w:tcPr>
            <w:tcW w:w="8630" w:type="dxa"/>
            <w:vAlign w:val="center"/>
          </w:tcPr>
          <w:p w14:paraId="77BD29AC" w14:textId="08C5CFEC" w:rsidR="00C93FF8" w:rsidRDefault="00C93FF8" w:rsidP="004A7526">
            <w:pPr>
              <w:rPr>
                <w:rFonts w:ascii="Times New Roman" w:hAnsi="Times New Roman" w:cs="Times New Roman"/>
                <w:sz w:val="24"/>
                <w:szCs w:val="24"/>
              </w:rPr>
            </w:pPr>
            <w:r>
              <w:rPr>
                <w:rFonts w:ascii="Times New Roman" w:hAnsi="Times New Roman" w:cs="Times New Roman"/>
                <w:sz w:val="24"/>
                <w:szCs w:val="24"/>
              </w:rPr>
              <w:t>Fig. 3.</w:t>
            </w:r>
            <w:r w:rsidR="00F570EC">
              <w:rPr>
                <w:rFonts w:ascii="Times New Roman" w:hAnsi="Times New Roman" w:cs="Times New Roman"/>
                <w:sz w:val="24"/>
                <w:szCs w:val="24"/>
              </w:rPr>
              <w:t>8</w:t>
            </w:r>
            <w:r>
              <w:rPr>
                <w:rFonts w:ascii="Times New Roman" w:hAnsi="Times New Roman" w:cs="Times New Roman"/>
                <w:sz w:val="24"/>
                <w:szCs w:val="24"/>
              </w:rPr>
              <w:t xml:space="preserve"> – Growth </w:t>
            </w:r>
            <w:r w:rsidR="00F570EC">
              <w:rPr>
                <w:rFonts w:ascii="Times New Roman" w:hAnsi="Times New Roman" w:cs="Times New Roman"/>
                <w:sz w:val="24"/>
                <w:szCs w:val="24"/>
              </w:rPr>
              <w:t>c</w:t>
            </w:r>
            <w:r>
              <w:rPr>
                <w:rFonts w:ascii="Times New Roman" w:hAnsi="Times New Roman" w:cs="Times New Roman"/>
                <w:sz w:val="24"/>
                <w:szCs w:val="24"/>
              </w:rPr>
              <w:t>urves of Ab</w:t>
            </w:r>
            <w:r w:rsidRPr="00852BE7">
              <w:rPr>
                <w:rFonts w:ascii="Times New Roman" w:hAnsi="Times New Roman" w:cs="Times New Roman"/>
                <w:sz w:val="24"/>
                <w:szCs w:val="24"/>
              </w:rPr>
              <w:t>Δ</w:t>
            </w:r>
            <w:r>
              <w:rPr>
                <w:rFonts w:ascii="Times New Roman" w:hAnsi="Times New Roman" w:cs="Times New Roman"/>
                <w:sz w:val="24"/>
                <w:szCs w:val="24"/>
              </w:rPr>
              <w:t>2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pAmfCD</w:t>
            </w:r>
            <w:proofErr w:type="spellEnd"/>
            <w:r>
              <w:rPr>
                <w:rFonts w:ascii="Times New Roman" w:hAnsi="Times New Roman" w:cs="Times New Roman"/>
                <w:sz w:val="24"/>
                <w:szCs w:val="24"/>
              </w:rPr>
              <w:t xml:space="preserve">) </w:t>
            </w:r>
            <w:r w:rsidR="00F570EC">
              <w:rPr>
                <w:rFonts w:ascii="Times New Roman" w:hAnsi="Times New Roman" w:cs="Times New Roman"/>
                <w:sz w:val="24"/>
                <w:szCs w:val="24"/>
              </w:rPr>
              <w:t>o</w:t>
            </w:r>
            <w:r>
              <w:rPr>
                <w:rFonts w:ascii="Times New Roman" w:hAnsi="Times New Roman" w:cs="Times New Roman"/>
                <w:sz w:val="24"/>
                <w:szCs w:val="24"/>
              </w:rPr>
              <w:t xml:space="preserve">verexpression </w:t>
            </w:r>
            <w:r w:rsidR="00F570EC">
              <w:rPr>
                <w:rFonts w:ascii="Times New Roman" w:hAnsi="Times New Roman" w:cs="Times New Roman"/>
                <w:sz w:val="24"/>
                <w:szCs w:val="24"/>
              </w:rPr>
              <w:t>s</w:t>
            </w:r>
            <w:r>
              <w:rPr>
                <w:rFonts w:ascii="Times New Roman" w:hAnsi="Times New Roman" w:cs="Times New Roman"/>
                <w:sz w:val="24"/>
                <w:szCs w:val="24"/>
              </w:rPr>
              <w:t xml:space="preserve">trains </w:t>
            </w:r>
            <w:r w:rsidR="00F570EC">
              <w:rPr>
                <w:rFonts w:ascii="Times New Roman" w:hAnsi="Times New Roman" w:cs="Times New Roman"/>
                <w:sz w:val="24"/>
                <w:szCs w:val="24"/>
              </w:rPr>
              <w:t>u</w:t>
            </w:r>
            <w:r>
              <w:rPr>
                <w:rFonts w:ascii="Times New Roman" w:hAnsi="Times New Roman" w:cs="Times New Roman"/>
                <w:sz w:val="24"/>
                <w:szCs w:val="24"/>
              </w:rPr>
              <w:t xml:space="preserve">nder </w:t>
            </w:r>
            <w:r w:rsidR="00F570EC">
              <w:rPr>
                <w:rFonts w:ascii="Times New Roman" w:hAnsi="Times New Roman" w:cs="Times New Roman"/>
                <w:sz w:val="24"/>
                <w:szCs w:val="24"/>
              </w:rPr>
              <w:t>d</w:t>
            </w:r>
            <w:r>
              <w:rPr>
                <w:rFonts w:ascii="Times New Roman" w:hAnsi="Times New Roman" w:cs="Times New Roman"/>
                <w:sz w:val="24"/>
                <w:szCs w:val="24"/>
              </w:rPr>
              <w:t xml:space="preserve">ifferent </w:t>
            </w:r>
            <w:r w:rsidR="00F570EC">
              <w:rPr>
                <w:rFonts w:ascii="Times New Roman" w:hAnsi="Times New Roman" w:cs="Times New Roman"/>
                <w:sz w:val="24"/>
                <w:szCs w:val="24"/>
              </w:rPr>
              <w:t>s</w:t>
            </w:r>
            <w:r>
              <w:rPr>
                <w:rFonts w:ascii="Times New Roman" w:hAnsi="Times New Roman" w:cs="Times New Roman"/>
                <w:sz w:val="24"/>
                <w:szCs w:val="24"/>
              </w:rPr>
              <w:t>tresses………………………………………………………………</w:t>
            </w:r>
            <w:r w:rsidR="00200DA2">
              <w:rPr>
                <w:rFonts w:ascii="Times New Roman" w:hAnsi="Times New Roman" w:cs="Times New Roman"/>
                <w:sz w:val="24"/>
                <w:szCs w:val="24"/>
              </w:rPr>
              <w:t>..5</w:t>
            </w:r>
            <w:r w:rsidR="002C7B55">
              <w:rPr>
                <w:rFonts w:ascii="Times New Roman" w:hAnsi="Times New Roman" w:cs="Times New Roman"/>
                <w:sz w:val="24"/>
                <w:szCs w:val="24"/>
              </w:rPr>
              <w:t>7</w:t>
            </w:r>
          </w:p>
        </w:tc>
      </w:tr>
      <w:tr w:rsidR="00C93FF8" w14:paraId="746B6B0F" w14:textId="77777777" w:rsidTr="00F570EC">
        <w:trPr>
          <w:trHeight w:val="432"/>
        </w:trPr>
        <w:tc>
          <w:tcPr>
            <w:tcW w:w="8630" w:type="dxa"/>
            <w:vAlign w:val="center"/>
          </w:tcPr>
          <w:p w14:paraId="7CF23F18" w14:textId="7BEEA064" w:rsidR="00C93FF8" w:rsidRDefault="00C93FF8" w:rsidP="004A7526">
            <w:pPr>
              <w:rPr>
                <w:rFonts w:ascii="Times New Roman" w:hAnsi="Times New Roman" w:cs="Times New Roman"/>
                <w:sz w:val="24"/>
                <w:szCs w:val="24"/>
              </w:rPr>
            </w:pPr>
            <w:r>
              <w:rPr>
                <w:rFonts w:ascii="Times New Roman" w:hAnsi="Times New Roman" w:cs="Times New Roman"/>
                <w:sz w:val="24"/>
                <w:szCs w:val="24"/>
              </w:rPr>
              <w:t>Fig. 3.</w:t>
            </w:r>
            <w:r w:rsidR="00F570EC">
              <w:rPr>
                <w:rFonts w:ascii="Times New Roman" w:hAnsi="Times New Roman" w:cs="Times New Roman"/>
                <w:sz w:val="24"/>
                <w:szCs w:val="24"/>
              </w:rPr>
              <w:t>9</w:t>
            </w:r>
            <w:r>
              <w:rPr>
                <w:rFonts w:ascii="Times New Roman" w:hAnsi="Times New Roman" w:cs="Times New Roman"/>
                <w:sz w:val="24"/>
                <w:szCs w:val="24"/>
              </w:rPr>
              <w:t xml:space="preserve"> – Growth </w:t>
            </w:r>
            <w:r w:rsidR="00F570EC">
              <w:rPr>
                <w:rFonts w:ascii="Times New Roman" w:hAnsi="Times New Roman" w:cs="Times New Roman"/>
                <w:sz w:val="24"/>
                <w:szCs w:val="24"/>
              </w:rPr>
              <w:t>c</w:t>
            </w:r>
            <w:r>
              <w:rPr>
                <w:rFonts w:ascii="Times New Roman" w:hAnsi="Times New Roman" w:cs="Times New Roman"/>
                <w:sz w:val="24"/>
                <w:szCs w:val="24"/>
              </w:rPr>
              <w:t>urves of  Ab</w:t>
            </w:r>
            <w:r w:rsidRPr="00852BE7">
              <w:rPr>
                <w:rFonts w:ascii="Times New Roman" w:hAnsi="Times New Roman" w:cs="Times New Roman"/>
                <w:sz w:val="24"/>
                <w:szCs w:val="24"/>
              </w:rPr>
              <w:t>Δ</w:t>
            </w:r>
            <w:r>
              <w:rPr>
                <w:rFonts w:ascii="Times New Roman" w:hAnsi="Times New Roman" w:cs="Times New Roman"/>
                <w:sz w:val="24"/>
                <w:szCs w:val="24"/>
              </w:rPr>
              <w:t>3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pAmfCD</w:t>
            </w:r>
            <w:proofErr w:type="spellEnd"/>
            <w:r>
              <w:rPr>
                <w:rFonts w:ascii="Times New Roman" w:hAnsi="Times New Roman" w:cs="Times New Roman"/>
                <w:sz w:val="24"/>
                <w:szCs w:val="24"/>
              </w:rPr>
              <w:t xml:space="preserve">) </w:t>
            </w:r>
            <w:r w:rsidR="00F570EC">
              <w:rPr>
                <w:rFonts w:ascii="Times New Roman" w:hAnsi="Times New Roman" w:cs="Times New Roman"/>
                <w:sz w:val="24"/>
                <w:szCs w:val="24"/>
              </w:rPr>
              <w:t>o</w:t>
            </w:r>
            <w:r>
              <w:rPr>
                <w:rFonts w:ascii="Times New Roman" w:hAnsi="Times New Roman" w:cs="Times New Roman"/>
                <w:sz w:val="24"/>
                <w:szCs w:val="24"/>
              </w:rPr>
              <w:t xml:space="preserve">verexpression </w:t>
            </w:r>
            <w:r w:rsidR="00F570EC">
              <w:rPr>
                <w:rFonts w:ascii="Times New Roman" w:hAnsi="Times New Roman" w:cs="Times New Roman"/>
                <w:sz w:val="24"/>
                <w:szCs w:val="24"/>
              </w:rPr>
              <w:t>s</w:t>
            </w:r>
            <w:r>
              <w:rPr>
                <w:rFonts w:ascii="Times New Roman" w:hAnsi="Times New Roman" w:cs="Times New Roman"/>
                <w:sz w:val="24"/>
                <w:szCs w:val="24"/>
              </w:rPr>
              <w:t xml:space="preserve">trains </w:t>
            </w:r>
            <w:r w:rsidR="00F570EC">
              <w:rPr>
                <w:rFonts w:ascii="Times New Roman" w:hAnsi="Times New Roman" w:cs="Times New Roman"/>
                <w:sz w:val="24"/>
                <w:szCs w:val="24"/>
              </w:rPr>
              <w:t>u</w:t>
            </w:r>
            <w:r>
              <w:rPr>
                <w:rFonts w:ascii="Times New Roman" w:hAnsi="Times New Roman" w:cs="Times New Roman"/>
                <w:sz w:val="24"/>
                <w:szCs w:val="24"/>
              </w:rPr>
              <w:t xml:space="preserve">nder </w:t>
            </w:r>
            <w:r w:rsidR="00F570EC">
              <w:rPr>
                <w:rFonts w:ascii="Times New Roman" w:hAnsi="Times New Roman" w:cs="Times New Roman"/>
                <w:sz w:val="24"/>
                <w:szCs w:val="24"/>
              </w:rPr>
              <w:t>d</w:t>
            </w:r>
            <w:r>
              <w:rPr>
                <w:rFonts w:ascii="Times New Roman" w:hAnsi="Times New Roman" w:cs="Times New Roman"/>
                <w:sz w:val="24"/>
                <w:szCs w:val="24"/>
              </w:rPr>
              <w:t xml:space="preserve">ifferent </w:t>
            </w:r>
            <w:r w:rsidR="00F570EC">
              <w:rPr>
                <w:rFonts w:ascii="Times New Roman" w:hAnsi="Times New Roman" w:cs="Times New Roman"/>
                <w:sz w:val="24"/>
                <w:szCs w:val="24"/>
              </w:rPr>
              <w:t>s</w:t>
            </w:r>
            <w:r>
              <w:rPr>
                <w:rFonts w:ascii="Times New Roman" w:hAnsi="Times New Roman" w:cs="Times New Roman"/>
                <w:sz w:val="24"/>
                <w:szCs w:val="24"/>
              </w:rPr>
              <w:t>tresses………………………………………………………………</w:t>
            </w:r>
            <w:r w:rsidR="00200DA2">
              <w:rPr>
                <w:rFonts w:ascii="Times New Roman" w:hAnsi="Times New Roman" w:cs="Times New Roman"/>
                <w:sz w:val="24"/>
                <w:szCs w:val="24"/>
              </w:rPr>
              <w:t>..</w:t>
            </w:r>
            <w:r w:rsidR="003934ED">
              <w:rPr>
                <w:rFonts w:ascii="Times New Roman" w:hAnsi="Times New Roman" w:cs="Times New Roman"/>
                <w:sz w:val="24"/>
                <w:szCs w:val="24"/>
              </w:rPr>
              <w:t>5</w:t>
            </w:r>
            <w:r w:rsidR="002C7B55">
              <w:rPr>
                <w:rFonts w:ascii="Times New Roman" w:hAnsi="Times New Roman" w:cs="Times New Roman"/>
                <w:sz w:val="24"/>
                <w:szCs w:val="24"/>
              </w:rPr>
              <w:t>8</w:t>
            </w:r>
          </w:p>
        </w:tc>
      </w:tr>
      <w:tr w:rsidR="00C93FF8" w14:paraId="3DECC397" w14:textId="77777777" w:rsidTr="00F570EC">
        <w:trPr>
          <w:trHeight w:val="432"/>
        </w:trPr>
        <w:tc>
          <w:tcPr>
            <w:tcW w:w="8630" w:type="dxa"/>
            <w:vAlign w:val="center"/>
          </w:tcPr>
          <w:p w14:paraId="57F71BA7" w14:textId="0164E723" w:rsidR="00C93FF8" w:rsidRDefault="00C93FF8" w:rsidP="004A7526">
            <w:pPr>
              <w:rPr>
                <w:rFonts w:ascii="Times New Roman" w:hAnsi="Times New Roman" w:cs="Times New Roman"/>
                <w:sz w:val="24"/>
                <w:szCs w:val="24"/>
              </w:rPr>
            </w:pPr>
            <w:r>
              <w:rPr>
                <w:rFonts w:ascii="Times New Roman" w:hAnsi="Times New Roman" w:cs="Times New Roman"/>
                <w:sz w:val="24"/>
                <w:szCs w:val="24"/>
              </w:rPr>
              <w:t>Fig. 3.</w:t>
            </w:r>
            <w:r w:rsidR="00F570EC">
              <w:rPr>
                <w:rFonts w:ascii="Times New Roman" w:hAnsi="Times New Roman" w:cs="Times New Roman"/>
                <w:sz w:val="24"/>
                <w:szCs w:val="24"/>
              </w:rPr>
              <w:t>10</w:t>
            </w:r>
            <w:r>
              <w:rPr>
                <w:rFonts w:ascii="Times New Roman" w:hAnsi="Times New Roman" w:cs="Times New Roman"/>
                <w:sz w:val="24"/>
                <w:szCs w:val="24"/>
              </w:rPr>
              <w:t xml:space="preserve"> – Growth </w:t>
            </w:r>
            <w:r w:rsidR="00F570EC">
              <w:rPr>
                <w:rFonts w:ascii="Times New Roman" w:hAnsi="Times New Roman" w:cs="Times New Roman"/>
                <w:sz w:val="24"/>
                <w:szCs w:val="24"/>
              </w:rPr>
              <w:t>c</w:t>
            </w:r>
            <w:r>
              <w:rPr>
                <w:rFonts w:ascii="Times New Roman" w:hAnsi="Times New Roman" w:cs="Times New Roman"/>
                <w:sz w:val="24"/>
                <w:szCs w:val="24"/>
              </w:rPr>
              <w:t>urves of  Ab</w:t>
            </w:r>
            <w:r w:rsidRPr="00852BE7">
              <w:rPr>
                <w:rFonts w:ascii="Times New Roman" w:hAnsi="Times New Roman" w:cs="Times New Roman"/>
                <w:sz w:val="24"/>
                <w:szCs w:val="24"/>
              </w:rPr>
              <w:t>Δ</w:t>
            </w:r>
            <w:r>
              <w:rPr>
                <w:rFonts w:ascii="Times New Roman" w:hAnsi="Times New Roman" w:cs="Times New Roman"/>
                <w:sz w:val="24"/>
                <w:szCs w:val="24"/>
              </w:rPr>
              <w:t>5 (</w:t>
            </w:r>
            <w:proofErr w:type="spellStart"/>
            <w:r>
              <w:rPr>
                <w:rFonts w:ascii="Times New Roman" w:hAnsi="Times New Roman" w:cs="Times New Roman"/>
                <w:sz w:val="24"/>
                <w:szCs w:val="24"/>
              </w:rPr>
              <w:t>pAmfAB</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pAmfCD</w:t>
            </w:r>
            <w:proofErr w:type="spellEnd"/>
            <w:r>
              <w:rPr>
                <w:rFonts w:ascii="Times New Roman" w:hAnsi="Times New Roman" w:cs="Times New Roman"/>
                <w:sz w:val="24"/>
                <w:szCs w:val="24"/>
              </w:rPr>
              <w:t xml:space="preserve">) </w:t>
            </w:r>
            <w:r w:rsidR="00F570EC">
              <w:rPr>
                <w:rFonts w:ascii="Times New Roman" w:hAnsi="Times New Roman" w:cs="Times New Roman"/>
                <w:sz w:val="24"/>
                <w:szCs w:val="24"/>
              </w:rPr>
              <w:t>o</w:t>
            </w:r>
            <w:r>
              <w:rPr>
                <w:rFonts w:ascii="Times New Roman" w:hAnsi="Times New Roman" w:cs="Times New Roman"/>
                <w:sz w:val="24"/>
                <w:szCs w:val="24"/>
              </w:rPr>
              <w:t xml:space="preserve">verexpression </w:t>
            </w:r>
            <w:r w:rsidR="00F570EC">
              <w:rPr>
                <w:rFonts w:ascii="Times New Roman" w:hAnsi="Times New Roman" w:cs="Times New Roman"/>
                <w:sz w:val="24"/>
                <w:szCs w:val="24"/>
              </w:rPr>
              <w:t>s</w:t>
            </w:r>
            <w:r>
              <w:rPr>
                <w:rFonts w:ascii="Times New Roman" w:hAnsi="Times New Roman" w:cs="Times New Roman"/>
                <w:sz w:val="24"/>
                <w:szCs w:val="24"/>
              </w:rPr>
              <w:t xml:space="preserve">trains </w:t>
            </w:r>
            <w:r w:rsidR="00F570EC">
              <w:rPr>
                <w:rFonts w:ascii="Times New Roman" w:hAnsi="Times New Roman" w:cs="Times New Roman"/>
                <w:sz w:val="24"/>
                <w:szCs w:val="24"/>
              </w:rPr>
              <w:t>u</w:t>
            </w:r>
            <w:r>
              <w:rPr>
                <w:rFonts w:ascii="Times New Roman" w:hAnsi="Times New Roman" w:cs="Times New Roman"/>
                <w:sz w:val="24"/>
                <w:szCs w:val="24"/>
              </w:rPr>
              <w:t xml:space="preserve">nder </w:t>
            </w:r>
            <w:r w:rsidR="00F570EC">
              <w:rPr>
                <w:rFonts w:ascii="Times New Roman" w:hAnsi="Times New Roman" w:cs="Times New Roman"/>
                <w:sz w:val="24"/>
                <w:szCs w:val="24"/>
              </w:rPr>
              <w:t>d</w:t>
            </w:r>
            <w:r>
              <w:rPr>
                <w:rFonts w:ascii="Times New Roman" w:hAnsi="Times New Roman" w:cs="Times New Roman"/>
                <w:sz w:val="24"/>
                <w:szCs w:val="24"/>
              </w:rPr>
              <w:t xml:space="preserve">ifferent </w:t>
            </w:r>
            <w:r w:rsidR="00F570EC">
              <w:rPr>
                <w:rFonts w:ascii="Times New Roman" w:hAnsi="Times New Roman" w:cs="Times New Roman"/>
                <w:sz w:val="24"/>
                <w:szCs w:val="24"/>
              </w:rPr>
              <w:t>s</w:t>
            </w:r>
            <w:r>
              <w:rPr>
                <w:rFonts w:ascii="Times New Roman" w:hAnsi="Times New Roman" w:cs="Times New Roman"/>
                <w:sz w:val="24"/>
                <w:szCs w:val="24"/>
              </w:rPr>
              <w:t>tresses………………………………………………………………</w:t>
            </w:r>
            <w:r w:rsidR="00200DA2">
              <w:rPr>
                <w:rFonts w:ascii="Times New Roman" w:hAnsi="Times New Roman" w:cs="Times New Roman"/>
                <w:sz w:val="24"/>
                <w:szCs w:val="24"/>
              </w:rPr>
              <w:t>..</w:t>
            </w:r>
            <w:r w:rsidR="002C7B55">
              <w:rPr>
                <w:rFonts w:ascii="Times New Roman" w:hAnsi="Times New Roman" w:cs="Times New Roman"/>
                <w:sz w:val="24"/>
                <w:szCs w:val="24"/>
              </w:rPr>
              <w:t>59</w:t>
            </w:r>
          </w:p>
        </w:tc>
      </w:tr>
      <w:tr w:rsidR="003934ED" w14:paraId="79C09F21" w14:textId="77777777" w:rsidTr="00F570EC">
        <w:trPr>
          <w:trHeight w:val="432"/>
        </w:trPr>
        <w:tc>
          <w:tcPr>
            <w:tcW w:w="8630" w:type="dxa"/>
            <w:vAlign w:val="center"/>
          </w:tcPr>
          <w:p w14:paraId="6EFCF7F0" w14:textId="12BED424" w:rsidR="003934ED" w:rsidRDefault="003934ED" w:rsidP="004A7526">
            <w:pPr>
              <w:rPr>
                <w:rFonts w:ascii="Times New Roman" w:hAnsi="Times New Roman" w:cs="Times New Roman"/>
                <w:sz w:val="24"/>
                <w:szCs w:val="24"/>
              </w:rPr>
            </w:pPr>
            <w:r>
              <w:rPr>
                <w:rFonts w:ascii="Times New Roman" w:hAnsi="Times New Roman" w:cs="Times New Roman"/>
                <w:sz w:val="24"/>
                <w:szCs w:val="24"/>
              </w:rPr>
              <w:t xml:space="preserve">Fig. 3.11 – PCA analysis of </w:t>
            </w:r>
            <w:r>
              <w:rPr>
                <w:rFonts w:ascii="Times New Roman" w:hAnsi="Times New Roman" w:cs="Times New Roman"/>
                <w:i/>
                <w:iCs/>
                <w:sz w:val="24"/>
                <w:szCs w:val="24"/>
              </w:rPr>
              <w:t>A. baumannii</w:t>
            </w:r>
            <w:r>
              <w:rPr>
                <w:rFonts w:ascii="Times New Roman" w:hAnsi="Times New Roman" w:cs="Times New Roman"/>
                <w:sz w:val="24"/>
                <w:szCs w:val="24"/>
              </w:rPr>
              <w:t xml:space="preserve"> growth……………………………..……..</w:t>
            </w:r>
            <w:r w:rsidR="002C7B55">
              <w:rPr>
                <w:rFonts w:ascii="Times New Roman" w:hAnsi="Times New Roman" w:cs="Times New Roman"/>
                <w:sz w:val="24"/>
                <w:szCs w:val="24"/>
              </w:rPr>
              <w:t>59</w:t>
            </w:r>
          </w:p>
        </w:tc>
      </w:tr>
      <w:tr w:rsidR="00C93FF8" w14:paraId="1FF22EA5" w14:textId="77777777" w:rsidTr="00F570EC">
        <w:trPr>
          <w:trHeight w:val="432"/>
        </w:trPr>
        <w:tc>
          <w:tcPr>
            <w:tcW w:w="8630" w:type="dxa"/>
            <w:vAlign w:val="center"/>
          </w:tcPr>
          <w:p w14:paraId="3F183D3D" w14:textId="69B9816F" w:rsidR="00C93FF8" w:rsidRDefault="00C93FF8" w:rsidP="004A7526">
            <w:pPr>
              <w:rPr>
                <w:rFonts w:ascii="Times New Roman" w:hAnsi="Times New Roman" w:cs="Times New Roman"/>
                <w:sz w:val="24"/>
                <w:szCs w:val="24"/>
              </w:rPr>
            </w:pPr>
            <w:r>
              <w:rPr>
                <w:rFonts w:ascii="Times New Roman" w:hAnsi="Times New Roman" w:cs="Times New Roman"/>
                <w:sz w:val="24"/>
                <w:szCs w:val="24"/>
              </w:rPr>
              <w:t>Fig. 3.</w:t>
            </w:r>
            <w:r w:rsidR="00F570EC">
              <w:rPr>
                <w:rFonts w:ascii="Times New Roman" w:hAnsi="Times New Roman" w:cs="Times New Roman"/>
                <w:sz w:val="24"/>
                <w:szCs w:val="24"/>
              </w:rPr>
              <w:t>1</w:t>
            </w:r>
            <w:r w:rsidR="003934ED">
              <w:rPr>
                <w:rFonts w:ascii="Times New Roman" w:hAnsi="Times New Roman" w:cs="Times New Roman"/>
                <w:sz w:val="24"/>
                <w:szCs w:val="24"/>
              </w:rPr>
              <w:t>2</w:t>
            </w:r>
            <w:r>
              <w:rPr>
                <w:rFonts w:ascii="Times New Roman" w:hAnsi="Times New Roman" w:cs="Times New Roman"/>
                <w:sz w:val="24"/>
                <w:szCs w:val="24"/>
              </w:rPr>
              <w:t xml:space="preserve"> – Fluorescence </w:t>
            </w:r>
            <w:r w:rsidR="00F570EC">
              <w:rPr>
                <w:rFonts w:ascii="Times New Roman" w:hAnsi="Times New Roman" w:cs="Times New Roman"/>
                <w:sz w:val="24"/>
                <w:szCs w:val="24"/>
              </w:rPr>
              <w:t>u</w:t>
            </w:r>
            <w:r>
              <w:rPr>
                <w:rFonts w:ascii="Times New Roman" w:hAnsi="Times New Roman" w:cs="Times New Roman"/>
                <w:sz w:val="24"/>
                <w:szCs w:val="24"/>
              </w:rPr>
              <w:t xml:space="preserve">ptake </w:t>
            </w:r>
            <w:r w:rsidR="00F570EC">
              <w:rPr>
                <w:rFonts w:ascii="Times New Roman" w:hAnsi="Times New Roman" w:cs="Times New Roman"/>
                <w:sz w:val="24"/>
                <w:szCs w:val="24"/>
              </w:rPr>
              <w:t>a</w:t>
            </w:r>
            <w:r>
              <w:rPr>
                <w:rFonts w:ascii="Times New Roman" w:hAnsi="Times New Roman" w:cs="Times New Roman"/>
                <w:sz w:val="24"/>
                <w:szCs w:val="24"/>
              </w:rPr>
              <w:t>nalysis of NPN…………………………………</w:t>
            </w:r>
            <w:r w:rsidR="00200DA2">
              <w:rPr>
                <w:rFonts w:ascii="Times New Roman" w:hAnsi="Times New Roman" w:cs="Times New Roman"/>
                <w:sz w:val="24"/>
                <w:szCs w:val="24"/>
              </w:rPr>
              <w:t>….6</w:t>
            </w:r>
            <w:r w:rsidR="002C7B55">
              <w:rPr>
                <w:rFonts w:ascii="Times New Roman" w:hAnsi="Times New Roman" w:cs="Times New Roman"/>
                <w:sz w:val="24"/>
                <w:szCs w:val="24"/>
              </w:rPr>
              <w:t>0</w:t>
            </w:r>
          </w:p>
        </w:tc>
      </w:tr>
      <w:tr w:rsidR="00C93FF8" w14:paraId="1A40DACE" w14:textId="77777777" w:rsidTr="00F570EC">
        <w:trPr>
          <w:trHeight w:val="432"/>
        </w:trPr>
        <w:tc>
          <w:tcPr>
            <w:tcW w:w="8630" w:type="dxa"/>
            <w:vAlign w:val="center"/>
          </w:tcPr>
          <w:p w14:paraId="1B154691" w14:textId="77777777" w:rsidR="00C93FF8" w:rsidRDefault="00C93FF8" w:rsidP="004A7526">
            <w:pPr>
              <w:rPr>
                <w:rFonts w:ascii="Times New Roman" w:hAnsi="Times New Roman" w:cs="Times New Roman"/>
                <w:sz w:val="24"/>
                <w:szCs w:val="24"/>
              </w:rPr>
            </w:pPr>
          </w:p>
        </w:tc>
      </w:tr>
      <w:tr w:rsidR="00C93FF8" w14:paraId="186FC077" w14:textId="77777777" w:rsidTr="00F570EC">
        <w:trPr>
          <w:trHeight w:val="432"/>
        </w:trPr>
        <w:tc>
          <w:tcPr>
            <w:tcW w:w="8630" w:type="dxa"/>
            <w:vAlign w:val="center"/>
          </w:tcPr>
          <w:p w14:paraId="4516D82B" w14:textId="6EA17694" w:rsidR="00C93FF8" w:rsidRDefault="00C93FF8" w:rsidP="004A7526">
            <w:pPr>
              <w:rPr>
                <w:rFonts w:ascii="Times New Roman" w:hAnsi="Times New Roman" w:cs="Times New Roman"/>
                <w:sz w:val="24"/>
                <w:szCs w:val="24"/>
              </w:rPr>
            </w:pPr>
            <w:r>
              <w:rPr>
                <w:rFonts w:ascii="Times New Roman" w:hAnsi="Times New Roman" w:cs="Times New Roman"/>
                <w:sz w:val="24"/>
                <w:szCs w:val="24"/>
              </w:rPr>
              <w:t xml:space="preserve">Table 3.1 – </w:t>
            </w:r>
            <w:r w:rsidR="00F570EC">
              <w:rPr>
                <w:rFonts w:ascii="Times New Roman" w:hAnsi="Times New Roman" w:cs="Times New Roman"/>
                <w:sz w:val="24"/>
                <w:szCs w:val="24"/>
              </w:rPr>
              <w:t xml:space="preserve">Aligning ABUW_1953 against outer membrane proteins </w:t>
            </w:r>
            <w:r>
              <w:rPr>
                <w:rFonts w:ascii="Times New Roman" w:hAnsi="Times New Roman" w:cs="Times New Roman"/>
                <w:sz w:val="24"/>
                <w:szCs w:val="24"/>
              </w:rPr>
              <w:t>……………….</w:t>
            </w:r>
            <w:r w:rsidR="00B472CF">
              <w:rPr>
                <w:rFonts w:ascii="Times New Roman" w:hAnsi="Times New Roman" w:cs="Times New Roman"/>
                <w:sz w:val="24"/>
                <w:szCs w:val="24"/>
              </w:rPr>
              <w:t>4</w:t>
            </w:r>
            <w:r w:rsidR="002C7B55">
              <w:rPr>
                <w:rFonts w:ascii="Times New Roman" w:hAnsi="Times New Roman" w:cs="Times New Roman"/>
                <w:sz w:val="24"/>
                <w:szCs w:val="24"/>
              </w:rPr>
              <w:t>5</w:t>
            </w:r>
          </w:p>
        </w:tc>
      </w:tr>
      <w:tr w:rsidR="00F570EC" w14:paraId="24F693B8" w14:textId="77777777" w:rsidTr="00F570EC">
        <w:trPr>
          <w:trHeight w:val="432"/>
        </w:trPr>
        <w:tc>
          <w:tcPr>
            <w:tcW w:w="8630" w:type="dxa"/>
            <w:vAlign w:val="center"/>
          </w:tcPr>
          <w:p w14:paraId="54FDBADD" w14:textId="4837F589" w:rsidR="00F570EC" w:rsidRPr="00F570EC" w:rsidRDefault="00F570EC" w:rsidP="004A7526">
            <w:pPr>
              <w:rPr>
                <w:rFonts w:ascii="Times New Roman" w:hAnsi="Times New Roman" w:cs="Times New Roman"/>
                <w:sz w:val="24"/>
                <w:szCs w:val="24"/>
              </w:rPr>
            </w:pPr>
            <w:r>
              <w:rPr>
                <w:rFonts w:ascii="Times New Roman" w:hAnsi="Times New Roman" w:cs="Times New Roman"/>
                <w:sz w:val="24"/>
                <w:szCs w:val="24"/>
              </w:rPr>
              <w:t xml:space="preserve">Table 3.2 – Aligning ABUW </w:t>
            </w:r>
            <w:proofErr w:type="spellStart"/>
            <w:r>
              <w:rPr>
                <w:rFonts w:ascii="Times New Roman" w:hAnsi="Times New Roman" w:cs="Times New Roman"/>
                <w:i/>
                <w:iCs/>
                <w:sz w:val="24"/>
                <w:szCs w:val="24"/>
              </w:rPr>
              <w:t>amf</w:t>
            </w:r>
            <w:proofErr w:type="spellEnd"/>
            <w:r>
              <w:rPr>
                <w:rFonts w:ascii="Times New Roman" w:hAnsi="Times New Roman" w:cs="Times New Roman"/>
                <w:sz w:val="24"/>
                <w:szCs w:val="24"/>
              </w:rPr>
              <w:t xml:space="preserve"> genes against </w:t>
            </w:r>
            <w:r>
              <w:rPr>
                <w:rFonts w:ascii="Times New Roman" w:hAnsi="Times New Roman" w:cs="Times New Roman"/>
                <w:i/>
                <w:iCs/>
                <w:sz w:val="24"/>
                <w:szCs w:val="24"/>
              </w:rPr>
              <w:t>A. baumannii</w:t>
            </w:r>
            <w:r>
              <w:rPr>
                <w:rFonts w:ascii="Times New Roman" w:hAnsi="Times New Roman" w:cs="Times New Roman"/>
                <w:sz w:val="24"/>
                <w:szCs w:val="24"/>
              </w:rPr>
              <w:t xml:space="preserve"> ATCC17978 MFS pumps …………………………………………………………………………………</w:t>
            </w:r>
            <w:r w:rsidR="00B472CF">
              <w:rPr>
                <w:rFonts w:ascii="Times New Roman" w:hAnsi="Times New Roman" w:cs="Times New Roman"/>
                <w:sz w:val="24"/>
                <w:szCs w:val="24"/>
              </w:rPr>
              <w:t>4</w:t>
            </w:r>
            <w:r w:rsidR="002C7B55">
              <w:rPr>
                <w:rFonts w:ascii="Times New Roman" w:hAnsi="Times New Roman" w:cs="Times New Roman"/>
                <w:sz w:val="24"/>
                <w:szCs w:val="24"/>
              </w:rPr>
              <w:t>5</w:t>
            </w:r>
          </w:p>
        </w:tc>
      </w:tr>
      <w:tr w:rsidR="00B472CF" w14:paraId="5DF78A34" w14:textId="77777777" w:rsidTr="00F570EC">
        <w:trPr>
          <w:trHeight w:val="432"/>
        </w:trPr>
        <w:tc>
          <w:tcPr>
            <w:tcW w:w="8630" w:type="dxa"/>
            <w:vAlign w:val="center"/>
          </w:tcPr>
          <w:p w14:paraId="017AC581" w14:textId="1FE4A67D" w:rsidR="00B472CF" w:rsidRDefault="00B472CF" w:rsidP="00F570EC">
            <w:pPr>
              <w:rPr>
                <w:rFonts w:ascii="Times New Roman" w:hAnsi="Times New Roman" w:cs="Times New Roman"/>
                <w:sz w:val="24"/>
                <w:szCs w:val="24"/>
              </w:rPr>
            </w:pPr>
            <w:r>
              <w:rPr>
                <w:rFonts w:ascii="Times New Roman" w:hAnsi="Times New Roman" w:cs="Times New Roman"/>
                <w:sz w:val="24"/>
                <w:szCs w:val="24"/>
              </w:rPr>
              <w:t>Table 3.3 – Aligning ABUW and A1S MFS genes …………………………………..4</w:t>
            </w:r>
            <w:r w:rsidR="00652721">
              <w:rPr>
                <w:rFonts w:ascii="Times New Roman" w:hAnsi="Times New Roman" w:cs="Times New Roman"/>
                <w:sz w:val="24"/>
                <w:szCs w:val="24"/>
              </w:rPr>
              <w:t>5</w:t>
            </w:r>
          </w:p>
        </w:tc>
      </w:tr>
      <w:tr w:rsidR="00F570EC" w14:paraId="296F082E" w14:textId="77777777" w:rsidTr="00F570EC">
        <w:trPr>
          <w:trHeight w:val="432"/>
        </w:trPr>
        <w:tc>
          <w:tcPr>
            <w:tcW w:w="8630" w:type="dxa"/>
            <w:vAlign w:val="center"/>
          </w:tcPr>
          <w:p w14:paraId="30759201" w14:textId="647C7F96" w:rsidR="00F570EC" w:rsidRDefault="00F570EC" w:rsidP="00F570EC">
            <w:pPr>
              <w:rPr>
                <w:rFonts w:ascii="Times New Roman" w:hAnsi="Times New Roman" w:cs="Times New Roman"/>
                <w:sz w:val="24"/>
                <w:szCs w:val="24"/>
              </w:rPr>
            </w:pPr>
            <w:r>
              <w:rPr>
                <w:rFonts w:ascii="Times New Roman" w:hAnsi="Times New Roman" w:cs="Times New Roman"/>
                <w:sz w:val="24"/>
                <w:szCs w:val="24"/>
              </w:rPr>
              <w:t>Table 3.</w:t>
            </w:r>
            <w:r w:rsidR="00B472CF">
              <w:rPr>
                <w:rFonts w:ascii="Times New Roman" w:hAnsi="Times New Roman" w:cs="Times New Roman"/>
                <w:sz w:val="24"/>
                <w:szCs w:val="24"/>
              </w:rPr>
              <w:t>4</w:t>
            </w:r>
            <w:r>
              <w:rPr>
                <w:rFonts w:ascii="Times New Roman" w:hAnsi="Times New Roman" w:cs="Times New Roman"/>
                <w:sz w:val="24"/>
                <w:szCs w:val="24"/>
              </w:rPr>
              <w:t xml:space="preserve"> – Antibiotic susceptibilities of </w:t>
            </w:r>
            <w:r>
              <w:rPr>
                <w:rFonts w:ascii="Times New Roman" w:hAnsi="Times New Roman" w:cs="Times New Roman"/>
                <w:i/>
                <w:iCs/>
                <w:sz w:val="24"/>
                <w:szCs w:val="24"/>
              </w:rPr>
              <w:t>A. baumannii</w:t>
            </w:r>
            <w:r>
              <w:rPr>
                <w:rFonts w:ascii="Times New Roman" w:hAnsi="Times New Roman" w:cs="Times New Roman"/>
                <w:sz w:val="24"/>
                <w:szCs w:val="24"/>
              </w:rPr>
              <w:t xml:space="preserve"> strains to different classes of antibiotics……………………………………………………………………………</w:t>
            </w:r>
            <w:r w:rsidR="00B472CF">
              <w:rPr>
                <w:rFonts w:ascii="Times New Roman" w:hAnsi="Times New Roman" w:cs="Times New Roman"/>
                <w:sz w:val="24"/>
                <w:szCs w:val="24"/>
              </w:rPr>
              <w:t>...5</w:t>
            </w:r>
            <w:r w:rsidR="002C7B55">
              <w:rPr>
                <w:rFonts w:ascii="Times New Roman" w:hAnsi="Times New Roman" w:cs="Times New Roman"/>
                <w:sz w:val="24"/>
                <w:szCs w:val="24"/>
              </w:rPr>
              <w:t>3</w:t>
            </w:r>
          </w:p>
        </w:tc>
      </w:tr>
      <w:tr w:rsidR="00F570EC" w14:paraId="70EC96E5" w14:textId="77777777" w:rsidTr="00F570EC">
        <w:trPr>
          <w:trHeight w:val="432"/>
        </w:trPr>
        <w:tc>
          <w:tcPr>
            <w:tcW w:w="8630" w:type="dxa"/>
            <w:vAlign w:val="center"/>
          </w:tcPr>
          <w:p w14:paraId="12375CB7" w14:textId="4645C56A" w:rsidR="00F570EC" w:rsidRDefault="00F570EC" w:rsidP="00F570EC">
            <w:pPr>
              <w:rPr>
                <w:rFonts w:ascii="Times New Roman" w:hAnsi="Times New Roman" w:cs="Times New Roman"/>
                <w:sz w:val="24"/>
                <w:szCs w:val="24"/>
              </w:rPr>
            </w:pPr>
            <w:r>
              <w:rPr>
                <w:rFonts w:ascii="Times New Roman" w:hAnsi="Times New Roman" w:cs="Times New Roman"/>
                <w:sz w:val="24"/>
                <w:szCs w:val="24"/>
              </w:rPr>
              <w:t>Table 3.</w:t>
            </w:r>
            <w:r w:rsidR="00B472CF">
              <w:rPr>
                <w:rFonts w:ascii="Times New Roman" w:hAnsi="Times New Roman" w:cs="Times New Roman"/>
                <w:sz w:val="24"/>
                <w:szCs w:val="24"/>
              </w:rPr>
              <w:t>5</w:t>
            </w:r>
            <w:r>
              <w:rPr>
                <w:rFonts w:ascii="Times New Roman" w:hAnsi="Times New Roman" w:cs="Times New Roman"/>
                <w:sz w:val="24"/>
                <w:szCs w:val="24"/>
              </w:rPr>
              <w:t xml:space="preserve"> – Details of </w:t>
            </w:r>
            <w:r w:rsidR="00B472CF">
              <w:rPr>
                <w:rFonts w:ascii="Times New Roman" w:hAnsi="Times New Roman" w:cs="Times New Roman"/>
                <w:sz w:val="24"/>
                <w:szCs w:val="24"/>
              </w:rPr>
              <w:t>g</w:t>
            </w:r>
            <w:r>
              <w:rPr>
                <w:rFonts w:ascii="Times New Roman" w:hAnsi="Times New Roman" w:cs="Times New Roman"/>
                <w:sz w:val="24"/>
                <w:szCs w:val="24"/>
              </w:rPr>
              <w:t xml:space="preserve">rowth and </w:t>
            </w:r>
            <w:r w:rsidR="00B472CF">
              <w:rPr>
                <w:rFonts w:ascii="Times New Roman" w:hAnsi="Times New Roman" w:cs="Times New Roman"/>
                <w:sz w:val="24"/>
                <w:szCs w:val="24"/>
              </w:rPr>
              <w:t>s</w:t>
            </w:r>
            <w:r>
              <w:rPr>
                <w:rFonts w:ascii="Times New Roman" w:hAnsi="Times New Roman" w:cs="Times New Roman"/>
                <w:sz w:val="24"/>
                <w:szCs w:val="24"/>
              </w:rPr>
              <w:t xml:space="preserve">tress </w:t>
            </w:r>
            <w:r w:rsidR="00B472CF">
              <w:rPr>
                <w:rFonts w:ascii="Times New Roman" w:hAnsi="Times New Roman" w:cs="Times New Roman"/>
                <w:sz w:val="24"/>
                <w:szCs w:val="24"/>
              </w:rPr>
              <w:t>c</w:t>
            </w:r>
            <w:r>
              <w:rPr>
                <w:rFonts w:ascii="Times New Roman" w:hAnsi="Times New Roman" w:cs="Times New Roman"/>
                <w:sz w:val="24"/>
                <w:szCs w:val="24"/>
              </w:rPr>
              <w:t xml:space="preserve">onditions for </w:t>
            </w:r>
            <w:r>
              <w:rPr>
                <w:rFonts w:ascii="Times New Roman" w:hAnsi="Times New Roman" w:cs="Times New Roman"/>
                <w:i/>
                <w:iCs/>
                <w:sz w:val="24"/>
                <w:szCs w:val="24"/>
              </w:rPr>
              <w:t>A. baumannii</w:t>
            </w:r>
            <w:r>
              <w:rPr>
                <w:rFonts w:ascii="Times New Roman" w:hAnsi="Times New Roman" w:cs="Times New Roman"/>
                <w:sz w:val="24"/>
                <w:szCs w:val="24"/>
              </w:rPr>
              <w:t xml:space="preserve"> mutants………</w:t>
            </w:r>
            <w:r w:rsidR="00B472CF">
              <w:rPr>
                <w:rFonts w:ascii="Times New Roman" w:hAnsi="Times New Roman" w:cs="Times New Roman"/>
                <w:sz w:val="24"/>
                <w:szCs w:val="24"/>
              </w:rPr>
              <w:t>5</w:t>
            </w:r>
            <w:r w:rsidR="002C7B55">
              <w:rPr>
                <w:rFonts w:ascii="Times New Roman" w:hAnsi="Times New Roman" w:cs="Times New Roman"/>
                <w:sz w:val="24"/>
                <w:szCs w:val="24"/>
              </w:rPr>
              <w:t>4</w:t>
            </w:r>
          </w:p>
        </w:tc>
      </w:tr>
      <w:tr w:rsidR="00F570EC" w14:paraId="3BD5B546" w14:textId="77777777" w:rsidTr="00F570EC">
        <w:trPr>
          <w:trHeight w:val="432"/>
        </w:trPr>
        <w:tc>
          <w:tcPr>
            <w:tcW w:w="8630" w:type="dxa"/>
            <w:vAlign w:val="center"/>
          </w:tcPr>
          <w:p w14:paraId="3F65B4CB" w14:textId="0C6A828B" w:rsidR="00F570EC" w:rsidRDefault="00F570EC" w:rsidP="00F570EC">
            <w:pPr>
              <w:rPr>
                <w:rFonts w:ascii="Times New Roman" w:hAnsi="Times New Roman" w:cs="Times New Roman"/>
                <w:sz w:val="24"/>
                <w:szCs w:val="24"/>
              </w:rPr>
            </w:pPr>
            <w:r>
              <w:rPr>
                <w:rFonts w:ascii="Times New Roman" w:hAnsi="Times New Roman" w:cs="Times New Roman"/>
                <w:sz w:val="24"/>
                <w:szCs w:val="24"/>
              </w:rPr>
              <w:t>Table 3.</w:t>
            </w:r>
            <w:r w:rsidR="00B472CF">
              <w:rPr>
                <w:rFonts w:ascii="Times New Roman" w:hAnsi="Times New Roman" w:cs="Times New Roman"/>
                <w:sz w:val="24"/>
                <w:szCs w:val="24"/>
              </w:rPr>
              <w:t>6</w:t>
            </w:r>
            <w:r>
              <w:rPr>
                <w:rFonts w:ascii="Times New Roman" w:hAnsi="Times New Roman" w:cs="Times New Roman"/>
                <w:sz w:val="24"/>
                <w:szCs w:val="24"/>
              </w:rPr>
              <w:t xml:space="preserve"> – Area </w:t>
            </w:r>
            <w:r w:rsidR="00B472CF">
              <w:rPr>
                <w:rFonts w:ascii="Times New Roman" w:hAnsi="Times New Roman" w:cs="Times New Roman"/>
                <w:sz w:val="24"/>
                <w:szCs w:val="24"/>
              </w:rPr>
              <w:t>u</w:t>
            </w:r>
            <w:r>
              <w:rPr>
                <w:rFonts w:ascii="Times New Roman" w:hAnsi="Times New Roman" w:cs="Times New Roman"/>
                <w:sz w:val="24"/>
                <w:szCs w:val="24"/>
              </w:rPr>
              <w:t xml:space="preserve">nder the </w:t>
            </w:r>
            <w:r w:rsidR="00B472CF">
              <w:rPr>
                <w:rFonts w:ascii="Times New Roman" w:hAnsi="Times New Roman" w:cs="Times New Roman"/>
                <w:sz w:val="24"/>
                <w:szCs w:val="24"/>
              </w:rPr>
              <w:t>cu</w:t>
            </w:r>
            <w:r>
              <w:rPr>
                <w:rFonts w:ascii="Times New Roman" w:hAnsi="Times New Roman" w:cs="Times New Roman"/>
                <w:sz w:val="24"/>
                <w:szCs w:val="24"/>
              </w:rPr>
              <w:t xml:space="preserve">rve </w:t>
            </w:r>
            <w:r w:rsidR="00B472CF">
              <w:rPr>
                <w:rFonts w:ascii="Times New Roman" w:hAnsi="Times New Roman" w:cs="Times New Roman"/>
                <w:sz w:val="24"/>
                <w:szCs w:val="24"/>
              </w:rPr>
              <w:t>v</w:t>
            </w:r>
            <w:r>
              <w:rPr>
                <w:rFonts w:ascii="Times New Roman" w:hAnsi="Times New Roman" w:cs="Times New Roman"/>
                <w:sz w:val="24"/>
                <w:szCs w:val="24"/>
              </w:rPr>
              <w:t>alue</w:t>
            </w:r>
            <w:r w:rsidR="003934ED">
              <w:rPr>
                <w:rFonts w:ascii="Times New Roman" w:hAnsi="Times New Roman" w:cs="Times New Roman"/>
                <w:sz w:val="24"/>
                <w:szCs w:val="24"/>
              </w:rPr>
              <w:t>s for overproduction strains.</w:t>
            </w:r>
            <w:r>
              <w:rPr>
                <w:rFonts w:ascii="Times New Roman" w:hAnsi="Times New Roman" w:cs="Times New Roman"/>
                <w:sz w:val="24"/>
                <w:szCs w:val="24"/>
              </w:rPr>
              <w:t>…………………</w:t>
            </w:r>
            <w:r w:rsidR="00B472CF">
              <w:rPr>
                <w:rFonts w:ascii="Times New Roman" w:hAnsi="Times New Roman" w:cs="Times New Roman"/>
                <w:sz w:val="24"/>
                <w:szCs w:val="24"/>
              </w:rPr>
              <w:t>6</w:t>
            </w:r>
            <w:r w:rsidR="002C7B55">
              <w:rPr>
                <w:rFonts w:ascii="Times New Roman" w:hAnsi="Times New Roman" w:cs="Times New Roman"/>
                <w:sz w:val="24"/>
                <w:szCs w:val="24"/>
              </w:rPr>
              <w:t>3</w:t>
            </w:r>
          </w:p>
        </w:tc>
      </w:tr>
      <w:tr w:rsidR="00F570EC" w14:paraId="4E430439" w14:textId="77777777" w:rsidTr="00F570EC">
        <w:trPr>
          <w:trHeight w:val="432"/>
        </w:trPr>
        <w:tc>
          <w:tcPr>
            <w:tcW w:w="8630" w:type="dxa"/>
            <w:vAlign w:val="center"/>
          </w:tcPr>
          <w:p w14:paraId="4059C0B7" w14:textId="77777777" w:rsidR="00F570EC" w:rsidRPr="00DB5BC6" w:rsidRDefault="00F570EC" w:rsidP="00F570EC">
            <w:pPr>
              <w:rPr>
                <w:rFonts w:ascii="Times New Roman" w:hAnsi="Times New Roman" w:cs="Times New Roman"/>
                <w:sz w:val="24"/>
                <w:szCs w:val="24"/>
              </w:rPr>
            </w:pPr>
          </w:p>
        </w:tc>
      </w:tr>
      <w:tr w:rsidR="00F570EC" w14:paraId="05997852" w14:textId="77777777" w:rsidTr="00F570EC">
        <w:trPr>
          <w:trHeight w:val="432"/>
        </w:trPr>
        <w:tc>
          <w:tcPr>
            <w:tcW w:w="8630" w:type="dxa"/>
            <w:vAlign w:val="center"/>
          </w:tcPr>
          <w:p w14:paraId="7C05CD14" w14:textId="658ADB10" w:rsidR="00F570EC" w:rsidRDefault="00F570EC" w:rsidP="00F570EC">
            <w:pPr>
              <w:rPr>
                <w:rFonts w:ascii="Times New Roman" w:hAnsi="Times New Roman" w:cs="Times New Roman"/>
                <w:sz w:val="24"/>
                <w:szCs w:val="24"/>
              </w:rPr>
            </w:pPr>
            <w:r>
              <w:rPr>
                <w:rFonts w:ascii="Times New Roman" w:hAnsi="Times New Roman" w:cs="Times New Roman"/>
                <w:sz w:val="24"/>
                <w:szCs w:val="24"/>
              </w:rPr>
              <w:t xml:space="preserve">Fig. 4.1 – </w:t>
            </w:r>
            <w:proofErr w:type="spellStart"/>
            <w:r w:rsidR="002C7B55">
              <w:rPr>
                <w:rFonts w:ascii="Times New Roman" w:hAnsi="Times New Roman" w:cs="Times New Roman"/>
                <w:sz w:val="24"/>
                <w:szCs w:val="24"/>
              </w:rPr>
              <w:t>Pymol</w:t>
            </w:r>
            <w:proofErr w:type="spellEnd"/>
            <w:r w:rsidR="002C7B55">
              <w:rPr>
                <w:rFonts w:ascii="Times New Roman" w:hAnsi="Times New Roman" w:cs="Times New Roman"/>
                <w:sz w:val="24"/>
                <w:szCs w:val="24"/>
              </w:rPr>
              <w:t xml:space="preserve">-Wizard Mutated </w:t>
            </w:r>
            <w:proofErr w:type="spellStart"/>
            <w:r w:rsidR="002C7B55">
              <w:rPr>
                <w:rFonts w:ascii="Times New Roman" w:hAnsi="Times New Roman" w:cs="Times New Roman"/>
                <w:sz w:val="24"/>
                <w:szCs w:val="24"/>
              </w:rPr>
              <w:t>AdeJ</w:t>
            </w:r>
            <w:proofErr w:type="spellEnd"/>
            <w:r>
              <w:rPr>
                <w:rFonts w:ascii="Times New Roman" w:hAnsi="Times New Roman" w:cs="Times New Roman"/>
                <w:sz w:val="24"/>
                <w:szCs w:val="24"/>
              </w:rPr>
              <w:t xml:space="preserve"> </w:t>
            </w:r>
            <w:r w:rsidR="00B472CF">
              <w:rPr>
                <w:rFonts w:ascii="Times New Roman" w:hAnsi="Times New Roman" w:cs="Times New Roman"/>
                <w:sz w:val="24"/>
                <w:szCs w:val="24"/>
              </w:rPr>
              <w:t>p</w:t>
            </w:r>
            <w:r>
              <w:rPr>
                <w:rFonts w:ascii="Times New Roman" w:hAnsi="Times New Roman" w:cs="Times New Roman"/>
                <w:sz w:val="24"/>
                <w:szCs w:val="24"/>
              </w:rPr>
              <w:t xml:space="preserve">rotomer </w:t>
            </w:r>
            <w:r w:rsidR="002C7B55">
              <w:rPr>
                <w:rFonts w:ascii="Times New Roman" w:hAnsi="Times New Roman" w:cs="Times New Roman"/>
                <w:sz w:val="24"/>
                <w:szCs w:val="24"/>
              </w:rPr>
              <w:t xml:space="preserve">and </w:t>
            </w:r>
            <w:r w:rsidR="00B472CF">
              <w:rPr>
                <w:rFonts w:ascii="Times New Roman" w:hAnsi="Times New Roman" w:cs="Times New Roman"/>
                <w:sz w:val="24"/>
                <w:szCs w:val="24"/>
              </w:rPr>
              <w:t>s</w:t>
            </w:r>
            <w:r>
              <w:rPr>
                <w:rFonts w:ascii="Times New Roman" w:hAnsi="Times New Roman" w:cs="Times New Roman"/>
                <w:sz w:val="24"/>
                <w:szCs w:val="24"/>
              </w:rPr>
              <w:t xml:space="preserve">elect </w:t>
            </w:r>
            <w:r w:rsidR="002C7B55">
              <w:rPr>
                <w:rFonts w:ascii="Times New Roman" w:hAnsi="Times New Roman" w:cs="Times New Roman"/>
                <w:sz w:val="24"/>
                <w:szCs w:val="24"/>
              </w:rPr>
              <w:t xml:space="preserve">AdeG </w:t>
            </w:r>
            <w:r w:rsidR="00B472CF">
              <w:rPr>
                <w:rFonts w:ascii="Times New Roman" w:hAnsi="Times New Roman" w:cs="Times New Roman"/>
                <w:sz w:val="24"/>
                <w:szCs w:val="24"/>
              </w:rPr>
              <w:t>b</w:t>
            </w:r>
            <w:r>
              <w:rPr>
                <w:rFonts w:ascii="Times New Roman" w:hAnsi="Times New Roman" w:cs="Times New Roman"/>
                <w:sz w:val="24"/>
                <w:szCs w:val="24"/>
              </w:rPr>
              <w:t xml:space="preserve">inding </w:t>
            </w:r>
            <w:r w:rsidR="00B472CF">
              <w:rPr>
                <w:rFonts w:ascii="Times New Roman" w:hAnsi="Times New Roman" w:cs="Times New Roman"/>
                <w:sz w:val="24"/>
                <w:szCs w:val="24"/>
              </w:rPr>
              <w:t>p</w:t>
            </w:r>
            <w:r>
              <w:rPr>
                <w:rFonts w:ascii="Times New Roman" w:hAnsi="Times New Roman" w:cs="Times New Roman"/>
                <w:sz w:val="24"/>
                <w:szCs w:val="24"/>
              </w:rPr>
              <w:t xml:space="preserve">ocket </w:t>
            </w:r>
            <w:r w:rsidR="00B472CF">
              <w:rPr>
                <w:rFonts w:ascii="Times New Roman" w:hAnsi="Times New Roman" w:cs="Times New Roman"/>
                <w:sz w:val="24"/>
                <w:szCs w:val="24"/>
              </w:rPr>
              <w:t>r</w:t>
            </w:r>
            <w:r>
              <w:rPr>
                <w:rFonts w:ascii="Times New Roman" w:hAnsi="Times New Roman" w:cs="Times New Roman"/>
                <w:sz w:val="24"/>
                <w:szCs w:val="24"/>
              </w:rPr>
              <w:t>esidues………</w:t>
            </w:r>
            <w:r w:rsidR="002C7B55">
              <w:rPr>
                <w:rFonts w:ascii="Times New Roman" w:hAnsi="Times New Roman" w:cs="Times New Roman"/>
                <w:sz w:val="24"/>
                <w:szCs w:val="24"/>
              </w:rPr>
              <w:t>…………………………………………………………………….…..69</w:t>
            </w:r>
          </w:p>
        </w:tc>
      </w:tr>
      <w:tr w:rsidR="00F570EC" w14:paraId="6642C72E" w14:textId="77777777" w:rsidTr="00F570EC">
        <w:trPr>
          <w:trHeight w:val="432"/>
        </w:trPr>
        <w:tc>
          <w:tcPr>
            <w:tcW w:w="8630" w:type="dxa"/>
            <w:vAlign w:val="center"/>
          </w:tcPr>
          <w:p w14:paraId="6BA9A599" w14:textId="1512E949" w:rsidR="00F570EC"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 xml:space="preserve">Fig. 4.2 – Fluorescence uptake analysis of </w:t>
            </w:r>
            <w:r w:rsidRPr="009E08CE">
              <w:rPr>
                <w:rFonts w:ascii="Times New Roman" w:hAnsi="Times New Roman" w:cs="Times New Roman"/>
                <w:sz w:val="24"/>
                <w:szCs w:val="24"/>
              </w:rPr>
              <w:t xml:space="preserve">NPN (0-16 </w:t>
            </w:r>
            <w:r w:rsidRPr="009E08CE">
              <w:rPr>
                <w:rFonts w:ascii="Times New Roman" w:hAnsi="Times New Roman" w:cs="Times New Roman"/>
                <w:b/>
                <w:bCs/>
                <w:sz w:val="24"/>
                <w:szCs w:val="24"/>
              </w:rPr>
              <w:t xml:space="preserve"> </w:t>
            </w:r>
            <w:r w:rsidRPr="009E08CE">
              <w:rPr>
                <w:rFonts w:ascii="Times New Roman" w:hAnsi="Times New Roman" w:cs="Times New Roman"/>
                <w:sz w:val="24"/>
                <w:szCs w:val="24"/>
              </w:rPr>
              <w:t xml:space="preserve">µM) with </w:t>
            </w:r>
            <w:r>
              <w:rPr>
                <w:rFonts w:ascii="Times New Roman" w:hAnsi="Times New Roman" w:cs="Times New Roman"/>
                <w:sz w:val="24"/>
                <w:szCs w:val="24"/>
              </w:rPr>
              <w:t>m</w:t>
            </w:r>
            <w:r w:rsidRPr="009E08CE">
              <w:rPr>
                <w:rFonts w:ascii="Times New Roman" w:hAnsi="Times New Roman" w:cs="Times New Roman"/>
                <w:sz w:val="24"/>
                <w:szCs w:val="24"/>
              </w:rPr>
              <w:t xml:space="preserve">utant AdeG </w:t>
            </w:r>
            <w:r>
              <w:rPr>
                <w:rFonts w:ascii="Times New Roman" w:hAnsi="Times New Roman" w:cs="Times New Roman"/>
                <w:sz w:val="24"/>
                <w:szCs w:val="24"/>
              </w:rPr>
              <w:t>t</w:t>
            </w:r>
            <w:r w:rsidRPr="009E08CE">
              <w:rPr>
                <w:rFonts w:ascii="Times New Roman" w:hAnsi="Times New Roman" w:cs="Times New Roman"/>
                <w:sz w:val="24"/>
                <w:szCs w:val="24"/>
              </w:rPr>
              <w:t>ransporters</w:t>
            </w:r>
            <w:r>
              <w:rPr>
                <w:rFonts w:ascii="Times New Roman" w:hAnsi="Times New Roman" w:cs="Times New Roman"/>
                <w:sz w:val="24"/>
                <w:szCs w:val="24"/>
              </w:rPr>
              <w:t>….…………………………………………………………………………</w:t>
            </w:r>
            <w:r w:rsidR="00200DA2">
              <w:rPr>
                <w:rFonts w:ascii="Times New Roman" w:hAnsi="Times New Roman" w:cs="Times New Roman"/>
                <w:sz w:val="24"/>
                <w:szCs w:val="24"/>
              </w:rPr>
              <w:t>7</w:t>
            </w:r>
            <w:r w:rsidR="002C7B55">
              <w:rPr>
                <w:rFonts w:ascii="Times New Roman" w:hAnsi="Times New Roman" w:cs="Times New Roman"/>
                <w:sz w:val="24"/>
                <w:szCs w:val="24"/>
              </w:rPr>
              <w:t>3</w:t>
            </w:r>
          </w:p>
        </w:tc>
      </w:tr>
      <w:tr w:rsidR="00F570EC" w14:paraId="73229221" w14:textId="77777777" w:rsidTr="00F570EC">
        <w:trPr>
          <w:trHeight w:val="432"/>
        </w:trPr>
        <w:tc>
          <w:tcPr>
            <w:tcW w:w="8630" w:type="dxa"/>
            <w:vAlign w:val="center"/>
          </w:tcPr>
          <w:p w14:paraId="2AE01F6E" w14:textId="4C6C20BC" w:rsidR="00F570EC"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 xml:space="preserve">Fig. 4.3 – AdeG expression in </w:t>
            </w:r>
            <w:r>
              <w:rPr>
                <w:rFonts w:ascii="Times New Roman" w:hAnsi="Times New Roman" w:cs="Times New Roman"/>
                <w:i/>
                <w:iCs/>
                <w:sz w:val="24"/>
                <w:szCs w:val="24"/>
              </w:rPr>
              <w:t>A. baumannii</w:t>
            </w:r>
            <w:r>
              <w:rPr>
                <w:rFonts w:ascii="Times New Roman" w:hAnsi="Times New Roman" w:cs="Times New Roman"/>
                <w:sz w:val="24"/>
                <w:szCs w:val="24"/>
              </w:rPr>
              <w:t xml:space="preserve"> </w:t>
            </w:r>
            <w:r>
              <w:rPr>
                <w:b/>
                <w:bCs/>
                <w:sz w:val="24"/>
                <w:szCs w:val="24"/>
              </w:rPr>
              <w:t xml:space="preserve"> </w:t>
            </w:r>
            <w:r w:rsidRPr="00B675DC">
              <w:rPr>
                <w:b/>
                <w:bCs/>
                <w:sz w:val="24"/>
                <w:szCs w:val="24"/>
              </w:rPr>
              <w:t xml:space="preserve"> </w:t>
            </w:r>
            <w:r w:rsidRPr="009E08CE">
              <w:rPr>
                <w:rFonts w:ascii="Times New Roman" w:hAnsi="Times New Roman" w:cs="Times New Roman"/>
                <w:sz w:val="24"/>
                <w:szCs w:val="24"/>
              </w:rPr>
              <w:t>Δ3-</w:t>
            </w:r>
            <w:r>
              <w:rPr>
                <w:rFonts w:ascii="Times New Roman" w:hAnsi="Times New Roman" w:cs="Times New Roman"/>
                <w:sz w:val="24"/>
                <w:szCs w:val="24"/>
              </w:rPr>
              <w:t xml:space="preserve">Pore cells at time of NPN (0-16 </w:t>
            </w:r>
            <w:r w:rsidRPr="009E08CE">
              <w:rPr>
                <w:rFonts w:ascii="Times New Roman" w:hAnsi="Times New Roman" w:cs="Times New Roman"/>
                <w:sz w:val="24"/>
                <w:szCs w:val="24"/>
              </w:rPr>
              <w:t xml:space="preserve"> µM</w:t>
            </w:r>
            <w:r>
              <w:rPr>
                <w:rFonts w:ascii="Times New Roman" w:hAnsi="Times New Roman" w:cs="Times New Roman"/>
                <w:sz w:val="24"/>
                <w:szCs w:val="24"/>
              </w:rPr>
              <w:t>) uptake………………………………………………………………………………….</w:t>
            </w:r>
            <w:r w:rsidR="00200DA2">
              <w:rPr>
                <w:rFonts w:ascii="Times New Roman" w:hAnsi="Times New Roman" w:cs="Times New Roman"/>
                <w:sz w:val="24"/>
                <w:szCs w:val="24"/>
              </w:rPr>
              <w:t>7</w:t>
            </w:r>
            <w:r w:rsidR="002C7B55">
              <w:rPr>
                <w:rFonts w:ascii="Times New Roman" w:hAnsi="Times New Roman" w:cs="Times New Roman"/>
                <w:sz w:val="24"/>
                <w:szCs w:val="24"/>
              </w:rPr>
              <w:t>4</w:t>
            </w:r>
          </w:p>
        </w:tc>
      </w:tr>
      <w:tr w:rsidR="00B472CF" w14:paraId="387FD225" w14:textId="77777777" w:rsidTr="00F570EC">
        <w:trPr>
          <w:trHeight w:val="432"/>
        </w:trPr>
        <w:tc>
          <w:tcPr>
            <w:tcW w:w="8630" w:type="dxa"/>
            <w:vAlign w:val="center"/>
          </w:tcPr>
          <w:p w14:paraId="2DFC0606" w14:textId="68439EF0" w:rsidR="00B472CF"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Fig. 4.4 – Steady state accumulation of NPN (0-16</w:t>
            </w:r>
            <w:r w:rsidRPr="009E08CE">
              <w:rPr>
                <w:rFonts w:ascii="Times New Roman" w:hAnsi="Times New Roman" w:cs="Times New Roman"/>
                <w:sz w:val="24"/>
                <w:szCs w:val="24"/>
              </w:rPr>
              <w:t xml:space="preserve"> µM</w:t>
            </w:r>
            <w:r>
              <w:rPr>
                <w:rFonts w:ascii="Times New Roman" w:hAnsi="Times New Roman" w:cs="Times New Roman"/>
                <w:sz w:val="24"/>
                <w:szCs w:val="24"/>
              </w:rPr>
              <w:t>) …………………………….</w:t>
            </w:r>
            <w:r w:rsidR="00200DA2">
              <w:rPr>
                <w:rFonts w:ascii="Times New Roman" w:hAnsi="Times New Roman" w:cs="Times New Roman"/>
                <w:sz w:val="24"/>
                <w:szCs w:val="24"/>
              </w:rPr>
              <w:t>7</w:t>
            </w:r>
            <w:r w:rsidR="006F4711">
              <w:rPr>
                <w:rFonts w:ascii="Times New Roman" w:hAnsi="Times New Roman" w:cs="Times New Roman"/>
                <w:sz w:val="24"/>
                <w:szCs w:val="24"/>
              </w:rPr>
              <w:t>6</w:t>
            </w:r>
          </w:p>
        </w:tc>
      </w:tr>
      <w:tr w:rsidR="00B472CF" w14:paraId="01DB3E46" w14:textId="77777777" w:rsidTr="00F570EC">
        <w:trPr>
          <w:trHeight w:val="432"/>
        </w:trPr>
        <w:tc>
          <w:tcPr>
            <w:tcW w:w="8630" w:type="dxa"/>
            <w:vAlign w:val="center"/>
          </w:tcPr>
          <w:p w14:paraId="1569407A" w14:textId="6675AEBD" w:rsidR="00B472CF"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Fig. 4.5 – Initial rates of NPN (0-16</w:t>
            </w:r>
            <w:r w:rsidRPr="009E08CE">
              <w:rPr>
                <w:rFonts w:ascii="Times New Roman" w:hAnsi="Times New Roman" w:cs="Times New Roman"/>
                <w:sz w:val="24"/>
                <w:szCs w:val="24"/>
              </w:rPr>
              <w:t xml:space="preserve"> µM</w:t>
            </w:r>
            <w:r>
              <w:rPr>
                <w:rFonts w:ascii="Times New Roman" w:hAnsi="Times New Roman" w:cs="Times New Roman"/>
                <w:sz w:val="24"/>
                <w:szCs w:val="24"/>
              </w:rPr>
              <w:t>) uptake …………………………………….</w:t>
            </w:r>
            <w:r w:rsidR="00200DA2">
              <w:rPr>
                <w:rFonts w:ascii="Times New Roman" w:hAnsi="Times New Roman" w:cs="Times New Roman"/>
                <w:sz w:val="24"/>
                <w:szCs w:val="24"/>
              </w:rPr>
              <w:t>7</w:t>
            </w:r>
            <w:r w:rsidR="006F4711">
              <w:rPr>
                <w:rFonts w:ascii="Times New Roman" w:hAnsi="Times New Roman" w:cs="Times New Roman"/>
                <w:sz w:val="24"/>
                <w:szCs w:val="24"/>
              </w:rPr>
              <w:t>8</w:t>
            </w:r>
          </w:p>
        </w:tc>
      </w:tr>
      <w:tr w:rsidR="006F4711" w14:paraId="6F2E314C" w14:textId="77777777" w:rsidTr="00F570EC">
        <w:trPr>
          <w:trHeight w:val="432"/>
        </w:trPr>
        <w:tc>
          <w:tcPr>
            <w:tcW w:w="8630" w:type="dxa"/>
            <w:vAlign w:val="center"/>
          </w:tcPr>
          <w:p w14:paraId="3D1F2729" w14:textId="47E56117" w:rsidR="006F4711" w:rsidRDefault="006F4711" w:rsidP="00F570EC">
            <w:pPr>
              <w:rPr>
                <w:rFonts w:ascii="Times New Roman" w:hAnsi="Times New Roman" w:cs="Times New Roman"/>
                <w:sz w:val="24"/>
                <w:szCs w:val="24"/>
              </w:rPr>
            </w:pPr>
            <w:r>
              <w:rPr>
                <w:rFonts w:ascii="Times New Roman" w:hAnsi="Times New Roman" w:cs="Times New Roman"/>
                <w:sz w:val="24"/>
                <w:szCs w:val="24"/>
              </w:rPr>
              <w:lastRenderedPageBreak/>
              <w:t>Fig. 4.6 – Structure of putative efflux pump inhibitor SLUPP_1377…………………80</w:t>
            </w:r>
          </w:p>
        </w:tc>
      </w:tr>
      <w:tr w:rsidR="00B472CF" w14:paraId="64BB2229" w14:textId="77777777" w:rsidTr="00F570EC">
        <w:trPr>
          <w:trHeight w:val="432"/>
        </w:trPr>
        <w:tc>
          <w:tcPr>
            <w:tcW w:w="8630" w:type="dxa"/>
            <w:vAlign w:val="center"/>
          </w:tcPr>
          <w:p w14:paraId="5610FCB2" w14:textId="65D792AA" w:rsidR="00B472CF"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Fig. 4.</w:t>
            </w:r>
            <w:r w:rsidR="006F4711">
              <w:rPr>
                <w:rFonts w:ascii="Times New Roman" w:hAnsi="Times New Roman" w:cs="Times New Roman"/>
                <w:sz w:val="24"/>
                <w:szCs w:val="24"/>
              </w:rPr>
              <w:t>7</w:t>
            </w:r>
            <w:r>
              <w:rPr>
                <w:rFonts w:ascii="Times New Roman" w:hAnsi="Times New Roman" w:cs="Times New Roman"/>
                <w:sz w:val="24"/>
                <w:szCs w:val="24"/>
              </w:rPr>
              <w:t xml:space="preserve"> – Fluorescence uptake analysis of NPN in combination with SLUPP_1377 </w:t>
            </w:r>
            <w:r w:rsidR="00200DA2">
              <w:rPr>
                <w:rFonts w:ascii="Times New Roman" w:hAnsi="Times New Roman" w:cs="Times New Roman"/>
                <w:sz w:val="24"/>
                <w:szCs w:val="24"/>
              </w:rPr>
              <w:t>..8</w:t>
            </w:r>
            <w:r w:rsidR="006F4711">
              <w:rPr>
                <w:rFonts w:ascii="Times New Roman" w:hAnsi="Times New Roman" w:cs="Times New Roman"/>
                <w:sz w:val="24"/>
                <w:szCs w:val="24"/>
              </w:rPr>
              <w:t>2</w:t>
            </w:r>
          </w:p>
        </w:tc>
      </w:tr>
      <w:tr w:rsidR="006F4711" w14:paraId="22F5BCA7" w14:textId="77777777" w:rsidTr="00F570EC">
        <w:trPr>
          <w:trHeight w:val="432"/>
        </w:trPr>
        <w:tc>
          <w:tcPr>
            <w:tcW w:w="8630" w:type="dxa"/>
            <w:vAlign w:val="center"/>
          </w:tcPr>
          <w:p w14:paraId="1C19C05F" w14:textId="53965C8F" w:rsidR="006F4711" w:rsidRDefault="006F4711" w:rsidP="00F570EC">
            <w:pPr>
              <w:rPr>
                <w:rFonts w:ascii="Times New Roman" w:hAnsi="Times New Roman" w:cs="Times New Roman"/>
                <w:sz w:val="24"/>
                <w:szCs w:val="24"/>
              </w:rPr>
            </w:pPr>
            <w:r>
              <w:rPr>
                <w:rFonts w:ascii="Times New Roman" w:hAnsi="Times New Roman" w:cs="Times New Roman"/>
                <w:sz w:val="24"/>
                <w:szCs w:val="24"/>
              </w:rPr>
              <w:t>Fig. 4.8 – Relative steady state accumulation and initial rates for NPN and SLUPP_1377 optimization…………………………………………………………….8</w:t>
            </w:r>
            <w:r w:rsidR="002C7B55">
              <w:rPr>
                <w:rFonts w:ascii="Times New Roman" w:hAnsi="Times New Roman" w:cs="Times New Roman"/>
                <w:sz w:val="24"/>
                <w:szCs w:val="24"/>
              </w:rPr>
              <w:t>3</w:t>
            </w:r>
          </w:p>
        </w:tc>
      </w:tr>
      <w:tr w:rsidR="00B472CF" w14:paraId="71E9DAA5" w14:textId="77777777" w:rsidTr="00F570EC">
        <w:trPr>
          <w:trHeight w:val="432"/>
        </w:trPr>
        <w:tc>
          <w:tcPr>
            <w:tcW w:w="8630" w:type="dxa"/>
            <w:vAlign w:val="center"/>
          </w:tcPr>
          <w:p w14:paraId="641AC44E" w14:textId="52DB6CCC" w:rsidR="00B472CF"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Fig. 4.</w:t>
            </w:r>
            <w:r w:rsidR="006F4711">
              <w:rPr>
                <w:rFonts w:ascii="Times New Roman" w:hAnsi="Times New Roman" w:cs="Times New Roman"/>
                <w:sz w:val="24"/>
                <w:szCs w:val="24"/>
              </w:rPr>
              <w:t>9</w:t>
            </w:r>
            <w:r>
              <w:rPr>
                <w:rFonts w:ascii="Times New Roman" w:hAnsi="Times New Roman" w:cs="Times New Roman"/>
                <w:sz w:val="24"/>
                <w:szCs w:val="24"/>
              </w:rPr>
              <w:t xml:space="preserve"> – Fluorescence uptake analysis of NPN in combination with SLUPP_1377 with mutant AdeG transporters………………………………………………………..</w:t>
            </w:r>
            <w:r w:rsidR="00200DA2">
              <w:rPr>
                <w:rFonts w:ascii="Times New Roman" w:hAnsi="Times New Roman" w:cs="Times New Roman"/>
                <w:sz w:val="24"/>
                <w:szCs w:val="24"/>
              </w:rPr>
              <w:t>8</w:t>
            </w:r>
            <w:r w:rsidR="002C7B55">
              <w:rPr>
                <w:rFonts w:ascii="Times New Roman" w:hAnsi="Times New Roman" w:cs="Times New Roman"/>
                <w:sz w:val="24"/>
                <w:szCs w:val="24"/>
              </w:rPr>
              <w:t>6</w:t>
            </w:r>
          </w:p>
        </w:tc>
      </w:tr>
      <w:tr w:rsidR="00B472CF" w14:paraId="6CB4E745" w14:textId="77777777" w:rsidTr="00F570EC">
        <w:trPr>
          <w:trHeight w:val="432"/>
        </w:trPr>
        <w:tc>
          <w:tcPr>
            <w:tcW w:w="8630" w:type="dxa"/>
            <w:vAlign w:val="center"/>
          </w:tcPr>
          <w:p w14:paraId="4CDA45CF" w14:textId="0E35D76F" w:rsidR="00B472CF" w:rsidRPr="009E08CE" w:rsidRDefault="00B472CF" w:rsidP="00F570EC">
            <w:pPr>
              <w:rPr>
                <w:rFonts w:ascii="Times New Roman" w:hAnsi="Times New Roman" w:cs="Times New Roman"/>
                <w:sz w:val="24"/>
                <w:szCs w:val="24"/>
              </w:rPr>
            </w:pPr>
            <w:r>
              <w:rPr>
                <w:rFonts w:ascii="Times New Roman" w:hAnsi="Times New Roman" w:cs="Times New Roman"/>
                <w:sz w:val="24"/>
                <w:szCs w:val="24"/>
              </w:rPr>
              <w:t>Fig. 4.</w:t>
            </w:r>
            <w:r w:rsidR="006F4711">
              <w:rPr>
                <w:rFonts w:ascii="Times New Roman" w:hAnsi="Times New Roman" w:cs="Times New Roman"/>
                <w:sz w:val="24"/>
                <w:szCs w:val="24"/>
              </w:rPr>
              <w:t>10</w:t>
            </w:r>
            <w:r w:rsidR="008E6443">
              <w:rPr>
                <w:rFonts w:ascii="Times New Roman" w:hAnsi="Times New Roman" w:cs="Times New Roman"/>
                <w:sz w:val="24"/>
                <w:szCs w:val="24"/>
              </w:rPr>
              <w:t xml:space="preserve"> – AdeG expression in </w:t>
            </w:r>
            <w:r w:rsidR="008E6443">
              <w:rPr>
                <w:rFonts w:ascii="Times New Roman" w:hAnsi="Times New Roman" w:cs="Times New Roman"/>
                <w:i/>
                <w:iCs/>
                <w:sz w:val="24"/>
                <w:szCs w:val="24"/>
              </w:rPr>
              <w:t xml:space="preserve">A. </w:t>
            </w:r>
            <w:r w:rsidR="008E6443" w:rsidRPr="009E08CE">
              <w:rPr>
                <w:rFonts w:ascii="Times New Roman" w:hAnsi="Times New Roman" w:cs="Times New Roman"/>
                <w:i/>
                <w:iCs/>
                <w:sz w:val="24"/>
                <w:szCs w:val="24"/>
              </w:rPr>
              <w:t>baumannii</w:t>
            </w:r>
            <w:r w:rsidR="008E6443" w:rsidRPr="009E08CE">
              <w:rPr>
                <w:rFonts w:ascii="Times New Roman" w:hAnsi="Times New Roman" w:cs="Times New Roman"/>
                <w:sz w:val="24"/>
                <w:szCs w:val="24"/>
              </w:rPr>
              <w:t xml:space="preserve">  Δ3-Pore</w:t>
            </w:r>
            <w:r w:rsidR="008E6443">
              <w:rPr>
                <w:rFonts w:ascii="Times New Roman" w:hAnsi="Times New Roman" w:cs="Times New Roman"/>
                <w:sz w:val="24"/>
                <w:szCs w:val="24"/>
              </w:rPr>
              <w:t xml:space="preserve"> cells at time of NPN + SLUPP_1377 uptake…………………………………………………………………</w:t>
            </w:r>
            <w:r w:rsidR="00200DA2">
              <w:rPr>
                <w:rFonts w:ascii="Times New Roman" w:hAnsi="Times New Roman" w:cs="Times New Roman"/>
                <w:sz w:val="24"/>
                <w:szCs w:val="24"/>
              </w:rPr>
              <w:t>..8</w:t>
            </w:r>
            <w:r w:rsidR="002C7B55">
              <w:rPr>
                <w:rFonts w:ascii="Times New Roman" w:hAnsi="Times New Roman" w:cs="Times New Roman"/>
                <w:sz w:val="24"/>
                <w:szCs w:val="24"/>
              </w:rPr>
              <w:t>7</w:t>
            </w:r>
          </w:p>
        </w:tc>
      </w:tr>
      <w:tr w:rsidR="00B472CF" w14:paraId="1F9DF405" w14:textId="77777777" w:rsidTr="00F570EC">
        <w:trPr>
          <w:trHeight w:val="432"/>
        </w:trPr>
        <w:tc>
          <w:tcPr>
            <w:tcW w:w="8630" w:type="dxa"/>
            <w:vAlign w:val="center"/>
          </w:tcPr>
          <w:p w14:paraId="28640198" w14:textId="2101F3AE" w:rsidR="00B472CF" w:rsidRPr="009E08CE" w:rsidRDefault="008E6443" w:rsidP="00F570EC">
            <w:pPr>
              <w:rPr>
                <w:rFonts w:ascii="Times New Roman" w:hAnsi="Times New Roman" w:cs="Times New Roman"/>
                <w:sz w:val="24"/>
                <w:szCs w:val="24"/>
              </w:rPr>
            </w:pPr>
            <w:r>
              <w:rPr>
                <w:rFonts w:ascii="Times New Roman" w:hAnsi="Times New Roman" w:cs="Times New Roman"/>
                <w:sz w:val="24"/>
                <w:szCs w:val="24"/>
              </w:rPr>
              <w:t>Fig. 4.</w:t>
            </w:r>
            <w:r w:rsidR="006F4711">
              <w:rPr>
                <w:rFonts w:ascii="Times New Roman" w:hAnsi="Times New Roman" w:cs="Times New Roman"/>
                <w:sz w:val="24"/>
                <w:szCs w:val="24"/>
              </w:rPr>
              <w:t>11</w:t>
            </w:r>
            <w:r>
              <w:rPr>
                <w:rFonts w:ascii="Times New Roman" w:hAnsi="Times New Roman" w:cs="Times New Roman"/>
                <w:sz w:val="24"/>
                <w:szCs w:val="24"/>
              </w:rPr>
              <w:t xml:space="preserve"> -  Steady state accumulation of NPN (4 </w:t>
            </w:r>
            <w:r w:rsidRPr="009E08CE">
              <w:rPr>
                <w:rFonts w:ascii="Times New Roman" w:hAnsi="Times New Roman" w:cs="Times New Roman"/>
                <w:sz w:val="24"/>
                <w:szCs w:val="24"/>
              </w:rPr>
              <w:t xml:space="preserve"> µM</w:t>
            </w:r>
            <w:r>
              <w:rPr>
                <w:rFonts w:ascii="Times New Roman" w:hAnsi="Times New Roman" w:cs="Times New Roman"/>
                <w:sz w:val="24"/>
                <w:szCs w:val="24"/>
              </w:rPr>
              <w:t xml:space="preserve">) in combination with SLUPP_1377 (0-25 </w:t>
            </w:r>
            <w:r w:rsidRPr="009E08CE">
              <w:rPr>
                <w:rFonts w:ascii="Times New Roman" w:hAnsi="Times New Roman" w:cs="Times New Roman"/>
                <w:sz w:val="24"/>
                <w:szCs w:val="24"/>
              </w:rPr>
              <w:t xml:space="preserve"> µM</w:t>
            </w:r>
            <w:r>
              <w:rPr>
                <w:rFonts w:ascii="Times New Roman" w:hAnsi="Times New Roman" w:cs="Times New Roman"/>
                <w:sz w:val="24"/>
                <w:szCs w:val="24"/>
              </w:rPr>
              <w:t>)……………………………………………………………</w:t>
            </w:r>
            <w:r w:rsidR="00200DA2">
              <w:rPr>
                <w:rFonts w:ascii="Times New Roman" w:hAnsi="Times New Roman" w:cs="Times New Roman"/>
                <w:sz w:val="24"/>
                <w:szCs w:val="24"/>
              </w:rPr>
              <w:t>..</w:t>
            </w:r>
            <w:r w:rsidR="006F4711">
              <w:rPr>
                <w:rFonts w:ascii="Times New Roman" w:hAnsi="Times New Roman" w:cs="Times New Roman"/>
                <w:sz w:val="24"/>
                <w:szCs w:val="24"/>
              </w:rPr>
              <w:t>9</w:t>
            </w:r>
            <w:r w:rsidR="002C7B55">
              <w:rPr>
                <w:rFonts w:ascii="Times New Roman" w:hAnsi="Times New Roman" w:cs="Times New Roman"/>
                <w:sz w:val="24"/>
                <w:szCs w:val="24"/>
              </w:rPr>
              <w:t>2</w:t>
            </w:r>
          </w:p>
        </w:tc>
      </w:tr>
      <w:tr w:rsidR="00B472CF" w14:paraId="4329EEB9" w14:textId="77777777" w:rsidTr="00F570EC">
        <w:trPr>
          <w:trHeight w:val="432"/>
        </w:trPr>
        <w:tc>
          <w:tcPr>
            <w:tcW w:w="8630" w:type="dxa"/>
            <w:vAlign w:val="center"/>
          </w:tcPr>
          <w:p w14:paraId="6CC7AC4D" w14:textId="651C41BE" w:rsidR="00B472CF" w:rsidRPr="009E08CE" w:rsidRDefault="008E6443" w:rsidP="00F570EC">
            <w:pPr>
              <w:rPr>
                <w:rFonts w:ascii="Times New Roman" w:hAnsi="Times New Roman" w:cs="Times New Roman"/>
                <w:sz w:val="24"/>
                <w:szCs w:val="24"/>
              </w:rPr>
            </w:pPr>
            <w:r>
              <w:rPr>
                <w:rFonts w:ascii="Times New Roman" w:hAnsi="Times New Roman" w:cs="Times New Roman"/>
                <w:sz w:val="24"/>
                <w:szCs w:val="24"/>
              </w:rPr>
              <w:t>Fig. 4.1</w:t>
            </w:r>
            <w:r w:rsidR="006F4711">
              <w:rPr>
                <w:rFonts w:ascii="Times New Roman" w:hAnsi="Times New Roman" w:cs="Times New Roman"/>
                <w:sz w:val="24"/>
                <w:szCs w:val="24"/>
              </w:rPr>
              <w:t>2</w:t>
            </w:r>
            <w:r>
              <w:rPr>
                <w:rFonts w:ascii="Times New Roman" w:hAnsi="Times New Roman" w:cs="Times New Roman"/>
                <w:sz w:val="24"/>
                <w:szCs w:val="24"/>
              </w:rPr>
              <w:t xml:space="preserve"> – Initial rates of  NPN (4 </w:t>
            </w:r>
            <w:r w:rsidRPr="009E08CE">
              <w:rPr>
                <w:rFonts w:ascii="Times New Roman" w:hAnsi="Times New Roman" w:cs="Times New Roman"/>
                <w:sz w:val="24"/>
                <w:szCs w:val="24"/>
              </w:rPr>
              <w:t xml:space="preserve"> µM</w:t>
            </w:r>
            <w:r>
              <w:rPr>
                <w:rFonts w:ascii="Times New Roman" w:hAnsi="Times New Roman" w:cs="Times New Roman"/>
                <w:sz w:val="24"/>
                <w:szCs w:val="24"/>
              </w:rPr>
              <w:t xml:space="preserve">) in combination with SLUPP_1377 (0-25 </w:t>
            </w:r>
            <w:r w:rsidRPr="009E08CE">
              <w:rPr>
                <w:rFonts w:ascii="Times New Roman" w:hAnsi="Times New Roman" w:cs="Times New Roman"/>
                <w:sz w:val="24"/>
                <w:szCs w:val="24"/>
              </w:rPr>
              <w:t xml:space="preserve"> µM</w:t>
            </w:r>
            <w:r>
              <w:rPr>
                <w:rFonts w:ascii="Times New Roman" w:hAnsi="Times New Roman" w:cs="Times New Roman"/>
                <w:sz w:val="24"/>
                <w:szCs w:val="24"/>
              </w:rPr>
              <w:t>)……………………………………………………………………………………</w:t>
            </w:r>
            <w:r w:rsidR="006F4711">
              <w:rPr>
                <w:rFonts w:ascii="Times New Roman" w:hAnsi="Times New Roman" w:cs="Times New Roman"/>
                <w:sz w:val="24"/>
                <w:szCs w:val="24"/>
              </w:rPr>
              <w:t>9</w:t>
            </w:r>
            <w:r w:rsidR="002C7B55">
              <w:rPr>
                <w:rFonts w:ascii="Times New Roman" w:hAnsi="Times New Roman" w:cs="Times New Roman"/>
                <w:sz w:val="24"/>
                <w:szCs w:val="24"/>
              </w:rPr>
              <w:t>3</w:t>
            </w:r>
          </w:p>
        </w:tc>
      </w:tr>
      <w:tr w:rsidR="00F570EC" w14:paraId="72460EA2" w14:textId="77777777" w:rsidTr="00F570EC">
        <w:trPr>
          <w:trHeight w:val="432"/>
        </w:trPr>
        <w:tc>
          <w:tcPr>
            <w:tcW w:w="8630" w:type="dxa"/>
            <w:vAlign w:val="center"/>
          </w:tcPr>
          <w:p w14:paraId="104CEDA8" w14:textId="6A8D2817" w:rsidR="00F570EC" w:rsidRDefault="002C7B55" w:rsidP="00F570EC">
            <w:pPr>
              <w:rPr>
                <w:rFonts w:ascii="Times New Roman" w:hAnsi="Times New Roman" w:cs="Times New Roman"/>
                <w:sz w:val="24"/>
                <w:szCs w:val="24"/>
              </w:rPr>
            </w:pPr>
            <w:r>
              <w:rPr>
                <w:rFonts w:ascii="Times New Roman" w:hAnsi="Times New Roman" w:cs="Times New Roman"/>
                <w:sz w:val="24"/>
                <w:szCs w:val="24"/>
              </w:rPr>
              <w:t>Fig. 4.13 – Summary of AdeG binding pocket mutations…………………………….94</w:t>
            </w:r>
          </w:p>
        </w:tc>
      </w:tr>
      <w:tr w:rsidR="002C7B55" w14:paraId="68B923FC" w14:textId="77777777" w:rsidTr="00F570EC">
        <w:trPr>
          <w:trHeight w:val="432"/>
        </w:trPr>
        <w:tc>
          <w:tcPr>
            <w:tcW w:w="8630" w:type="dxa"/>
            <w:vAlign w:val="center"/>
          </w:tcPr>
          <w:p w14:paraId="59C8001C" w14:textId="77777777" w:rsidR="002C7B55" w:rsidRDefault="002C7B55" w:rsidP="00F570EC">
            <w:pPr>
              <w:rPr>
                <w:rFonts w:ascii="Times New Roman" w:hAnsi="Times New Roman" w:cs="Times New Roman"/>
                <w:sz w:val="24"/>
                <w:szCs w:val="24"/>
              </w:rPr>
            </w:pPr>
          </w:p>
        </w:tc>
      </w:tr>
      <w:tr w:rsidR="00F570EC" w14:paraId="3D913D05" w14:textId="77777777" w:rsidTr="00F570EC">
        <w:trPr>
          <w:trHeight w:val="432"/>
        </w:trPr>
        <w:tc>
          <w:tcPr>
            <w:tcW w:w="8630" w:type="dxa"/>
            <w:vAlign w:val="center"/>
          </w:tcPr>
          <w:p w14:paraId="6253A296" w14:textId="561E5E50" w:rsidR="00F570EC" w:rsidRPr="009E08CE" w:rsidRDefault="00F570EC" w:rsidP="00F570EC">
            <w:pPr>
              <w:rPr>
                <w:rFonts w:ascii="Times New Roman" w:hAnsi="Times New Roman" w:cs="Times New Roman"/>
                <w:sz w:val="24"/>
                <w:szCs w:val="24"/>
              </w:rPr>
            </w:pPr>
            <w:r>
              <w:rPr>
                <w:rFonts w:ascii="Times New Roman" w:hAnsi="Times New Roman" w:cs="Times New Roman"/>
                <w:sz w:val="24"/>
                <w:szCs w:val="24"/>
              </w:rPr>
              <w:t xml:space="preserve">Table 4.1 – Antibiotic </w:t>
            </w:r>
            <w:r w:rsidR="008E6443">
              <w:rPr>
                <w:rFonts w:ascii="Times New Roman" w:hAnsi="Times New Roman" w:cs="Times New Roman"/>
                <w:sz w:val="24"/>
                <w:szCs w:val="24"/>
              </w:rPr>
              <w:t>s</w:t>
            </w:r>
            <w:r>
              <w:rPr>
                <w:rFonts w:ascii="Times New Roman" w:hAnsi="Times New Roman" w:cs="Times New Roman"/>
                <w:sz w:val="24"/>
                <w:szCs w:val="24"/>
              </w:rPr>
              <w:t xml:space="preserve">usceptibilities of </w:t>
            </w:r>
            <w:r>
              <w:rPr>
                <w:rFonts w:ascii="Times New Roman" w:hAnsi="Times New Roman" w:cs="Times New Roman"/>
                <w:i/>
                <w:iCs/>
                <w:sz w:val="24"/>
                <w:szCs w:val="24"/>
              </w:rPr>
              <w:t>A. baumannii</w:t>
            </w:r>
            <w:r>
              <w:rPr>
                <w:rFonts w:ascii="Times New Roman" w:hAnsi="Times New Roman" w:cs="Times New Roman"/>
                <w:sz w:val="24"/>
                <w:szCs w:val="24"/>
              </w:rPr>
              <w:t xml:space="preserve"> </w:t>
            </w:r>
            <w:r w:rsidR="002C7B55" w:rsidRPr="009E08CE">
              <w:rPr>
                <w:rFonts w:ascii="Times New Roman" w:hAnsi="Times New Roman" w:cs="Times New Roman"/>
                <w:sz w:val="24"/>
                <w:szCs w:val="24"/>
              </w:rPr>
              <w:t xml:space="preserve"> Δ3-Pore </w:t>
            </w:r>
            <w:proofErr w:type="spellStart"/>
            <w:r>
              <w:rPr>
                <w:rFonts w:ascii="Times New Roman" w:hAnsi="Times New Roman" w:cs="Times New Roman"/>
                <w:sz w:val="24"/>
                <w:szCs w:val="24"/>
              </w:rPr>
              <w:t>AdeG</w:t>
            </w:r>
            <w:proofErr w:type="spellEnd"/>
            <w:r>
              <w:rPr>
                <w:rFonts w:ascii="Times New Roman" w:hAnsi="Times New Roman" w:cs="Times New Roman"/>
                <w:sz w:val="24"/>
                <w:szCs w:val="24"/>
              </w:rPr>
              <w:t xml:space="preserve"> </w:t>
            </w:r>
            <w:r w:rsidR="008E6443">
              <w:rPr>
                <w:rFonts w:ascii="Times New Roman" w:hAnsi="Times New Roman" w:cs="Times New Roman"/>
                <w:sz w:val="24"/>
                <w:szCs w:val="24"/>
              </w:rPr>
              <w:t>s</w:t>
            </w:r>
            <w:r>
              <w:rPr>
                <w:rFonts w:ascii="Times New Roman" w:hAnsi="Times New Roman" w:cs="Times New Roman"/>
                <w:sz w:val="24"/>
                <w:szCs w:val="24"/>
              </w:rPr>
              <w:t>ite-</w:t>
            </w:r>
            <w:r w:rsidR="008E6443">
              <w:rPr>
                <w:rFonts w:ascii="Times New Roman" w:hAnsi="Times New Roman" w:cs="Times New Roman"/>
                <w:sz w:val="24"/>
                <w:szCs w:val="24"/>
              </w:rPr>
              <w:t>d</w:t>
            </w:r>
            <w:r>
              <w:rPr>
                <w:rFonts w:ascii="Times New Roman" w:hAnsi="Times New Roman" w:cs="Times New Roman"/>
                <w:sz w:val="24"/>
                <w:szCs w:val="24"/>
              </w:rPr>
              <w:t xml:space="preserve">irected </w:t>
            </w:r>
            <w:r w:rsidR="008E6443">
              <w:rPr>
                <w:rFonts w:ascii="Times New Roman" w:hAnsi="Times New Roman" w:cs="Times New Roman"/>
                <w:sz w:val="24"/>
                <w:szCs w:val="24"/>
              </w:rPr>
              <w:t>m</w:t>
            </w:r>
            <w:r>
              <w:rPr>
                <w:rFonts w:ascii="Times New Roman" w:hAnsi="Times New Roman" w:cs="Times New Roman"/>
                <w:sz w:val="24"/>
                <w:szCs w:val="24"/>
              </w:rPr>
              <w:t xml:space="preserve">utants </w:t>
            </w:r>
            <w:r w:rsidR="002C7B55">
              <w:rPr>
                <w:rFonts w:ascii="Times New Roman" w:hAnsi="Times New Roman" w:cs="Times New Roman"/>
                <w:sz w:val="24"/>
                <w:szCs w:val="24"/>
              </w:rPr>
              <w:t>……………………..</w:t>
            </w:r>
            <w:r>
              <w:rPr>
                <w:rFonts w:ascii="Times New Roman" w:hAnsi="Times New Roman" w:cs="Times New Roman"/>
                <w:sz w:val="24"/>
                <w:szCs w:val="24"/>
              </w:rPr>
              <w:t>…………………………………………………………</w:t>
            </w:r>
            <w:r w:rsidR="00200DA2">
              <w:rPr>
                <w:rFonts w:ascii="Times New Roman" w:hAnsi="Times New Roman" w:cs="Times New Roman"/>
                <w:sz w:val="24"/>
                <w:szCs w:val="24"/>
              </w:rPr>
              <w:t>7</w:t>
            </w:r>
            <w:r w:rsidR="00652721">
              <w:rPr>
                <w:rFonts w:ascii="Times New Roman" w:hAnsi="Times New Roman" w:cs="Times New Roman"/>
                <w:sz w:val="24"/>
                <w:szCs w:val="24"/>
              </w:rPr>
              <w:t>0</w:t>
            </w:r>
          </w:p>
        </w:tc>
      </w:tr>
      <w:tr w:rsidR="00F570EC" w14:paraId="045AC130" w14:textId="77777777" w:rsidTr="00F570EC">
        <w:trPr>
          <w:trHeight w:val="432"/>
        </w:trPr>
        <w:tc>
          <w:tcPr>
            <w:tcW w:w="8630" w:type="dxa"/>
            <w:vAlign w:val="center"/>
          </w:tcPr>
          <w:p w14:paraId="07DEAB35" w14:textId="24C825A7" w:rsidR="00F570EC" w:rsidRPr="009E08CE" w:rsidRDefault="00F570EC" w:rsidP="00F570EC">
            <w:pPr>
              <w:rPr>
                <w:rFonts w:ascii="Times New Roman" w:hAnsi="Times New Roman" w:cs="Times New Roman"/>
                <w:sz w:val="24"/>
                <w:szCs w:val="24"/>
              </w:rPr>
            </w:pPr>
            <w:r>
              <w:rPr>
                <w:rFonts w:ascii="Times New Roman" w:hAnsi="Times New Roman" w:cs="Times New Roman"/>
                <w:sz w:val="24"/>
                <w:szCs w:val="24"/>
              </w:rPr>
              <w:t>Table 4.2 – MPC</w:t>
            </w:r>
            <w:r>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008E6443">
              <w:rPr>
                <w:rFonts w:ascii="Times New Roman" w:hAnsi="Times New Roman" w:cs="Times New Roman"/>
                <w:sz w:val="24"/>
                <w:szCs w:val="24"/>
              </w:rPr>
              <w:t>v</w:t>
            </w:r>
            <w:r>
              <w:rPr>
                <w:rFonts w:ascii="Times New Roman" w:hAnsi="Times New Roman" w:cs="Times New Roman"/>
                <w:sz w:val="24"/>
                <w:szCs w:val="24"/>
              </w:rPr>
              <w:t xml:space="preserve">alues of SLUPP-1377 with CHL, NOR, and NAL in </w:t>
            </w:r>
            <w:r w:rsidR="002C7B55">
              <w:rPr>
                <w:rFonts w:ascii="Times New Roman" w:hAnsi="Times New Roman" w:cs="Times New Roman"/>
                <w:sz w:val="24"/>
                <w:szCs w:val="24"/>
              </w:rPr>
              <w:t>Ab</w:t>
            </w:r>
            <w:r w:rsidR="002C7B55" w:rsidRPr="009E08CE">
              <w:rPr>
                <w:rFonts w:ascii="Times New Roman" w:hAnsi="Times New Roman" w:cs="Times New Roman"/>
                <w:sz w:val="24"/>
                <w:szCs w:val="24"/>
              </w:rPr>
              <w:t xml:space="preserve">Δ3-Pore </w:t>
            </w:r>
            <w:r>
              <w:rPr>
                <w:rFonts w:ascii="Times New Roman" w:hAnsi="Times New Roman" w:cs="Times New Roman"/>
                <w:sz w:val="24"/>
                <w:szCs w:val="24"/>
              </w:rPr>
              <w:t>AdeG</w:t>
            </w:r>
            <w:r w:rsidR="002C7B55">
              <w:rPr>
                <w:rFonts w:ascii="Times New Roman" w:hAnsi="Times New Roman" w:cs="Times New Roman"/>
                <w:sz w:val="24"/>
                <w:szCs w:val="24"/>
              </w:rPr>
              <w:t xml:space="preserve"> </w:t>
            </w:r>
            <w:r w:rsidR="008E6443">
              <w:rPr>
                <w:rFonts w:ascii="Times New Roman" w:hAnsi="Times New Roman" w:cs="Times New Roman"/>
                <w:sz w:val="24"/>
                <w:szCs w:val="24"/>
              </w:rPr>
              <w:t>m</w:t>
            </w:r>
            <w:r>
              <w:rPr>
                <w:rFonts w:ascii="Times New Roman" w:hAnsi="Times New Roman" w:cs="Times New Roman"/>
                <w:sz w:val="24"/>
                <w:szCs w:val="24"/>
              </w:rPr>
              <w:t>utants</w:t>
            </w:r>
            <w:r w:rsidR="008E6443">
              <w:rPr>
                <w:rFonts w:ascii="Times New Roman" w:hAnsi="Times New Roman" w:cs="Times New Roman"/>
                <w:sz w:val="24"/>
                <w:szCs w:val="24"/>
              </w:rPr>
              <w:t>…</w:t>
            </w:r>
            <w:r w:rsidR="002C7B55">
              <w:rPr>
                <w:rFonts w:ascii="Times New Roman" w:hAnsi="Times New Roman" w:cs="Times New Roman"/>
                <w:sz w:val="24"/>
                <w:szCs w:val="24"/>
              </w:rPr>
              <w:t>..</w:t>
            </w:r>
            <w:r w:rsidR="008E6443">
              <w:rPr>
                <w:rFonts w:ascii="Times New Roman" w:hAnsi="Times New Roman" w:cs="Times New Roman"/>
                <w:sz w:val="24"/>
                <w:szCs w:val="24"/>
              </w:rPr>
              <w:t>……………………………………………………………………</w:t>
            </w:r>
            <w:r w:rsidR="00200DA2">
              <w:rPr>
                <w:rFonts w:ascii="Times New Roman" w:hAnsi="Times New Roman" w:cs="Times New Roman"/>
                <w:sz w:val="24"/>
                <w:szCs w:val="24"/>
              </w:rPr>
              <w:t>...8</w:t>
            </w:r>
            <w:r w:rsidR="006F4711">
              <w:rPr>
                <w:rFonts w:ascii="Times New Roman" w:hAnsi="Times New Roman" w:cs="Times New Roman"/>
                <w:sz w:val="24"/>
                <w:szCs w:val="24"/>
              </w:rPr>
              <w:t>1</w:t>
            </w:r>
          </w:p>
        </w:tc>
      </w:tr>
      <w:tr w:rsidR="00F570EC" w14:paraId="4DC4396A" w14:textId="77777777" w:rsidTr="00F570EC">
        <w:trPr>
          <w:trHeight w:val="432"/>
        </w:trPr>
        <w:tc>
          <w:tcPr>
            <w:tcW w:w="8630" w:type="dxa"/>
            <w:vAlign w:val="center"/>
          </w:tcPr>
          <w:p w14:paraId="28B1F301" w14:textId="77777777" w:rsidR="00F570EC" w:rsidRPr="00852BE7" w:rsidRDefault="00F570EC" w:rsidP="00F570EC">
            <w:pPr>
              <w:rPr>
                <w:rFonts w:ascii="Times New Roman" w:hAnsi="Times New Roman" w:cs="Times New Roman"/>
                <w:sz w:val="24"/>
                <w:szCs w:val="24"/>
              </w:rPr>
            </w:pPr>
          </w:p>
        </w:tc>
      </w:tr>
      <w:tr w:rsidR="006F4711" w14:paraId="2BC08CF4" w14:textId="77777777" w:rsidTr="00F570EC">
        <w:trPr>
          <w:trHeight w:val="432"/>
        </w:trPr>
        <w:tc>
          <w:tcPr>
            <w:tcW w:w="8630" w:type="dxa"/>
            <w:vAlign w:val="center"/>
          </w:tcPr>
          <w:p w14:paraId="46F7CEAD" w14:textId="18CE6CD7" w:rsidR="006F4711" w:rsidRPr="00852BE7" w:rsidRDefault="006F4711" w:rsidP="00F570EC">
            <w:pPr>
              <w:rPr>
                <w:rFonts w:ascii="Times New Roman" w:hAnsi="Times New Roman" w:cs="Times New Roman"/>
                <w:sz w:val="24"/>
                <w:szCs w:val="24"/>
              </w:rPr>
            </w:pPr>
            <w:r>
              <w:rPr>
                <w:rFonts w:ascii="Times New Roman" w:hAnsi="Times New Roman" w:cs="Times New Roman"/>
                <w:sz w:val="24"/>
                <w:szCs w:val="24"/>
              </w:rPr>
              <w:t xml:space="preserve">Fig. 5.1 – Alignment of mutated </w:t>
            </w:r>
            <w:proofErr w:type="spellStart"/>
            <w:r>
              <w:rPr>
                <w:rFonts w:ascii="Times New Roman" w:hAnsi="Times New Roman" w:cs="Times New Roman"/>
                <w:sz w:val="24"/>
                <w:szCs w:val="24"/>
              </w:rPr>
              <w:t>AdeJ</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w:t>
            </w:r>
            <w:proofErr w:type="spellEnd"/>
            <w:r>
              <w:rPr>
                <w:rFonts w:ascii="Times New Roman" w:hAnsi="Times New Roman" w:cs="Times New Roman"/>
                <w:sz w:val="24"/>
                <w:szCs w:val="24"/>
              </w:rPr>
              <w:t xml:space="preserve"> residues…………………………...9</w:t>
            </w:r>
            <w:r w:rsidR="002C7B55">
              <w:rPr>
                <w:rFonts w:ascii="Times New Roman" w:hAnsi="Times New Roman" w:cs="Times New Roman"/>
                <w:sz w:val="24"/>
                <w:szCs w:val="24"/>
              </w:rPr>
              <w:t>8</w:t>
            </w:r>
          </w:p>
        </w:tc>
      </w:tr>
      <w:tr w:rsidR="00F570EC" w14:paraId="2EB1BCD2" w14:textId="77777777" w:rsidTr="00F570EC">
        <w:trPr>
          <w:trHeight w:val="432"/>
        </w:trPr>
        <w:tc>
          <w:tcPr>
            <w:tcW w:w="8630" w:type="dxa"/>
            <w:vAlign w:val="center"/>
          </w:tcPr>
          <w:p w14:paraId="7BDB7F5B" w14:textId="19396FE6" w:rsidR="00F570EC" w:rsidRPr="00852BE7" w:rsidRDefault="00F570EC" w:rsidP="00F570EC">
            <w:pPr>
              <w:rPr>
                <w:rFonts w:ascii="Times New Roman" w:hAnsi="Times New Roman" w:cs="Times New Roman"/>
                <w:sz w:val="24"/>
                <w:szCs w:val="24"/>
              </w:rPr>
            </w:pPr>
            <w:r>
              <w:rPr>
                <w:rFonts w:ascii="Times New Roman" w:hAnsi="Times New Roman" w:cs="Times New Roman"/>
                <w:sz w:val="24"/>
                <w:szCs w:val="24"/>
              </w:rPr>
              <w:t>Fig. 5.</w:t>
            </w:r>
            <w:r w:rsidR="006F4711">
              <w:rPr>
                <w:rFonts w:ascii="Times New Roman" w:hAnsi="Times New Roman" w:cs="Times New Roman"/>
                <w:sz w:val="24"/>
                <w:szCs w:val="24"/>
              </w:rPr>
              <w:t>2</w:t>
            </w:r>
            <w:r>
              <w:rPr>
                <w:rFonts w:ascii="Times New Roman" w:hAnsi="Times New Roman" w:cs="Times New Roman"/>
                <w:sz w:val="24"/>
                <w:szCs w:val="24"/>
              </w:rPr>
              <w:t xml:space="preserve"> – </w:t>
            </w:r>
            <w:proofErr w:type="spellStart"/>
            <w:r>
              <w:rPr>
                <w:rFonts w:ascii="Times New Roman" w:hAnsi="Times New Roman" w:cs="Times New Roman"/>
                <w:sz w:val="24"/>
                <w:szCs w:val="24"/>
              </w:rPr>
              <w:t>AdeJ</w:t>
            </w:r>
            <w:proofErr w:type="spellEnd"/>
            <w:r>
              <w:rPr>
                <w:rFonts w:ascii="Times New Roman" w:hAnsi="Times New Roman" w:cs="Times New Roman"/>
                <w:sz w:val="24"/>
                <w:szCs w:val="24"/>
              </w:rPr>
              <w:t xml:space="preserve"> </w:t>
            </w:r>
            <w:r w:rsidR="008E6443">
              <w:rPr>
                <w:rFonts w:ascii="Times New Roman" w:hAnsi="Times New Roman" w:cs="Times New Roman"/>
                <w:sz w:val="24"/>
                <w:szCs w:val="24"/>
              </w:rPr>
              <w:t>p</w:t>
            </w:r>
            <w:r>
              <w:rPr>
                <w:rFonts w:ascii="Times New Roman" w:hAnsi="Times New Roman" w:cs="Times New Roman"/>
                <w:sz w:val="24"/>
                <w:szCs w:val="24"/>
              </w:rPr>
              <w:t xml:space="preserve">rotomer </w:t>
            </w:r>
            <w:r w:rsidR="008E6443">
              <w:rPr>
                <w:rFonts w:ascii="Times New Roman" w:hAnsi="Times New Roman" w:cs="Times New Roman"/>
                <w:sz w:val="24"/>
                <w:szCs w:val="24"/>
              </w:rPr>
              <w:t>c</w:t>
            </w:r>
            <w:r>
              <w:rPr>
                <w:rFonts w:ascii="Times New Roman" w:hAnsi="Times New Roman" w:cs="Times New Roman"/>
                <w:sz w:val="24"/>
                <w:szCs w:val="24"/>
              </w:rPr>
              <w:t xml:space="preserve">rystal </w:t>
            </w:r>
            <w:r w:rsidR="008E6443">
              <w:rPr>
                <w:rFonts w:ascii="Times New Roman" w:hAnsi="Times New Roman" w:cs="Times New Roman"/>
                <w:sz w:val="24"/>
                <w:szCs w:val="24"/>
              </w:rPr>
              <w:t>s</w:t>
            </w:r>
            <w:r>
              <w:rPr>
                <w:rFonts w:ascii="Times New Roman" w:hAnsi="Times New Roman" w:cs="Times New Roman"/>
                <w:sz w:val="24"/>
                <w:szCs w:val="24"/>
              </w:rPr>
              <w:t xml:space="preserve">tructure and </w:t>
            </w:r>
            <w:r w:rsidR="008E6443">
              <w:rPr>
                <w:rFonts w:ascii="Times New Roman" w:hAnsi="Times New Roman" w:cs="Times New Roman"/>
                <w:sz w:val="24"/>
                <w:szCs w:val="24"/>
              </w:rPr>
              <w:t>s</w:t>
            </w:r>
            <w:r>
              <w:rPr>
                <w:rFonts w:ascii="Times New Roman" w:hAnsi="Times New Roman" w:cs="Times New Roman"/>
                <w:sz w:val="24"/>
                <w:szCs w:val="24"/>
              </w:rPr>
              <w:t xml:space="preserve">elect </w:t>
            </w:r>
            <w:r w:rsidR="008E6443">
              <w:rPr>
                <w:rFonts w:ascii="Times New Roman" w:hAnsi="Times New Roman" w:cs="Times New Roman"/>
                <w:sz w:val="24"/>
                <w:szCs w:val="24"/>
              </w:rPr>
              <w:t>b</w:t>
            </w:r>
            <w:r>
              <w:rPr>
                <w:rFonts w:ascii="Times New Roman" w:hAnsi="Times New Roman" w:cs="Times New Roman"/>
                <w:sz w:val="24"/>
                <w:szCs w:val="24"/>
              </w:rPr>
              <w:t xml:space="preserve">inding </w:t>
            </w:r>
            <w:r w:rsidR="008E6443">
              <w:rPr>
                <w:rFonts w:ascii="Times New Roman" w:hAnsi="Times New Roman" w:cs="Times New Roman"/>
                <w:sz w:val="24"/>
                <w:szCs w:val="24"/>
              </w:rPr>
              <w:t>p</w:t>
            </w:r>
            <w:r>
              <w:rPr>
                <w:rFonts w:ascii="Times New Roman" w:hAnsi="Times New Roman" w:cs="Times New Roman"/>
                <w:sz w:val="24"/>
                <w:szCs w:val="24"/>
              </w:rPr>
              <w:t xml:space="preserve">ocket </w:t>
            </w:r>
            <w:r w:rsidR="008E6443">
              <w:rPr>
                <w:rFonts w:ascii="Times New Roman" w:hAnsi="Times New Roman" w:cs="Times New Roman"/>
                <w:sz w:val="24"/>
                <w:szCs w:val="24"/>
              </w:rPr>
              <w:t>r</w:t>
            </w:r>
            <w:r>
              <w:rPr>
                <w:rFonts w:ascii="Times New Roman" w:hAnsi="Times New Roman" w:cs="Times New Roman"/>
                <w:sz w:val="24"/>
                <w:szCs w:val="24"/>
              </w:rPr>
              <w:t>esidues……….</w:t>
            </w:r>
            <w:r w:rsidR="00200DA2">
              <w:rPr>
                <w:rFonts w:ascii="Times New Roman" w:hAnsi="Times New Roman" w:cs="Times New Roman"/>
                <w:sz w:val="24"/>
                <w:szCs w:val="24"/>
              </w:rPr>
              <w:t>9</w:t>
            </w:r>
            <w:r w:rsidR="002C7B55">
              <w:rPr>
                <w:rFonts w:ascii="Times New Roman" w:hAnsi="Times New Roman" w:cs="Times New Roman"/>
                <w:sz w:val="24"/>
                <w:szCs w:val="24"/>
              </w:rPr>
              <w:t>9</w:t>
            </w:r>
          </w:p>
        </w:tc>
      </w:tr>
      <w:tr w:rsidR="00F570EC" w14:paraId="33207021" w14:textId="77777777" w:rsidTr="00F570EC">
        <w:trPr>
          <w:trHeight w:val="432"/>
        </w:trPr>
        <w:tc>
          <w:tcPr>
            <w:tcW w:w="8630" w:type="dxa"/>
            <w:vAlign w:val="center"/>
          </w:tcPr>
          <w:p w14:paraId="73A59A61" w14:textId="17C3A627" w:rsidR="00F570EC" w:rsidRPr="009E08CE" w:rsidRDefault="00F570EC" w:rsidP="00F570EC">
            <w:pPr>
              <w:rPr>
                <w:rFonts w:ascii="Times New Roman" w:hAnsi="Times New Roman" w:cs="Times New Roman"/>
                <w:sz w:val="24"/>
                <w:szCs w:val="24"/>
              </w:rPr>
            </w:pPr>
            <w:r>
              <w:rPr>
                <w:rFonts w:ascii="Times New Roman" w:hAnsi="Times New Roman" w:cs="Times New Roman"/>
                <w:sz w:val="24"/>
                <w:szCs w:val="24"/>
              </w:rPr>
              <w:t>Fig. 5.</w:t>
            </w:r>
            <w:r w:rsidR="006F4711">
              <w:rPr>
                <w:rFonts w:ascii="Times New Roman" w:hAnsi="Times New Roman" w:cs="Times New Roman"/>
                <w:sz w:val="24"/>
                <w:szCs w:val="24"/>
              </w:rPr>
              <w:t>3</w:t>
            </w:r>
            <w:r>
              <w:rPr>
                <w:rFonts w:ascii="Times New Roman" w:hAnsi="Times New Roman" w:cs="Times New Roman"/>
                <w:sz w:val="24"/>
                <w:szCs w:val="24"/>
              </w:rPr>
              <w:t xml:space="preserve"> – </w:t>
            </w:r>
            <w:proofErr w:type="spellStart"/>
            <w:r>
              <w:rPr>
                <w:rFonts w:ascii="Times New Roman" w:hAnsi="Times New Roman" w:cs="Times New Roman"/>
                <w:sz w:val="24"/>
                <w:szCs w:val="24"/>
              </w:rPr>
              <w:t>AdeJ</w:t>
            </w:r>
            <w:proofErr w:type="spellEnd"/>
            <w:r>
              <w:rPr>
                <w:rFonts w:ascii="Times New Roman" w:hAnsi="Times New Roman" w:cs="Times New Roman"/>
                <w:sz w:val="24"/>
                <w:szCs w:val="24"/>
              </w:rPr>
              <w:t xml:space="preserve"> </w:t>
            </w:r>
            <w:r w:rsidR="008E6443">
              <w:rPr>
                <w:rFonts w:ascii="Times New Roman" w:hAnsi="Times New Roman" w:cs="Times New Roman"/>
                <w:sz w:val="24"/>
                <w:szCs w:val="24"/>
              </w:rPr>
              <w:t>m</w:t>
            </w:r>
            <w:r>
              <w:rPr>
                <w:rFonts w:ascii="Times New Roman" w:hAnsi="Times New Roman" w:cs="Times New Roman"/>
                <w:sz w:val="24"/>
                <w:szCs w:val="24"/>
              </w:rPr>
              <w:t xml:space="preserve">utant </w:t>
            </w:r>
            <w:r w:rsidR="008E6443">
              <w:rPr>
                <w:rFonts w:ascii="Times New Roman" w:hAnsi="Times New Roman" w:cs="Times New Roman"/>
                <w:sz w:val="24"/>
                <w:szCs w:val="24"/>
              </w:rPr>
              <w:t>e</w:t>
            </w:r>
            <w:r>
              <w:rPr>
                <w:rFonts w:ascii="Times New Roman" w:hAnsi="Times New Roman" w:cs="Times New Roman"/>
                <w:sz w:val="24"/>
                <w:szCs w:val="24"/>
              </w:rPr>
              <w:t xml:space="preserve">xpression in </w:t>
            </w:r>
            <w:r>
              <w:rPr>
                <w:rFonts w:ascii="Times New Roman" w:hAnsi="Times New Roman" w:cs="Times New Roman"/>
                <w:i/>
                <w:iCs/>
                <w:sz w:val="24"/>
                <w:szCs w:val="24"/>
              </w:rPr>
              <w:t xml:space="preserve">A. </w:t>
            </w:r>
            <w:r w:rsidRPr="009E08CE">
              <w:rPr>
                <w:rFonts w:ascii="Times New Roman" w:hAnsi="Times New Roman" w:cs="Times New Roman"/>
                <w:i/>
                <w:iCs/>
                <w:sz w:val="24"/>
                <w:szCs w:val="24"/>
              </w:rPr>
              <w:t>baumannii</w:t>
            </w:r>
            <w:r w:rsidRPr="009E08CE">
              <w:rPr>
                <w:rFonts w:ascii="Times New Roman" w:hAnsi="Times New Roman" w:cs="Times New Roman"/>
                <w:sz w:val="24"/>
                <w:szCs w:val="24"/>
              </w:rPr>
              <w:t xml:space="preserve">  Δ3-Pore cells</w:t>
            </w:r>
            <w:r>
              <w:rPr>
                <w:rFonts w:ascii="Times New Roman" w:hAnsi="Times New Roman" w:cs="Times New Roman"/>
                <w:sz w:val="24"/>
                <w:szCs w:val="24"/>
              </w:rPr>
              <w:t>…………………</w:t>
            </w:r>
            <w:r w:rsidR="00200DA2">
              <w:rPr>
                <w:rFonts w:ascii="Times New Roman" w:hAnsi="Times New Roman" w:cs="Times New Roman"/>
                <w:sz w:val="24"/>
                <w:szCs w:val="24"/>
              </w:rPr>
              <w:t>.</w:t>
            </w:r>
            <w:r w:rsidR="002C7B55">
              <w:rPr>
                <w:rFonts w:ascii="Times New Roman" w:hAnsi="Times New Roman" w:cs="Times New Roman"/>
                <w:sz w:val="24"/>
                <w:szCs w:val="24"/>
              </w:rPr>
              <w:t>100</w:t>
            </w:r>
          </w:p>
        </w:tc>
      </w:tr>
      <w:tr w:rsidR="00F570EC" w14:paraId="383E701B" w14:textId="77777777" w:rsidTr="00F570EC">
        <w:trPr>
          <w:trHeight w:val="432"/>
        </w:trPr>
        <w:tc>
          <w:tcPr>
            <w:tcW w:w="8630" w:type="dxa"/>
            <w:vAlign w:val="center"/>
          </w:tcPr>
          <w:p w14:paraId="7E7A633F" w14:textId="2845293D" w:rsidR="00F570EC" w:rsidRPr="00852BE7" w:rsidRDefault="00F570EC" w:rsidP="00F570EC">
            <w:pPr>
              <w:rPr>
                <w:rFonts w:ascii="Times New Roman" w:hAnsi="Times New Roman" w:cs="Times New Roman"/>
                <w:sz w:val="24"/>
                <w:szCs w:val="24"/>
              </w:rPr>
            </w:pPr>
            <w:r>
              <w:rPr>
                <w:rFonts w:ascii="Times New Roman" w:hAnsi="Times New Roman" w:cs="Times New Roman"/>
                <w:sz w:val="24"/>
                <w:szCs w:val="24"/>
              </w:rPr>
              <w:t>Fig. 5.</w:t>
            </w:r>
            <w:r w:rsidR="006F4711">
              <w:rPr>
                <w:rFonts w:ascii="Times New Roman" w:hAnsi="Times New Roman" w:cs="Times New Roman"/>
                <w:sz w:val="24"/>
                <w:szCs w:val="24"/>
              </w:rPr>
              <w:t>4</w:t>
            </w:r>
            <w:r>
              <w:rPr>
                <w:rFonts w:ascii="Times New Roman" w:hAnsi="Times New Roman" w:cs="Times New Roman"/>
                <w:sz w:val="24"/>
                <w:szCs w:val="24"/>
              </w:rPr>
              <w:t xml:space="preserve"> – Crystal </w:t>
            </w:r>
            <w:r w:rsidR="008E6443">
              <w:rPr>
                <w:rFonts w:ascii="Times New Roman" w:hAnsi="Times New Roman" w:cs="Times New Roman"/>
                <w:sz w:val="24"/>
                <w:szCs w:val="24"/>
              </w:rPr>
              <w:t>s</w:t>
            </w:r>
            <w:r>
              <w:rPr>
                <w:rFonts w:ascii="Times New Roman" w:hAnsi="Times New Roman" w:cs="Times New Roman"/>
                <w:sz w:val="24"/>
                <w:szCs w:val="24"/>
              </w:rPr>
              <w:t xml:space="preserve">tructure of </w:t>
            </w:r>
            <w:proofErr w:type="spellStart"/>
            <w:r>
              <w:rPr>
                <w:rFonts w:ascii="Times New Roman" w:hAnsi="Times New Roman" w:cs="Times New Roman"/>
                <w:sz w:val="24"/>
                <w:szCs w:val="24"/>
              </w:rPr>
              <w:t>AdeJ</w:t>
            </w:r>
            <w:proofErr w:type="spellEnd"/>
            <w:r>
              <w:rPr>
                <w:rFonts w:ascii="Times New Roman" w:hAnsi="Times New Roman" w:cs="Times New Roman"/>
                <w:sz w:val="24"/>
                <w:szCs w:val="24"/>
              </w:rPr>
              <w:t xml:space="preserve">-Era and </w:t>
            </w:r>
            <w:r w:rsidR="008E6443">
              <w:rPr>
                <w:rFonts w:ascii="Times New Roman" w:hAnsi="Times New Roman" w:cs="Times New Roman"/>
                <w:sz w:val="24"/>
                <w:szCs w:val="24"/>
              </w:rPr>
              <w:t>b</w:t>
            </w:r>
            <w:r>
              <w:rPr>
                <w:rFonts w:ascii="Times New Roman" w:hAnsi="Times New Roman" w:cs="Times New Roman"/>
                <w:sz w:val="24"/>
                <w:szCs w:val="24"/>
              </w:rPr>
              <w:t xml:space="preserve">inding </w:t>
            </w:r>
            <w:r w:rsidR="008E6443">
              <w:rPr>
                <w:rFonts w:ascii="Times New Roman" w:hAnsi="Times New Roman" w:cs="Times New Roman"/>
                <w:sz w:val="24"/>
                <w:szCs w:val="24"/>
              </w:rPr>
              <w:t>s</w:t>
            </w:r>
            <w:r>
              <w:rPr>
                <w:rFonts w:ascii="Times New Roman" w:hAnsi="Times New Roman" w:cs="Times New Roman"/>
                <w:sz w:val="24"/>
                <w:szCs w:val="24"/>
              </w:rPr>
              <w:t>ite……………………………</w:t>
            </w:r>
            <w:r w:rsidR="006F4711">
              <w:rPr>
                <w:rFonts w:ascii="Times New Roman" w:hAnsi="Times New Roman" w:cs="Times New Roman"/>
                <w:sz w:val="24"/>
                <w:szCs w:val="24"/>
              </w:rPr>
              <w:t>10</w:t>
            </w:r>
            <w:r w:rsidR="002C7B55">
              <w:rPr>
                <w:rFonts w:ascii="Times New Roman" w:hAnsi="Times New Roman" w:cs="Times New Roman"/>
                <w:sz w:val="24"/>
                <w:szCs w:val="24"/>
              </w:rPr>
              <w:t>2</w:t>
            </w:r>
          </w:p>
        </w:tc>
      </w:tr>
      <w:tr w:rsidR="00F570EC" w14:paraId="454A43FA" w14:textId="77777777" w:rsidTr="00F570EC">
        <w:trPr>
          <w:trHeight w:val="432"/>
        </w:trPr>
        <w:tc>
          <w:tcPr>
            <w:tcW w:w="8630" w:type="dxa"/>
            <w:vAlign w:val="center"/>
          </w:tcPr>
          <w:p w14:paraId="4E5F9E57" w14:textId="77777777" w:rsidR="00F570EC" w:rsidRPr="00852BE7" w:rsidRDefault="00F570EC" w:rsidP="00F570EC">
            <w:pPr>
              <w:rPr>
                <w:rFonts w:ascii="Times New Roman" w:hAnsi="Times New Roman" w:cs="Times New Roman"/>
                <w:sz w:val="24"/>
                <w:szCs w:val="24"/>
              </w:rPr>
            </w:pPr>
          </w:p>
        </w:tc>
      </w:tr>
      <w:tr w:rsidR="00F570EC" w14:paraId="295B2F5D" w14:textId="77777777" w:rsidTr="00F570EC">
        <w:trPr>
          <w:trHeight w:val="432"/>
        </w:trPr>
        <w:tc>
          <w:tcPr>
            <w:tcW w:w="8630" w:type="dxa"/>
            <w:vAlign w:val="center"/>
          </w:tcPr>
          <w:p w14:paraId="4D1E9587" w14:textId="7353142C" w:rsidR="00F570EC" w:rsidRPr="009E08CE" w:rsidRDefault="00F570EC" w:rsidP="00F570EC">
            <w:pPr>
              <w:rPr>
                <w:rFonts w:ascii="Times New Roman" w:hAnsi="Times New Roman" w:cs="Times New Roman"/>
                <w:sz w:val="24"/>
                <w:szCs w:val="24"/>
              </w:rPr>
            </w:pPr>
            <w:r>
              <w:rPr>
                <w:rFonts w:ascii="Times New Roman" w:hAnsi="Times New Roman" w:cs="Times New Roman"/>
                <w:sz w:val="24"/>
                <w:szCs w:val="24"/>
              </w:rPr>
              <w:t xml:space="preserve">Table 5.1 – Antibiotic </w:t>
            </w:r>
            <w:r w:rsidR="008E6443">
              <w:rPr>
                <w:rFonts w:ascii="Times New Roman" w:hAnsi="Times New Roman" w:cs="Times New Roman"/>
                <w:sz w:val="24"/>
                <w:szCs w:val="24"/>
              </w:rPr>
              <w:t>s</w:t>
            </w:r>
            <w:r>
              <w:rPr>
                <w:rFonts w:ascii="Times New Roman" w:hAnsi="Times New Roman" w:cs="Times New Roman"/>
                <w:sz w:val="24"/>
                <w:szCs w:val="24"/>
              </w:rPr>
              <w:t xml:space="preserve">usceptibilities of </w:t>
            </w:r>
            <w:r>
              <w:rPr>
                <w:rFonts w:ascii="Times New Roman" w:hAnsi="Times New Roman" w:cs="Times New Roman"/>
                <w:i/>
                <w:iCs/>
                <w:sz w:val="24"/>
                <w:szCs w:val="24"/>
              </w:rPr>
              <w:t>A. baumannii</w:t>
            </w:r>
            <w:r>
              <w:rPr>
                <w:rFonts w:ascii="Times New Roman" w:hAnsi="Times New Roman" w:cs="Times New Roman"/>
                <w:sz w:val="24"/>
                <w:szCs w:val="24"/>
              </w:rPr>
              <w:t xml:space="preserve"> </w:t>
            </w:r>
            <w:proofErr w:type="spellStart"/>
            <w:r>
              <w:rPr>
                <w:rFonts w:ascii="Times New Roman" w:hAnsi="Times New Roman" w:cs="Times New Roman"/>
                <w:sz w:val="24"/>
                <w:szCs w:val="24"/>
              </w:rPr>
              <w:t>AdeJ</w:t>
            </w:r>
            <w:proofErr w:type="spellEnd"/>
            <w:r>
              <w:rPr>
                <w:rFonts w:ascii="Times New Roman" w:hAnsi="Times New Roman" w:cs="Times New Roman"/>
                <w:sz w:val="24"/>
                <w:szCs w:val="24"/>
              </w:rPr>
              <w:t xml:space="preserve"> </w:t>
            </w:r>
            <w:r w:rsidR="008E6443">
              <w:rPr>
                <w:rFonts w:ascii="Times New Roman" w:hAnsi="Times New Roman" w:cs="Times New Roman"/>
                <w:sz w:val="24"/>
                <w:szCs w:val="24"/>
              </w:rPr>
              <w:t>s</w:t>
            </w:r>
            <w:r>
              <w:rPr>
                <w:rFonts w:ascii="Times New Roman" w:hAnsi="Times New Roman" w:cs="Times New Roman"/>
                <w:sz w:val="24"/>
                <w:szCs w:val="24"/>
              </w:rPr>
              <w:t>ite-</w:t>
            </w:r>
            <w:r w:rsidR="008E6443">
              <w:rPr>
                <w:rFonts w:ascii="Times New Roman" w:hAnsi="Times New Roman" w:cs="Times New Roman"/>
                <w:sz w:val="24"/>
                <w:szCs w:val="24"/>
              </w:rPr>
              <w:t>d</w:t>
            </w:r>
            <w:r>
              <w:rPr>
                <w:rFonts w:ascii="Times New Roman" w:hAnsi="Times New Roman" w:cs="Times New Roman"/>
                <w:sz w:val="24"/>
                <w:szCs w:val="24"/>
              </w:rPr>
              <w:t xml:space="preserve">irected </w:t>
            </w:r>
            <w:r w:rsidR="008E6443">
              <w:rPr>
                <w:rFonts w:ascii="Times New Roman" w:hAnsi="Times New Roman" w:cs="Times New Roman"/>
                <w:sz w:val="24"/>
                <w:szCs w:val="24"/>
              </w:rPr>
              <w:t>m</w:t>
            </w:r>
            <w:r>
              <w:rPr>
                <w:rFonts w:ascii="Times New Roman" w:hAnsi="Times New Roman" w:cs="Times New Roman"/>
                <w:sz w:val="24"/>
                <w:szCs w:val="24"/>
              </w:rPr>
              <w:t xml:space="preserve">utants to </w:t>
            </w:r>
            <w:r w:rsidR="008E6443">
              <w:rPr>
                <w:rFonts w:ascii="Times New Roman" w:hAnsi="Times New Roman" w:cs="Times New Roman"/>
                <w:sz w:val="24"/>
                <w:szCs w:val="24"/>
              </w:rPr>
              <w:t>d</w:t>
            </w:r>
            <w:r>
              <w:rPr>
                <w:rFonts w:ascii="Times New Roman" w:hAnsi="Times New Roman" w:cs="Times New Roman"/>
                <w:sz w:val="24"/>
                <w:szCs w:val="24"/>
              </w:rPr>
              <w:t xml:space="preserve">ifferent </w:t>
            </w:r>
            <w:r w:rsidR="008E6443">
              <w:rPr>
                <w:rFonts w:ascii="Times New Roman" w:hAnsi="Times New Roman" w:cs="Times New Roman"/>
                <w:sz w:val="24"/>
                <w:szCs w:val="24"/>
              </w:rPr>
              <w:t>c</w:t>
            </w:r>
            <w:r>
              <w:rPr>
                <w:rFonts w:ascii="Times New Roman" w:hAnsi="Times New Roman" w:cs="Times New Roman"/>
                <w:sz w:val="24"/>
                <w:szCs w:val="24"/>
              </w:rPr>
              <w:t xml:space="preserve">lasses of </w:t>
            </w:r>
            <w:r w:rsidR="008E6443">
              <w:rPr>
                <w:rFonts w:ascii="Times New Roman" w:hAnsi="Times New Roman" w:cs="Times New Roman"/>
                <w:sz w:val="24"/>
                <w:szCs w:val="24"/>
              </w:rPr>
              <w:t>a</w:t>
            </w:r>
            <w:r>
              <w:rPr>
                <w:rFonts w:ascii="Times New Roman" w:hAnsi="Times New Roman" w:cs="Times New Roman"/>
                <w:sz w:val="24"/>
                <w:szCs w:val="24"/>
              </w:rPr>
              <w:t>ntibiotics………………………………………………………</w:t>
            </w:r>
            <w:r w:rsidR="002C7B55">
              <w:rPr>
                <w:rFonts w:ascii="Times New Roman" w:hAnsi="Times New Roman" w:cs="Times New Roman"/>
                <w:sz w:val="24"/>
                <w:szCs w:val="24"/>
              </w:rPr>
              <w:t>..101</w:t>
            </w:r>
          </w:p>
        </w:tc>
      </w:tr>
      <w:bookmarkEnd w:id="20"/>
    </w:tbl>
    <w:p w14:paraId="72F8CA2B" w14:textId="77777777" w:rsidR="00DE5416" w:rsidRDefault="00DE5416" w:rsidP="00FD502E">
      <w:pPr>
        <w:rPr>
          <w:sz w:val="24"/>
          <w:szCs w:val="24"/>
          <w:u w:val="single"/>
        </w:rPr>
      </w:pPr>
    </w:p>
    <w:p w14:paraId="29BEAB60" w14:textId="77777777" w:rsidR="00C93FF8" w:rsidRPr="00DE5416" w:rsidRDefault="00C93FF8" w:rsidP="00FD502E">
      <w:pPr>
        <w:rPr>
          <w:sz w:val="24"/>
          <w:szCs w:val="24"/>
          <w:u w:val="single"/>
        </w:rPr>
      </w:pPr>
    </w:p>
    <w:p w14:paraId="730259B3" w14:textId="77777777" w:rsidR="00DE5416" w:rsidRPr="00734E96" w:rsidRDefault="00DE5416" w:rsidP="00FD502E">
      <w:pPr>
        <w:rPr>
          <w:sz w:val="24"/>
          <w:szCs w:val="24"/>
        </w:rPr>
      </w:pPr>
    </w:p>
    <w:p w14:paraId="56D2A964" w14:textId="77777777" w:rsidR="00F5628C" w:rsidRDefault="00F5628C" w:rsidP="00F5628C">
      <w:pPr>
        <w:rPr>
          <w:sz w:val="24"/>
          <w:szCs w:val="24"/>
          <w:u w:val="single"/>
        </w:rPr>
      </w:pPr>
      <w:r>
        <w:rPr>
          <w:sz w:val="24"/>
          <w:szCs w:val="24"/>
          <w:u w:val="single"/>
        </w:rPr>
        <w:t>Nucleotide sequences used for cloning and mutagenesis:</w:t>
      </w:r>
    </w:p>
    <w:p w14:paraId="6AB939E4" w14:textId="3C09C505" w:rsidR="00F5628C" w:rsidRDefault="00F5628C" w:rsidP="00F5628C">
      <w:r>
        <w:t>&gt;A1S_2304 (</w:t>
      </w:r>
      <w:proofErr w:type="spellStart"/>
      <w:r w:rsidRPr="00D97131">
        <w:rPr>
          <w:i/>
          <w:iCs/>
        </w:rPr>
        <w:t>adeF</w:t>
      </w:r>
      <w:proofErr w:type="spellEnd"/>
      <w:r>
        <w:t>)</w:t>
      </w:r>
      <w:r w:rsidR="00832EB7">
        <w:t xml:space="preserve"> GenBank: CP000521.1</w:t>
      </w:r>
    </w:p>
    <w:p w14:paraId="5EEED47D" w14:textId="77777777" w:rsidR="00F5628C" w:rsidRDefault="00F5628C" w:rsidP="00F5628C">
      <w:pPr>
        <w:pStyle w:val="HTMLPreformatted"/>
      </w:pPr>
      <w:proofErr w:type="spellStart"/>
      <w:r>
        <w:rPr>
          <w:rStyle w:val="ffline"/>
        </w:rPr>
        <w:t>atgtcatttt</w:t>
      </w:r>
      <w:proofErr w:type="spellEnd"/>
      <w:r>
        <w:rPr>
          <w:rStyle w:val="ffline"/>
        </w:rPr>
        <w:t xml:space="preserve"> </w:t>
      </w:r>
      <w:proofErr w:type="spellStart"/>
      <w:r>
        <w:rPr>
          <w:rStyle w:val="ffline"/>
        </w:rPr>
        <w:t>cccgcaaaca</w:t>
      </w:r>
      <w:proofErr w:type="spellEnd"/>
      <w:r>
        <w:rPr>
          <w:rStyle w:val="ffline"/>
        </w:rPr>
        <w:t xml:space="preserve"> </w:t>
      </w:r>
      <w:proofErr w:type="spellStart"/>
      <w:r>
        <w:rPr>
          <w:rStyle w:val="ffline"/>
        </w:rPr>
        <w:t>gtttgcactg</w:t>
      </w:r>
      <w:proofErr w:type="spellEnd"/>
      <w:r>
        <w:rPr>
          <w:rStyle w:val="ffline"/>
        </w:rPr>
        <w:t xml:space="preserve"> </w:t>
      </w:r>
      <w:proofErr w:type="spellStart"/>
      <w:r>
        <w:rPr>
          <w:rStyle w:val="ffline"/>
        </w:rPr>
        <w:t>tctgccatct</w:t>
      </w:r>
      <w:proofErr w:type="spellEnd"/>
      <w:r>
        <w:rPr>
          <w:rStyle w:val="ffline"/>
        </w:rPr>
        <w:t xml:space="preserve"> </w:t>
      </w:r>
      <w:proofErr w:type="spellStart"/>
      <w:r>
        <w:rPr>
          <w:rStyle w:val="ffline"/>
        </w:rPr>
        <w:t>ttgttgctat</w:t>
      </w:r>
      <w:proofErr w:type="spellEnd"/>
      <w:r>
        <w:rPr>
          <w:rStyle w:val="ffline"/>
        </w:rPr>
        <w:t xml:space="preserve"> </w:t>
      </w:r>
      <w:proofErr w:type="spellStart"/>
      <w:r>
        <w:rPr>
          <w:rStyle w:val="ffline"/>
        </w:rPr>
        <w:t>tttagcaacc</w:t>
      </w:r>
      <w:proofErr w:type="spellEnd"/>
    </w:p>
    <w:p w14:paraId="0B5AB87F" w14:textId="77777777" w:rsidR="00F5628C" w:rsidRDefault="00F5628C" w:rsidP="00F5628C">
      <w:pPr>
        <w:pStyle w:val="HTMLPreformatted"/>
      </w:pPr>
      <w:proofErr w:type="spellStart"/>
      <w:r>
        <w:rPr>
          <w:rStyle w:val="ffline"/>
        </w:rPr>
        <w:t>ggtggcagtt</w:t>
      </w:r>
      <w:proofErr w:type="spellEnd"/>
      <w:r>
        <w:rPr>
          <w:rStyle w:val="ffline"/>
        </w:rPr>
        <w:t xml:space="preserve"> </w:t>
      </w:r>
      <w:proofErr w:type="spellStart"/>
      <w:r>
        <w:rPr>
          <w:rStyle w:val="ffline"/>
        </w:rPr>
        <w:t>ttatgttgtt</w:t>
      </w:r>
      <w:proofErr w:type="spellEnd"/>
      <w:r>
        <w:rPr>
          <w:rStyle w:val="ffline"/>
        </w:rPr>
        <w:t xml:space="preserve"> </w:t>
      </w:r>
      <w:proofErr w:type="spellStart"/>
      <w:r>
        <w:rPr>
          <w:rStyle w:val="ffline"/>
        </w:rPr>
        <w:t>acatgaaaat</w:t>
      </w:r>
      <w:proofErr w:type="spellEnd"/>
      <w:r>
        <w:rPr>
          <w:rStyle w:val="ffline"/>
        </w:rPr>
        <w:t xml:space="preserve"> </w:t>
      </w:r>
      <w:proofErr w:type="spellStart"/>
      <w:r>
        <w:rPr>
          <w:rStyle w:val="ffline"/>
        </w:rPr>
        <w:t>gccgatgcaa</w:t>
      </w:r>
      <w:proofErr w:type="spellEnd"/>
      <w:r>
        <w:rPr>
          <w:rStyle w:val="ffline"/>
        </w:rPr>
        <w:t xml:space="preserve"> </w:t>
      </w:r>
      <w:proofErr w:type="spellStart"/>
      <w:r>
        <w:rPr>
          <w:rStyle w:val="ffline"/>
        </w:rPr>
        <w:t>aagctgcacc</w:t>
      </w:r>
      <w:proofErr w:type="spellEnd"/>
      <w:r>
        <w:rPr>
          <w:rStyle w:val="ffline"/>
        </w:rPr>
        <w:t xml:space="preserve"> </w:t>
      </w:r>
      <w:proofErr w:type="spellStart"/>
      <w:r>
        <w:rPr>
          <w:rStyle w:val="ffline"/>
        </w:rPr>
        <w:t>aaccgctgcc</w:t>
      </w:r>
      <w:proofErr w:type="spellEnd"/>
    </w:p>
    <w:p w14:paraId="3264A7FE" w14:textId="77777777" w:rsidR="00F5628C" w:rsidRDefault="00F5628C" w:rsidP="00F5628C">
      <w:pPr>
        <w:pStyle w:val="HTMLPreformatted"/>
      </w:pPr>
      <w:proofErr w:type="spellStart"/>
      <w:r>
        <w:rPr>
          <w:rStyle w:val="ffline"/>
        </w:rPr>
        <w:t>caacaagctg</w:t>
      </w:r>
      <w:proofErr w:type="spellEnd"/>
      <w:r>
        <w:rPr>
          <w:rStyle w:val="ffline"/>
        </w:rPr>
        <w:t xml:space="preserve"> </w:t>
      </w:r>
      <w:proofErr w:type="spellStart"/>
      <w:r>
        <w:rPr>
          <w:rStyle w:val="ffline"/>
        </w:rPr>
        <w:t>ctactgttga</w:t>
      </w:r>
      <w:proofErr w:type="spellEnd"/>
      <w:r>
        <w:rPr>
          <w:rStyle w:val="ffline"/>
        </w:rPr>
        <w:t xml:space="preserve"> </w:t>
      </w:r>
      <w:proofErr w:type="spellStart"/>
      <w:r>
        <w:rPr>
          <w:rStyle w:val="ffline"/>
        </w:rPr>
        <w:t>tgtagcccca</w:t>
      </w:r>
      <w:proofErr w:type="spellEnd"/>
      <w:r>
        <w:rPr>
          <w:rStyle w:val="ffline"/>
        </w:rPr>
        <w:t xml:space="preserve"> </w:t>
      </w:r>
      <w:proofErr w:type="spellStart"/>
      <w:r>
        <w:rPr>
          <w:rStyle w:val="ffline"/>
        </w:rPr>
        <w:t>gtagtaagca</w:t>
      </w:r>
      <w:proofErr w:type="spellEnd"/>
      <w:r>
        <w:rPr>
          <w:rStyle w:val="ffline"/>
        </w:rPr>
        <w:t xml:space="preserve"> </w:t>
      </w:r>
      <w:proofErr w:type="spellStart"/>
      <w:r>
        <w:rPr>
          <w:rStyle w:val="ffline"/>
        </w:rPr>
        <w:t>aaaccattac</w:t>
      </w:r>
      <w:proofErr w:type="spellEnd"/>
      <w:r>
        <w:rPr>
          <w:rStyle w:val="ffline"/>
        </w:rPr>
        <w:t xml:space="preserve"> </w:t>
      </w:r>
      <w:proofErr w:type="spellStart"/>
      <w:r>
        <w:rPr>
          <w:rStyle w:val="ffline"/>
        </w:rPr>
        <w:t>cgattggcaa</w:t>
      </w:r>
      <w:proofErr w:type="spellEnd"/>
    </w:p>
    <w:p w14:paraId="5A8D9C87" w14:textId="77777777" w:rsidR="00F5628C" w:rsidRDefault="00F5628C" w:rsidP="00F5628C">
      <w:pPr>
        <w:pStyle w:val="HTMLPreformatted"/>
      </w:pPr>
      <w:proofErr w:type="spellStart"/>
      <w:r>
        <w:rPr>
          <w:rStyle w:val="ffline"/>
        </w:rPr>
        <w:t>gaatattccg</w:t>
      </w:r>
      <w:proofErr w:type="spellEnd"/>
      <w:r>
        <w:rPr>
          <w:rStyle w:val="ffline"/>
        </w:rPr>
        <w:t xml:space="preserve"> </w:t>
      </w:r>
      <w:proofErr w:type="spellStart"/>
      <w:r>
        <w:rPr>
          <w:rStyle w:val="ffline"/>
        </w:rPr>
        <w:t>gtcgtttaga</w:t>
      </w:r>
      <w:proofErr w:type="spellEnd"/>
      <w:r>
        <w:rPr>
          <w:rStyle w:val="ffline"/>
        </w:rPr>
        <w:t xml:space="preserve"> </w:t>
      </w:r>
      <w:proofErr w:type="spellStart"/>
      <w:r>
        <w:rPr>
          <w:rStyle w:val="ffline"/>
        </w:rPr>
        <w:t>agcaattgat</w:t>
      </w:r>
      <w:proofErr w:type="spellEnd"/>
      <w:r>
        <w:rPr>
          <w:rStyle w:val="ffline"/>
        </w:rPr>
        <w:t xml:space="preserve"> </w:t>
      </w:r>
      <w:proofErr w:type="spellStart"/>
      <w:r>
        <w:rPr>
          <w:rStyle w:val="ffline"/>
        </w:rPr>
        <w:t>caagttgata</w:t>
      </w:r>
      <w:proofErr w:type="spellEnd"/>
      <w:r>
        <w:rPr>
          <w:rStyle w:val="ffline"/>
        </w:rPr>
        <w:t xml:space="preserve"> </w:t>
      </w:r>
      <w:proofErr w:type="spellStart"/>
      <w:r>
        <w:rPr>
          <w:rStyle w:val="ffline"/>
        </w:rPr>
        <w:t>ttcggcctca</w:t>
      </w:r>
      <w:proofErr w:type="spellEnd"/>
      <w:r>
        <w:rPr>
          <w:rStyle w:val="ffline"/>
        </w:rPr>
        <w:t xml:space="preserve"> </w:t>
      </w:r>
      <w:proofErr w:type="spellStart"/>
      <w:r>
        <w:rPr>
          <w:rStyle w:val="ffline"/>
        </w:rPr>
        <w:t>agtttcagga</w:t>
      </w:r>
      <w:proofErr w:type="spellEnd"/>
    </w:p>
    <w:p w14:paraId="05BADE68" w14:textId="77777777" w:rsidR="00F5628C" w:rsidRDefault="00F5628C" w:rsidP="00F5628C">
      <w:pPr>
        <w:pStyle w:val="HTMLPreformatted"/>
      </w:pPr>
      <w:proofErr w:type="spellStart"/>
      <w:r>
        <w:rPr>
          <w:rStyle w:val="ffline"/>
        </w:rPr>
        <w:t>aaactcattg</w:t>
      </w:r>
      <w:proofErr w:type="spellEnd"/>
      <w:r>
        <w:rPr>
          <w:rStyle w:val="ffline"/>
        </w:rPr>
        <w:t xml:space="preserve"> </w:t>
      </w:r>
      <w:proofErr w:type="spellStart"/>
      <w:r>
        <w:rPr>
          <w:rStyle w:val="ffline"/>
        </w:rPr>
        <w:t>ccgtacattt</w:t>
      </w:r>
      <w:proofErr w:type="spellEnd"/>
      <w:r>
        <w:rPr>
          <w:rStyle w:val="ffline"/>
        </w:rPr>
        <w:t xml:space="preserve"> </w:t>
      </w:r>
      <w:proofErr w:type="spellStart"/>
      <w:r>
        <w:rPr>
          <w:rStyle w:val="ffline"/>
        </w:rPr>
        <w:t>caaagatgga</w:t>
      </w:r>
      <w:proofErr w:type="spellEnd"/>
      <w:r>
        <w:rPr>
          <w:rStyle w:val="ffline"/>
        </w:rPr>
        <w:t xml:space="preserve"> </w:t>
      </w:r>
      <w:proofErr w:type="spellStart"/>
      <w:r>
        <w:rPr>
          <w:rStyle w:val="ffline"/>
        </w:rPr>
        <w:t>agcctcgtta</w:t>
      </w:r>
      <w:proofErr w:type="spellEnd"/>
      <w:r>
        <w:rPr>
          <w:rStyle w:val="ffline"/>
        </w:rPr>
        <w:t xml:space="preserve"> </w:t>
      </w:r>
      <w:proofErr w:type="spellStart"/>
      <w:r>
        <w:rPr>
          <w:rStyle w:val="ffline"/>
        </w:rPr>
        <w:t>aaaaaggtga</w:t>
      </w:r>
      <w:proofErr w:type="spellEnd"/>
      <w:r>
        <w:rPr>
          <w:rStyle w:val="ffline"/>
        </w:rPr>
        <w:t xml:space="preserve"> </w:t>
      </w:r>
      <w:proofErr w:type="spellStart"/>
      <w:r>
        <w:rPr>
          <w:rStyle w:val="ffline"/>
        </w:rPr>
        <w:t>tttacttttc</w:t>
      </w:r>
      <w:proofErr w:type="spellEnd"/>
    </w:p>
    <w:p w14:paraId="6CF2FCD1" w14:textId="77777777" w:rsidR="00F5628C" w:rsidRDefault="00F5628C" w:rsidP="00F5628C">
      <w:pPr>
        <w:pStyle w:val="HTMLPreformatted"/>
      </w:pPr>
      <w:proofErr w:type="spellStart"/>
      <w:r>
        <w:rPr>
          <w:rStyle w:val="ffline"/>
        </w:rPr>
        <w:t>acaatcgacc</w:t>
      </w:r>
      <w:proofErr w:type="spellEnd"/>
      <w:r>
        <w:rPr>
          <w:rStyle w:val="ffline"/>
        </w:rPr>
        <w:t xml:space="preserve"> </w:t>
      </w:r>
      <w:proofErr w:type="spellStart"/>
      <w:r>
        <w:rPr>
          <w:rStyle w:val="ffline"/>
        </w:rPr>
        <w:t>ctcgtccttt</w:t>
      </w:r>
      <w:proofErr w:type="spellEnd"/>
      <w:r>
        <w:rPr>
          <w:rStyle w:val="ffline"/>
        </w:rPr>
        <w:t xml:space="preserve"> </w:t>
      </w:r>
      <w:proofErr w:type="spellStart"/>
      <w:r>
        <w:rPr>
          <w:rStyle w:val="ffline"/>
        </w:rPr>
        <w:t>tgaagcagaa</w:t>
      </w:r>
      <w:proofErr w:type="spellEnd"/>
      <w:r>
        <w:rPr>
          <w:rStyle w:val="ffline"/>
        </w:rPr>
        <w:t xml:space="preserve"> </w:t>
      </w:r>
      <w:proofErr w:type="spellStart"/>
      <w:r>
        <w:rPr>
          <w:rStyle w:val="ffline"/>
        </w:rPr>
        <w:t>ctgaaccgtg</w:t>
      </w:r>
      <w:proofErr w:type="spellEnd"/>
      <w:r>
        <w:rPr>
          <w:rStyle w:val="ffline"/>
        </w:rPr>
        <w:t xml:space="preserve"> </w:t>
      </w:r>
      <w:proofErr w:type="spellStart"/>
      <w:r>
        <w:rPr>
          <w:rStyle w:val="ffline"/>
        </w:rPr>
        <w:t>caaaagccca</w:t>
      </w:r>
      <w:proofErr w:type="spellEnd"/>
      <w:r>
        <w:rPr>
          <w:rStyle w:val="ffline"/>
        </w:rPr>
        <w:t xml:space="preserve"> </w:t>
      </w:r>
      <w:proofErr w:type="spellStart"/>
      <w:r>
        <w:rPr>
          <w:rStyle w:val="ffline"/>
        </w:rPr>
        <w:t>gcttgcttca</w:t>
      </w:r>
      <w:proofErr w:type="spellEnd"/>
    </w:p>
    <w:p w14:paraId="40D9D13E" w14:textId="77777777" w:rsidR="00F5628C" w:rsidRDefault="00F5628C" w:rsidP="00F5628C">
      <w:pPr>
        <w:pStyle w:val="HTMLPreformatted"/>
      </w:pPr>
      <w:proofErr w:type="spellStart"/>
      <w:r>
        <w:rPr>
          <w:rStyle w:val="ffline"/>
        </w:rPr>
        <w:t>gctgaagcac</w:t>
      </w:r>
      <w:proofErr w:type="spellEnd"/>
      <w:r>
        <w:rPr>
          <w:rStyle w:val="ffline"/>
        </w:rPr>
        <w:t xml:space="preserve"> </w:t>
      </w:r>
      <w:proofErr w:type="spellStart"/>
      <w:r>
        <w:rPr>
          <w:rStyle w:val="ffline"/>
        </w:rPr>
        <w:t>aggtaacata</w:t>
      </w:r>
      <w:proofErr w:type="spellEnd"/>
      <w:r>
        <w:rPr>
          <w:rStyle w:val="ffline"/>
        </w:rPr>
        <w:t xml:space="preserve"> </w:t>
      </w:r>
      <w:proofErr w:type="spellStart"/>
      <w:r>
        <w:rPr>
          <w:rStyle w:val="ffline"/>
        </w:rPr>
        <w:t>taccgccagc</w:t>
      </w:r>
      <w:proofErr w:type="spellEnd"/>
      <w:r>
        <w:rPr>
          <w:rStyle w:val="ffline"/>
        </w:rPr>
        <w:t xml:space="preserve"> </w:t>
      </w:r>
      <w:proofErr w:type="spellStart"/>
      <w:r>
        <w:rPr>
          <w:rStyle w:val="ffline"/>
        </w:rPr>
        <w:t>aatctttcgc</w:t>
      </w:r>
      <w:proofErr w:type="spellEnd"/>
      <w:r>
        <w:rPr>
          <w:rStyle w:val="ffline"/>
        </w:rPr>
        <w:t xml:space="preserve"> </w:t>
      </w:r>
      <w:proofErr w:type="spellStart"/>
      <w:r>
        <w:rPr>
          <w:rStyle w:val="ffline"/>
        </w:rPr>
        <w:t>gtattcaacg</w:t>
      </w:r>
      <w:proofErr w:type="spellEnd"/>
      <w:r>
        <w:rPr>
          <w:rStyle w:val="ffline"/>
        </w:rPr>
        <w:t xml:space="preserve"> </w:t>
      </w:r>
      <w:proofErr w:type="spellStart"/>
      <w:r>
        <w:rPr>
          <w:rStyle w:val="ffline"/>
        </w:rPr>
        <w:t>tctcattcag</w:t>
      </w:r>
      <w:proofErr w:type="spellEnd"/>
    </w:p>
    <w:p w14:paraId="7F3CFFFA" w14:textId="77777777" w:rsidR="00F5628C" w:rsidRDefault="00F5628C" w:rsidP="00F5628C">
      <w:pPr>
        <w:pStyle w:val="HTMLPreformatted"/>
      </w:pPr>
      <w:proofErr w:type="spellStart"/>
      <w:r>
        <w:rPr>
          <w:rStyle w:val="ffline"/>
        </w:rPr>
        <w:lastRenderedPageBreak/>
        <w:t>agtaatgctg</w:t>
      </w:r>
      <w:proofErr w:type="spellEnd"/>
      <w:r>
        <w:rPr>
          <w:rStyle w:val="ffline"/>
        </w:rPr>
        <w:t xml:space="preserve"> </w:t>
      </w:r>
      <w:proofErr w:type="spellStart"/>
      <w:r>
        <w:rPr>
          <w:rStyle w:val="ffline"/>
        </w:rPr>
        <w:t>tttctcgtca</w:t>
      </w:r>
      <w:proofErr w:type="spellEnd"/>
      <w:r>
        <w:rPr>
          <w:rStyle w:val="ffline"/>
        </w:rPr>
        <w:t xml:space="preserve"> </w:t>
      </w:r>
      <w:proofErr w:type="spellStart"/>
      <w:r>
        <w:rPr>
          <w:rStyle w:val="ffline"/>
        </w:rPr>
        <w:t>agaactggat</w:t>
      </w:r>
      <w:proofErr w:type="spellEnd"/>
      <w:r>
        <w:rPr>
          <w:rStyle w:val="ffline"/>
        </w:rPr>
        <w:t xml:space="preserve"> </w:t>
      </w:r>
      <w:proofErr w:type="spellStart"/>
      <w:r>
        <w:rPr>
          <w:rStyle w:val="ffline"/>
        </w:rPr>
        <w:t>ttagccgaaa</w:t>
      </w:r>
      <w:proofErr w:type="spellEnd"/>
      <w:r>
        <w:rPr>
          <w:rStyle w:val="ffline"/>
        </w:rPr>
        <w:t xml:space="preserve"> </w:t>
      </w:r>
      <w:proofErr w:type="spellStart"/>
      <w:r>
        <w:rPr>
          <w:rStyle w:val="ffline"/>
        </w:rPr>
        <w:t>atgatgcacg</w:t>
      </w:r>
      <w:proofErr w:type="spellEnd"/>
      <w:r>
        <w:rPr>
          <w:rStyle w:val="ffline"/>
        </w:rPr>
        <w:t xml:space="preserve"> </w:t>
      </w:r>
      <w:proofErr w:type="spellStart"/>
      <w:r>
        <w:rPr>
          <w:rStyle w:val="ffline"/>
        </w:rPr>
        <w:t>ttcagcgaat</w:t>
      </w:r>
      <w:proofErr w:type="spellEnd"/>
    </w:p>
    <w:p w14:paraId="62350C75" w14:textId="77777777" w:rsidR="00F5628C" w:rsidRDefault="00F5628C" w:rsidP="00F5628C">
      <w:pPr>
        <w:pStyle w:val="HTMLPreformatted"/>
      </w:pPr>
      <w:proofErr w:type="spellStart"/>
      <w:r>
        <w:rPr>
          <w:rStyle w:val="ffline"/>
        </w:rPr>
        <w:t>gctaacctac</w:t>
      </w:r>
      <w:proofErr w:type="spellEnd"/>
      <w:r>
        <w:rPr>
          <w:rStyle w:val="ffline"/>
        </w:rPr>
        <w:t xml:space="preserve"> </w:t>
      </w:r>
      <w:proofErr w:type="spellStart"/>
      <w:r>
        <w:rPr>
          <w:rStyle w:val="ffline"/>
        </w:rPr>
        <w:t>aagccgctag</w:t>
      </w:r>
      <w:proofErr w:type="spellEnd"/>
      <w:r>
        <w:rPr>
          <w:rStyle w:val="ffline"/>
        </w:rPr>
        <w:t xml:space="preserve"> </w:t>
      </w:r>
      <w:proofErr w:type="spellStart"/>
      <w:r>
        <w:rPr>
          <w:rStyle w:val="ffline"/>
        </w:rPr>
        <w:t>agctgctgtc</w:t>
      </w:r>
      <w:proofErr w:type="spellEnd"/>
      <w:r>
        <w:rPr>
          <w:rStyle w:val="ffline"/>
        </w:rPr>
        <w:t xml:space="preserve"> </w:t>
      </w:r>
      <w:proofErr w:type="spellStart"/>
      <w:r>
        <w:rPr>
          <w:rStyle w:val="ffline"/>
        </w:rPr>
        <w:t>caatctgcac</w:t>
      </w:r>
      <w:proofErr w:type="spellEnd"/>
      <w:r>
        <w:rPr>
          <w:rStyle w:val="ffline"/>
        </w:rPr>
        <w:t xml:space="preserve"> </w:t>
      </w:r>
      <w:proofErr w:type="spellStart"/>
      <w:r>
        <w:rPr>
          <w:rStyle w:val="ffline"/>
        </w:rPr>
        <w:t>gtttaaatct</w:t>
      </w:r>
      <w:proofErr w:type="spellEnd"/>
      <w:r>
        <w:rPr>
          <w:rStyle w:val="ffline"/>
        </w:rPr>
        <w:t xml:space="preserve"> </w:t>
      </w:r>
      <w:proofErr w:type="spellStart"/>
      <w:r>
        <w:rPr>
          <w:rStyle w:val="ffline"/>
        </w:rPr>
        <w:t>ggaatacacc</w:t>
      </w:r>
      <w:proofErr w:type="spellEnd"/>
    </w:p>
    <w:p w14:paraId="282BE169" w14:textId="77777777" w:rsidR="00F5628C" w:rsidRDefault="00F5628C" w:rsidP="00F5628C">
      <w:pPr>
        <w:pStyle w:val="HTMLPreformatted"/>
      </w:pPr>
      <w:proofErr w:type="spellStart"/>
      <w:r>
        <w:rPr>
          <w:rStyle w:val="ffline"/>
        </w:rPr>
        <w:t>cgtattactg</w:t>
      </w:r>
      <w:proofErr w:type="spellEnd"/>
      <w:r>
        <w:rPr>
          <w:rStyle w:val="ffline"/>
        </w:rPr>
        <w:t xml:space="preserve"> </w:t>
      </w:r>
      <w:proofErr w:type="spellStart"/>
      <w:r>
        <w:rPr>
          <w:rStyle w:val="ffline"/>
        </w:rPr>
        <w:t>caccagtcag</w:t>
      </w:r>
      <w:proofErr w:type="spellEnd"/>
      <w:r>
        <w:rPr>
          <w:rStyle w:val="ffline"/>
        </w:rPr>
        <w:t xml:space="preserve"> </w:t>
      </w:r>
      <w:proofErr w:type="spellStart"/>
      <w:r>
        <w:rPr>
          <w:rStyle w:val="ffline"/>
        </w:rPr>
        <w:t>cggccggatt</w:t>
      </w:r>
      <w:proofErr w:type="spellEnd"/>
      <w:r>
        <w:rPr>
          <w:rStyle w:val="ffline"/>
        </w:rPr>
        <w:t xml:space="preserve"> </w:t>
      </w:r>
      <w:proofErr w:type="spellStart"/>
      <w:r>
        <w:rPr>
          <w:rStyle w:val="ffline"/>
        </w:rPr>
        <w:t>tcacgagctg</w:t>
      </w:r>
      <w:proofErr w:type="spellEnd"/>
      <w:r>
        <w:rPr>
          <w:rStyle w:val="ffline"/>
        </w:rPr>
        <w:t xml:space="preserve"> </w:t>
      </w:r>
      <w:proofErr w:type="spellStart"/>
      <w:r>
        <w:rPr>
          <w:rStyle w:val="ffline"/>
        </w:rPr>
        <w:t>aagtgaccgt</w:t>
      </w:r>
      <w:proofErr w:type="spellEnd"/>
      <w:r>
        <w:rPr>
          <w:rStyle w:val="ffline"/>
        </w:rPr>
        <w:t xml:space="preserve"> </w:t>
      </w:r>
      <w:proofErr w:type="spellStart"/>
      <w:r>
        <w:rPr>
          <w:rStyle w:val="ffline"/>
        </w:rPr>
        <w:t>gggtaatgtc</w:t>
      </w:r>
      <w:proofErr w:type="spellEnd"/>
    </w:p>
    <w:p w14:paraId="36734B1E" w14:textId="77777777" w:rsidR="00F5628C" w:rsidRDefault="00F5628C" w:rsidP="00F5628C">
      <w:pPr>
        <w:pStyle w:val="HTMLPreformatted"/>
      </w:pPr>
      <w:proofErr w:type="spellStart"/>
      <w:r>
        <w:rPr>
          <w:rStyle w:val="ffline"/>
        </w:rPr>
        <w:t>gtctctgcag</w:t>
      </w:r>
      <w:proofErr w:type="spellEnd"/>
      <w:r>
        <w:rPr>
          <w:rStyle w:val="ffline"/>
        </w:rPr>
        <w:t xml:space="preserve"> </w:t>
      </w:r>
      <w:proofErr w:type="spellStart"/>
      <w:r>
        <w:rPr>
          <w:rStyle w:val="ffline"/>
        </w:rPr>
        <w:t>gtaatggcgc</w:t>
      </w:r>
      <w:proofErr w:type="spellEnd"/>
      <w:r>
        <w:rPr>
          <w:rStyle w:val="ffline"/>
        </w:rPr>
        <w:t xml:space="preserve"> </w:t>
      </w:r>
      <w:proofErr w:type="spellStart"/>
      <w:r>
        <w:rPr>
          <w:rStyle w:val="ffline"/>
        </w:rPr>
        <w:t>acaggtttta</w:t>
      </w:r>
      <w:proofErr w:type="spellEnd"/>
      <w:r>
        <w:rPr>
          <w:rStyle w:val="ffline"/>
        </w:rPr>
        <w:t xml:space="preserve"> </w:t>
      </w:r>
      <w:proofErr w:type="spellStart"/>
      <w:r>
        <w:rPr>
          <w:rStyle w:val="ffline"/>
        </w:rPr>
        <w:t>acaagtttag</w:t>
      </w:r>
      <w:proofErr w:type="spellEnd"/>
      <w:r>
        <w:rPr>
          <w:rStyle w:val="ffline"/>
        </w:rPr>
        <w:t xml:space="preserve"> </w:t>
      </w:r>
      <w:proofErr w:type="spellStart"/>
      <w:r>
        <w:rPr>
          <w:rStyle w:val="ffline"/>
        </w:rPr>
        <w:t>tgtctgtatc</w:t>
      </w:r>
      <w:proofErr w:type="spellEnd"/>
      <w:r>
        <w:rPr>
          <w:rStyle w:val="ffline"/>
        </w:rPr>
        <w:t xml:space="preserve"> </w:t>
      </w:r>
      <w:proofErr w:type="spellStart"/>
      <w:r>
        <w:rPr>
          <w:rStyle w:val="ffline"/>
        </w:rPr>
        <w:t>acgcctatac</w:t>
      </w:r>
      <w:proofErr w:type="spellEnd"/>
    </w:p>
    <w:p w14:paraId="00158CCD" w14:textId="77777777" w:rsidR="00F5628C" w:rsidRDefault="00F5628C" w:rsidP="00F5628C">
      <w:pPr>
        <w:pStyle w:val="HTMLPreformatted"/>
      </w:pPr>
      <w:proofErr w:type="spellStart"/>
      <w:r>
        <w:rPr>
          <w:rStyle w:val="ffline"/>
        </w:rPr>
        <w:t>gcatctttcg</w:t>
      </w:r>
      <w:proofErr w:type="spellEnd"/>
      <w:r>
        <w:rPr>
          <w:rStyle w:val="ffline"/>
        </w:rPr>
        <w:t xml:space="preserve"> </w:t>
      </w:r>
      <w:proofErr w:type="spellStart"/>
      <w:r>
        <w:rPr>
          <w:rStyle w:val="ffline"/>
        </w:rPr>
        <w:t>atgttgatga</w:t>
      </w:r>
      <w:proofErr w:type="spellEnd"/>
      <w:r>
        <w:rPr>
          <w:rStyle w:val="ffline"/>
        </w:rPr>
        <w:t xml:space="preserve"> </w:t>
      </w:r>
      <w:proofErr w:type="spellStart"/>
      <w:r>
        <w:rPr>
          <w:rStyle w:val="ffline"/>
        </w:rPr>
        <w:t>acaaacttac</w:t>
      </w:r>
      <w:proofErr w:type="spellEnd"/>
      <w:r>
        <w:rPr>
          <w:rStyle w:val="ffline"/>
        </w:rPr>
        <w:t xml:space="preserve"> </w:t>
      </w:r>
      <w:proofErr w:type="spellStart"/>
      <w:r>
        <w:rPr>
          <w:rStyle w:val="ffline"/>
        </w:rPr>
        <w:t>ctgaaatata</w:t>
      </w:r>
      <w:proofErr w:type="spellEnd"/>
      <w:r>
        <w:rPr>
          <w:rStyle w:val="ffline"/>
        </w:rPr>
        <w:t xml:space="preserve"> </w:t>
      </w:r>
      <w:proofErr w:type="spellStart"/>
      <w:r>
        <w:rPr>
          <w:rStyle w:val="ffline"/>
        </w:rPr>
        <w:t>tcagtaatca</w:t>
      </w:r>
      <w:proofErr w:type="spellEnd"/>
      <w:r>
        <w:rPr>
          <w:rStyle w:val="ffline"/>
        </w:rPr>
        <w:t xml:space="preserve"> </w:t>
      </w:r>
      <w:proofErr w:type="spellStart"/>
      <w:r>
        <w:rPr>
          <w:rStyle w:val="ffline"/>
        </w:rPr>
        <w:t>gcgtaattca</w:t>
      </w:r>
      <w:proofErr w:type="spellEnd"/>
    </w:p>
    <w:p w14:paraId="55C75236" w14:textId="77777777" w:rsidR="00F5628C" w:rsidRDefault="00F5628C" w:rsidP="00F5628C">
      <w:pPr>
        <w:pStyle w:val="HTMLPreformatted"/>
      </w:pPr>
      <w:proofErr w:type="spellStart"/>
      <w:r>
        <w:rPr>
          <w:rStyle w:val="ffline"/>
        </w:rPr>
        <w:t>gcacaagtac</w:t>
      </w:r>
      <w:proofErr w:type="spellEnd"/>
      <w:r>
        <w:rPr>
          <w:rStyle w:val="ffline"/>
        </w:rPr>
        <w:t xml:space="preserve"> </w:t>
      </w:r>
      <w:proofErr w:type="spellStart"/>
      <w:r>
        <w:rPr>
          <w:rStyle w:val="ffline"/>
        </w:rPr>
        <w:t>ctgtctatat</w:t>
      </w:r>
      <w:proofErr w:type="spellEnd"/>
      <w:r>
        <w:rPr>
          <w:rStyle w:val="ffline"/>
        </w:rPr>
        <w:t xml:space="preserve"> </w:t>
      </w:r>
      <w:proofErr w:type="spellStart"/>
      <w:r>
        <w:rPr>
          <w:rStyle w:val="ffline"/>
        </w:rPr>
        <w:t>gggacttgcc</w:t>
      </w:r>
      <w:proofErr w:type="spellEnd"/>
      <w:r>
        <w:rPr>
          <w:rStyle w:val="ffline"/>
        </w:rPr>
        <w:t xml:space="preserve"> </w:t>
      </w:r>
      <w:proofErr w:type="spellStart"/>
      <w:r>
        <w:rPr>
          <w:rStyle w:val="ffline"/>
        </w:rPr>
        <w:t>aatgaaacag</w:t>
      </w:r>
      <w:proofErr w:type="spellEnd"/>
      <w:r>
        <w:rPr>
          <w:rStyle w:val="ffline"/>
        </w:rPr>
        <w:t xml:space="preserve"> </w:t>
      </w:r>
      <w:proofErr w:type="spellStart"/>
      <w:r>
        <w:rPr>
          <w:rStyle w:val="ffline"/>
        </w:rPr>
        <w:t>gctttactcg</w:t>
      </w:r>
      <w:proofErr w:type="spellEnd"/>
      <w:r>
        <w:rPr>
          <w:rStyle w:val="ffline"/>
        </w:rPr>
        <w:t xml:space="preserve"> </w:t>
      </w:r>
      <w:proofErr w:type="spellStart"/>
      <w:r>
        <w:rPr>
          <w:rStyle w:val="ffline"/>
        </w:rPr>
        <w:t>cgaaggtaca</w:t>
      </w:r>
      <w:proofErr w:type="spellEnd"/>
    </w:p>
    <w:p w14:paraId="5AA9D53B" w14:textId="77777777" w:rsidR="00F5628C" w:rsidRDefault="00F5628C" w:rsidP="00F5628C">
      <w:pPr>
        <w:pStyle w:val="HTMLPreformatted"/>
      </w:pPr>
      <w:proofErr w:type="spellStart"/>
      <w:r>
        <w:rPr>
          <w:rStyle w:val="ffline"/>
        </w:rPr>
        <w:t>atcaactcaa</w:t>
      </w:r>
      <w:proofErr w:type="spellEnd"/>
      <w:r>
        <w:rPr>
          <w:rStyle w:val="ffline"/>
        </w:rPr>
        <w:t xml:space="preserve"> </w:t>
      </w:r>
      <w:proofErr w:type="spellStart"/>
      <w:r>
        <w:rPr>
          <w:rStyle w:val="ffline"/>
        </w:rPr>
        <w:t>tcgataacaa</w:t>
      </w:r>
      <w:proofErr w:type="spellEnd"/>
      <w:r>
        <w:rPr>
          <w:rStyle w:val="ffline"/>
        </w:rPr>
        <w:t xml:space="preserve"> </w:t>
      </w:r>
      <w:proofErr w:type="spellStart"/>
      <w:r>
        <w:rPr>
          <w:rStyle w:val="ffline"/>
        </w:rPr>
        <w:t>cctgaataca</w:t>
      </w:r>
      <w:proofErr w:type="spellEnd"/>
      <w:r>
        <w:rPr>
          <w:rStyle w:val="ffline"/>
        </w:rPr>
        <w:t xml:space="preserve"> </w:t>
      </w:r>
      <w:proofErr w:type="spellStart"/>
      <w:r>
        <w:rPr>
          <w:rStyle w:val="ffline"/>
        </w:rPr>
        <w:t>acctcaggaa</w:t>
      </w:r>
      <w:proofErr w:type="spellEnd"/>
      <w:r>
        <w:rPr>
          <w:rStyle w:val="ffline"/>
        </w:rPr>
        <w:t xml:space="preserve"> </w:t>
      </w:r>
      <w:proofErr w:type="spellStart"/>
      <w:r>
        <w:rPr>
          <w:rStyle w:val="ffline"/>
        </w:rPr>
        <w:t>caatccgtgt</w:t>
      </w:r>
      <w:proofErr w:type="spellEnd"/>
      <w:r>
        <w:rPr>
          <w:rStyle w:val="ffline"/>
        </w:rPr>
        <w:t xml:space="preserve"> </w:t>
      </w:r>
      <w:proofErr w:type="spellStart"/>
      <w:r>
        <w:rPr>
          <w:rStyle w:val="ffline"/>
        </w:rPr>
        <w:t>tcgtgcaact</w:t>
      </w:r>
      <w:proofErr w:type="spellEnd"/>
    </w:p>
    <w:p w14:paraId="40662A53" w14:textId="77777777" w:rsidR="00F5628C" w:rsidRDefault="00F5628C" w:rsidP="00F5628C">
      <w:pPr>
        <w:pStyle w:val="HTMLPreformatted"/>
      </w:pPr>
      <w:proofErr w:type="spellStart"/>
      <w:r>
        <w:rPr>
          <w:rStyle w:val="ffline"/>
        </w:rPr>
        <w:t>tttgacaatc</w:t>
      </w:r>
      <w:proofErr w:type="spellEnd"/>
      <w:r>
        <w:rPr>
          <w:rStyle w:val="ffline"/>
        </w:rPr>
        <w:t xml:space="preserve"> </w:t>
      </w:r>
      <w:proofErr w:type="spellStart"/>
      <w:r>
        <w:rPr>
          <w:rStyle w:val="ffline"/>
        </w:rPr>
        <w:t>caaacggtgt</w:t>
      </w:r>
      <w:proofErr w:type="spellEnd"/>
      <w:r>
        <w:rPr>
          <w:rStyle w:val="ffline"/>
        </w:rPr>
        <w:t xml:space="preserve"> </w:t>
      </w:r>
      <w:proofErr w:type="spellStart"/>
      <w:r>
        <w:rPr>
          <w:rStyle w:val="ffline"/>
        </w:rPr>
        <w:t>tttattaccg</w:t>
      </w:r>
      <w:proofErr w:type="spellEnd"/>
      <w:r>
        <w:rPr>
          <w:rStyle w:val="ffline"/>
        </w:rPr>
        <w:t xml:space="preserve"> </w:t>
      </w:r>
      <w:proofErr w:type="spellStart"/>
      <w:r>
        <w:rPr>
          <w:rStyle w:val="ffline"/>
        </w:rPr>
        <w:t>ggcctatatg</w:t>
      </w:r>
      <w:proofErr w:type="spellEnd"/>
      <w:r>
        <w:rPr>
          <w:rStyle w:val="ffline"/>
        </w:rPr>
        <w:t xml:space="preserve"> </w:t>
      </w:r>
      <w:proofErr w:type="spellStart"/>
      <w:r>
        <w:rPr>
          <w:rStyle w:val="ffline"/>
        </w:rPr>
        <w:t>cacgaattcg</w:t>
      </w:r>
      <w:proofErr w:type="spellEnd"/>
      <w:r>
        <w:rPr>
          <w:rStyle w:val="ffline"/>
        </w:rPr>
        <w:t xml:space="preserve"> </w:t>
      </w:r>
      <w:proofErr w:type="spellStart"/>
      <w:r>
        <w:rPr>
          <w:rStyle w:val="ffline"/>
        </w:rPr>
        <w:t>tttaggtgga</w:t>
      </w:r>
      <w:proofErr w:type="spellEnd"/>
    </w:p>
    <w:p w14:paraId="2A728F97" w14:textId="77777777" w:rsidR="00F5628C" w:rsidRDefault="00F5628C" w:rsidP="00F5628C">
      <w:pPr>
        <w:pStyle w:val="HTMLPreformatted"/>
      </w:pPr>
      <w:proofErr w:type="spellStart"/>
      <w:r>
        <w:rPr>
          <w:rStyle w:val="ffline"/>
        </w:rPr>
        <w:t>ggtcaacctc</w:t>
      </w:r>
      <w:proofErr w:type="spellEnd"/>
      <w:r>
        <w:rPr>
          <w:rStyle w:val="ffline"/>
        </w:rPr>
        <w:t xml:space="preserve"> </w:t>
      </w:r>
      <w:proofErr w:type="spellStart"/>
      <w:r>
        <w:rPr>
          <w:rStyle w:val="ffline"/>
        </w:rPr>
        <w:t>gcccagcgat</w:t>
      </w:r>
      <w:proofErr w:type="spellEnd"/>
      <w:r>
        <w:rPr>
          <w:rStyle w:val="ffline"/>
        </w:rPr>
        <w:t xml:space="preserve"> </w:t>
      </w:r>
      <w:proofErr w:type="spellStart"/>
      <w:r>
        <w:rPr>
          <w:rStyle w:val="ffline"/>
        </w:rPr>
        <w:t>tctgattagt</w:t>
      </w:r>
      <w:proofErr w:type="spellEnd"/>
      <w:r>
        <w:rPr>
          <w:rStyle w:val="ffline"/>
        </w:rPr>
        <w:t xml:space="preserve"> </w:t>
      </w:r>
      <w:proofErr w:type="spellStart"/>
      <w:r>
        <w:rPr>
          <w:rStyle w:val="ffline"/>
        </w:rPr>
        <w:t>ccaaccgcgg</w:t>
      </w:r>
      <w:proofErr w:type="spellEnd"/>
      <w:r>
        <w:rPr>
          <w:rStyle w:val="ffline"/>
        </w:rPr>
        <w:t xml:space="preserve"> </w:t>
      </w:r>
      <w:proofErr w:type="spellStart"/>
      <w:r>
        <w:rPr>
          <w:rStyle w:val="ffline"/>
        </w:rPr>
        <w:t>ttggcgtcga</w:t>
      </w:r>
      <w:proofErr w:type="spellEnd"/>
      <w:r>
        <w:rPr>
          <w:rStyle w:val="ffline"/>
        </w:rPr>
        <w:t xml:space="preserve"> </w:t>
      </w:r>
      <w:proofErr w:type="spellStart"/>
      <w:r>
        <w:rPr>
          <w:rStyle w:val="ffline"/>
        </w:rPr>
        <w:t>ccaagataaa</w:t>
      </w:r>
      <w:proofErr w:type="spellEnd"/>
    </w:p>
    <w:p w14:paraId="07FB5ABE" w14:textId="77777777" w:rsidR="00F5628C" w:rsidRDefault="00F5628C" w:rsidP="00F5628C">
      <w:pPr>
        <w:pStyle w:val="HTMLPreformatted"/>
      </w:pPr>
      <w:proofErr w:type="spellStart"/>
      <w:r>
        <w:rPr>
          <w:rStyle w:val="ffline"/>
        </w:rPr>
        <w:t>cgttttgtcg</w:t>
      </w:r>
      <w:proofErr w:type="spellEnd"/>
      <w:r>
        <w:rPr>
          <w:rStyle w:val="ffline"/>
        </w:rPr>
        <w:t xml:space="preserve"> </w:t>
      </w:r>
      <w:proofErr w:type="spellStart"/>
      <w:r>
        <w:rPr>
          <w:rStyle w:val="ffline"/>
        </w:rPr>
        <w:t>tagtagttga</w:t>
      </w:r>
      <w:proofErr w:type="spellEnd"/>
      <w:r>
        <w:rPr>
          <w:rStyle w:val="ffline"/>
        </w:rPr>
        <w:t xml:space="preserve"> </w:t>
      </w:r>
      <w:proofErr w:type="spellStart"/>
      <w:r>
        <w:rPr>
          <w:rStyle w:val="ffline"/>
        </w:rPr>
        <w:t>tgcgaaaaat</w:t>
      </w:r>
      <w:proofErr w:type="spellEnd"/>
      <w:r>
        <w:rPr>
          <w:rStyle w:val="ffline"/>
        </w:rPr>
        <w:t xml:space="preserve"> </w:t>
      </w:r>
      <w:proofErr w:type="spellStart"/>
      <w:r>
        <w:rPr>
          <w:rStyle w:val="ffline"/>
        </w:rPr>
        <w:t>caaactgctt</w:t>
      </w:r>
      <w:proofErr w:type="spellEnd"/>
      <w:r>
        <w:rPr>
          <w:rStyle w:val="ffline"/>
        </w:rPr>
        <w:t xml:space="preserve"> </w:t>
      </w:r>
      <w:proofErr w:type="spellStart"/>
      <w:r>
        <w:rPr>
          <w:rStyle w:val="ffline"/>
        </w:rPr>
        <w:t>atcgcgaagt</w:t>
      </w:r>
      <w:proofErr w:type="spellEnd"/>
      <w:r>
        <w:rPr>
          <w:rStyle w:val="ffline"/>
        </w:rPr>
        <w:t xml:space="preserve"> </w:t>
      </w:r>
      <w:proofErr w:type="spellStart"/>
      <w:r>
        <w:rPr>
          <w:rStyle w:val="ffline"/>
        </w:rPr>
        <w:t>aaaactcggt</w:t>
      </w:r>
      <w:proofErr w:type="spellEnd"/>
    </w:p>
    <w:p w14:paraId="50D4D80E" w14:textId="77777777" w:rsidR="00F5628C" w:rsidRDefault="00F5628C" w:rsidP="00F5628C">
      <w:pPr>
        <w:pStyle w:val="HTMLPreformatted"/>
      </w:pPr>
      <w:proofErr w:type="spellStart"/>
      <w:r>
        <w:rPr>
          <w:rStyle w:val="ffline"/>
        </w:rPr>
        <w:t>gcccaacaag</w:t>
      </w:r>
      <w:proofErr w:type="spellEnd"/>
      <w:r>
        <w:rPr>
          <w:rStyle w:val="ffline"/>
        </w:rPr>
        <w:t xml:space="preserve"> </w:t>
      </w:r>
      <w:proofErr w:type="spellStart"/>
      <w:r>
        <w:rPr>
          <w:rStyle w:val="ffline"/>
        </w:rPr>
        <w:t>atggcttgca</w:t>
      </w:r>
      <w:proofErr w:type="spellEnd"/>
      <w:r>
        <w:rPr>
          <w:rStyle w:val="ffline"/>
        </w:rPr>
        <w:t xml:space="preserve"> </w:t>
      </w:r>
      <w:proofErr w:type="spellStart"/>
      <w:r>
        <w:rPr>
          <w:rStyle w:val="ffline"/>
        </w:rPr>
        <w:t>aatcgtaaat</w:t>
      </w:r>
      <w:proofErr w:type="spellEnd"/>
      <w:r>
        <w:rPr>
          <w:rStyle w:val="ffline"/>
        </w:rPr>
        <w:t xml:space="preserve"> </w:t>
      </w:r>
      <w:proofErr w:type="spellStart"/>
      <w:r>
        <w:rPr>
          <w:rStyle w:val="ffline"/>
        </w:rPr>
        <w:t>agcggattac</w:t>
      </w:r>
      <w:proofErr w:type="spellEnd"/>
      <w:r>
        <w:rPr>
          <w:rStyle w:val="ffline"/>
        </w:rPr>
        <w:t xml:space="preserve"> </w:t>
      </w:r>
      <w:proofErr w:type="spellStart"/>
      <w:r>
        <w:rPr>
          <w:rStyle w:val="ffline"/>
        </w:rPr>
        <w:t>aagcgggtga</w:t>
      </w:r>
      <w:proofErr w:type="spellEnd"/>
      <w:r>
        <w:rPr>
          <w:rStyle w:val="ffline"/>
        </w:rPr>
        <w:t xml:space="preserve"> </w:t>
      </w:r>
      <w:proofErr w:type="spellStart"/>
      <w:r>
        <w:rPr>
          <w:rStyle w:val="ffline"/>
        </w:rPr>
        <w:t>tcgtattgta</w:t>
      </w:r>
      <w:proofErr w:type="spellEnd"/>
    </w:p>
    <w:p w14:paraId="1071714C" w14:textId="77777777" w:rsidR="00F5628C" w:rsidRDefault="00F5628C" w:rsidP="00F5628C">
      <w:pPr>
        <w:pStyle w:val="HTMLPreformatted"/>
      </w:pPr>
      <w:proofErr w:type="spellStart"/>
      <w:r>
        <w:rPr>
          <w:rStyle w:val="ffline"/>
        </w:rPr>
        <w:t>gtgaatggtt</w:t>
      </w:r>
      <w:proofErr w:type="spellEnd"/>
      <w:r>
        <w:rPr>
          <w:rStyle w:val="ffline"/>
        </w:rPr>
        <w:t xml:space="preserve"> </w:t>
      </w:r>
      <w:proofErr w:type="spellStart"/>
      <w:r>
        <w:rPr>
          <w:rStyle w:val="ffline"/>
        </w:rPr>
        <w:t>tacagcgaat</w:t>
      </w:r>
      <w:proofErr w:type="spellEnd"/>
      <w:r>
        <w:rPr>
          <w:rStyle w:val="ffline"/>
        </w:rPr>
        <w:t xml:space="preserve"> </w:t>
      </w:r>
      <w:proofErr w:type="spellStart"/>
      <w:r>
        <w:rPr>
          <w:rStyle w:val="ffline"/>
        </w:rPr>
        <w:t>tcgtccgggt</w:t>
      </w:r>
      <w:proofErr w:type="spellEnd"/>
      <w:r>
        <w:rPr>
          <w:rStyle w:val="ffline"/>
        </w:rPr>
        <w:t xml:space="preserve"> </w:t>
      </w:r>
      <w:proofErr w:type="spellStart"/>
      <w:r>
        <w:rPr>
          <w:rStyle w:val="ffline"/>
        </w:rPr>
        <w:t>gaccctgtta</w:t>
      </w:r>
      <w:proofErr w:type="spellEnd"/>
      <w:r>
        <w:rPr>
          <w:rStyle w:val="ffline"/>
        </w:rPr>
        <w:t xml:space="preserve"> </w:t>
      </w:r>
      <w:proofErr w:type="spellStart"/>
      <w:r>
        <w:rPr>
          <w:rStyle w:val="ffline"/>
        </w:rPr>
        <w:t>caccgcatct</w:t>
      </w:r>
      <w:proofErr w:type="spellEnd"/>
      <w:r>
        <w:rPr>
          <w:rStyle w:val="ffline"/>
        </w:rPr>
        <w:t xml:space="preserve"> </w:t>
      </w:r>
      <w:proofErr w:type="spellStart"/>
      <w:r>
        <w:rPr>
          <w:rStyle w:val="ffline"/>
        </w:rPr>
        <w:t>cgttcctatg</w:t>
      </w:r>
      <w:proofErr w:type="spellEnd"/>
    </w:p>
    <w:p w14:paraId="6B142CC6" w14:textId="77777777" w:rsidR="00F5628C" w:rsidRDefault="00F5628C" w:rsidP="00F5628C">
      <w:pPr>
        <w:pStyle w:val="HTMLPreformatted"/>
      </w:pPr>
      <w:proofErr w:type="spellStart"/>
      <w:r>
        <w:rPr>
          <w:rStyle w:val="ffline"/>
        </w:rPr>
        <w:t>ccaaattcac</w:t>
      </w:r>
      <w:proofErr w:type="spellEnd"/>
      <w:r>
        <w:rPr>
          <w:rStyle w:val="ffline"/>
        </w:rPr>
        <w:t xml:space="preserve"> </w:t>
      </w:r>
      <w:proofErr w:type="spellStart"/>
      <w:r>
        <w:rPr>
          <w:rStyle w:val="ffline"/>
        </w:rPr>
        <w:t>aaatcactgc</w:t>
      </w:r>
      <w:proofErr w:type="spellEnd"/>
      <w:r>
        <w:rPr>
          <w:rStyle w:val="ffline"/>
        </w:rPr>
        <w:t xml:space="preserve"> </w:t>
      </w:r>
      <w:proofErr w:type="spellStart"/>
      <w:r>
        <w:rPr>
          <w:rStyle w:val="ffline"/>
        </w:rPr>
        <w:t>taacgctact</w:t>
      </w:r>
      <w:proofErr w:type="spellEnd"/>
      <w:r>
        <w:rPr>
          <w:rStyle w:val="ffline"/>
        </w:rPr>
        <w:t xml:space="preserve"> </w:t>
      </w:r>
      <w:proofErr w:type="spellStart"/>
      <w:r>
        <w:rPr>
          <w:rStyle w:val="ffline"/>
        </w:rPr>
        <w:t>cctcaacctc</w:t>
      </w:r>
      <w:proofErr w:type="spellEnd"/>
      <w:r>
        <w:rPr>
          <w:rStyle w:val="ffline"/>
        </w:rPr>
        <w:t xml:space="preserve"> </w:t>
      </w:r>
      <w:proofErr w:type="spellStart"/>
      <w:r>
        <w:rPr>
          <w:rStyle w:val="ffline"/>
        </w:rPr>
        <w:t>agccaacaga</w:t>
      </w:r>
      <w:proofErr w:type="spellEnd"/>
      <w:r>
        <w:rPr>
          <w:rStyle w:val="ffline"/>
        </w:rPr>
        <w:t xml:space="preserve"> </w:t>
      </w:r>
      <w:proofErr w:type="spellStart"/>
      <w:r>
        <w:rPr>
          <w:rStyle w:val="ffline"/>
        </w:rPr>
        <w:t>taaaacatca</w:t>
      </w:r>
      <w:proofErr w:type="spellEnd"/>
    </w:p>
    <w:p w14:paraId="0006A2AB" w14:textId="77777777" w:rsidR="00F5628C" w:rsidRDefault="00F5628C" w:rsidP="00F5628C">
      <w:pPr>
        <w:pStyle w:val="HTMLPreformatted"/>
      </w:pPr>
      <w:proofErr w:type="spellStart"/>
      <w:r>
        <w:rPr>
          <w:rStyle w:val="ffline"/>
        </w:rPr>
        <w:t>actccggcaa</w:t>
      </w:r>
      <w:proofErr w:type="spellEnd"/>
      <w:r>
        <w:rPr>
          <w:rStyle w:val="ffline"/>
        </w:rPr>
        <w:t xml:space="preserve"> </w:t>
      </w:r>
      <w:proofErr w:type="spellStart"/>
      <w:r>
        <w:rPr>
          <w:rStyle w:val="ffline"/>
        </w:rPr>
        <w:t>aaggttaa</w:t>
      </w:r>
      <w:proofErr w:type="spellEnd"/>
    </w:p>
    <w:p w14:paraId="199B1B9E" w14:textId="77777777" w:rsidR="00F5628C" w:rsidRDefault="00F5628C" w:rsidP="00F5628C"/>
    <w:p w14:paraId="6E7F374A" w14:textId="1EA601FD" w:rsidR="00F5628C" w:rsidRDefault="00F5628C" w:rsidP="00F5628C">
      <w:r>
        <w:t>&gt;A1S_2305 (</w:t>
      </w:r>
      <w:proofErr w:type="spellStart"/>
      <w:r w:rsidRPr="00D97131">
        <w:rPr>
          <w:i/>
          <w:iCs/>
        </w:rPr>
        <w:t>adeG</w:t>
      </w:r>
      <w:proofErr w:type="spellEnd"/>
      <w:r>
        <w:t>)</w:t>
      </w:r>
      <w:r w:rsidR="00832EB7">
        <w:t xml:space="preserve"> GenBank: CP000521.1</w:t>
      </w:r>
    </w:p>
    <w:p w14:paraId="217916E7" w14:textId="77777777" w:rsidR="00F5628C" w:rsidRDefault="00F5628C" w:rsidP="00F5628C">
      <w:pPr>
        <w:pStyle w:val="HTMLPreformatted"/>
      </w:pPr>
      <w:proofErr w:type="spellStart"/>
      <w:r>
        <w:rPr>
          <w:rStyle w:val="ffline"/>
        </w:rPr>
        <w:t>atgaatattt</w:t>
      </w:r>
      <w:proofErr w:type="spellEnd"/>
      <w:r>
        <w:rPr>
          <w:rStyle w:val="ffline"/>
        </w:rPr>
        <w:t xml:space="preserve"> </w:t>
      </w:r>
      <w:proofErr w:type="spellStart"/>
      <w:r>
        <w:rPr>
          <w:rStyle w:val="ffline"/>
        </w:rPr>
        <w:t>ctaagttttt</w:t>
      </w:r>
      <w:proofErr w:type="spellEnd"/>
      <w:r>
        <w:rPr>
          <w:rStyle w:val="ffline"/>
        </w:rPr>
        <w:t xml:space="preserve"> </w:t>
      </w:r>
      <w:proofErr w:type="spellStart"/>
      <w:r>
        <w:rPr>
          <w:rStyle w:val="ffline"/>
        </w:rPr>
        <w:t>tattgatcgg</w:t>
      </w:r>
      <w:proofErr w:type="spellEnd"/>
      <w:r>
        <w:rPr>
          <w:rStyle w:val="ffline"/>
        </w:rPr>
        <w:t xml:space="preserve"> </w:t>
      </w:r>
      <w:proofErr w:type="spellStart"/>
      <w:r>
        <w:rPr>
          <w:rStyle w:val="ffline"/>
        </w:rPr>
        <w:t>ccgatctttg</w:t>
      </w:r>
      <w:proofErr w:type="spellEnd"/>
      <w:r>
        <w:rPr>
          <w:rStyle w:val="ffline"/>
        </w:rPr>
        <w:t xml:space="preserve"> </w:t>
      </w:r>
      <w:proofErr w:type="spellStart"/>
      <w:r>
        <w:rPr>
          <w:rStyle w:val="ffline"/>
        </w:rPr>
        <w:t>ctggtgtttt</w:t>
      </w:r>
      <w:proofErr w:type="spellEnd"/>
      <w:r>
        <w:rPr>
          <w:rStyle w:val="ffline"/>
        </w:rPr>
        <w:t xml:space="preserve"> </w:t>
      </w:r>
      <w:proofErr w:type="spellStart"/>
      <w:r>
        <w:rPr>
          <w:rStyle w:val="ffline"/>
        </w:rPr>
        <w:t>atcagtattg</w:t>
      </w:r>
      <w:proofErr w:type="spellEnd"/>
    </w:p>
    <w:p w14:paraId="3D70577D" w14:textId="77777777" w:rsidR="00F5628C" w:rsidRDefault="00F5628C" w:rsidP="00F5628C">
      <w:pPr>
        <w:pStyle w:val="HTMLPreformatted"/>
      </w:pPr>
      <w:proofErr w:type="spellStart"/>
      <w:r>
        <w:rPr>
          <w:rStyle w:val="ffline"/>
        </w:rPr>
        <w:t>attttactcg</w:t>
      </w:r>
      <w:proofErr w:type="spellEnd"/>
      <w:r>
        <w:rPr>
          <w:rStyle w:val="ffline"/>
        </w:rPr>
        <w:t xml:space="preserve"> </w:t>
      </w:r>
      <w:proofErr w:type="spellStart"/>
      <w:r>
        <w:rPr>
          <w:rStyle w:val="ffline"/>
        </w:rPr>
        <w:t>ccggtctgct</w:t>
      </w:r>
      <w:proofErr w:type="spellEnd"/>
      <w:r>
        <w:rPr>
          <w:rStyle w:val="ffline"/>
        </w:rPr>
        <w:t xml:space="preserve"> </w:t>
      </w:r>
      <w:proofErr w:type="spellStart"/>
      <w:r>
        <w:rPr>
          <w:rStyle w:val="ffline"/>
        </w:rPr>
        <w:t>ttcggtattc</w:t>
      </w:r>
      <w:proofErr w:type="spellEnd"/>
      <w:r>
        <w:rPr>
          <w:rStyle w:val="ffline"/>
        </w:rPr>
        <w:t xml:space="preserve"> </w:t>
      </w:r>
      <w:proofErr w:type="spellStart"/>
      <w:r>
        <w:rPr>
          <w:rStyle w:val="ffline"/>
        </w:rPr>
        <w:t>caattaccga</w:t>
      </w:r>
      <w:proofErr w:type="spellEnd"/>
      <w:r>
        <w:rPr>
          <w:rStyle w:val="ffline"/>
        </w:rPr>
        <w:t xml:space="preserve"> </w:t>
      </w:r>
      <w:proofErr w:type="spellStart"/>
      <w:r>
        <w:rPr>
          <w:rStyle w:val="ffline"/>
        </w:rPr>
        <w:t>tttctgaata</w:t>
      </w:r>
      <w:proofErr w:type="spellEnd"/>
      <w:r>
        <w:rPr>
          <w:rStyle w:val="ffline"/>
        </w:rPr>
        <w:t xml:space="preserve"> </w:t>
      </w:r>
      <w:proofErr w:type="spellStart"/>
      <w:r>
        <w:rPr>
          <w:rStyle w:val="ffline"/>
        </w:rPr>
        <w:t>tcccgaggtt</w:t>
      </w:r>
      <w:proofErr w:type="spellEnd"/>
    </w:p>
    <w:p w14:paraId="19D91966" w14:textId="77777777" w:rsidR="00F5628C" w:rsidRDefault="00F5628C" w:rsidP="00F5628C">
      <w:pPr>
        <w:pStyle w:val="HTMLPreformatted"/>
      </w:pPr>
      <w:proofErr w:type="spellStart"/>
      <w:r>
        <w:rPr>
          <w:rStyle w:val="ffline"/>
        </w:rPr>
        <w:t>gttccaccat</w:t>
      </w:r>
      <w:proofErr w:type="spellEnd"/>
      <w:r>
        <w:rPr>
          <w:rStyle w:val="ffline"/>
        </w:rPr>
        <w:t xml:space="preserve"> </w:t>
      </w:r>
      <w:proofErr w:type="spellStart"/>
      <w:r>
        <w:rPr>
          <w:rStyle w:val="ffline"/>
        </w:rPr>
        <w:t>ctgtggtggt</w:t>
      </w:r>
      <w:proofErr w:type="spellEnd"/>
      <w:r>
        <w:rPr>
          <w:rStyle w:val="ffline"/>
        </w:rPr>
        <w:t xml:space="preserve"> </w:t>
      </w:r>
      <w:proofErr w:type="spellStart"/>
      <w:r>
        <w:rPr>
          <w:rStyle w:val="ffline"/>
        </w:rPr>
        <w:t>acgcgcccaa</w:t>
      </w:r>
      <w:proofErr w:type="spellEnd"/>
      <w:r>
        <w:rPr>
          <w:rStyle w:val="ffline"/>
        </w:rPr>
        <w:t xml:space="preserve"> </w:t>
      </w:r>
      <w:proofErr w:type="spellStart"/>
      <w:r>
        <w:rPr>
          <w:rStyle w:val="ffline"/>
        </w:rPr>
        <w:t>tatccgggtg</w:t>
      </w:r>
      <w:proofErr w:type="spellEnd"/>
      <w:r>
        <w:rPr>
          <w:rStyle w:val="ffline"/>
        </w:rPr>
        <w:t xml:space="preserve"> </w:t>
      </w:r>
      <w:proofErr w:type="spellStart"/>
      <w:r>
        <w:rPr>
          <w:rStyle w:val="ffline"/>
        </w:rPr>
        <w:t>caaacccaaa</w:t>
      </w:r>
      <w:proofErr w:type="spellEnd"/>
      <w:r>
        <w:rPr>
          <w:rStyle w:val="ffline"/>
        </w:rPr>
        <w:t xml:space="preserve"> </w:t>
      </w:r>
      <w:proofErr w:type="spellStart"/>
      <w:r>
        <w:rPr>
          <w:rStyle w:val="ffline"/>
        </w:rPr>
        <w:t>agtgattgct</w:t>
      </w:r>
      <w:proofErr w:type="spellEnd"/>
    </w:p>
    <w:p w14:paraId="38B0205E" w14:textId="77777777" w:rsidR="00F5628C" w:rsidRDefault="00F5628C" w:rsidP="00F5628C">
      <w:pPr>
        <w:pStyle w:val="HTMLPreformatted"/>
      </w:pPr>
      <w:proofErr w:type="spellStart"/>
      <w:r>
        <w:rPr>
          <w:rStyle w:val="ffline"/>
        </w:rPr>
        <w:t>gaaacggttg</w:t>
      </w:r>
      <w:proofErr w:type="spellEnd"/>
      <w:r>
        <w:rPr>
          <w:rStyle w:val="ffline"/>
        </w:rPr>
        <w:t xml:space="preserve"> </w:t>
      </w:r>
      <w:proofErr w:type="spellStart"/>
      <w:r>
        <w:rPr>
          <w:rStyle w:val="ffline"/>
        </w:rPr>
        <w:t>catctccgct</w:t>
      </w:r>
      <w:proofErr w:type="spellEnd"/>
      <w:r>
        <w:rPr>
          <w:rStyle w:val="ffline"/>
        </w:rPr>
        <w:t xml:space="preserve"> </w:t>
      </w:r>
      <w:proofErr w:type="spellStart"/>
      <w:r>
        <w:rPr>
          <w:rStyle w:val="ffline"/>
        </w:rPr>
        <w:t>cgaagagtca</w:t>
      </w:r>
      <w:proofErr w:type="spellEnd"/>
      <w:r>
        <w:rPr>
          <w:rStyle w:val="ffline"/>
        </w:rPr>
        <w:t xml:space="preserve"> </w:t>
      </w:r>
      <w:proofErr w:type="spellStart"/>
      <w:r>
        <w:rPr>
          <w:rStyle w:val="ffline"/>
        </w:rPr>
        <w:t>atcaacggcg</w:t>
      </w:r>
      <w:proofErr w:type="spellEnd"/>
      <w:r>
        <w:rPr>
          <w:rStyle w:val="ffline"/>
        </w:rPr>
        <w:t xml:space="preserve"> </w:t>
      </w:r>
      <w:proofErr w:type="spellStart"/>
      <w:r>
        <w:rPr>
          <w:rStyle w:val="ffline"/>
        </w:rPr>
        <w:t>tcgaagacat</w:t>
      </w:r>
      <w:proofErr w:type="spellEnd"/>
      <w:r>
        <w:rPr>
          <w:rStyle w:val="ffline"/>
        </w:rPr>
        <w:t xml:space="preserve"> </w:t>
      </w:r>
      <w:proofErr w:type="spellStart"/>
      <w:r>
        <w:rPr>
          <w:rStyle w:val="ffline"/>
        </w:rPr>
        <w:t>gctgtatatg</w:t>
      </w:r>
      <w:proofErr w:type="spellEnd"/>
    </w:p>
    <w:p w14:paraId="57D68678" w14:textId="77777777" w:rsidR="00F5628C" w:rsidRDefault="00F5628C" w:rsidP="00F5628C">
      <w:pPr>
        <w:pStyle w:val="HTMLPreformatted"/>
      </w:pPr>
      <w:proofErr w:type="spellStart"/>
      <w:r>
        <w:rPr>
          <w:rStyle w:val="ffline"/>
        </w:rPr>
        <w:t>caatctcaag</w:t>
      </w:r>
      <w:proofErr w:type="spellEnd"/>
      <w:r>
        <w:rPr>
          <w:rStyle w:val="ffline"/>
        </w:rPr>
        <w:t xml:space="preserve"> </w:t>
      </w:r>
      <w:proofErr w:type="spellStart"/>
      <w:r>
        <w:rPr>
          <w:rStyle w:val="ffline"/>
        </w:rPr>
        <w:t>caaacagcga</w:t>
      </w:r>
      <w:proofErr w:type="spellEnd"/>
      <w:r>
        <w:rPr>
          <w:rStyle w:val="ffline"/>
        </w:rPr>
        <w:t xml:space="preserve"> </w:t>
      </w:r>
      <w:proofErr w:type="spellStart"/>
      <w:r>
        <w:rPr>
          <w:rStyle w:val="ffline"/>
        </w:rPr>
        <w:t>cggtaaccta</w:t>
      </w:r>
      <w:proofErr w:type="spellEnd"/>
      <w:r>
        <w:rPr>
          <w:rStyle w:val="ffline"/>
        </w:rPr>
        <w:t xml:space="preserve"> </w:t>
      </w:r>
      <w:proofErr w:type="spellStart"/>
      <w:r>
        <w:rPr>
          <w:rStyle w:val="ffline"/>
        </w:rPr>
        <w:t>accattacgg</w:t>
      </w:r>
      <w:proofErr w:type="spellEnd"/>
      <w:r>
        <w:rPr>
          <w:rStyle w:val="ffline"/>
        </w:rPr>
        <w:t xml:space="preserve"> </w:t>
      </w:r>
      <w:proofErr w:type="spellStart"/>
      <w:r>
        <w:rPr>
          <w:rStyle w:val="ffline"/>
        </w:rPr>
        <w:t>tgaactttaa</w:t>
      </w:r>
      <w:proofErr w:type="spellEnd"/>
      <w:r>
        <w:rPr>
          <w:rStyle w:val="ffline"/>
        </w:rPr>
        <w:t xml:space="preserve"> </w:t>
      </w:r>
      <w:proofErr w:type="spellStart"/>
      <w:r>
        <w:rPr>
          <w:rStyle w:val="ffline"/>
        </w:rPr>
        <w:t>gctcggtatc</w:t>
      </w:r>
      <w:proofErr w:type="spellEnd"/>
    </w:p>
    <w:p w14:paraId="5BF19F01" w14:textId="77777777" w:rsidR="00F5628C" w:rsidRDefault="00F5628C" w:rsidP="00F5628C">
      <w:pPr>
        <w:pStyle w:val="HTMLPreformatted"/>
      </w:pPr>
      <w:proofErr w:type="spellStart"/>
      <w:r>
        <w:rPr>
          <w:rStyle w:val="ffline"/>
        </w:rPr>
        <w:t>gacccagata</w:t>
      </w:r>
      <w:proofErr w:type="spellEnd"/>
      <w:r>
        <w:rPr>
          <w:rStyle w:val="ffline"/>
        </w:rPr>
        <w:t xml:space="preserve"> </w:t>
      </w:r>
      <w:proofErr w:type="spellStart"/>
      <w:r>
        <w:rPr>
          <w:rStyle w:val="ffline"/>
        </w:rPr>
        <w:t>aagcccaaca</w:t>
      </w:r>
      <w:proofErr w:type="spellEnd"/>
      <w:r>
        <w:rPr>
          <w:rStyle w:val="ffline"/>
        </w:rPr>
        <w:t xml:space="preserve"> </w:t>
      </w:r>
      <w:proofErr w:type="spellStart"/>
      <w:r>
        <w:rPr>
          <w:rStyle w:val="ffline"/>
        </w:rPr>
        <w:t>attggttcaa</w:t>
      </w:r>
      <w:proofErr w:type="spellEnd"/>
      <w:r>
        <w:rPr>
          <w:rStyle w:val="ffline"/>
        </w:rPr>
        <w:t xml:space="preserve"> </w:t>
      </w:r>
      <w:proofErr w:type="spellStart"/>
      <w:r>
        <w:rPr>
          <w:rStyle w:val="ffline"/>
        </w:rPr>
        <w:t>aaccgtgtgt</w:t>
      </w:r>
      <w:proofErr w:type="spellEnd"/>
      <w:r>
        <w:rPr>
          <w:rStyle w:val="ffline"/>
        </w:rPr>
        <w:t xml:space="preserve"> </w:t>
      </w:r>
      <w:proofErr w:type="spellStart"/>
      <w:r>
        <w:rPr>
          <w:rStyle w:val="ffline"/>
        </w:rPr>
        <w:t>ctcaggccat</w:t>
      </w:r>
      <w:proofErr w:type="spellEnd"/>
      <w:r>
        <w:rPr>
          <w:rStyle w:val="ffline"/>
        </w:rPr>
        <w:t xml:space="preserve"> </w:t>
      </w:r>
      <w:proofErr w:type="spellStart"/>
      <w:r>
        <w:rPr>
          <w:rStyle w:val="ffline"/>
        </w:rPr>
        <w:t>gccccgttta</w:t>
      </w:r>
      <w:proofErr w:type="spellEnd"/>
    </w:p>
    <w:p w14:paraId="5F6DDB67" w14:textId="77777777" w:rsidR="00F5628C" w:rsidRDefault="00F5628C" w:rsidP="00F5628C">
      <w:pPr>
        <w:pStyle w:val="HTMLPreformatted"/>
      </w:pPr>
      <w:proofErr w:type="spellStart"/>
      <w:r>
        <w:rPr>
          <w:rStyle w:val="ffline"/>
        </w:rPr>
        <w:t>cctgaagatg</w:t>
      </w:r>
      <w:proofErr w:type="spellEnd"/>
      <w:r>
        <w:rPr>
          <w:rStyle w:val="ffline"/>
        </w:rPr>
        <w:t xml:space="preserve"> </w:t>
      </w:r>
      <w:proofErr w:type="spellStart"/>
      <w:r>
        <w:rPr>
          <w:rStyle w:val="ffline"/>
        </w:rPr>
        <w:t>tacagcgctt</w:t>
      </w:r>
      <w:proofErr w:type="spellEnd"/>
      <w:r>
        <w:rPr>
          <w:rStyle w:val="ffline"/>
        </w:rPr>
        <w:t xml:space="preserve"> </w:t>
      </w:r>
      <w:proofErr w:type="spellStart"/>
      <w:r>
        <w:rPr>
          <w:rStyle w:val="ffline"/>
        </w:rPr>
        <w:t>aggtgtaacc</w:t>
      </w:r>
      <w:proofErr w:type="spellEnd"/>
      <w:r>
        <w:rPr>
          <w:rStyle w:val="ffline"/>
        </w:rPr>
        <w:t xml:space="preserve"> </w:t>
      </w:r>
      <w:proofErr w:type="spellStart"/>
      <w:r>
        <w:rPr>
          <w:rStyle w:val="ffline"/>
        </w:rPr>
        <w:t>acactaaaaa</w:t>
      </w:r>
      <w:proofErr w:type="spellEnd"/>
      <w:r>
        <w:rPr>
          <w:rStyle w:val="ffline"/>
        </w:rPr>
        <w:t xml:space="preserve"> </w:t>
      </w:r>
      <w:proofErr w:type="spellStart"/>
      <w:r>
        <w:rPr>
          <w:rStyle w:val="ffline"/>
        </w:rPr>
        <w:t>gctcacctac</w:t>
      </w:r>
      <w:proofErr w:type="spellEnd"/>
      <w:r>
        <w:rPr>
          <w:rStyle w:val="ffline"/>
        </w:rPr>
        <w:t xml:space="preserve"> </w:t>
      </w:r>
      <w:proofErr w:type="spellStart"/>
      <w:r>
        <w:rPr>
          <w:rStyle w:val="ffline"/>
        </w:rPr>
        <w:t>tctaactatg</w:t>
      </w:r>
      <w:proofErr w:type="spellEnd"/>
    </w:p>
    <w:p w14:paraId="1486E9CB" w14:textId="77777777" w:rsidR="00F5628C" w:rsidRDefault="00F5628C" w:rsidP="00F5628C">
      <w:pPr>
        <w:pStyle w:val="HTMLPreformatted"/>
      </w:pPr>
      <w:proofErr w:type="spellStart"/>
      <w:r>
        <w:rPr>
          <w:rStyle w:val="ffline"/>
        </w:rPr>
        <w:t>gtagtgcatc</w:t>
      </w:r>
      <w:proofErr w:type="spellEnd"/>
      <w:r>
        <w:rPr>
          <w:rStyle w:val="ffline"/>
        </w:rPr>
        <w:t xml:space="preserve"> </w:t>
      </w:r>
      <w:proofErr w:type="spellStart"/>
      <w:r>
        <w:rPr>
          <w:rStyle w:val="ffline"/>
        </w:rPr>
        <w:t>tgacctcacc</w:t>
      </w:r>
      <w:proofErr w:type="spellEnd"/>
      <w:r>
        <w:rPr>
          <w:rStyle w:val="ffline"/>
        </w:rPr>
        <w:t xml:space="preserve"> </w:t>
      </w:r>
      <w:proofErr w:type="spellStart"/>
      <w:r>
        <w:rPr>
          <w:rStyle w:val="ffline"/>
        </w:rPr>
        <w:t>agataatcgc</w:t>
      </w:r>
      <w:proofErr w:type="spellEnd"/>
      <w:r>
        <w:rPr>
          <w:rStyle w:val="ffline"/>
        </w:rPr>
        <w:t xml:space="preserve"> </w:t>
      </w:r>
      <w:proofErr w:type="spellStart"/>
      <w:r>
        <w:rPr>
          <w:rStyle w:val="ffline"/>
        </w:rPr>
        <w:t>tatgacatga</w:t>
      </w:r>
      <w:proofErr w:type="spellEnd"/>
      <w:r>
        <w:rPr>
          <w:rStyle w:val="ffline"/>
        </w:rPr>
        <w:t xml:space="preserve"> </w:t>
      </w:r>
      <w:proofErr w:type="spellStart"/>
      <w:r>
        <w:rPr>
          <w:rStyle w:val="ffline"/>
        </w:rPr>
        <w:t>cctacttacg</w:t>
      </w:r>
      <w:proofErr w:type="spellEnd"/>
      <w:r>
        <w:rPr>
          <w:rStyle w:val="ffline"/>
        </w:rPr>
        <w:t xml:space="preserve"> </w:t>
      </w:r>
      <w:proofErr w:type="spellStart"/>
      <w:r>
        <w:rPr>
          <w:rStyle w:val="ffline"/>
        </w:rPr>
        <w:t>taactatgcg</w:t>
      </w:r>
      <w:proofErr w:type="spellEnd"/>
    </w:p>
    <w:p w14:paraId="16C3CF64" w14:textId="77777777" w:rsidR="00F5628C" w:rsidRDefault="00F5628C" w:rsidP="00F5628C">
      <w:pPr>
        <w:pStyle w:val="HTMLPreformatted"/>
      </w:pPr>
      <w:proofErr w:type="spellStart"/>
      <w:r>
        <w:rPr>
          <w:rStyle w:val="ffline"/>
        </w:rPr>
        <w:t>gtgctcaacg</w:t>
      </w:r>
      <w:proofErr w:type="spellEnd"/>
      <w:r>
        <w:rPr>
          <w:rStyle w:val="ffline"/>
        </w:rPr>
        <w:t xml:space="preserve"> </w:t>
      </w:r>
      <w:proofErr w:type="spellStart"/>
      <w:r>
        <w:rPr>
          <w:rStyle w:val="ffline"/>
        </w:rPr>
        <w:t>tgaaagaccg</w:t>
      </w:r>
      <w:proofErr w:type="spellEnd"/>
      <w:r>
        <w:rPr>
          <w:rStyle w:val="ffline"/>
        </w:rPr>
        <w:t xml:space="preserve"> </w:t>
      </w:r>
      <w:proofErr w:type="spellStart"/>
      <w:r>
        <w:rPr>
          <w:rStyle w:val="ffline"/>
        </w:rPr>
        <w:t>tttagcgcgt</w:t>
      </w:r>
      <w:proofErr w:type="spellEnd"/>
      <w:r>
        <w:rPr>
          <w:rStyle w:val="ffline"/>
        </w:rPr>
        <w:t xml:space="preserve"> </w:t>
      </w:r>
      <w:proofErr w:type="spellStart"/>
      <w:r>
        <w:rPr>
          <w:rStyle w:val="ffline"/>
        </w:rPr>
        <w:t>ttacaagggg</w:t>
      </w:r>
      <w:proofErr w:type="spellEnd"/>
      <w:r>
        <w:rPr>
          <w:rStyle w:val="ffline"/>
        </w:rPr>
        <w:t xml:space="preserve"> </w:t>
      </w:r>
      <w:proofErr w:type="spellStart"/>
      <w:r>
        <w:rPr>
          <w:rStyle w:val="ffline"/>
        </w:rPr>
        <w:t>ttggtgaagt</w:t>
      </w:r>
      <w:proofErr w:type="spellEnd"/>
      <w:r>
        <w:rPr>
          <w:rStyle w:val="ffline"/>
        </w:rPr>
        <w:t xml:space="preserve"> </w:t>
      </w:r>
      <w:proofErr w:type="spellStart"/>
      <w:r>
        <w:rPr>
          <w:rStyle w:val="ffline"/>
        </w:rPr>
        <w:t>cggattattt</w:t>
      </w:r>
      <w:proofErr w:type="spellEnd"/>
    </w:p>
    <w:p w14:paraId="70F7DD1B" w14:textId="77777777" w:rsidR="00F5628C" w:rsidRDefault="00F5628C" w:rsidP="00F5628C">
      <w:pPr>
        <w:pStyle w:val="HTMLPreformatted"/>
      </w:pPr>
      <w:proofErr w:type="spellStart"/>
      <w:r>
        <w:rPr>
          <w:rStyle w:val="ffline"/>
        </w:rPr>
        <w:t>ggttctggtg</w:t>
      </w:r>
      <w:proofErr w:type="spellEnd"/>
      <w:r>
        <w:rPr>
          <w:rStyle w:val="ffline"/>
        </w:rPr>
        <w:t xml:space="preserve"> </w:t>
      </w:r>
      <w:proofErr w:type="spellStart"/>
      <w:r>
        <w:rPr>
          <w:rStyle w:val="ffline"/>
        </w:rPr>
        <w:t>actacgcgat</w:t>
      </w:r>
      <w:proofErr w:type="spellEnd"/>
      <w:r>
        <w:rPr>
          <w:rStyle w:val="ffline"/>
        </w:rPr>
        <w:t xml:space="preserve"> </w:t>
      </w:r>
      <w:proofErr w:type="spellStart"/>
      <w:r>
        <w:rPr>
          <w:rStyle w:val="ffline"/>
        </w:rPr>
        <w:t>gcgtgtatgg</w:t>
      </w:r>
      <w:proofErr w:type="spellEnd"/>
      <w:r>
        <w:rPr>
          <w:rStyle w:val="ffline"/>
        </w:rPr>
        <w:t xml:space="preserve"> </w:t>
      </w:r>
      <w:proofErr w:type="spellStart"/>
      <w:r>
        <w:rPr>
          <w:rStyle w:val="ffline"/>
        </w:rPr>
        <w:t>cttgacccgc</w:t>
      </w:r>
      <w:proofErr w:type="spellEnd"/>
      <w:r>
        <w:rPr>
          <w:rStyle w:val="ffline"/>
        </w:rPr>
        <w:t xml:space="preserve"> </w:t>
      </w:r>
      <w:proofErr w:type="spellStart"/>
      <w:r>
        <w:rPr>
          <w:rStyle w:val="ffline"/>
        </w:rPr>
        <w:t>aaaaagtagc</w:t>
      </w:r>
      <w:proofErr w:type="spellEnd"/>
      <w:r>
        <w:rPr>
          <w:rStyle w:val="ffline"/>
        </w:rPr>
        <w:t xml:space="preserve"> </w:t>
      </w:r>
      <w:proofErr w:type="spellStart"/>
      <w:r>
        <w:rPr>
          <w:rStyle w:val="ffline"/>
        </w:rPr>
        <w:t>acagcgtaac</w:t>
      </w:r>
      <w:proofErr w:type="spellEnd"/>
    </w:p>
    <w:p w14:paraId="6FEA5455" w14:textId="77777777" w:rsidR="00F5628C" w:rsidRDefault="00F5628C" w:rsidP="00F5628C">
      <w:pPr>
        <w:pStyle w:val="HTMLPreformatted"/>
      </w:pPr>
      <w:proofErr w:type="spellStart"/>
      <w:r>
        <w:rPr>
          <w:rStyle w:val="ffline"/>
        </w:rPr>
        <w:t>cttacagcca</w:t>
      </w:r>
      <w:proofErr w:type="spellEnd"/>
      <w:r>
        <w:rPr>
          <w:rStyle w:val="ffline"/>
        </w:rPr>
        <w:t xml:space="preserve"> </w:t>
      </w:r>
      <w:proofErr w:type="spellStart"/>
      <w:r>
        <w:rPr>
          <w:rStyle w:val="ffline"/>
        </w:rPr>
        <w:t>ctgaaattgt</w:t>
      </w:r>
      <w:proofErr w:type="spellEnd"/>
      <w:r>
        <w:rPr>
          <w:rStyle w:val="ffline"/>
        </w:rPr>
        <w:t xml:space="preserve"> </w:t>
      </w:r>
      <w:proofErr w:type="spellStart"/>
      <w:r>
        <w:rPr>
          <w:rStyle w:val="ffline"/>
        </w:rPr>
        <w:t>gaatgcaatc</w:t>
      </w:r>
      <w:proofErr w:type="spellEnd"/>
      <w:r>
        <w:rPr>
          <w:rStyle w:val="ffline"/>
        </w:rPr>
        <w:t xml:space="preserve"> </w:t>
      </w:r>
      <w:proofErr w:type="spellStart"/>
      <w:r>
        <w:rPr>
          <w:rStyle w:val="ffline"/>
        </w:rPr>
        <w:t>cgtgaacaaa</w:t>
      </w:r>
      <w:proofErr w:type="spellEnd"/>
      <w:r>
        <w:rPr>
          <w:rStyle w:val="ffline"/>
        </w:rPr>
        <w:t xml:space="preserve"> </w:t>
      </w:r>
      <w:proofErr w:type="spellStart"/>
      <w:r>
        <w:rPr>
          <w:rStyle w:val="ffline"/>
        </w:rPr>
        <w:t>acattcaggt</w:t>
      </w:r>
      <w:proofErr w:type="spellEnd"/>
      <w:r>
        <w:rPr>
          <w:rStyle w:val="ffline"/>
        </w:rPr>
        <w:t xml:space="preserve"> </w:t>
      </w:r>
      <w:proofErr w:type="spellStart"/>
      <w:r>
        <w:rPr>
          <w:rStyle w:val="ffline"/>
        </w:rPr>
        <w:t>tgcagcgggt</w:t>
      </w:r>
      <w:proofErr w:type="spellEnd"/>
    </w:p>
    <w:p w14:paraId="0BB24714" w14:textId="77777777" w:rsidR="00F5628C" w:rsidRDefault="00F5628C" w:rsidP="00F5628C">
      <w:pPr>
        <w:pStyle w:val="HTMLPreformatted"/>
      </w:pPr>
      <w:proofErr w:type="spellStart"/>
      <w:r>
        <w:rPr>
          <w:rStyle w:val="ffline"/>
        </w:rPr>
        <w:t>acaatcggtg</w:t>
      </w:r>
      <w:proofErr w:type="spellEnd"/>
      <w:r>
        <w:rPr>
          <w:rStyle w:val="ffline"/>
        </w:rPr>
        <w:t xml:space="preserve"> </w:t>
      </w:r>
      <w:proofErr w:type="spellStart"/>
      <w:r>
        <w:rPr>
          <w:rStyle w:val="ffline"/>
        </w:rPr>
        <w:t>catcaccaag</w:t>
      </w:r>
      <w:proofErr w:type="spellEnd"/>
      <w:r>
        <w:rPr>
          <w:rStyle w:val="ffline"/>
        </w:rPr>
        <w:t xml:space="preserve"> </w:t>
      </w:r>
      <w:proofErr w:type="spellStart"/>
      <w:r>
        <w:rPr>
          <w:rStyle w:val="ffline"/>
        </w:rPr>
        <w:t>taattcacct</w:t>
      </w:r>
      <w:proofErr w:type="spellEnd"/>
      <w:r>
        <w:rPr>
          <w:rStyle w:val="ffline"/>
        </w:rPr>
        <w:t xml:space="preserve"> </w:t>
      </w:r>
      <w:proofErr w:type="spellStart"/>
      <w:r>
        <w:rPr>
          <w:rStyle w:val="ffline"/>
        </w:rPr>
        <w:t>ttacagcttt</w:t>
      </w:r>
      <w:proofErr w:type="spellEnd"/>
      <w:r>
        <w:rPr>
          <w:rStyle w:val="ffline"/>
        </w:rPr>
        <w:t xml:space="preserve"> </w:t>
      </w:r>
      <w:proofErr w:type="spellStart"/>
      <w:r>
        <w:rPr>
          <w:rStyle w:val="ffline"/>
        </w:rPr>
        <w:t>cggtcaatgc</w:t>
      </w:r>
      <w:proofErr w:type="spellEnd"/>
      <w:r>
        <w:rPr>
          <w:rStyle w:val="ffline"/>
        </w:rPr>
        <w:t xml:space="preserve"> </w:t>
      </w:r>
      <w:proofErr w:type="spellStart"/>
      <w:r>
        <w:rPr>
          <w:rStyle w:val="ffline"/>
        </w:rPr>
        <w:t>tcaaggtcgt</w:t>
      </w:r>
      <w:proofErr w:type="spellEnd"/>
    </w:p>
    <w:p w14:paraId="515D8A07" w14:textId="77777777" w:rsidR="00F5628C" w:rsidRDefault="00F5628C" w:rsidP="00F5628C">
      <w:pPr>
        <w:pStyle w:val="HTMLPreformatted"/>
      </w:pPr>
      <w:proofErr w:type="spellStart"/>
      <w:r>
        <w:rPr>
          <w:rStyle w:val="ffline"/>
        </w:rPr>
        <w:t>ttaaccactg</w:t>
      </w:r>
      <w:proofErr w:type="spellEnd"/>
      <w:r>
        <w:rPr>
          <w:rStyle w:val="ffline"/>
        </w:rPr>
        <w:t xml:space="preserve"> </w:t>
      </w:r>
      <w:proofErr w:type="spellStart"/>
      <w:r>
        <w:rPr>
          <w:rStyle w:val="ffline"/>
        </w:rPr>
        <w:t>agcaagaatt</w:t>
      </w:r>
      <w:proofErr w:type="spellEnd"/>
      <w:r>
        <w:rPr>
          <w:rStyle w:val="ffline"/>
        </w:rPr>
        <w:t xml:space="preserve"> </w:t>
      </w:r>
      <w:proofErr w:type="spellStart"/>
      <w:r>
        <w:rPr>
          <w:rStyle w:val="ffline"/>
        </w:rPr>
        <w:t>tgccgatatc</w:t>
      </w:r>
      <w:proofErr w:type="spellEnd"/>
      <w:r>
        <w:rPr>
          <w:rStyle w:val="ffline"/>
        </w:rPr>
        <w:t xml:space="preserve"> </w:t>
      </w:r>
      <w:proofErr w:type="spellStart"/>
      <w:r>
        <w:rPr>
          <w:rStyle w:val="ffline"/>
        </w:rPr>
        <w:t>attttaaaaa</w:t>
      </w:r>
      <w:proofErr w:type="spellEnd"/>
      <w:r>
        <w:rPr>
          <w:rStyle w:val="ffline"/>
        </w:rPr>
        <w:t xml:space="preserve"> </w:t>
      </w:r>
      <w:proofErr w:type="spellStart"/>
      <w:r>
        <w:rPr>
          <w:rStyle w:val="ffline"/>
        </w:rPr>
        <w:t>ctgctcccga</w:t>
      </w:r>
      <w:proofErr w:type="spellEnd"/>
      <w:r>
        <w:rPr>
          <w:rStyle w:val="ffline"/>
        </w:rPr>
        <w:t xml:space="preserve"> </w:t>
      </w:r>
      <w:proofErr w:type="spellStart"/>
      <w:r>
        <w:rPr>
          <w:rStyle w:val="ffline"/>
        </w:rPr>
        <w:t>cggtgcagtc</w:t>
      </w:r>
      <w:proofErr w:type="spellEnd"/>
    </w:p>
    <w:p w14:paraId="0C851E7D" w14:textId="77777777" w:rsidR="00F5628C" w:rsidRDefault="00F5628C" w:rsidP="00F5628C">
      <w:pPr>
        <w:pStyle w:val="HTMLPreformatted"/>
      </w:pPr>
      <w:proofErr w:type="spellStart"/>
      <w:r>
        <w:rPr>
          <w:rStyle w:val="ffline"/>
        </w:rPr>
        <w:t>acccgattgg</w:t>
      </w:r>
      <w:proofErr w:type="spellEnd"/>
      <w:r>
        <w:rPr>
          <w:rStyle w:val="ffline"/>
        </w:rPr>
        <w:t xml:space="preserve"> </w:t>
      </w:r>
      <w:proofErr w:type="spellStart"/>
      <w:r>
        <w:rPr>
          <w:rStyle w:val="ffline"/>
        </w:rPr>
        <w:t>gtgatgttgc</w:t>
      </w:r>
      <w:proofErr w:type="spellEnd"/>
      <w:r>
        <w:rPr>
          <w:rStyle w:val="ffline"/>
        </w:rPr>
        <w:t xml:space="preserve"> </w:t>
      </w:r>
      <w:proofErr w:type="spellStart"/>
      <w:r>
        <w:rPr>
          <w:rStyle w:val="ffline"/>
        </w:rPr>
        <w:t>acgtgttgaa</w:t>
      </w:r>
      <w:proofErr w:type="spellEnd"/>
      <w:r>
        <w:rPr>
          <w:rStyle w:val="ffline"/>
        </w:rPr>
        <w:t xml:space="preserve"> </w:t>
      </w:r>
      <w:proofErr w:type="spellStart"/>
      <w:r>
        <w:rPr>
          <w:rStyle w:val="ffline"/>
        </w:rPr>
        <w:t>ctcgcagctt</w:t>
      </w:r>
      <w:proofErr w:type="spellEnd"/>
      <w:r>
        <w:rPr>
          <w:rStyle w:val="ffline"/>
        </w:rPr>
        <w:t xml:space="preserve"> </w:t>
      </w:r>
      <w:proofErr w:type="spellStart"/>
      <w:r>
        <w:rPr>
          <w:rStyle w:val="ffline"/>
        </w:rPr>
        <w:t>cacaatatgg</w:t>
      </w:r>
      <w:proofErr w:type="spellEnd"/>
      <w:r>
        <w:rPr>
          <w:rStyle w:val="ffline"/>
        </w:rPr>
        <w:t xml:space="preserve"> </w:t>
      </w:r>
      <w:proofErr w:type="spellStart"/>
      <w:r>
        <w:rPr>
          <w:rStyle w:val="ffline"/>
        </w:rPr>
        <w:t>cttacgttca</w:t>
      </w:r>
      <w:proofErr w:type="spellEnd"/>
    </w:p>
    <w:p w14:paraId="69EF631F" w14:textId="77777777" w:rsidR="00F5628C" w:rsidRDefault="00F5628C" w:rsidP="00F5628C">
      <w:pPr>
        <w:pStyle w:val="HTMLPreformatted"/>
      </w:pPr>
      <w:proofErr w:type="spellStart"/>
      <w:r>
        <w:rPr>
          <w:rStyle w:val="ffline"/>
        </w:rPr>
        <w:t>ttgcttgata</w:t>
      </w:r>
      <w:proofErr w:type="spellEnd"/>
      <w:r>
        <w:rPr>
          <w:rStyle w:val="ffline"/>
        </w:rPr>
        <w:t xml:space="preserve"> </w:t>
      </w:r>
      <w:proofErr w:type="spellStart"/>
      <w:r>
        <w:rPr>
          <w:rStyle w:val="ffline"/>
        </w:rPr>
        <w:t>ataaacaagc</w:t>
      </w:r>
      <w:proofErr w:type="spellEnd"/>
      <w:r>
        <w:rPr>
          <w:rStyle w:val="ffline"/>
        </w:rPr>
        <w:t xml:space="preserve"> </w:t>
      </w:r>
      <w:proofErr w:type="spellStart"/>
      <w:r>
        <w:rPr>
          <w:rStyle w:val="ffline"/>
        </w:rPr>
        <w:t>tgtcgcaatt</w:t>
      </w:r>
      <w:proofErr w:type="spellEnd"/>
      <w:r>
        <w:rPr>
          <w:rStyle w:val="ffline"/>
        </w:rPr>
        <w:t xml:space="preserve"> </w:t>
      </w:r>
      <w:proofErr w:type="spellStart"/>
      <w:r>
        <w:rPr>
          <w:rStyle w:val="ffline"/>
        </w:rPr>
        <w:t>ccaattttcc</w:t>
      </w:r>
      <w:proofErr w:type="spellEnd"/>
      <w:r>
        <w:rPr>
          <w:rStyle w:val="ffline"/>
        </w:rPr>
        <w:t xml:space="preserve"> </w:t>
      </w:r>
      <w:proofErr w:type="spellStart"/>
      <w:r>
        <w:rPr>
          <w:rStyle w:val="ffline"/>
        </w:rPr>
        <w:t>aagctccggg</w:t>
      </w:r>
      <w:proofErr w:type="spellEnd"/>
      <w:r>
        <w:rPr>
          <w:rStyle w:val="ffline"/>
        </w:rPr>
        <w:t xml:space="preserve"> </w:t>
      </w:r>
      <w:proofErr w:type="spellStart"/>
      <w:r>
        <w:rPr>
          <w:rStyle w:val="ffline"/>
        </w:rPr>
        <w:t>tgcgaatgct</w:t>
      </w:r>
      <w:proofErr w:type="spellEnd"/>
    </w:p>
    <w:p w14:paraId="1FBA8191" w14:textId="77777777" w:rsidR="00F5628C" w:rsidRDefault="00F5628C" w:rsidP="00F5628C">
      <w:pPr>
        <w:pStyle w:val="HTMLPreformatted"/>
      </w:pPr>
      <w:proofErr w:type="spellStart"/>
      <w:r>
        <w:rPr>
          <w:rStyle w:val="ffline"/>
        </w:rPr>
        <w:t>ttacaagttt</w:t>
      </w:r>
      <w:proofErr w:type="spellEnd"/>
      <w:r>
        <w:rPr>
          <w:rStyle w:val="ffline"/>
        </w:rPr>
        <w:t xml:space="preserve"> </w:t>
      </w:r>
      <w:proofErr w:type="spellStart"/>
      <w:r>
        <w:rPr>
          <w:rStyle w:val="ffline"/>
        </w:rPr>
        <w:t>ccgatcaagt</w:t>
      </w:r>
      <w:proofErr w:type="spellEnd"/>
      <w:r>
        <w:rPr>
          <w:rStyle w:val="ffline"/>
        </w:rPr>
        <w:t xml:space="preserve"> </w:t>
      </w:r>
      <w:proofErr w:type="spellStart"/>
      <w:r>
        <w:rPr>
          <w:rStyle w:val="ffline"/>
        </w:rPr>
        <w:t>gcgtagcaca</w:t>
      </w:r>
      <w:proofErr w:type="spellEnd"/>
      <w:r>
        <w:rPr>
          <w:rStyle w:val="ffline"/>
        </w:rPr>
        <w:t xml:space="preserve"> </w:t>
      </w:r>
      <w:proofErr w:type="spellStart"/>
      <w:r>
        <w:rPr>
          <w:rStyle w:val="ffline"/>
        </w:rPr>
        <w:t>atgaaggagc</w:t>
      </w:r>
      <w:proofErr w:type="spellEnd"/>
      <w:r>
        <w:rPr>
          <w:rStyle w:val="ffline"/>
        </w:rPr>
        <w:t xml:space="preserve"> </w:t>
      </w:r>
      <w:proofErr w:type="spellStart"/>
      <w:r>
        <w:rPr>
          <w:rStyle w:val="ffline"/>
        </w:rPr>
        <w:t>tttcaaaaga</w:t>
      </w:r>
      <w:proofErr w:type="spellEnd"/>
      <w:r>
        <w:rPr>
          <w:rStyle w:val="ffline"/>
        </w:rPr>
        <w:t xml:space="preserve"> </w:t>
      </w:r>
      <w:proofErr w:type="spellStart"/>
      <w:r>
        <w:rPr>
          <w:rStyle w:val="ffline"/>
        </w:rPr>
        <w:t>ttttccatct</w:t>
      </w:r>
      <w:proofErr w:type="spellEnd"/>
    </w:p>
    <w:p w14:paraId="51096154" w14:textId="77777777" w:rsidR="00F5628C" w:rsidRDefault="00F5628C" w:rsidP="00F5628C">
      <w:pPr>
        <w:pStyle w:val="HTMLPreformatted"/>
      </w:pPr>
      <w:proofErr w:type="spellStart"/>
      <w:r>
        <w:rPr>
          <w:rStyle w:val="ffline"/>
        </w:rPr>
        <w:t>tcaattaaat</w:t>
      </w:r>
      <w:proofErr w:type="spellEnd"/>
      <w:r>
        <w:rPr>
          <w:rStyle w:val="ffline"/>
        </w:rPr>
        <w:t xml:space="preserve"> </w:t>
      </w:r>
      <w:proofErr w:type="spellStart"/>
      <w:r>
        <w:rPr>
          <w:rStyle w:val="ffline"/>
        </w:rPr>
        <w:t>acgacattgt</w:t>
      </w:r>
      <w:proofErr w:type="spellEnd"/>
      <w:r>
        <w:rPr>
          <w:rStyle w:val="ffline"/>
        </w:rPr>
        <w:t xml:space="preserve"> </w:t>
      </w:r>
      <w:proofErr w:type="spellStart"/>
      <w:r>
        <w:rPr>
          <w:rStyle w:val="ffline"/>
        </w:rPr>
        <w:t>ttatgacccg</w:t>
      </w:r>
      <w:proofErr w:type="spellEnd"/>
      <w:r>
        <w:rPr>
          <w:rStyle w:val="ffline"/>
        </w:rPr>
        <w:t xml:space="preserve"> </w:t>
      </w:r>
      <w:proofErr w:type="spellStart"/>
      <w:r>
        <w:rPr>
          <w:rStyle w:val="ffline"/>
        </w:rPr>
        <w:t>actcagttcg</w:t>
      </w:r>
      <w:proofErr w:type="spellEnd"/>
      <w:r>
        <w:rPr>
          <w:rStyle w:val="ffline"/>
        </w:rPr>
        <w:t xml:space="preserve"> </w:t>
      </w:r>
      <w:proofErr w:type="spellStart"/>
      <w:r>
        <w:rPr>
          <w:rStyle w:val="ffline"/>
        </w:rPr>
        <w:t>tacgggccag</w:t>
      </w:r>
      <w:proofErr w:type="spellEnd"/>
      <w:r>
        <w:rPr>
          <w:rStyle w:val="ffline"/>
        </w:rPr>
        <w:t xml:space="preserve"> </w:t>
      </w:r>
      <w:proofErr w:type="spellStart"/>
      <w:r>
        <w:rPr>
          <w:rStyle w:val="ffline"/>
        </w:rPr>
        <w:t>tattaaagcc</w:t>
      </w:r>
      <w:proofErr w:type="spellEnd"/>
    </w:p>
    <w:p w14:paraId="6FE7C28F" w14:textId="77777777" w:rsidR="00F5628C" w:rsidRDefault="00F5628C" w:rsidP="00F5628C">
      <w:pPr>
        <w:pStyle w:val="HTMLPreformatted"/>
      </w:pPr>
      <w:proofErr w:type="spellStart"/>
      <w:r>
        <w:rPr>
          <w:rStyle w:val="ffline"/>
        </w:rPr>
        <w:t>gtcgttcata</w:t>
      </w:r>
      <w:proofErr w:type="spellEnd"/>
      <w:r>
        <w:rPr>
          <w:rStyle w:val="ffline"/>
        </w:rPr>
        <w:t xml:space="preserve"> </w:t>
      </w:r>
      <w:proofErr w:type="spellStart"/>
      <w:r>
        <w:rPr>
          <w:rStyle w:val="ffline"/>
        </w:rPr>
        <w:t>ccttacttga</w:t>
      </w:r>
      <w:proofErr w:type="spellEnd"/>
      <w:r>
        <w:rPr>
          <w:rStyle w:val="ffline"/>
        </w:rPr>
        <w:t xml:space="preserve"> </w:t>
      </w:r>
      <w:proofErr w:type="spellStart"/>
      <w:r>
        <w:rPr>
          <w:rStyle w:val="ffline"/>
        </w:rPr>
        <w:t>agcaattgca</w:t>
      </w:r>
      <w:proofErr w:type="spellEnd"/>
      <w:r>
        <w:rPr>
          <w:rStyle w:val="ffline"/>
        </w:rPr>
        <w:t xml:space="preserve"> </w:t>
      </w:r>
      <w:proofErr w:type="spellStart"/>
      <w:r>
        <w:rPr>
          <w:rStyle w:val="ffline"/>
        </w:rPr>
        <w:t>ctggttgttg</w:t>
      </w:r>
      <w:proofErr w:type="spellEnd"/>
      <w:r>
        <w:rPr>
          <w:rStyle w:val="ffline"/>
        </w:rPr>
        <w:t xml:space="preserve"> </w:t>
      </w:r>
      <w:proofErr w:type="spellStart"/>
      <w:r>
        <w:rPr>
          <w:rStyle w:val="ffline"/>
        </w:rPr>
        <w:t>tggttgttat</w:t>
      </w:r>
      <w:proofErr w:type="spellEnd"/>
      <w:r>
        <w:rPr>
          <w:rStyle w:val="ffline"/>
        </w:rPr>
        <w:t xml:space="preserve"> </w:t>
      </w:r>
      <w:proofErr w:type="spellStart"/>
      <w:r>
        <w:rPr>
          <w:rStyle w:val="ffline"/>
        </w:rPr>
        <w:t>tttattctta</w:t>
      </w:r>
      <w:proofErr w:type="spellEnd"/>
    </w:p>
    <w:p w14:paraId="291FC922" w14:textId="77777777" w:rsidR="00F5628C" w:rsidRDefault="00F5628C" w:rsidP="00F5628C">
      <w:pPr>
        <w:pStyle w:val="HTMLPreformatted"/>
      </w:pPr>
      <w:proofErr w:type="spellStart"/>
      <w:r>
        <w:rPr>
          <w:rStyle w:val="ffline"/>
        </w:rPr>
        <w:t>caaacatggc</w:t>
      </w:r>
      <w:proofErr w:type="spellEnd"/>
      <w:r>
        <w:rPr>
          <w:rStyle w:val="ffline"/>
        </w:rPr>
        <w:t xml:space="preserve"> </w:t>
      </w:r>
      <w:proofErr w:type="spellStart"/>
      <w:r>
        <w:rPr>
          <w:rStyle w:val="ffline"/>
        </w:rPr>
        <w:t>gcgcctcaat</w:t>
      </w:r>
      <w:proofErr w:type="spellEnd"/>
      <w:r>
        <w:rPr>
          <w:rStyle w:val="ffline"/>
        </w:rPr>
        <w:t xml:space="preserve"> </w:t>
      </w:r>
      <w:proofErr w:type="spellStart"/>
      <w:r>
        <w:rPr>
          <w:rStyle w:val="ffline"/>
        </w:rPr>
        <w:t>cattccattg</w:t>
      </w:r>
      <w:proofErr w:type="spellEnd"/>
      <w:r>
        <w:rPr>
          <w:rStyle w:val="ffline"/>
        </w:rPr>
        <w:t xml:space="preserve"> </w:t>
      </w:r>
      <w:proofErr w:type="spellStart"/>
      <w:r>
        <w:rPr>
          <w:rStyle w:val="ffline"/>
        </w:rPr>
        <w:t>cttgccgtac</w:t>
      </w:r>
      <w:proofErr w:type="spellEnd"/>
      <w:r>
        <w:rPr>
          <w:rStyle w:val="ffline"/>
        </w:rPr>
        <w:t xml:space="preserve"> </w:t>
      </w:r>
      <w:proofErr w:type="spellStart"/>
      <w:r>
        <w:rPr>
          <w:rStyle w:val="ffline"/>
        </w:rPr>
        <w:t>cggtttcaat</w:t>
      </w:r>
      <w:proofErr w:type="spellEnd"/>
      <w:r>
        <w:rPr>
          <w:rStyle w:val="ffline"/>
        </w:rPr>
        <w:t xml:space="preserve"> </w:t>
      </w:r>
      <w:proofErr w:type="spellStart"/>
      <w:r>
        <w:rPr>
          <w:rStyle w:val="ffline"/>
        </w:rPr>
        <w:t>tattggtaca</w:t>
      </w:r>
      <w:proofErr w:type="spellEnd"/>
    </w:p>
    <w:p w14:paraId="4373E775" w14:textId="77777777" w:rsidR="00F5628C" w:rsidRDefault="00F5628C" w:rsidP="00F5628C">
      <w:pPr>
        <w:pStyle w:val="HTMLPreformatted"/>
      </w:pPr>
      <w:proofErr w:type="spellStart"/>
      <w:r>
        <w:rPr>
          <w:rStyle w:val="ffline"/>
        </w:rPr>
        <w:t>ttcgcgctca</w:t>
      </w:r>
      <w:proofErr w:type="spellEnd"/>
      <w:r>
        <w:rPr>
          <w:rStyle w:val="ffline"/>
        </w:rPr>
        <w:t xml:space="preserve"> </w:t>
      </w:r>
      <w:proofErr w:type="spellStart"/>
      <w:r>
        <w:rPr>
          <w:rStyle w:val="ffline"/>
        </w:rPr>
        <w:t>tgctcgcttt</w:t>
      </w:r>
      <w:proofErr w:type="spellEnd"/>
      <w:r>
        <w:rPr>
          <w:rStyle w:val="ffline"/>
        </w:rPr>
        <w:t xml:space="preserve"> </w:t>
      </w:r>
      <w:proofErr w:type="spellStart"/>
      <w:r>
        <w:rPr>
          <w:rStyle w:val="ffline"/>
        </w:rPr>
        <w:t>tggttactca</w:t>
      </w:r>
      <w:proofErr w:type="spellEnd"/>
      <w:r>
        <w:rPr>
          <w:rStyle w:val="ffline"/>
        </w:rPr>
        <w:t xml:space="preserve"> </w:t>
      </w:r>
      <w:proofErr w:type="spellStart"/>
      <w:r>
        <w:rPr>
          <w:rStyle w:val="ffline"/>
        </w:rPr>
        <w:t>atcaatgcgc</w:t>
      </w:r>
      <w:proofErr w:type="spellEnd"/>
      <w:r>
        <w:rPr>
          <w:rStyle w:val="ffline"/>
        </w:rPr>
        <w:t xml:space="preserve"> </w:t>
      </w:r>
      <w:proofErr w:type="spellStart"/>
      <w:r>
        <w:rPr>
          <w:rStyle w:val="ffline"/>
        </w:rPr>
        <w:t>tatcactgtt</w:t>
      </w:r>
      <w:proofErr w:type="spellEnd"/>
      <w:r>
        <w:rPr>
          <w:rStyle w:val="ffline"/>
        </w:rPr>
        <w:t xml:space="preserve"> </w:t>
      </w:r>
      <w:proofErr w:type="spellStart"/>
      <w:r>
        <w:rPr>
          <w:rStyle w:val="ffline"/>
        </w:rPr>
        <w:t>cgggatggtg</w:t>
      </w:r>
      <w:proofErr w:type="spellEnd"/>
    </w:p>
    <w:p w14:paraId="50833FA1" w14:textId="77777777" w:rsidR="00F5628C" w:rsidRDefault="00F5628C" w:rsidP="00F5628C">
      <w:pPr>
        <w:pStyle w:val="HTMLPreformatted"/>
      </w:pPr>
      <w:proofErr w:type="spellStart"/>
      <w:r>
        <w:rPr>
          <w:rStyle w:val="ffline"/>
        </w:rPr>
        <w:t>cttgccatcg</w:t>
      </w:r>
      <w:proofErr w:type="spellEnd"/>
      <w:r>
        <w:rPr>
          <w:rStyle w:val="ffline"/>
        </w:rPr>
        <w:t xml:space="preserve"> </w:t>
      </w:r>
      <w:proofErr w:type="spellStart"/>
      <w:r>
        <w:rPr>
          <w:rStyle w:val="ffline"/>
        </w:rPr>
        <w:t>gcattgtcgt</w:t>
      </w:r>
      <w:proofErr w:type="spellEnd"/>
      <w:r>
        <w:rPr>
          <w:rStyle w:val="ffline"/>
        </w:rPr>
        <w:t xml:space="preserve"> </w:t>
      </w:r>
      <w:proofErr w:type="spellStart"/>
      <w:r>
        <w:rPr>
          <w:rStyle w:val="ffline"/>
        </w:rPr>
        <w:t>cgatgacgcg</w:t>
      </w:r>
      <w:proofErr w:type="spellEnd"/>
      <w:r>
        <w:rPr>
          <w:rStyle w:val="ffline"/>
        </w:rPr>
        <w:t xml:space="preserve"> </w:t>
      </w:r>
      <w:proofErr w:type="spellStart"/>
      <w:r>
        <w:rPr>
          <w:rStyle w:val="ffline"/>
        </w:rPr>
        <w:t>attgtggtcg</w:t>
      </w:r>
      <w:proofErr w:type="spellEnd"/>
      <w:r>
        <w:rPr>
          <w:rStyle w:val="ffline"/>
        </w:rPr>
        <w:t xml:space="preserve"> </w:t>
      </w:r>
      <w:proofErr w:type="spellStart"/>
      <w:r>
        <w:rPr>
          <w:rStyle w:val="ffline"/>
        </w:rPr>
        <w:t>tcgaaaatgt</w:t>
      </w:r>
      <w:proofErr w:type="spellEnd"/>
      <w:r>
        <w:rPr>
          <w:rStyle w:val="ffline"/>
        </w:rPr>
        <w:t xml:space="preserve"> </w:t>
      </w:r>
      <w:proofErr w:type="spellStart"/>
      <w:r>
        <w:rPr>
          <w:rStyle w:val="ffline"/>
        </w:rPr>
        <w:t>cgagaggaat</w:t>
      </w:r>
      <w:proofErr w:type="spellEnd"/>
    </w:p>
    <w:p w14:paraId="562CF24E" w14:textId="77777777" w:rsidR="00F5628C" w:rsidRDefault="00F5628C" w:rsidP="00F5628C">
      <w:pPr>
        <w:pStyle w:val="HTMLPreformatted"/>
      </w:pPr>
      <w:proofErr w:type="spellStart"/>
      <w:r>
        <w:rPr>
          <w:rStyle w:val="ffline"/>
        </w:rPr>
        <w:t>attgaagcag</w:t>
      </w:r>
      <w:proofErr w:type="spellEnd"/>
      <w:r>
        <w:rPr>
          <w:rStyle w:val="ffline"/>
        </w:rPr>
        <w:t xml:space="preserve"> </w:t>
      </w:r>
      <w:proofErr w:type="spellStart"/>
      <w:r>
        <w:rPr>
          <w:rStyle w:val="ffline"/>
        </w:rPr>
        <w:t>gcttaaaccc</w:t>
      </w:r>
      <w:proofErr w:type="spellEnd"/>
      <w:r>
        <w:rPr>
          <w:rStyle w:val="ffline"/>
        </w:rPr>
        <w:t xml:space="preserve"> </w:t>
      </w:r>
      <w:proofErr w:type="spellStart"/>
      <w:r>
        <w:rPr>
          <w:rStyle w:val="ffline"/>
        </w:rPr>
        <w:t>aagggaggcg</w:t>
      </w:r>
      <w:proofErr w:type="spellEnd"/>
      <w:r>
        <w:rPr>
          <w:rStyle w:val="ffline"/>
        </w:rPr>
        <w:t xml:space="preserve"> </w:t>
      </w:r>
      <w:proofErr w:type="spellStart"/>
      <w:r>
        <w:rPr>
          <w:rStyle w:val="ffline"/>
        </w:rPr>
        <w:t>acttaccgtg</w:t>
      </w:r>
      <w:proofErr w:type="spellEnd"/>
      <w:r>
        <w:rPr>
          <w:rStyle w:val="ffline"/>
        </w:rPr>
        <w:t xml:space="preserve"> </w:t>
      </w:r>
      <w:proofErr w:type="spellStart"/>
      <w:r>
        <w:rPr>
          <w:rStyle w:val="ffline"/>
        </w:rPr>
        <w:t>ccatgcgaga</w:t>
      </w:r>
      <w:proofErr w:type="spellEnd"/>
      <w:r>
        <w:rPr>
          <w:rStyle w:val="ffline"/>
        </w:rPr>
        <w:t xml:space="preserve"> </w:t>
      </w:r>
      <w:proofErr w:type="spellStart"/>
      <w:r>
        <w:rPr>
          <w:rStyle w:val="ffline"/>
        </w:rPr>
        <w:t>agtcagtgga</w:t>
      </w:r>
      <w:proofErr w:type="spellEnd"/>
    </w:p>
    <w:p w14:paraId="15588CFB" w14:textId="77777777" w:rsidR="00F5628C" w:rsidRDefault="00F5628C" w:rsidP="00F5628C">
      <w:pPr>
        <w:pStyle w:val="HTMLPreformatted"/>
      </w:pPr>
      <w:proofErr w:type="spellStart"/>
      <w:r>
        <w:rPr>
          <w:rStyle w:val="ffline"/>
        </w:rPr>
        <w:t>ccgattattg</w:t>
      </w:r>
      <w:proofErr w:type="spellEnd"/>
      <w:r>
        <w:rPr>
          <w:rStyle w:val="ffline"/>
        </w:rPr>
        <w:t xml:space="preserve"> </w:t>
      </w:r>
      <w:proofErr w:type="spellStart"/>
      <w:r>
        <w:rPr>
          <w:rStyle w:val="ffline"/>
        </w:rPr>
        <w:t>ccattgcttt</w:t>
      </w:r>
      <w:proofErr w:type="spellEnd"/>
      <w:r>
        <w:rPr>
          <w:rStyle w:val="ffline"/>
        </w:rPr>
        <w:t xml:space="preserve"> </w:t>
      </w:r>
      <w:proofErr w:type="spellStart"/>
      <w:r>
        <w:rPr>
          <w:rStyle w:val="ffline"/>
        </w:rPr>
        <w:t>aacacttgtt</w:t>
      </w:r>
      <w:proofErr w:type="spellEnd"/>
      <w:r>
        <w:rPr>
          <w:rStyle w:val="ffline"/>
        </w:rPr>
        <w:t xml:space="preserve"> </w:t>
      </w:r>
      <w:proofErr w:type="spellStart"/>
      <w:r>
        <w:rPr>
          <w:rStyle w:val="ffline"/>
        </w:rPr>
        <w:t>gcagtattcg</w:t>
      </w:r>
      <w:proofErr w:type="spellEnd"/>
      <w:r>
        <w:rPr>
          <w:rStyle w:val="ffline"/>
        </w:rPr>
        <w:t xml:space="preserve"> </w:t>
      </w:r>
      <w:proofErr w:type="spellStart"/>
      <w:r>
        <w:rPr>
          <w:rStyle w:val="ffline"/>
        </w:rPr>
        <w:t>tacctcttgc</w:t>
      </w:r>
      <w:proofErr w:type="spellEnd"/>
      <w:r>
        <w:rPr>
          <w:rStyle w:val="ffline"/>
        </w:rPr>
        <w:t xml:space="preserve"> </w:t>
      </w:r>
      <w:proofErr w:type="spellStart"/>
      <w:r>
        <w:rPr>
          <w:rStyle w:val="ffline"/>
        </w:rPr>
        <w:t>ctttatgaca</w:t>
      </w:r>
      <w:proofErr w:type="spellEnd"/>
    </w:p>
    <w:p w14:paraId="01252937" w14:textId="77777777" w:rsidR="00F5628C" w:rsidRDefault="00F5628C" w:rsidP="00F5628C">
      <w:pPr>
        <w:pStyle w:val="HTMLPreformatted"/>
      </w:pPr>
      <w:proofErr w:type="spellStart"/>
      <w:r>
        <w:rPr>
          <w:rStyle w:val="ffline"/>
        </w:rPr>
        <w:t>ggcttaacag</w:t>
      </w:r>
      <w:proofErr w:type="spellEnd"/>
      <w:r>
        <w:rPr>
          <w:rStyle w:val="ffline"/>
        </w:rPr>
        <w:t xml:space="preserve"> </w:t>
      </w:r>
      <w:proofErr w:type="spellStart"/>
      <w:r>
        <w:rPr>
          <w:rStyle w:val="ffline"/>
        </w:rPr>
        <w:t>ggcaattcta</w:t>
      </w:r>
      <w:proofErr w:type="spellEnd"/>
      <w:r>
        <w:rPr>
          <w:rStyle w:val="ffline"/>
        </w:rPr>
        <w:t xml:space="preserve"> </w:t>
      </w:r>
      <w:proofErr w:type="spellStart"/>
      <w:r>
        <w:rPr>
          <w:rStyle w:val="ffline"/>
        </w:rPr>
        <w:t>taaacaattt</w:t>
      </w:r>
      <w:proofErr w:type="spellEnd"/>
      <w:r>
        <w:rPr>
          <w:rStyle w:val="ffline"/>
        </w:rPr>
        <w:t xml:space="preserve"> </w:t>
      </w:r>
      <w:proofErr w:type="spellStart"/>
      <w:r>
        <w:rPr>
          <w:rStyle w:val="ffline"/>
        </w:rPr>
        <w:t>gccatgacca</w:t>
      </w:r>
      <w:proofErr w:type="spellEnd"/>
      <w:r>
        <w:rPr>
          <w:rStyle w:val="ffline"/>
        </w:rPr>
        <w:t xml:space="preserve"> </w:t>
      </w:r>
      <w:proofErr w:type="spellStart"/>
      <w:r>
        <w:rPr>
          <w:rStyle w:val="ffline"/>
        </w:rPr>
        <w:t>ttgccatttc</w:t>
      </w:r>
      <w:proofErr w:type="spellEnd"/>
      <w:r>
        <w:rPr>
          <w:rStyle w:val="ffline"/>
        </w:rPr>
        <w:t xml:space="preserve"> </w:t>
      </w:r>
      <w:proofErr w:type="spellStart"/>
      <w:r>
        <w:rPr>
          <w:rStyle w:val="ffline"/>
        </w:rPr>
        <w:t>aacggttatt</w:t>
      </w:r>
      <w:proofErr w:type="spellEnd"/>
    </w:p>
    <w:p w14:paraId="09AAE705" w14:textId="77777777" w:rsidR="00F5628C" w:rsidRDefault="00F5628C" w:rsidP="00F5628C">
      <w:pPr>
        <w:pStyle w:val="HTMLPreformatted"/>
      </w:pPr>
      <w:proofErr w:type="spellStart"/>
      <w:r>
        <w:rPr>
          <w:rStyle w:val="ffline"/>
        </w:rPr>
        <w:t>tcggctttta</w:t>
      </w:r>
      <w:proofErr w:type="spellEnd"/>
      <w:r>
        <w:rPr>
          <w:rStyle w:val="ffline"/>
        </w:rPr>
        <w:t xml:space="preserve"> </w:t>
      </w:r>
      <w:proofErr w:type="spellStart"/>
      <w:r>
        <w:rPr>
          <w:rStyle w:val="ffline"/>
        </w:rPr>
        <w:t>actcactcac</w:t>
      </w:r>
      <w:proofErr w:type="spellEnd"/>
      <w:r>
        <w:rPr>
          <w:rStyle w:val="ffline"/>
        </w:rPr>
        <w:t xml:space="preserve"> </w:t>
      </w:r>
      <w:proofErr w:type="spellStart"/>
      <w:r>
        <w:rPr>
          <w:rStyle w:val="ffline"/>
        </w:rPr>
        <w:t>cctatctcca</w:t>
      </w:r>
      <w:proofErr w:type="spellEnd"/>
      <w:r>
        <w:rPr>
          <w:rStyle w:val="ffline"/>
        </w:rPr>
        <w:t xml:space="preserve"> </w:t>
      </w:r>
      <w:proofErr w:type="spellStart"/>
      <w:r>
        <w:rPr>
          <w:rStyle w:val="ffline"/>
        </w:rPr>
        <w:t>gctttggcag</w:t>
      </w:r>
      <w:proofErr w:type="spellEnd"/>
      <w:r>
        <w:rPr>
          <w:rStyle w:val="ffline"/>
        </w:rPr>
        <w:t xml:space="preserve"> </w:t>
      </w:r>
      <w:proofErr w:type="spellStart"/>
      <w:r>
        <w:rPr>
          <w:rStyle w:val="ffline"/>
        </w:rPr>
        <w:t>cgctgttact</w:t>
      </w:r>
      <w:proofErr w:type="spellEnd"/>
      <w:r>
        <w:rPr>
          <w:rStyle w:val="ffline"/>
        </w:rPr>
        <w:t xml:space="preserve"> </w:t>
      </w:r>
      <w:proofErr w:type="spellStart"/>
      <w:r>
        <w:rPr>
          <w:rStyle w:val="ffline"/>
        </w:rPr>
        <w:t>taaaggacac</w:t>
      </w:r>
      <w:proofErr w:type="spellEnd"/>
    </w:p>
    <w:p w14:paraId="7C6D5B98" w14:textId="77777777" w:rsidR="00F5628C" w:rsidRDefault="00F5628C" w:rsidP="00F5628C">
      <w:pPr>
        <w:pStyle w:val="HTMLPreformatted"/>
      </w:pPr>
      <w:proofErr w:type="spellStart"/>
      <w:r>
        <w:rPr>
          <w:rStyle w:val="ffline"/>
        </w:rPr>
        <w:t>gatgctaaac</w:t>
      </w:r>
      <w:proofErr w:type="spellEnd"/>
      <w:r>
        <w:rPr>
          <w:rStyle w:val="ffline"/>
        </w:rPr>
        <w:t xml:space="preserve"> </w:t>
      </w:r>
      <w:proofErr w:type="spellStart"/>
      <w:r>
        <w:rPr>
          <w:rStyle w:val="ffline"/>
        </w:rPr>
        <w:t>ctgatgcctt</w:t>
      </w:r>
      <w:proofErr w:type="spellEnd"/>
      <w:r>
        <w:rPr>
          <w:rStyle w:val="ffline"/>
        </w:rPr>
        <w:t xml:space="preserve"> </w:t>
      </w:r>
      <w:proofErr w:type="spellStart"/>
      <w:r>
        <w:rPr>
          <w:rStyle w:val="ffline"/>
        </w:rPr>
        <w:t>aacacgtatt</w:t>
      </w:r>
      <w:proofErr w:type="spellEnd"/>
      <w:r>
        <w:rPr>
          <w:rStyle w:val="ffline"/>
        </w:rPr>
        <w:t xml:space="preserve"> </w:t>
      </w:r>
      <w:proofErr w:type="spellStart"/>
      <w:r>
        <w:rPr>
          <w:rStyle w:val="ffline"/>
        </w:rPr>
        <w:t>atgaatcgtg</w:t>
      </w:r>
      <w:proofErr w:type="spellEnd"/>
      <w:r>
        <w:rPr>
          <w:rStyle w:val="ffline"/>
        </w:rPr>
        <w:t xml:space="preserve"> </w:t>
      </w:r>
      <w:proofErr w:type="spellStart"/>
      <w:r>
        <w:rPr>
          <w:rStyle w:val="ffline"/>
        </w:rPr>
        <w:t>tattcggtcg</w:t>
      </w:r>
      <w:proofErr w:type="spellEnd"/>
      <w:r>
        <w:rPr>
          <w:rStyle w:val="ffline"/>
        </w:rPr>
        <w:t xml:space="preserve"> </w:t>
      </w:r>
      <w:proofErr w:type="spellStart"/>
      <w:r>
        <w:rPr>
          <w:rStyle w:val="ffline"/>
        </w:rPr>
        <w:t>tttctttgca</w:t>
      </w:r>
      <w:proofErr w:type="spellEnd"/>
    </w:p>
    <w:p w14:paraId="0A5FC514" w14:textId="77777777" w:rsidR="00F5628C" w:rsidRDefault="00F5628C" w:rsidP="00F5628C">
      <w:pPr>
        <w:pStyle w:val="HTMLPreformatted"/>
      </w:pPr>
      <w:proofErr w:type="spellStart"/>
      <w:r>
        <w:rPr>
          <w:rStyle w:val="ffline"/>
        </w:rPr>
        <w:t>ctgtttaacc</w:t>
      </w:r>
      <w:proofErr w:type="spellEnd"/>
      <w:r>
        <w:rPr>
          <w:rStyle w:val="ffline"/>
        </w:rPr>
        <w:t xml:space="preserve"> </w:t>
      </w:r>
      <w:proofErr w:type="spellStart"/>
      <w:r>
        <w:rPr>
          <w:rStyle w:val="ffline"/>
        </w:rPr>
        <w:t>gtgtgttttc</w:t>
      </w:r>
      <w:proofErr w:type="spellEnd"/>
      <w:r>
        <w:rPr>
          <w:rStyle w:val="ffline"/>
        </w:rPr>
        <w:t xml:space="preserve"> </w:t>
      </w:r>
      <w:proofErr w:type="spellStart"/>
      <w:r>
        <w:rPr>
          <w:rStyle w:val="ffline"/>
        </w:rPr>
        <w:t>acgtgcttca</w:t>
      </w:r>
      <w:proofErr w:type="spellEnd"/>
      <w:r>
        <w:rPr>
          <w:rStyle w:val="ffline"/>
        </w:rPr>
        <w:t xml:space="preserve"> </w:t>
      </w:r>
      <w:proofErr w:type="spellStart"/>
      <w:r>
        <w:rPr>
          <w:rStyle w:val="ffline"/>
        </w:rPr>
        <w:t>gaccgttata</w:t>
      </w:r>
      <w:proofErr w:type="spellEnd"/>
      <w:r>
        <w:rPr>
          <w:rStyle w:val="ffline"/>
        </w:rPr>
        <w:t xml:space="preserve"> </w:t>
      </w:r>
      <w:proofErr w:type="spellStart"/>
      <w:r>
        <w:rPr>
          <w:rStyle w:val="ffline"/>
        </w:rPr>
        <w:t>gtcaaggcgt</w:t>
      </w:r>
      <w:proofErr w:type="spellEnd"/>
      <w:r>
        <w:rPr>
          <w:rStyle w:val="ffline"/>
        </w:rPr>
        <w:t xml:space="preserve"> </w:t>
      </w:r>
      <w:proofErr w:type="spellStart"/>
      <w:r>
        <w:rPr>
          <w:rStyle w:val="ffline"/>
        </w:rPr>
        <w:t>cagccgtgtc</w:t>
      </w:r>
      <w:proofErr w:type="spellEnd"/>
    </w:p>
    <w:p w14:paraId="17184CE3" w14:textId="77777777" w:rsidR="00F5628C" w:rsidRDefault="00F5628C" w:rsidP="00F5628C">
      <w:pPr>
        <w:pStyle w:val="HTMLPreformatted"/>
      </w:pPr>
      <w:proofErr w:type="spellStart"/>
      <w:r>
        <w:rPr>
          <w:rStyle w:val="ffline"/>
        </w:rPr>
        <w:t>atttcccata</w:t>
      </w:r>
      <w:proofErr w:type="spellEnd"/>
      <w:r>
        <w:rPr>
          <w:rStyle w:val="ffline"/>
        </w:rPr>
        <w:t xml:space="preserve"> </w:t>
      </w:r>
      <w:proofErr w:type="spellStart"/>
      <w:r>
        <w:rPr>
          <w:rStyle w:val="ffline"/>
        </w:rPr>
        <w:t>aagcttcggc</w:t>
      </w:r>
      <w:proofErr w:type="spellEnd"/>
      <w:r>
        <w:rPr>
          <w:rStyle w:val="ffline"/>
        </w:rPr>
        <w:t xml:space="preserve"> </w:t>
      </w:r>
      <w:proofErr w:type="spellStart"/>
      <w:r>
        <w:rPr>
          <w:rStyle w:val="ffline"/>
        </w:rPr>
        <w:t>aatgggtgtc</w:t>
      </w:r>
      <w:proofErr w:type="spellEnd"/>
      <w:r>
        <w:rPr>
          <w:rStyle w:val="ffline"/>
        </w:rPr>
        <w:t xml:space="preserve"> </w:t>
      </w:r>
      <w:proofErr w:type="spellStart"/>
      <w:r>
        <w:rPr>
          <w:rStyle w:val="ffline"/>
        </w:rPr>
        <w:t>tatgcagcac</w:t>
      </w:r>
      <w:proofErr w:type="spellEnd"/>
      <w:r>
        <w:rPr>
          <w:rStyle w:val="ffline"/>
        </w:rPr>
        <w:t xml:space="preserve"> </w:t>
      </w:r>
      <w:proofErr w:type="spellStart"/>
      <w:r>
        <w:rPr>
          <w:rStyle w:val="ffline"/>
        </w:rPr>
        <w:t>ttctaggttt</w:t>
      </w:r>
      <w:proofErr w:type="spellEnd"/>
      <w:r>
        <w:rPr>
          <w:rStyle w:val="ffline"/>
        </w:rPr>
        <w:t xml:space="preserve"> </w:t>
      </w:r>
      <w:proofErr w:type="spellStart"/>
      <w:r>
        <w:rPr>
          <w:rStyle w:val="ffline"/>
        </w:rPr>
        <w:t>aaccgttggt</w:t>
      </w:r>
      <w:proofErr w:type="spellEnd"/>
    </w:p>
    <w:p w14:paraId="1A4A51EC" w14:textId="77777777" w:rsidR="00F5628C" w:rsidRDefault="00F5628C" w:rsidP="00F5628C">
      <w:pPr>
        <w:pStyle w:val="HTMLPreformatted"/>
      </w:pPr>
      <w:proofErr w:type="spellStart"/>
      <w:r>
        <w:rPr>
          <w:rStyle w:val="ffline"/>
        </w:rPr>
        <w:t>atttcctata</w:t>
      </w:r>
      <w:proofErr w:type="spellEnd"/>
      <w:r>
        <w:rPr>
          <w:rStyle w:val="ffline"/>
        </w:rPr>
        <w:t xml:space="preserve"> </w:t>
      </w:r>
      <w:proofErr w:type="spellStart"/>
      <w:r>
        <w:rPr>
          <w:rStyle w:val="ffline"/>
        </w:rPr>
        <w:t>ttgttccggg</w:t>
      </w:r>
      <w:proofErr w:type="spellEnd"/>
      <w:r>
        <w:rPr>
          <w:rStyle w:val="ffline"/>
        </w:rPr>
        <w:t xml:space="preserve"> </w:t>
      </w:r>
      <w:proofErr w:type="spellStart"/>
      <w:r>
        <w:rPr>
          <w:rStyle w:val="ffline"/>
        </w:rPr>
        <w:t>cggtttcgtt</w:t>
      </w:r>
      <w:proofErr w:type="spellEnd"/>
      <w:r>
        <w:rPr>
          <w:rStyle w:val="ffline"/>
        </w:rPr>
        <w:t xml:space="preserve"> </w:t>
      </w:r>
      <w:proofErr w:type="spellStart"/>
      <w:r>
        <w:rPr>
          <w:rStyle w:val="ffline"/>
        </w:rPr>
        <w:t>cctgcgcagg</w:t>
      </w:r>
      <w:proofErr w:type="spellEnd"/>
      <w:r>
        <w:rPr>
          <w:rStyle w:val="ffline"/>
        </w:rPr>
        <w:t xml:space="preserve"> </w:t>
      </w:r>
      <w:proofErr w:type="spellStart"/>
      <w:r>
        <w:rPr>
          <w:rStyle w:val="ffline"/>
        </w:rPr>
        <w:t>acaaacaata</w:t>
      </w:r>
      <w:proofErr w:type="spellEnd"/>
      <w:r>
        <w:rPr>
          <w:rStyle w:val="ffline"/>
        </w:rPr>
        <w:t xml:space="preserve"> </w:t>
      </w:r>
      <w:proofErr w:type="spellStart"/>
      <w:r>
        <w:rPr>
          <w:rStyle w:val="ffline"/>
        </w:rPr>
        <w:t>tttaattagc</w:t>
      </w:r>
      <w:proofErr w:type="spellEnd"/>
    </w:p>
    <w:p w14:paraId="303579B7" w14:textId="77777777" w:rsidR="00F5628C" w:rsidRDefault="00F5628C" w:rsidP="00F5628C">
      <w:pPr>
        <w:pStyle w:val="HTMLPreformatted"/>
      </w:pPr>
      <w:proofErr w:type="spellStart"/>
      <w:r>
        <w:rPr>
          <w:rStyle w:val="ffline"/>
        </w:rPr>
        <w:t>tttgcgcagc</w:t>
      </w:r>
      <w:proofErr w:type="spellEnd"/>
      <w:r>
        <w:rPr>
          <w:rStyle w:val="ffline"/>
        </w:rPr>
        <w:t xml:space="preserve"> </w:t>
      </w:r>
      <w:proofErr w:type="spellStart"/>
      <w:r>
        <w:rPr>
          <w:rStyle w:val="ffline"/>
        </w:rPr>
        <w:t>taccaaacgg</w:t>
      </w:r>
      <w:proofErr w:type="spellEnd"/>
      <w:r>
        <w:rPr>
          <w:rStyle w:val="ffline"/>
        </w:rPr>
        <w:t xml:space="preserve"> </w:t>
      </w:r>
      <w:proofErr w:type="spellStart"/>
      <w:r>
        <w:rPr>
          <w:rStyle w:val="ffline"/>
        </w:rPr>
        <w:t>cgcatcatta</w:t>
      </w:r>
      <w:proofErr w:type="spellEnd"/>
      <w:r>
        <w:rPr>
          <w:rStyle w:val="ffline"/>
        </w:rPr>
        <w:t xml:space="preserve"> </w:t>
      </w:r>
      <w:proofErr w:type="spellStart"/>
      <w:r>
        <w:rPr>
          <w:rStyle w:val="ffline"/>
        </w:rPr>
        <w:t>gatcgtaccg</w:t>
      </w:r>
      <w:proofErr w:type="spellEnd"/>
      <w:r>
        <w:rPr>
          <w:rStyle w:val="ffline"/>
        </w:rPr>
        <w:t xml:space="preserve"> </w:t>
      </w:r>
      <w:proofErr w:type="spellStart"/>
      <w:r>
        <w:rPr>
          <w:rStyle w:val="ffline"/>
        </w:rPr>
        <w:t>aagcagtcat</w:t>
      </w:r>
      <w:proofErr w:type="spellEnd"/>
      <w:r>
        <w:rPr>
          <w:rStyle w:val="ffline"/>
        </w:rPr>
        <w:t xml:space="preserve"> </w:t>
      </w:r>
      <w:proofErr w:type="spellStart"/>
      <w:r>
        <w:rPr>
          <w:rStyle w:val="ffline"/>
        </w:rPr>
        <w:t>tcgtaaaatg</w:t>
      </w:r>
      <w:proofErr w:type="spellEnd"/>
    </w:p>
    <w:p w14:paraId="0E8B370D" w14:textId="77777777" w:rsidR="00F5628C" w:rsidRDefault="00F5628C" w:rsidP="00F5628C">
      <w:pPr>
        <w:pStyle w:val="HTMLPreformatted"/>
      </w:pPr>
      <w:proofErr w:type="spellStart"/>
      <w:r>
        <w:rPr>
          <w:rStyle w:val="ffline"/>
        </w:rPr>
        <w:t>agtgacactg</w:t>
      </w:r>
      <w:proofErr w:type="spellEnd"/>
      <w:r>
        <w:rPr>
          <w:rStyle w:val="ffline"/>
        </w:rPr>
        <w:t xml:space="preserve"> </w:t>
      </w:r>
      <w:proofErr w:type="spellStart"/>
      <w:r>
        <w:rPr>
          <w:rStyle w:val="ffline"/>
        </w:rPr>
        <w:t>cacttaaaca</w:t>
      </w:r>
      <w:proofErr w:type="spellEnd"/>
      <w:r>
        <w:rPr>
          <w:rStyle w:val="ffline"/>
        </w:rPr>
        <w:t xml:space="preserve"> </w:t>
      </w:r>
      <w:proofErr w:type="spellStart"/>
      <w:r>
        <w:rPr>
          <w:rStyle w:val="ffline"/>
        </w:rPr>
        <w:t>gcctggtgta</w:t>
      </w:r>
      <w:proofErr w:type="spellEnd"/>
      <w:r>
        <w:rPr>
          <w:rStyle w:val="ffline"/>
        </w:rPr>
        <w:t xml:space="preserve"> </w:t>
      </w:r>
      <w:proofErr w:type="spellStart"/>
      <w:r>
        <w:rPr>
          <w:rStyle w:val="ffline"/>
        </w:rPr>
        <w:t>gaaagtgctg</w:t>
      </w:r>
      <w:proofErr w:type="spellEnd"/>
      <w:r>
        <w:rPr>
          <w:rStyle w:val="ffline"/>
        </w:rPr>
        <w:t xml:space="preserve"> </w:t>
      </w:r>
      <w:proofErr w:type="spellStart"/>
      <w:r>
        <w:rPr>
          <w:rStyle w:val="ffline"/>
        </w:rPr>
        <w:t>ttgccttccc</w:t>
      </w:r>
      <w:proofErr w:type="spellEnd"/>
      <w:r>
        <w:rPr>
          <w:rStyle w:val="ffline"/>
        </w:rPr>
        <w:t xml:space="preserve"> </w:t>
      </w:r>
      <w:proofErr w:type="spellStart"/>
      <w:r>
        <w:rPr>
          <w:rStyle w:val="ffline"/>
        </w:rPr>
        <w:t>tggcctctca</w:t>
      </w:r>
      <w:proofErr w:type="spellEnd"/>
    </w:p>
    <w:p w14:paraId="0DCBB1D6" w14:textId="77777777" w:rsidR="00F5628C" w:rsidRDefault="00F5628C" w:rsidP="00F5628C">
      <w:pPr>
        <w:pStyle w:val="HTMLPreformatted"/>
      </w:pPr>
      <w:proofErr w:type="spellStart"/>
      <w:r>
        <w:rPr>
          <w:rStyle w:val="ffline"/>
        </w:rPr>
        <w:t>attaatggtt</w:t>
      </w:r>
      <w:proofErr w:type="spellEnd"/>
      <w:r>
        <w:rPr>
          <w:rStyle w:val="ffline"/>
        </w:rPr>
        <w:t xml:space="preserve"> </w:t>
      </w:r>
      <w:proofErr w:type="spellStart"/>
      <w:r>
        <w:rPr>
          <w:rStyle w:val="ffline"/>
        </w:rPr>
        <w:t>tcaccaatag</w:t>
      </w:r>
      <w:proofErr w:type="spellEnd"/>
      <w:r>
        <w:rPr>
          <w:rStyle w:val="ffline"/>
        </w:rPr>
        <w:t xml:space="preserve"> </w:t>
      </w:r>
      <w:proofErr w:type="spellStart"/>
      <w:r>
        <w:rPr>
          <w:rStyle w:val="ffline"/>
        </w:rPr>
        <w:t>ctctagcgct</w:t>
      </w:r>
      <w:proofErr w:type="spellEnd"/>
      <w:r>
        <w:rPr>
          <w:rStyle w:val="ffline"/>
        </w:rPr>
        <w:t xml:space="preserve"> </w:t>
      </w:r>
      <w:proofErr w:type="spellStart"/>
      <w:r>
        <w:rPr>
          <w:rStyle w:val="ffline"/>
        </w:rPr>
        <w:t>ggtattgtct</w:t>
      </w:r>
      <w:proofErr w:type="spellEnd"/>
      <w:r>
        <w:rPr>
          <w:rStyle w:val="ffline"/>
        </w:rPr>
        <w:t xml:space="preserve"> </w:t>
      </w:r>
      <w:proofErr w:type="spellStart"/>
      <w:r>
        <w:rPr>
          <w:rStyle w:val="ffline"/>
        </w:rPr>
        <w:t>ttgtgacttt</w:t>
      </w:r>
      <w:proofErr w:type="spellEnd"/>
      <w:r>
        <w:rPr>
          <w:rStyle w:val="ffline"/>
        </w:rPr>
        <w:t xml:space="preserve"> </w:t>
      </w:r>
      <w:proofErr w:type="spellStart"/>
      <w:r>
        <w:rPr>
          <w:rStyle w:val="ffline"/>
        </w:rPr>
        <w:t>aaagccattt</w:t>
      </w:r>
      <w:proofErr w:type="spellEnd"/>
    </w:p>
    <w:p w14:paraId="5A72167D" w14:textId="77777777" w:rsidR="00F5628C" w:rsidRDefault="00F5628C" w:rsidP="00F5628C">
      <w:pPr>
        <w:pStyle w:val="HTMLPreformatted"/>
      </w:pPr>
      <w:proofErr w:type="spellStart"/>
      <w:r>
        <w:rPr>
          <w:rStyle w:val="ffline"/>
        </w:rPr>
        <w:t>gatgaacgta</w:t>
      </w:r>
      <w:proofErr w:type="spellEnd"/>
      <w:r>
        <w:rPr>
          <w:rStyle w:val="ffline"/>
        </w:rPr>
        <w:t xml:space="preserve"> </w:t>
      </w:r>
      <w:proofErr w:type="spellStart"/>
      <w:r>
        <w:rPr>
          <w:rStyle w:val="ffline"/>
        </w:rPr>
        <w:t>aggcaaaaga</w:t>
      </w:r>
      <w:proofErr w:type="spellEnd"/>
      <w:r>
        <w:rPr>
          <w:rStyle w:val="ffline"/>
        </w:rPr>
        <w:t xml:space="preserve"> </w:t>
      </w:r>
      <w:proofErr w:type="spellStart"/>
      <w:r>
        <w:rPr>
          <w:rStyle w:val="ffline"/>
        </w:rPr>
        <w:t>cttatctgca</w:t>
      </w:r>
      <w:proofErr w:type="spellEnd"/>
      <w:r>
        <w:rPr>
          <w:rStyle w:val="ffline"/>
        </w:rPr>
        <w:t xml:space="preserve"> </w:t>
      </w:r>
      <w:proofErr w:type="spellStart"/>
      <w:r>
        <w:rPr>
          <w:rStyle w:val="ffline"/>
        </w:rPr>
        <w:t>aatgcaattg</w:t>
      </w:r>
      <w:proofErr w:type="spellEnd"/>
      <w:r>
        <w:rPr>
          <w:rStyle w:val="ffline"/>
        </w:rPr>
        <w:t xml:space="preserve"> </w:t>
      </w:r>
      <w:proofErr w:type="spellStart"/>
      <w:r>
        <w:rPr>
          <w:rStyle w:val="ffline"/>
        </w:rPr>
        <w:t>caggtgcgct</w:t>
      </w:r>
      <w:proofErr w:type="spellEnd"/>
      <w:r>
        <w:rPr>
          <w:rStyle w:val="ffline"/>
        </w:rPr>
        <w:t xml:space="preserve"> </w:t>
      </w:r>
      <w:proofErr w:type="spellStart"/>
      <w:r>
        <w:rPr>
          <w:rStyle w:val="ffline"/>
        </w:rPr>
        <w:t>caaccagaaa</w:t>
      </w:r>
      <w:proofErr w:type="spellEnd"/>
    </w:p>
    <w:p w14:paraId="65D598A4" w14:textId="77777777" w:rsidR="00F5628C" w:rsidRDefault="00F5628C" w:rsidP="00F5628C">
      <w:pPr>
        <w:pStyle w:val="HTMLPreformatted"/>
      </w:pPr>
      <w:proofErr w:type="spellStart"/>
      <w:r>
        <w:rPr>
          <w:rStyle w:val="ffline"/>
        </w:rPr>
        <w:t>tattcagcta</w:t>
      </w:r>
      <w:proofErr w:type="spellEnd"/>
      <w:r>
        <w:rPr>
          <w:rStyle w:val="ffline"/>
        </w:rPr>
        <w:t xml:space="preserve"> </w:t>
      </w:r>
      <w:proofErr w:type="spellStart"/>
      <w:r>
        <w:rPr>
          <w:rStyle w:val="ffline"/>
        </w:rPr>
        <w:t>ttcaagatgc</w:t>
      </w:r>
      <w:proofErr w:type="spellEnd"/>
      <w:r>
        <w:rPr>
          <w:rStyle w:val="ffline"/>
        </w:rPr>
        <w:t xml:space="preserve"> </w:t>
      </w:r>
      <w:proofErr w:type="spellStart"/>
      <w:r>
        <w:rPr>
          <w:rStyle w:val="ffline"/>
        </w:rPr>
        <w:t>ctatatcgcg</w:t>
      </w:r>
      <w:proofErr w:type="spellEnd"/>
      <w:r>
        <w:rPr>
          <w:rStyle w:val="ffline"/>
        </w:rPr>
        <w:t xml:space="preserve"> </w:t>
      </w:r>
      <w:proofErr w:type="spellStart"/>
      <w:r>
        <w:rPr>
          <w:rStyle w:val="ffline"/>
        </w:rPr>
        <w:t>gttttcccac</w:t>
      </w:r>
      <w:proofErr w:type="spellEnd"/>
      <w:r>
        <w:rPr>
          <w:rStyle w:val="ffline"/>
        </w:rPr>
        <w:t xml:space="preserve"> </w:t>
      </w:r>
      <w:proofErr w:type="spellStart"/>
      <w:r>
        <w:rPr>
          <w:rStyle w:val="ffline"/>
        </w:rPr>
        <w:t>caccaccagt</w:t>
      </w:r>
      <w:proofErr w:type="spellEnd"/>
      <w:r>
        <w:rPr>
          <w:rStyle w:val="ffline"/>
        </w:rPr>
        <w:t xml:space="preserve"> </w:t>
      </w:r>
      <w:proofErr w:type="spellStart"/>
      <w:r>
        <w:rPr>
          <w:rStyle w:val="ffline"/>
        </w:rPr>
        <w:t>gatgggctta</w:t>
      </w:r>
      <w:proofErr w:type="spellEnd"/>
    </w:p>
    <w:p w14:paraId="4E4DC69C" w14:textId="77777777" w:rsidR="00F5628C" w:rsidRDefault="00F5628C" w:rsidP="00F5628C">
      <w:pPr>
        <w:pStyle w:val="HTMLPreformatted"/>
      </w:pPr>
      <w:proofErr w:type="spellStart"/>
      <w:r>
        <w:rPr>
          <w:rStyle w:val="ffline"/>
        </w:rPr>
        <w:t>ggtactatgg</w:t>
      </w:r>
      <w:proofErr w:type="spellEnd"/>
      <w:r>
        <w:rPr>
          <w:rStyle w:val="ffline"/>
        </w:rPr>
        <w:t xml:space="preserve"> </w:t>
      </w:r>
      <w:proofErr w:type="spellStart"/>
      <w:r>
        <w:rPr>
          <w:rStyle w:val="ffline"/>
        </w:rPr>
        <w:t>gcggctttaa</w:t>
      </w:r>
      <w:proofErr w:type="spellEnd"/>
      <w:r>
        <w:rPr>
          <w:rStyle w:val="ffline"/>
        </w:rPr>
        <w:t xml:space="preserve"> </w:t>
      </w:r>
      <w:proofErr w:type="spellStart"/>
      <w:r>
        <w:rPr>
          <w:rStyle w:val="ffline"/>
        </w:rPr>
        <w:t>actgcaactt</w:t>
      </w:r>
      <w:proofErr w:type="spellEnd"/>
      <w:r>
        <w:rPr>
          <w:rStyle w:val="ffline"/>
        </w:rPr>
        <w:t xml:space="preserve"> </w:t>
      </w:r>
      <w:proofErr w:type="spellStart"/>
      <w:r>
        <w:rPr>
          <w:rStyle w:val="ffline"/>
        </w:rPr>
        <w:t>gaagaccgag</w:t>
      </w:r>
      <w:proofErr w:type="spellEnd"/>
      <w:r>
        <w:rPr>
          <w:rStyle w:val="ffline"/>
        </w:rPr>
        <w:t xml:space="preserve"> </w:t>
      </w:r>
      <w:proofErr w:type="spellStart"/>
      <w:r>
        <w:rPr>
          <w:rStyle w:val="ffline"/>
        </w:rPr>
        <w:t>gtgccttagg</w:t>
      </w:r>
      <w:proofErr w:type="spellEnd"/>
      <w:r>
        <w:rPr>
          <w:rStyle w:val="ffline"/>
        </w:rPr>
        <w:t xml:space="preserve"> </w:t>
      </w:r>
      <w:proofErr w:type="spellStart"/>
      <w:r>
        <w:rPr>
          <w:rStyle w:val="ffline"/>
        </w:rPr>
        <w:t>ctattcagcc</w:t>
      </w:r>
      <w:proofErr w:type="spellEnd"/>
    </w:p>
    <w:p w14:paraId="18C93241" w14:textId="77777777" w:rsidR="00F5628C" w:rsidRDefault="00F5628C" w:rsidP="00F5628C">
      <w:pPr>
        <w:pStyle w:val="HTMLPreformatted"/>
      </w:pPr>
      <w:proofErr w:type="spellStart"/>
      <w:r>
        <w:rPr>
          <w:rStyle w:val="ffline"/>
        </w:rPr>
        <w:t>ttgaacgatg</w:t>
      </w:r>
      <w:proofErr w:type="spellEnd"/>
      <w:r>
        <w:rPr>
          <w:rStyle w:val="ffline"/>
        </w:rPr>
        <w:t xml:space="preserve"> </w:t>
      </w:r>
      <w:proofErr w:type="spellStart"/>
      <w:r>
        <w:rPr>
          <w:rStyle w:val="ffline"/>
        </w:rPr>
        <w:t>ctgctcaaaa</w:t>
      </w:r>
      <w:proofErr w:type="spellEnd"/>
      <w:r>
        <w:rPr>
          <w:rStyle w:val="ffline"/>
        </w:rPr>
        <w:t xml:space="preserve"> </w:t>
      </w:r>
      <w:proofErr w:type="spellStart"/>
      <w:r>
        <w:rPr>
          <w:rStyle w:val="ffline"/>
        </w:rPr>
        <w:t>ctttatgaag</w:t>
      </w:r>
      <w:proofErr w:type="spellEnd"/>
      <w:r>
        <w:rPr>
          <w:rStyle w:val="ffline"/>
        </w:rPr>
        <w:t xml:space="preserve"> </w:t>
      </w:r>
      <w:proofErr w:type="spellStart"/>
      <w:r>
        <w:rPr>
          <w:rStyle w:val="ffline"/>
        </w:rPr>
        <w:t>gcagcacaat</w:t>
      </w:r>
      <w:proofErr w:type="spellEnd"/>
      <w:r>
        <w:rPr>
          <w:rStyle w:val="ffline"/>
        </w:rPr>
        <w:t xml:space="preserve"> </w:t>
      </w:r>
      <w:proofErr w:type="spellStart"/>
      <w:r>
        <w:rPr>
          <w:rStyle w:val="ffline"/>
        </w:rPr>
        <w:t>cagcccctga</w:t>
      </w:r>
      <w:proofErr w:type="spellEnd"/>
      <w:r>
        <w:rPr>
          <w:rStyle w:val="ffline"/>
        </w:rPr>
        <w:t xml:space="preserve"> </w:t>
      </w:r>
      <w:proofErr w:type="spellStart"/>
      <w:r>
        <w:rPr>
          <w:rStyle w:val="ffline"/>
        </w:rPr>
        <w:t>acttggtcca</w:t>
      </w:r>
      <w:proofErr w:type="spellEnd"/>
    </w:p>
    <w:p w14:paraId="7999AA72" w14:textId="77777777" w:rsidR="00F5628C" w:rsidRDefault="00F5628C" w:rsidP="00F5628C">
      <w:pPr>
        <w:pStyle w:val="HTMLPreformatted"/>
      </w:pPr>
      <w:proofErr w:type="spellStart"/>
      <w:r>
        <w:rPr>
          <w:rStyle w:val="ffline"/>
        </w:rPr>
        <w:t>atgttctcaa</w:t>
      </w:r>
      <w:proofErr w:type="spellEnd"/>
      <w:r>
        <w:rPr>
          <w:rStyle w:val="ffline"/>
        </w:rPr>
        <w:t xml:space="preserve"> </w:t>
      </w:r>
      <w:proofErr w:type="spellStart"/>
      <w:r>
        <w:rPr>
          <w:rStyle w:val="ffline"/>
        </w:rPr>
        <w:t>gttatcaaat</w:t>
      </w:r>
      <w:proofErr w:type="spellEnd"/>
      <w:r>
        <w:rPr>
          <w:rStyle w:val="ffline"/>
        </w:rPr>
        <w:t xml:space="preserve"> </w:t>
      </w:r>
      <w:proofErr w:type="spellStart"/>
      <w:r>
        <w:rPr>
          <w:rStyle w:val="ffline"/>
        </w:rPr>
        <w:t>taacgtgcct</w:t>
      </w:r>
      <w:proofErr w:type="spellEnd"/>
      <w:r>
        <w:rPr>
          <w:rStyle w:val="ffline"/>
        </w:rPr>
        <w:t xml:space="preserve"> </w:t>
      </w:r>
      <w:proofErr w:type="spellStart"/>
      <w:r>
        <w:rPr>
          <w:rStyle w:val="ffline"/>
        </w:rPr>
        <w:t>caactcaatg</w:t>
      </w:r>
      <w:proofErr w:type="spellEnd"/>
      <w:r>
        <w:rPr>
          <w:rStyle w:val="ffline"/>
        </w:rPr>
        <w:t xml:space="preserve"> </w:t>
      </w:r>
      <w:proofErr w:type="spellStart"/>
      <w:r>
        <w:rPr>
          <w:rStyle w:val="ffline"/>
        </w:rPr>
        <w:t>tagatctgga</w:t>
      </w:r>
      <w:proofErr w:type="spellEnd"/>
      <w:r>
        <w:rPr>
          <w:rStyle w:val="ffline"/>
        </w:rPr>
        <w:t xml:space="preserve"> </w:t>
      </w:r>
      <w:proofErr w:type="spellStart"/>
      <w:r>
        <w:rPr>
          <w:rStyle w:val="ffline"/>
        </w:rPr>
        <w:t>ccgtgtaaaa</w:t>
      </w:r>
      <w:proofErr w:type="spellEnd"/>
    </w:p>
    <w:p w14:paraId="172CD885" w14:textId="77777777" w:rsidR="00F5628C" w:rsidRDefault="00F5628C" w:rsidP="00F5628C">
      <w:pPr>
        <w:pStyle w:val="HTMLPreformatted"/>
      </w:pPr>
      <w:proofErr w:type="spellStart"/>
      <w:r>
        <w:rPr>
          <w:rStyle w:val="ffline"/>
        </w:rPr>
        <w:t>gctaaacagc</w:t>
      </w:r>
      <w:proofErr w:type="spellEnd"/>
      <w:r>
        <w:rPr>
          <w:rStyle w:val="ffline"/>
        </w:rPr>
        <w:t xml:space="preserve"> </w:t>
      </w:r>
      <w:proofErr w:type="spellStart"/>
      <w:r>
        <w:rPr>
          <w:rStyle w:val="ffline"/>
        </w:rPr>
        <w:t>aaggcgttgc</w:t>
      </w:r>
      <w:proofErr w:type="spellEnd"/>
      <w:r>
        <w:rPr>
          <w:rStyle w:val="ffline"/>
        </w:rPr>
        <w:t xml:space="preserve"> </w:t>
      </w:r>
      <w:proofErr w:type="spellStart"/>
      <w:r>
        <w:rPr>
          <w:rStyle w:val="ffline"/>
        </w:rPr>
        <w:t>tgtgacagat</w:t>
      </w:r>
      <w:proofErr w:type="spellEnd"/>
      <w:r>
        <w:rPr>
          <w:rStyle w:val="ffline"/>
        </w:rPr>
        <w:t xml:space="preserve"> </w:t>
      </w:r>
      <w:proofErr w:type="spellStart"/>
      <w:r>
        <w:rPr>
          <w:rStyle w:val="ffline"/>
        </w:rPr>
        <w:t>gttttcaaca</w:t>
      </w:r>
      <w:proofErr w:type="spellEnd"/>
      <w:r>
        <w:rPr>
          <w:rStyle w:val="ffline"/>
        </w:rPr>
        <w:t xml:space="preserve"> </w:t>
      </w:r>
      <w:proofErr w:type="spellStart"/>
      <w:r>
        <w:rPr>
          <w:rStyle w:val="ffline"/>
        </w:rPr>
        <w:t>ctatgcagat</w:t>
      </w:r>
      <w:proofErr w:type="spellEnd"/>
      <w:r>
        <w:rPr>
          <w:rStyle w:val="ffline"/>
        </w:rPr>
        <w:t xml:space="preserve"> </w:t>
      </w:r>
      <w:proofErr w:type="spellStart"/>
      <w:r>
        <w:rPr>
          <w:rStyle w:val="ffline"/>
        </w:rPr>
        <w:t>ttatttaggt</w:t>
      </w:r>
      <w:proofErr w:type="spellEnd"/>
    </w:p>
    <w:p w14:paraId="2E7B1898" w14:textId="77777777" w:rsidR="00F5628C" w:rsidRDefault="00F5628C" w:rsidP="00F5628C">
      <w:pPr>
        <w:pStyle w:val="HTMLPreformatted"/>
      </w:pPr>
      <w:proofErr w:type="spellStart"/>
      <w:r>
        <w:rPr>
          <w:rStyle w:val="ffline"/>
        </w:rPr>
        <w:t>tctcagtacg</w:t>
      </w:r>
      <w:proofErr w:type="spellEnd"/>
      <w:r>
        <w:rPr>
          <w:rStyle w:val="ffline"/>
        </w:rPr>
        <w:t xml:space="preserve"> </w:t>
      </w:r>
      <w:proofErr w:type="spellStart"/>
      <w:r>
        <w:rPr>
          <w:rStyle w:val="ffline"/>
        </w:rPr>
        <w:t>ttaacgactt</w:t>
      </w:r>
      <w:proofErr w:type="spellEnd"/>
      <w:r>
        <w:rPr>
          <w:rStyle w:val="ffline"/>
        </w:rPr>
        <w:t xml:space="preserve"> </w:t>
      </w:r>
      <w:proofErr w:type="spellStart"/>
      <w:r>
        <w:rPr>
          <w:rStyle w:val="ffline"/>
        </w:rPr>
        <w:t>taaccgtttt</w:t>
      </w:r>
      <w:proofErr w:type="spellEnd"/>
      <w:r>
        <w:rPr>
          <w:rStyle w:val="ffline"/>
        </w:rPr>
        <w:t xml:space="preserve"> </w:t>
      </w:r>
      <w:proofErr w:type="spellStart"/>
      <w:r>
        <w:rPr>
          <w:rStyle w:val="ffline"/>
        </w:rPr>
        <w:t>ggacgtgttt</w:t>
      </w:r>
      <w:proofErr w:type="spellEnd"/>
      <w:r>
        <w:rPr>
          <w:rStyle w:val="ffline"/>
        </w:rPr>
        <w:t xml:space="preserve"> </w:t>
      </w:r>
      <w:proofErr w:type="spellStart"/>
      <w:r>
        <w:rPr>
          <w:rStyle w:val="ffline"/>
        </w:rPr>
        <w:t>atcaggtccg</w:t>
      </w:r>
      <w:proofErr w:type="spellEnd"/>
      <w:r>
        <w:rPr>
          <w:rStyle w:val="ffline"/>
        </w:rPr>
        <w:t xml:space="preserve"> </w:t>
      </w:r>
      <w:proofErr w:type="spellStart"/>
      <w:r>
        <w:rPr>
          <w:rStyle w:val="ffline"/>
        </w:rPr>
        <w:t>tgcacaagcc</w:t>
      </w:r>
      <w:proofErr w:type="spellEnd"/>
    </w:p>
    <w:p w14:paraId="436B547D" w14:textId="77777777" w:rsidR="00F5628C" w:rsidRDefault="00F5628C" w:rsidP="00F5628C">
      <w:pPr>
        <w:pStyle w:val="HTMLPreformatted"/>
      </w:pPr>
      <w:proofErr w:type="spellStart"/>
      <w:r>
        <w:rPr>
          <w:rStyle w:val="ffline"/>
        </w:rPr>
        <w:lastRenderedPageBreak/>
        <w:t>gatgcgcctt</w:t>
      </w:r>
      <w:proofErr w:type="spellEnd"/>
      <w:r>
        <w:rPr>
          <w:rStyle w:val="ffline"/>
        </w:rPr>
        <w:t xml:space="preserve"> </w:t>
      </w:r>
      <w:proofErr w:type="spellStart"/>
      <w:r>
        <w:rPr>
          <w:rStyle w:val="ffline"/>
        </w:rPr>
        <w:t>tccgtgctaa</w:t>
      </w:r>
      <w:proofErr w:type="spellEnd"/>
      <w:r>
        <w:rPr>
          <w:rStyle w:val="ffline"/>
        </w:rPr>
        <w:t xml:space="preserve"> </w:t>
      </w:r>
      <w:proofErr w:type="spellStart"/>
      <w:r>
        <w:rPr>
          <w:rStyle w:val="ffline"/>
        </w:rPr>
        <w:t>ccctgaagat</w:t>
      </w:r>
      <w:proofErr w:type="spellEnd"/>
      <w:r>
        <w:rPr>
          <w:rStyle w:val="ffline"/>
        </w:rPr>
        <w:t xml:space="preserve"> </w:t>
      </w:r>
      <w:proofErr w:type="spellStart"/>
      <w:r>
        <w:rPr>
          <w:rStyle w:val="ffline"/>
        </w:rPr>
        <w:t>attttgcagc</w:t>
      </w:r>
      <w:proofErr w:type="spellEnd"/>
      <w:r>
        <w:rPr>
          <w:rStyle w:val="ffline"/>
        </w:rPr>
        <w:t xml:space="preserve"> </w:t>
      </w:r>
      <w:proofErr w:type="spellStart"/>
      <w:r>
        <w:rPr>
          <w:rStyle w:val="ffline"/>
        </w:rPr>
        <w:t>ttaaaacccg</w:t>
      </w:r>
      <w:proofErr w:type="spellEnd"/>
      <w:r>
        <w:rPr>
          <w:rStyle w:val="ffline"/>
        </w:rPr>
        <w:t xml:space="preserve"> </w:t>
      </w:r>
      <w:proofErr w:type="spellStart"/>
      <w:r>
        <w:rPr>
          <w:rStyle w:val="ffline"/>
        </w:rPr>
        <w:t>taatagtgcc</w:t>
      </w:r>
      <w:proofErr w:type="spellEnd"/>
    </w:p>
    <w:p w14:paraId="07950E04" w14:textId="77777777" w:rsidR="00F5628C" w:rsidRDefault="00F5628C" w:rsidP="00F5628C">
      <w:pPr>
        <w:pStyle w:val="HTMLPreformatted"/>
      </w:pPr>
      <w:proofErr w:type="spellStart"/>
      <w:r>
        <w:rPr>
          <w:rStyle w:val="ffline"/>
        </w:rPr>
        <w:t>ggacaaatgg</w:t>
      </w:r>
      <w:proofErr w:type="spellEnd"/>
      <w:r>
        <w:rPr>
          <w:rStyle w:val="ffline"/>
        </w:rPr>
        <w:t xml:space="preserve"> </w:t>
      </w:r>
      <w:proofErr w:type="spellStart"/>
      <w:r>
        <w:rPr>
          <w:rStyle w:val="ffline"/>
        </w:rPr>
        <w:t>tgccattatc</w:t>
      </w:r>
      <w:proofErr w:type="spellEnd"/>
      <w:r>
        <w:rPr>
          <w:rStyle w:val="ffline"/>
        </w:rPr>
        <w:t xml:space="preserve"> </w:t>
      </w:r>
      <w:proofErr w:type="spellStart"/>
      <w:r>
        <w:rPr>
          <w:rStyle w:val="ffline"/>
        </w:rPr>
        <w:t>ttcattggtg</w:t>
      </w:r>
      <w:proofErr w:type="spellEnd"/>
      <w:r>
        <w:rPr>
          <w:rStyle w:val="ffline"/>
        </w:rPr>
        <w:t xml:space="preserve"> </w:t>
      </w:r>
      <w:proofErr w:type="spellStart"/>
      <w:r>
        <w:rPr>
          <w:rStyle w:val="ffline"/>
        </w:rPr>
        <w:t>aatgtaactc</w:t>
      </w:r>
      <w:proofErr w:type="spellEnd"/>
      <w:r>
        <w:rPr>
          <w:rStyle w:val="ffline"/>
        </w:rPr>
        <w:t xml:space="preserve"> </w:t>
      </w:r>
      <w:proofErr w:type="spellStart"/>
      <w:r>
        <w:rPr>
          <w:rStyle w:val="ffline"/>
        </w:rPr>
        <w:t>aaacctatgg</w:t>
      </w:r>
      <w:proofErr w:type="spellEnd"/>
      <w:r>
        <w:rPr>
          <w:rStyle w:val="ffline"/>
        </w:rPr>
        <w:t xml:space="preserve"> </w:t>
      </w:r>
      <w:proofErr w:type="spellStart"/>
      <w:r>
        <w:rPr>
          <w:rStyle w:val="ffline"/>
        </w:rPr>
        <w:t>tcctgaaatg</w:t>
      </w:r>
      <w:proofErr w:type="spellEnd"/>
    </w:p>
    <w:p w14:paraId="7C475151" w14:textId="77777777" w:rsidR="00F5628C" w:rsidRDefault="00F5628C" w:rsidP="00F5628C">
      <w:pPr>
        <w:pStyle w:val="HTMLPreformatted"/>
      </w:pPr>
      <w:proofErr w:type="spellStart"/>
      <w:r>
        <w:rPr>
          <w:rStyle w:val="ffline"/>
        </w:rPr>
        <w:t>gtcgttcgtt</w:t>
      </w:r>
      <w:proofErr w:type="spellEnd"/>
      <w:r>
        <w:rPr>
          <w:rStyle w:val="ffline"/>
        </w:rPr>
        <w:t xml:space="preserve"> </w:t>
      </w:r>
      <w:proofErr w:type="spellStart"/>
      <w:r>
        <w:rPr>
          <w:rStyle w:val="ffline"/>
        </w:rPr>
        <w:t>ataacggtta</w:t>
      </w:r>
      <w:proofErr w:type="spellEnd"/>
      <w:r>
        <w:rPr>
          <w:rStyle w:val="ffline"/>
        </w:rPr>
        <w:t xml:space="preserve"> </w:t>
      </w:r>
      <w:proofErr w:type="spellStart"/>
      <w:r>
        <w:rPr>
          <w:rStyle w:val="ffline"/>
        </w:rPr>
        <w:t>cacatcagca</w:t>
      </w:r>
      <w:proofErr w:type="spellEnd"/>
      <w:r>
        <w:rPr>
          <w:rStyle w:val="ffline"/>
        </w:rPr>
        <w:t xml:space="preserve"> </w:t>
      </w:r>
      <w:proofErr w:type="spellStart"/>
      <w:r>
        <w:rPr>
          <w:rStyle w:val="ffline"/>
        </w:rPr>
        <w:t>gatattaacg</w:t>
      </w:r>
      <w:proofErr w:type="spellEnd"/>
      <w:r>
        <w:rPr>
          <w:rStyle w:val="ffline"/>
        </w:rPr>
        <w:t xml:space="preserve"> </w:t>
      </w:r>
      <w:proofErr w:type="spellStart"/>
      <w:r>
        <w:rPr>
          <w:rStyle w:val="ffline"/>
        </w:rPr>
        <w:t>gcggccctgc</w:t>
      </w:r>
      <w:proofErr w:type="spellEnd"/>
      <w:r>
        <w:rPr>
          <w:rStyle w:val="ffline"/>
        </w:rPr>
        <w:t xml:space="preserve"> </w:t>
      </w:r>
      <w:proofErr w:type="spellStart"/>
      <w:r>
        <w:rPr>
          <w:rStyle w:val="ffline"/>
        </w:rPr>
        <w:t>cccaggttat</w:t>
      </w:r>
      <w:proofErr w:type="spellEnd"/>
    </w:p>
    <w:p w14:paraId="57079486" w14:textId="77777777" w:rsidR="00F5628C" w:rsidRDefault="00F5628C" w:rsidP="00F5628C">
      <w:pPr>
        <w:pStyle w:val="HTMLPreformatted"/>
      </w:pPr>
      <w:proofErr w:type="spellStart"/>
      <w:r>
        <w:rPr>
          <w:rStyle w:val="ffline"/>
        </w:rPr>
        <w:t>tcatctagcc</w:t>
      </w:r>
      <w:proofErr w:type="spellEnd"/>
      <w:r>
        <w:rPr>
          <w:rStyle w:val="ffline"/>
        </w:rPr>
        <w:t xml:space="preserve"> </w:t>
      </w:r>
      <w:proofErr w:type="spellStart"/>
      <w:r>
        <w:rPr>
          <w:rStyle w:val="ffline"/>
        </w:rPr>
        <w:t>aagcagaagc</w:t>
      </w:r>
      <w:proofErr w:type="spellEnd"/>
      <w:r>
        <w:rPr>
          <w:rStyle w:val="ffline"/>
        </w:rPr>
        <w:t xml:space="preserve"> </w:t>
      </w:r>
      <w:proofErr w:type="spellStart"/>
      <w:r>
        <w:rPr>
          <w:rStyle w:val="ffline"/>
        </w:rPr>
        <w:t>tgcggttgaa</w:t>
      </w:r>
      <w:proofErr w:type="spellEnd"/>
      <w:r>
        <w:rPr>
          <w:rStyle w:val="ffline"/>
        </w:rPr>
        <w:t xml:space="preserve"> </w:t>
      </w:r>
      <w:proofErr w:type="spellStart"/>
      <w:r>
        <w:rPr>
          <w:rStyle w:val="ffline"/>
        </w:rPr>
        <w:t>cgtattgctg</w:t>
      </w:r>
      <w:proofErr w:type="spellEnd"/>
      <w:r>
        <w:rPr>
          <w:rStyle w:val="ffline"/>
        </w:rPr>
        <w:t xml:space="preserve"> </w:t>
      </w:r>
      <w:proofErr w:type="spellStart"/>
      <w:r>
        <w:rPr>
          <w:rStyle w:val="ffline"/>
        </w:rPr>
        <w:t>cacaaactct</w:t>
      </w:r>
      <w:proofErr w:type="spellEnd"/>
      <w:r>
        <w:rPr>
          <w:rStyle w:val="ffline"/>
        </w:rPr>
        <w:t xml:space="preserve"> </w:t>
      </w:r>
      <w:proofErr w:type="spellStart"/>
      <w:r>
        <w:rPr>
          <w:rStyle w:val="ffline"/>
        </w:rPr>
        <w:t>accgcgtggt</w:t>
      </w:r>
      <w:proofErr w:type="spellEnd"/>
    </w:p>
    <w:p w14:paraId="58D9BB82" w14:textId="77777777" w:rsidR="00F5628C" w:rsidRDefault="00F5628C" w:rsidP="00F5628C">
      <w:pPr>
        <w:pStyle w:val="HTMLPreformatted"/>
      </w:pPr>
      <w:proofErr w:type="spellStart"/>
      <w:r>
        <w:rPr>
          <w:rStyle w:val="ffline"/>
        </w:rPr>
        <w:t>atcaagtttg</w:t>
      </w:r>
      <w:proofErr w:type="spellEnd"/>
      <w:r>
        <w:rPr>
          <w:rStyle w:val="ffline"/>
        </w:rPr>
        <w:t xml:space="preserve"> </w:t>
      </w:r>
      <w:proofErr w:type="spellStart"/>
      <w:r>
        <w:rPr>
          <w:rStyle w:val="ffline"/>
        </w:rPr>
        <w:t>aatggacaga</w:t>
      </w:r>
      <w:proofErr w:type="spellEnd"/>
      <w:r>
        <w:rPr>
          <w:rStyle w:val="ffline"/>
        </w:rPr>
        <w:t xml:space="preserve"> </w:t>
      </w:r>
      <w:proofErr w:type="spellStart"/>
      <w:r>
        <w:rPr>
          <w:rStyle w:val="ffline"/>
        </w:rPr>
        <w:t>tttaacttac</w:t>
      </w:r>
      <w:proofErr w:type="spellEnd"/>
      <w:r>
        <w:rPr>
          <w:rStyle w:val="ffline"/>
        </w:rPr>
        <w:t xml:space="preserve"> </w:t>
      </w:r>
      <w:proofErr w:type="spellStart"/>
      <w:r>
        <w:rPr>
          <w:rStyle w:val="ffline"/>
        </w:rPr>
        <w:t>caaaaaatct</w:t>
      </w:r>
      <w:proofErr w:type="spellEnd"/>
      <w:r>
        <w:rPr>
          <w:rStyle w:val="ffline"/>
        </w:rPr>
        <w:t xml:space="preserve"> </w:t>
      </w:r>
      <w:proofErr w:type="spellStart"/>
      <w:r>
        <w:rPr>
          <w:rStyle w:val="ffline"/>
        </w:rPr>
        <w:t>tggctggtaa</w:t>
      </w:r>
      <w:proofErr w:type="spellEnd"/>
      <w:r>
        <w:rPr>
          <w:rStyle w:val="ffline"/>
        </w:rPr>
        <w:t xml:space="preserve"> </w:t>
      </w:r>
      <w:proofErr w:type="spellStart"/>
      <w:r>
        <w:rPr>
          <w:rStyle w:val="ffline"/>
        </w:rPr>
        <w:t>tgctggactt</w:t>
      </w:r>
      <w:proofErr w:type="spellEnd"/>
    </w:p>
    <w:p w14:paraId="33FB5A78" w14:textId="77777777" w:rsidR="00F5628C" w:rsidRDefault="00F5628C" w:rsidP="00F5628C">
      <w:pPr>
        <w:pStyle w:val="HTMLPreformatted"/>
      </w:pPr>
      <w:proofErr w:type="spellStart"/>
      <w:r>
        <w:rPr>
          <w:rStyle w:val="ffline"/>
        </w:rPr>
        <w:t>tgggtattcc</w:t>
      </w:r>
      <w:proofErr w:type="spellEnd"/>
      <w:r>
        <w:rPr>
          <w:rStyle w:val="ffline"/>
        </w:rPr>
        <w:t xml:space="preserve"> </w:t>
      </w:r>
      <w:proofErr w:type="spellStart"/>
      <w:r>
        <w:rPr>
          <w:rStyle w:val="ffline"/>
        </w:rPr>
        <w:t>ctattagcgt</w:t>
      </w:r>
      <w:proofErr w:type="spellEnd"/>
      <w:r>
        <w:rPr>
          <w:rStyle w:val="ffline"/>
        </w:rPr>
        <w:t xml:space="preserve"> </w:t>
      </w:r>
      <w:proofErr w:type="spellStart"/>
      <w:r>
        <w:rPr>
          <w:rStyle w:val="ffline"/>
        </w:rPr>
        <w:t>attactcgtg</w:t>
      </w:r>
      <w:proofErr w:type="spellEnd"/>
      <w:r>
        <w:rPr>
          <w:rStyle w:val="ffline"/>
        </w:rPr>
        <w:t xml:space="preserve"> </w:t>
      </w:r>
      <w:proofErr w:type="spellStart"/>
      <w:r>
        <w:rPr>
          <w:rStyle w:val="ffline"/>
        </w:rPr>
        <w:t>ttcttagtat</w:t>
      </w:r>
      <w:proofErr w:type="spellEnd"/>
      <w:r>
        <w:rPr>
          <w:rStyle w:val="ffline"/>
        </w:rPr>
        <w:t xml:space="preserve"> </w:t>
      </w:r>
      <w:proofErr w:type="spellStart"/>
      <w:r>
        <w:rPr>
          <w:rStyle w:val="ffline"/>
        </w:rPr>
        <w:t>tagctgctca</w:t>
      </w:r>
      <w:proofErr w:type="spellEnd"/>
      <w:r>
        <w:rPr>
          <w:rStyle w:val="ffline"/>
        </w:rPr>
        <w:t xml:space="preserve"> </w:t>
      </w:r>
      <w:proofErr w:type="spellStart"/>
      <w:r>
        <w:rPr>
          <w:rStyle w:val="ffline"/>
        </w:rPr>
        <w:t>gtatgaaagc</w:t>
      </w:r>
      <w:proofErr w:type="spellEnd"/>
    </w:p>
    <w:p w14:paraId="4CCA8B2E" w14:textId="77777777" w:rsidR="00F5628C" w:rsidRDefault="00F5628C" w:rsidP="00F5628C">
      <w:pPr>
        <w:pStyle w:val="HTMLPreformatted"/>
      </w:pPr>
      <w:proofErr w:type="spellStart"/>
      <w:r>
        <w:rPr>
          <w:rStyle w:val="ffline"/>
        </w:rPr>
        <w:t>ttaaccctac</w:t>
      </w:r>
      <w:proofErr w:type="spellEnd"/>
      <w:r>
        <w:rPr>
          <w:rStyle w:val="ffline"/>
        </w:rPr>
        <w:t xml:space="preserve"> </w:t>
      </w:r>
      <w:proofErr w:type="spellStart"/>
      <w:r>
        <w:rPr>
          <w:rStyle w:val="ffline"/>
        </w:rPr>
        <w:t>cattagcagt</w:t>
      </w:r>
      <w:proofErr w:type="spellEnd"/>
      <w:r>
        <w:rPr>
          <w:rStyle w:val="ffline"/>
        </w:rPr>
        <w:t xml:space="preserve"> </w:t>
      </w:r>
      <w:proofErr w:type="spellStart"/>
      <w:r>
        <w:rPr>
          <w:rStyle w:val="ffline"/>
        </w:rPr>
        <w:t>tatcttaatt</w:t>
      </w:r>
      <w:proofErr w:type="spellEnd"/>
      <w:r>
        <w:rPr>
          <w:rStyle w:val="ffline"/>
        </w:rPr>
        <w:t xml:space="preserve"> </w:t>
      </w:r>
      <w:proofErr w:type="spellStart"/>
      <w:r>
        <w:rPr>
          <w:rStyle w:val="ffline"/>
        </w:rPr>
        <w:t>gtaccaatgg</w:t>
      </w:r>
      <w:proofErr w:type="spellEnd"/>
      <w:r>
        <w:rPr>
          <w:rStyle w:val="ffline"/>
        </w:rPr>
        <w:t xml:space="preserve"> </w:t>
      </w:r>
      <w:proofErr w:type="spellStart"/>
      <w:r>
        <w:rPr>
          <w:rStyle w:val="ffline"/>
        </w:rPr>
        <w:t>gaatcttagc</w:t>
      </w:r>
      <w:proofErr w:type="spellEnd"/>
      <w:r>
        <w:rPr>
          <w:rStyle w:val="ffline"/>
        </w:rPr>
        <w:t xml:space="preserve"> </w:t>
      </w:r>
      <w:proofErr w:type="spellStart"/>
      <w:r>
        <w:rPr>
          <w:rStyle w:val="ffline"/>
        </w:rPr>
        <w:t>ggctctgaca</w:t>
      </w:r>
      <w:proofErr w:type="spellEnd"/>
    </w:p>
    <w:p w14:paraId="114A3888" w14:textId="77777777" w:rsidR="00F5628C" w:rsidRDefault="00F5628C" w:rsidP="00F5628C">
      <w:pPr>
        <w:pStyle w:val="HTMLPreformatted"/>
      </w:pPr>
      <w:proofErr w:type="spellStart"/>
      <w:r>
        <w:rPr>
          <w:rStyle w:val="ffline"/>
        </w:rPr>
        <w:t>ggtgtctggt</w:t>
      </w:r>
      <w:proofErr w:type="spellEnd"/>
      <w:r>
        <w:rPr>
          <w:rStyle w:val="ffline"/>
        </w:rPr>
        <w:t xml:space="preserve"> </w:t>
      </w:r>
      <w:proofErr w:type="spellStart"/>
      <w:r>
        <w:rPr>
          <w:rStyle w:val="ffline"/>
        </w:rPr>
        <w:t>tgacagctgg</w:t>
      </w:r>
      <w:proofErr w:type="spellEnd"/>
      <w:r>
        <w:rPr>
          <w:rStyle w:val="ffline"/>
        </w:rPr>
        <w:t xml:space="preserve"> </w:t>
      </w:r>
      <w:proofErr w:type="spellStart"/>
      <w:r>
        <w:rPr>
          <w:rStyle w:val="ffline"/>
        </w:rPr>
        <w:t>agataacaac</w:t>
      </w:r>
      <w:proofErr w:type="spellEnd"/>
      <w:r>
        <w:rPr>
          <w:rStyle w:val="ffline"/>
        </w:rPr>
        <w:t xml:space="preserve"> </w:t>
      </w:r>
      <w:proofErr w:type="spellStart"/>
      <w:r>
        <w:rPr>
          <w:rStyle w:val="ffline"/>
        </w:rPr>
        <w:t>atctttaccc</w:t>
      </w:r>
      <w:proofErr w:type="spellEnd"/>
      <w:r>
        <w:rPr>
          <w:rStyle w:val="ffline"/>
        </w:rPr>
        <w:t xml:space="preserve"> </w:t>
      </w:r>
      <w:proofErr w:type="spellStart"/>
      <w:r>
        <w:rPr>
          <w:rStyle w:val="ffline"/>
        </w:rPr>
        <w:t>aaatcggtct</w:t>
      </w:r>
      <w:proofErr w:type="spellEnd"/>
      <w:r>
        <w:rPr>
          <w:rStyle w:val="ffline"/>
        </w:rPr>
        <w:t xml:space="preserve"> </w:t>
      </w:r>
      <w:proofErr w:type="spellStart"/>
      <w:r>
        <w:rPr>
          <w:rStyle w:val="ffline"/>
        </w:rPr>
        <w:t>aatggtactg</w:t>
      </w:r>
      <w:proofErr w:type="spellEnd"/>
    </w:p>
    <w:p w14:paraId="6767848F" w14:textId="77777777" w:rsidR="00F5628C" w:rsidRDefault="00F5628C" w:rsidP="00F5628C">
      <w:pPr>
        <w:pStyle w:val="HTMLPreformatted"/>
      </w:pPr>
      <w:proofErr w:type="spellStart"/>
      <w:r>
        <w:rPr>
          <w:rStyle w:val="ffline"/>
        </w:rPr>
        <w:t>gtggggctag</w:t>
      </w:r>
      <w:proofErr w:type="spellEnd"/>
      <w:r>
        <w:rPr>
          <w:rStyle w:val="ffline"/>
        </w:rPr>
        <w:t xml:space="preserve"> </w:t>
      </w:r>
      <w:proofErr w:type="spellStart"/>
      <w:r>
        <w:rPr>
          <w:rStyle w:val="ffline"/>
        </w:rPr>
        <w:t>cctgtaaaaa</w:t>
      </w:r>
      <w:proofErr w:type="spellEnd"/>
      <w:r>
        <w:rPr>
          <w:rStyle w:val="ffline"/>
        </w:rPr>
        <w:t xml:space="preserve"> </w:t>
      </w:r>
      <w:proofErr w:type="spellStart"/>
      <w:r>
        <w:rPr>
          <w:rStyle w:val="ffline"/>
        </w:rPr>
        <w:t>tgctattttg</w:t>
      </w:r>
      <w:proofErr w:type="spellEnd"/>
      <w:r>
        <w:rPr>
          <w:rStyle w:val="ffline"/>
        </w:rPr>
        <w:t xml:space="preserve"> </w:t>
      </w:r>
      <w:proofErr w:type="spellStart"/>
      <w:r>
        <w:rPr>
          <w:rStyle w:val="ffline"/>
        </w:rPr>
        <w:t>attgtcgaat</w:t>
      </w:r>
      <w:proofErr w:type="spellEnd"/>
      <w:r>
        <w:rPr>
          <w:rStyle w:val="ffline"/>
        </w:rPr>
        <w:t xml:space="preserve"> </w:t>
      </w:r>
      <w:proofErr w:type="spellStart"/>
      <w:r>
        <w:rPr>
          <w:rStyle w:val="ffline"/>
        </w:rPr>
        <w:t>ttgcgcggga</w:t>
      </w:r>
      <w:proofErr w:type="spellEnd"/>
      <w:r>
        <w:rPr>
          <w:rStyle w:val="ffline"/>
        </w:rPr>
        <w:t xml:space="preserve"> </w:t>
      </w:r>
      <w:proofErr w:type="spellStart"/>
      <w:r>
        <w:rPr>
          <w:rStyle w:val="ffline"/>
        </w:rPr>
        <w:t>acttgaaatg</w:t>
      </w:r>
      <w:proofErr w:type="spellEnd"/>
    </w:p>
    <w:p w14:paraId="095542E9" w14:textId="77777777" w:rsidR="00F5628C" w:rsidRDefault="00F5628C" w:rsidP="00F5628C">
      <w:pPr>
        <w:pStyle w:val="HTMLPreformatted"/>
      </w:pPr>
      <w:proofErr w:type="spellStart"/>
      <w:r>
        <w:rPr>
          <w:rStyle w:val="ffline"/>
        </w:rPr>
        <w:t>caaggtgcga</w:t>
      </w:r>
      <w:proofErr w:type="spellEnd"/>
      <w:r>
        <w:rPr>
          <w:rStyle w:val="ffline"/>
        </w:rPr>
        <w:t xml:space="preserve"> </w:t>
      </w:r>
      <w:proofErr w:type="spellStart"/>
      <w:r>
        <w:rPr>
          <w:rStyle w:val="ffline"/>
        </w:rPr>
        <w:t>ctgcctttaa</w:t>
      </w:r>
      <w:proofErr w:type="spellEnd"/>
      <w:r>
        <w:rPr>
          <w:rStyle w:val="ffline"/>
        </w:rPr>
        <w:t xml:space="preserve"> </w:t>
      </w:r>
      <w:proofErr w:type="spellStart"/>
      <w:r>
        <w:rPr>
          <w:rStyle w:val="ffline"/>
        </w:rPr>
        <w:t>agcagccgtt</w:t>
      </w:r>
      <w:proofErr w:type="spellEnd"/>
      <w:r>
        <w:rPr>
          <w:rStyle w:val="ffline"/>
        </w:rPr>
        <w:t xml:space="preserve"> </w:t>
      </w:r>
      <w:proofErr w:type="spellStart"/>
      <w:r>
        <w:rPr>
          <w:rStyle w:val="ffline"/>
        </w:rPr>
        <w:t>gaagcaagtc</w:t>
      </w:r>
      <w:proofErr w:type="spellEnd"/>
      <w:r>
        <w:rPr>
          <w:rStyle w:val="ffline"/>
        </w:rPr>
        <w:t xml:space="preserve"> </w:t>
      </w:r>
      <w:proofErr w:type="spellStart"/>
      <w:r>
        <w:rPr>
          <w:rStyle w:val="ffline"/>
        </w:rPr>
        <w:t>gtctacgttt</w:t>
      </w:r>
      <w:proofErr w:type="spellEnd"/>
      <w:r>
        <w:rPr>
          <w:rStyle w:val="ffline"/>
        </w:rPr>
        <w:t xml:space="preserve"> </w:t>
      </w:r>
      <w:proofErr w:type="spellStart"/>
      <w:r>
        <w:rPr>
          <w:rStyle w:val="ffline"/>
        </w:rPr>
        <w:t>acgcccaatt</w:t>
      </w:r>
      <w:proofErr w:type="spellEnd"/>
    </w:p>
    <w:p w14:paraId="26F499C5" w14:textId="77777777" w:rsidR="00F5628C" w:rsidRDefault="00F5628C" w:rsidP="00F5628C">
      <w:pPr>
        <w:pStyle w:val="HTMLPreformatted"/>
      </w:pPr>
      <w:proofErr w:type="spellStart"/>
      <w:r>
        <w:rPr>
          <w:rStyle w:val="ffline"/>
        </w:rPr>
        <w:t>ttaatgacct</w:t>
      </w:r>
      <w:proofErr w:type="spellEnd"/>
      <w:r>
        <w:rPr>
          <w:rStyle w:val="ffline"/>
        </w:rPr>
        <w:t xml:space="preserve"> </w:t>
      </w:r>
      <w:proofErr w:type="spellStart"/>
      <w:r>
        <w:rPr>
          <w:rStyle w:val="ffline"/>
        </w:rPr>
        <w:t>ctattgcatt</w:t>
      </w:r>
      <w:proofErr w:type="spellEnd"/>
      <w:r>
        <w:rPr>
          <w:rStyle w:val="ffline"/>
        </w:rPr>
        <w:t xml:space="preserve"> </w:t>
      </w:r>
      <w:proofErr w:type="spellStart"/>
      <w:r>
        <w:rPr>
          <w:rStyle w:val="ffline"/>
        </w:rPr>
        <w:t>tattatgggt</w:t>
      </w:r>
      <w:proofErr w:type="spellEnd"/>
      <w:r>
        <w:rPr>
          <w:rStyle w:val="ffline"/>
        </w:rPr>
        <w:t xml:space="preserve"> </w:t>
      </w:r>
      <w:proofErr w:type="spellStart"/>
      <w:r>
        <w:rPr>
          <w:rStyle w:val="ffline"/>
        </w:rPr>
        <w:t>gtagtgccac</w:t>
      </w:r>
      <w:proofErr w:type="spellEnd"/>
      <w:r>
        <w:rPr>
          <w:rStyle w:val="ffline"/>
        </w:rPr>
        <w:t xml:space="preserve"> </w:t>
      </w:r>
      <w:proofErr w:type="spellStart"/>
      <w:r>
        <w:rPr>
          <w:rStyle w:val="ffline"/>
        </w:rPr>
        <w:t>tggttacttc</w:t>
      </w:r>
      <w:proofErr w:type="spellEnd"/>
      <w:r>
        <w:rPr>
          <w:rStyle w:val="ffline"/>
        </w:rPr>
        <w:t xml:space="preserve"> </w:t>
      </w:r>
      <w:proofErr w:type="spellStart"/>
      <w:r>
        <w:rPr>
          <w:rStyle w:val="ffline"/>
        </w:rPr>
        <w:t>aactggcgca</w:t>
      </w:r>
      <w:proofErr w:type="spellEnd"/>
    </w:p>
    <w:p w14:paraId="10BBEC17" w14:textId="77777777" w:rsidR="00F5628C" w:rsidRDefault="00F5628C" w:rsidP="00F5628C">
      <w:pPr>
        <w:pStyle w:val="HTMLPreformatted"/>
      </w:pPr>
      <w:proofErr w:type="spellStart"/>
      <w:r>
        <w:rPr>
          <w:rStyle w:val="ffline"/>
        </w:rPr>
        <w:t>ggttctgaaa</w:t>
      </w:r>
      <w:proofErr w:type="spellEnd"/>
      <w:r>
        <w:rPr>
          <w:rStyle w:val="ffline"/>
        </w:rPr>
        <w:t xml:space="preserve"> </w:t>
      </w:r>
      <w:proofErr w:type="spellStart"/>
      <w:r>
        <w:rPr>
          <w:rStyle w:val="ffline"/>
        </w:rPr>
        <w:t>tgcgacatgc</w:t>
      </w:r>
      <w:proofErr w:type="spellEnd"/>
      <w:r>
        <w:rPr>
          <w:rStyle w:val="ffline"/>
        </w:rPr>
        <w:t xml:space="preserve"> </w:t>
      </w:r>
      <w:proofErr w:type="spellStart"/>
      <w:r>
        <w:rPr>
          <w:rStyle w:val="ffline"/>
        </w:rPr>
        <w:t>gatgggtgtt</w:t>
      </w:r>
      <w:proofErr w:type="spellEnd"/>
      <w:r>
        <w:rPr>
          <w:rStyle w:val="ffline"/>
        </w:rPr>
        <w:t xml:space="preserve"> </w:t>
      </w:r>
      <w:proofErr w:type="spellStart"/>
      <w:r>
        <w:rPr>
          <w:rStyle w:val="ffline"/>
        </w:rPr>
        <w:t>gccgtattct</w:t>
      </w:r>
      <w:proofErr w:type="spellEnd"/>
      <w:r>
        <w:rPr>
          <w:rStyle w:val="ffline"/>
        </w:rPr>
        <w:t xml:space="preserve"> </w:t>
      </w:r>
      <w:proofErr w:type="spellStart"/>
      <w:r>
        <w:rPr>
          <w:rStyle w:val="ffline"/>
        </w:rPr>
        <w:t>tcggtatgat</w:t>
      </w:r>
      <w:proofErr w:type="spellEnd"/>
      <w:r>
        <w:rPr>
          <w:rStyle w:val="ffline"/>
        </w:rPr>
        <w:t xml:space="preserve"> </w:t>
      </w:r>
      <w:proofErr w:type="spellStart"/>
      <w:r>
        <w:rPr>
          <w:rStyle w:val="ffline"/>
        </w:rPr>
        <w:t>cggtgtaaca</w:t>
      </w:r>
      <w:proofErr w:type="spellEnd"/>
    </w:p>
    <w:p w14:paraId="145CF9D0" w14:textId="77777777" w:rsidR="00F5628C" w:rsidRDefault="00F5628C" w:rsidP="00F5628C">
      <w:pPr>
        <w:pStyle w:val="HTMLPreformatted"/>
      </w:pPr>
      <w:proofErr w:type="spellStart"/>
      <w:r>
        <w:rPr>
          <w:rStyle w:val="ffline"/>
        </w:rPr>
        <w:t>ttctttggtt</w:t>
      </w:r>
      <w:proofErr w:type="spellEnd"/>
      <w:r>
        <w:rPr>
          <w:rStyle w:val="ffline"/>
        </w:rPr>
        <w:t xml:space="preserve"> </w:t>
      </w:r>
      <w:proofErr w:type="spellStart"/>
      <w:r>
        <w:rPr>
          <w:rStyle w:val="ffline"/>
        </w:rPr>
        <w:t>tattcctcac</w:t>
      </w:r>
      <w:proofErr w:type="spellEnd"/>
      <w:r>
        <w:rPr>
          <w:rStyle w:val="ffline"/>
        </w:rPr>
        <w:t xml:space="preserve"> </w:t>
      </w:r>
      <w:proofErr w:type="spellStart"/>
      <w:r>
        <w:rPr>
          <w:rStyle w:val="ffline"/>
        </w:rPr>
        <w:t>cccggccttt</w:t>
      </w:r>
      <w:proofErr w:type="spellEnd"/>
      <w:r>
        <w:rPr>
          <w:rStyle w:val="ffline"/>
        </w:rPr>
        <w:t xml:space="preserve"> </w:t>
      </w:r>
      <w:proofErr w:type="spellStart"/>
      <w:r>
        <w:rPr>
          <w:rStyle w:val="ffline"/>
        </w:rPr>
        <w:t>tacgttctga</w:t>
      </w:r>
      <w:proofErr w:type="spellEnd"/>
      <w:r>
        <w:rPr>
          <w:rStyle w:val="ffline"/>
        </w:rPr>
        <w:t xml:space="preserve"> </w:t>
      </w:r>
      <w:proofErr w:type="spellStart"/>
      <w:r>
        <w:rPr>
          <w:rStyle w:val="ffline"/>
        </w:rPr>
        <w:t>ttcgtaccct</w:t>
      </w:r>
      <w:proofErr w:type="spellEnd"/>
      <w:r>
        <w:rPr>
          <w:rStyle w:val="ffline"/>
        </w:rPr>
        <w:t xml:space="preserve"> </w:t>
      </w:r>
      <w:proofErr w:type="spellStart"/>
      <w:r>
        <w:rPr>
          <w:rStyle w:val="ffline"/>
        </w:rPr>
        <w:t>caacagcaaa</w:t>
      </w:r>
      <w:proofErr w:type="spellEnd"/>
    </w:p>
    <w:p w14:paraId="4DE850AA" w14:textId="77777777" w:rsidR="00F5628C" w:rsidRDefault="00F5628C" w:rsidP="00F5628C">
      <w:pPr>
        <w:pStyle w:val="HTMLPreformatted"/>
      </w:pPr>
      <w:proofErr w:type="spellStart"/>
      <w:r>
        <w:rPr>
          <w:rStyle w:val="ffline"/>
        </w:rPr>
        <w:t>cataaactac</w:t>
      </w:r>
      <w:proofErr w:type="spellEnd"/>
      <w:r>
        <w:rPr>
          <w:rStyle w:val="ffline"/>
        </w:rPr>
        <w:t xml:space="preserve"> </w:t>
      </w:r>
      <w:proofErr w:type="spellStart"/>
      <w:r>
        <w:rPr>
          <w:rStyle w:val="ffline"/>
        </w:rPr>
        <w:t>attctgcggc</w:t>
      </w:r>
      <w:proofErr w:type="spellEnd"/>
      <w:r>
        <w:rPr>
          <w:rStyle w:val="ffline"/>
        </w:rPr>
        <w:t xml:space="preserve"> </w:t>
      </w:r>
      <w:proofErr w:type="spellStart"/>
      <w:r>
        <w:rPr>
          <w:rStyle w:val="ffline"/>
        </w:rPr>
        <w:t>agttcatgaa</w:t>
      </w:r>
      <w:proofErr w:type="spellEnd"/>
      <w:r>
        <w:rPr>
          <w:rStyle w:val="ffline"/>
        </w:rPr>
        <w:t xml:space="preserve"> </w:t>
      </w:r>
      <w:proofErr w:type="spellStart"/>
      <w:r>
        <w:rPr>
          <w:rStyle w:val="ffline"/>
        </w:rPr>
        <w:t>gcgccgttag</w:t>
      </w:r>
      <w:proofErr w:type="spellEnd"/>
      <w:r>
        <w:rPr>
          <w:rStyle w:val="ffline"/>
        </w:rPr>
        <w:t xml:space="preserve"> </w:t>
      </w:r>
      <w:proofErr w:type="spellStart"/>
      <w:r>
        <w:rPr>
          <w:rStyle w:val="ffline"/>
        </w:rPr>
        <w:t>ctagcccaca</w:t>
      </w:r>
      <w:proofErr w:type="spellEnd"/>
      <w:r>
        <w:rPr>
          <w:rStyle w:val="ffline"/>
        </w:rPr>
        <w:t xml:space="preserve"> </w:t>
      </w:r>
      <w:proofErr w:type="spellStart"/>
      <w:r>
        <w:rPr>
          <w:rStyle w:val="ffline"/>
        </w:rPr>
        <w:t>cgatcattaa</w:t>
      </w:r>
      <w:proofErr w:type="spellEnd"/>
    </w:p>
    <w:p w14:paraId="646B7B1F" w14:textId="77777777" w:rsidR="00F5628C" w:rsidRPr="00D97131" w:rsidRDefault="00F5628C" w:rsidP="00F5628C">
      <w:pPr>
        <w:rPr>
          <w:sz w:val="24"/>
          <w:szCs w:val="24"/>
        </w:rPr>
      </w:pPr>
    </w:p>
    <w:p w14:paraId="0A5F4DA6" w14:textId="1C46623C" w:rsidR="00F5628C" w:rsidRDefault="00F5628C" w:rsidP="00F5628C">
      <w:r>
        <w:rPr>
          <w:sz w:val="24"/>
          <w:szCs w:val="24"/>
        </w:rPr>
        <w:t>&gt;</w:t>
      </w:r>
      <w:r>
        <w:t>A1S_2306 (</w:t>
      </w:r>
      <w:proofErr w:type="spellStart"/>
      <w:r w:rsidRPr="00D97131">
        <w:rPr>
          <w:i/>
          <w:iCs/>
        </w:rPr>
        <w:t>adeH</w:t>
      </w:r>
      <w:proofErr w:type="spellEnd"/>
      <w:r>
        <w:t>)</w:t>
      </w:r>
      <w:r w:rsidR="00832EB7">
        <w:t xml:space="preserve"> GenBank: CP000521.1</w:t>
      </w:r>
    </w:p>
    <w:p w14:paraId="053296AD" w14:textId="77777777" w:rsidR="00F5628C" w:rsidRDefault="00F5628C" w:rsidP="00F5628C">
      <w:pPr>
        <w:pStyle w:val="HTMLPreformatted"/>
      </w:pPr>
      <w:proofErr w:type="spellStart"/>
      <w:r>
        <w:rPr>
          <w:rStyle w:val="ffline"/>
        </w:rPr>
        <w:t>gtgattacat</w:t>
      </w:r>
      <w:proofErr w:type="spellEnd"/>
      <w:r>
        <w:rPr>
          <w:rStyle w:val="ffline"/>
        </w:rPr>
        <w:t xml:space="preserve"> </w:t>
      </w:r>
      <w:proofErr w:type="spellStart"/>
      <w:r>
        <w:rPr>
          <w:rStyle w:val="ffline"/>
        </w:rPr>
        <w:t>caaaacaaaa</w:t>
      </w:r>
      <w:proofErr w:type="spellEnd"/>
      <w:r>
        <w:rPr>
          <w:rStyle w:val="ffline"/>
        </w:rPr>
        <w:t xml:space="preserve"> </w:t>
      </w:r>
      <w:proofErr w:type="spellStart"/>
      <w:r>
        <w:rPr>
          <w:rStyle w:val="ffline"/>
        </w:rPr>
        <w:t>ctggttgttg</w:t>
      </w:r>
      <w:proofErr w:type="spellEnd"/>
      <w:r>
        <w:rPr>
          <w:rStyle w:val="ffline"/>
        </w:rPr>
        <w:t xml:space="preserve"> </w:t>
      </w:r>
      <w:proofErr w:type="spellStart"/>
      <w:r>
        <w:rPr>
          <w:rStyle w:val="ffline"/>
        </w:rPr>
        <w:t>tcctcactca</w:t>
      </w:r>
      <w:proofErr w:type="spellEnd"/>
      <w:r>
        <w:rPr>
          <w:rStyle w:val="ffline"/>
        </w:rPr>
        <w:t xml:space="preserve"> </w:t>
      </w:r>
      <w:proofErr w:type="spellStart"/>
      <w:r>
        <w:rPr>
          <w:rStyle w:val="ffline"/>
        </w:rPr>
        <w:t>tgggaagcct</w:t>
      </w:r>
      <w:proofErr w:type="spellEnd"/>
      <w:r>
        <w:rPr>
          <w:rStyle w:val="ffline"/>
        </w:rPr>
        <w:t xml:space="preserve"> </w:t>
      </w:r>
      <w:proofErr w:type="spellStart"/>
      <w:r>
        <w:rPr>
          <w:rStyle w:val="ffline"/>
        </w:rPr>
        <w:t>gctccttgca</w:t>
      </w:r>
      <w:proofErr w:type="spellEnd"/>
    </w:p>
    <w:p w14:paraId="00CB1543" w14:textId="77777777" w:rsidR="00F5628C" w:rsidRDefault="00F5628C" w:rsidP="00F5628C">
      <w:pPr>
        <w:pStyle w:val="HTMLPreformatted"/>
      </w:pPr>
      <w:proofErr w:type="spellStart"/>
      <w:r>
        <w:rPr>
          <w:rStyle w:val="ffline"/>
        </w:rPr>
        <w:t>ggctgctcat</w:t>
      </w:r>
      <w:proofErr w:type="spellEnd"/>
      <w:r>
        <w:rPr>
          <w:rStyle w:val="ffline"/>
        </w:rPr>
        <w:t xml:space="preserve"> </w:t>
      </w:r>
      <w:proofErr w:type="spellStart"/>
      <w:r>
        <w:rPr>
          <w:rStyle w:val="ffline"/>
        </w:rPr>
        <w:t>tggccccaga</w:t>
      </w:r>
      <w:proofErr w:type="spellEnd"/>
      <w:r>
        <w:rPr>
          <w:rStyle w:val="ffline"/>
        </w:rPr>
        <w:t xml:space="preserve"> </w:t>
      </w:r>
      <w:proofErr w:type="spellStart"/>
      <w:r>
        <w:rPr>
          <w:rStyle w:val="ffline"/>
        </w:rPr>
        <w:t>atatcaacct</w:t>
      </w:r>
      <w:proofErr w:type="spellEnd"/>
      <w:r>
        <w:rPr>
          <w:rStyle w:val="ffline"/>
        </w:rPr>
        <w:t xml:space="preserve"> </w:t>
      </w:r>
      <w:proofErr w:type="spellStart"/>
      <w:r>
        <w:rPr>
          <w:rStyle w:val="ffline"/>
        </w:rPr>
        <w:t>gcaaaagtta</w:t>
      </w:r>
      <w:proofErr w:type="spellEnd"/>
      <w:r>
        <w:rPr>
          <w:rStyle w:val="ffline"/>
        </w:rPr>
        <w:t xml:space="preserve"> </w:t>
      </w:r>
      <w:proofErr w:type="spellStart"/>
      <w:r>
        <w:rPr>
          <w:rStyle w:val="ffline"/>
        </w:rPr>
        <w:t>tagtgccagt</w:t>
      </w:r>
      <w:proofErr w:type="spellEnd"/>
      <w:r>
        <w:rPr>
          <w:rStyle w:val="ffline"/>
        </w:rPr>
        <w:t xml:space="preserve"> </w:t>
      </w:r>
      <w:proofErr w:type="spellStart"/>
      <w:r>
        <w:rPr>
          <w:rStyle w:val="ffline"/>
        </w:rPr>
        <w:t>caaattcaaa</w:t>
      </w:r>
      <w:proofErr w:type="spellEnd"/>
    </w:p>
    <w:p w14:paraId="09FB577A" w14:textId="77777777" w:rsidR="00F5628C" w:rsidRDefault="00F5628C" w:rsidP="00F5628C">
      <w:pPr>
        <w:pStyle w:val="HTMLPreformatted"/>
      </w:pPr>
      <w:proofErr w:type="spellStart"/>
      <w:r>
        <w:rPr>
          <w:rStyle w:val="ffline"/>
        </w:rPr>
        <w:t>gaatctgacc</w:t>
      </w:r>
      <w:proofErr w:type="spellEnd"/>
      <w:r>
        <w:rPr>
          <w:rStyle w:val="ffline"/>
        </w:rPr>
        <w:t xml:space="preserve"> </w:t>
      </w:r>
      <w:proofErr w:type="spellStart"/>
      <w:r>
        <w:rPr>
          <w:rStyle w:val="ffline"/>
        </w:rPr>
        <w:t>ccaaacttga</w:t>
      </w:r>
      <w:proofErr w:type="spellEnd"/>
      <w:r>
        <w:rPr>
          <w:rStyle w:val="ffline"/>
        </w:rPr>
        <w:t xml:space="preserve"> </w:t>
      </w:r>
      <w:proofErr w:type="spellStart"/>
      <w:r>
        <w:rPr>
          <w:rStyle w:val="ffline"/>
        </w:rPr>
        <w:t>agataataac</w:t>
      </w:r>
      <w:proofErr w:type="spellEnd"/>
      <w:r>
        <w:rPr>
          <w:rStyle w:val="ffline"/>
        </w:rPr>
        <w:t xml:space="preserve"> </w:t>
      </w:r>
      <w:proofErr w:type="spellStart"/>
      <w:r>
        <w:rPr>
          <w:rStyle w:val="ffline"/>
        </w:rPr>
        <w:t>tggaagattg</w:t>
      </w:r>
      <w:proofErr w:type="spellEnd"/>
      <w:r>
        <w:rPr>
          <w:rStyle w:val="ffline"/>
        </w:rPr>
        <w:t xml:space="preserve"> </w:t>
      </w:r>
      <w:proofErr w:type="spellStart"/>
      <w:r>
        <w:rPr>
          <w:rStyle w:val="ffline"/>
        </w:rPr>
        <w:t>cccaacctgc</w:t>
      </w:r>
      <w:proofErr w:type="spellEnd"/>
      <w:r>
        <w:rPr>
          <w:rStyle w:val="ffline"/>
        </w:rPr>
        <w:t xml:space="preserve"> </w:t>
      </w:r>
      <w:proofErr w:type="spellStart"/>
      <w:r>
        <w:rPr>
          <w:rStyle w:val="ffline"/>
        </w:rPr>
        <w:t>cgatcaacaa</w:t>
      </w:r>
      <w:proofErr w:type="spellEnd"/>
    </w:p>
    <w:p w14:paraId="0A579647" w14:textId="77777777" w:rsidR="00F5628C" w:rsidRDefault="00F5628C" w:rsidP="00F5628C">
      <w:pPr>
        <w:pStyle w:val="HTMLPreformatted"/>
      </w:pPr>
      <w:proofErr w:type="spellStart"/>
      <w:r>
        <w:rPr>
          <w:rStyle w:val="ffline"/>
        </w:rPr>
        <w:t>actcgtggtg</w:t>
      </w:r>
      <w:proofErr w:type="spellEnd"/>
      <w:r>
        <w:rPr>
          <w:rStyle w:val="ffline"/>
        </w:rPr>
        <w:t xml:space="preserve"> </w:t>
      </w:r>
      <w:proofErr w:type="spellStart"/>
      <w:r>
        <w:rPr>
          <w:rStyle w:val="ffline"/>
        </w:rPr>
        <w:t>aatggtggcg</w:t>
      </w:r>
      <w:proofErr w:type="spellEnd"/>
      <w:r>
        <w:rPr>
          <w:rStyle w:val="ffline"/>
        </w:rPr>
        <w:t xml:space="preserve"> </w:t>
      </w:r>
      <w:proofErr w:type="spellStart"/>
      <w:r>
        <w:rPr>
          <w:rStyle w:val="ffline"/>
        </w:rPr>
        <w:t>catttacaat</w:t>
      </w:r>
      <w:proofErr w:type="spellEnd"/>
      <w:r>
        <w:rPr>
          <w:rStyle w:val="ffline"/>
        </w:rPr>
        <w:t xml:space="preserve"> </w:t>
      </w:r>
      <w:proofErr w:type="spellStart"/>
      <w:r>
        <w:rPr>
          <w:rStyle w:val="ffline"/>
        </w:rPr>
        <w:t>gatactcaac</w:t>
      </w:r>
      <w:proofErr w:type="spellEnd"/>
      <w:r>
        <w:rPr>
          <w:rStyle w:val="ffline"/>
        </w:rPr>
        <w:t xml:space="preserve"> </w:t>
      </w:r>
      <w:proofErr w:type="spellStart"/>
      <w:r>
        <w:rPr>
          <w:rStyle w:val="ffline"/>
        </w:rPr>
        <w:t>tgaatgaact</w:t>
      </w:r>
      <w:proofErr w:type="spellEnd"/>
      <w:r>
        <w:rPr>
          <w:rStyle w:val="ffline"/>
        </w:rPr>
        <w:t xml:space="preserve"> </w:t>
      </w:r>
      <w:proofErr w:type="spellStart"/>
      <w:r>
        <w:rPr>
          <w:rStyle w:val="ffline"/>
        </w:rPr>
        <w:t>tgaacagcaa</w:t>
      </w:r>
      <w:proofErr w:type="spellEnd"/>
    </w:p>
    <w:p w14:paraId="5D2CCE30" w14:textId="77777777" w:rsidR="00F5628C" w:rsidRDefault="00F5628C" w:rsidP="00F5628C">
      <w:pPr>
        <w:pStyle w:val="HTMLPreformatted"/>
      </w:pPr>
      <w:proofErr w:type="spellStart"/>
      <w:r>
        <w:rPr>
          <w:rStyle w:val="ffline"/>
        </w:rPr>
        <w:t>gctatcgcag</w:t>
      </w:r>
      <w:proofErr w:type="spellEnd"/>
      <w:r>
        <w:rPr>
          <w:rStyle w:val="ffline"/>
        </w:rPr>
        <w:t xml:space="preserve"> </w:t>
      </w:r>
      <w:proofErr w:type="spellStart"/>
      <w:r>
        <w:rPr>
          <w:rStyle w:val="ffline"/>
        </w:rPr>
        <w:t>gcaaccagaa</w:t>
      </w:r>
      <w:proofErr w:type="spellEnd"/>
      <w:r>
        <w:rPr>
          <w:rStyle w:val="ffline"/>
        </w:rPr>
        <w:t xml:space="preserve"> </w:t>
      </w:r>
      <w:proofErr w:type="spellStart"/>
      <w:r>
        <w:rPr>
          <w:rStyle w:val="ffline"/>
        </w:rPr>
        <w:t>cctaaaagcg</w:t>
      </w:r>
      <w:proofErr w:type="spellEnd"/>
      <w:r>
        <w:rPr>
          <w:rStyle w:val="ffline"/>
        </w:rPr>
        <w:t xml:space="preserve"> </w:t>
      </w:r>
      <w:proofErr w:type="spellStart"/>
      <w:r>
        <w:rPr>
          <w:rStyle w:val="ffline"/>
        </w:rPr>
        <w:t>gtggcagcaa</w:t>
      </w:r>
      <w:proofErr w:type="spellEnd"/>
      <w:r>
        <w:rPr>
          <w:rStyle w:val="ffline"/>
        </w:rPr>
        <w:t xml:space="preserve"> </w:t>
      </w:r>
      <w:proofErr w:type="spellStart"/>
      <w:r>
        <w:rPr>
          <w:rStyle w:val="ffline"/>
        </w:rPr>
        <w:t>atattcaggc</w:t>
      </w:r>
      <w:proofErr w:type="spellEnd"/>
      <w:r>
        <w:rPr>
          <w:rStyle w:val="ffline"/>
        </w:rPr>
        <w:t xml:space="preserve"> </w:t>
      </w:r>
      <w:proofErr w:type="spellStart"/>
      <w:r>
        <w:rPr>
          <w:rStyle w:val="ffline"/>
        </w:rPr>
        <w:t>ttcacgtgca</w:t>
      </w:r>
      <w:proofErr w:type="spellEnd"/>
    </w:p>
    <w:p w14:paraId="1AEEE5F6" w14:textId="77777777" w:rsidR="00F5628C" w:rsidRDefault="00F5628C" w:rsidP="00F5628C">
      <w:pPr>
        <w:pStyle w:val="HTMLPreformatted"/>
      </w:pPr>
      <w:proofErr w:type="spellStart"/>
      <w:r>
        <w:rPr>
          <w:rStyle w:val="ffline"/>
        </w:rPr>
        <w:t>ctacgttcgg</w:t>
      </w:r>
      <w:proofErr w:type="spellEnd"/>
      <w:r>
        <w:rPr>
          <w:rStyle w:val="ffline"/>
        </w:rPr>
        <w:t xml:space="preserve"> </w:t>
      </w:r>
      <w:proofErr w:type="spellStart"/>
      <w:r>
        <w:rPr>
          <w:rStyle w:val="ffline"/>
        </w:rPr>
        <w:t>cagctcaagc</w:t>
      </w:r>
      <w:proofErr w:type="spellEnd"/>
      <w:r>
        <w:rPr>
          <w:rStyle w:val="ffline"/>
        </w:rPr>
        <w:t xml:space="preserve"> </w:t>
      </w:r>
      <w:proofErr w:type="spellStart"/>
      <w:r>
        <w:rPr>
          <w:rStyle w:val="ffline"/>
        </w:rPr>
        <w:t>tgaacgctta</w:t>
      </w:r>
      <w:proofErr w:type="spellEnd"/>
      <w:r>
        <w:rPr>
          <w:rStyle w:val="ffline"/>
        </w:rPr>
        <w:t xml:space="preserve"> </w:t>
      </w:r>
      <w:proofErr w:type="spellStart"/>
      <w:r>
        <w:rPr>
          <w:rStyle w:val="ffline"/>
        </w:rPr>
        <w:t>ccaagtattg</w:t>
      </w:r>
      <w:proofErr w:type="spellEnd"/>
      <w:r>
        <w:rPr>
          <w:rStyle w:val="ffline"/>
        </w:rPr>
        <w:t xml:space="preserve"> </w:t>
      </w:r>
      <w:proofErr w:type="spellStart"/>
      <w:r>
        <w:rPr>
          <w:rStyle w:val="ffline"/>
        </w:rPr>
        <w:t>atgccggatt</w:t>
      </w:r>
      <w:proofErr w:type="spellEnd"/>
      <w:r>
        <w:rPr>
          <w:rStyle w:val="ffline"/>
        </w:rPr>
        <w:t xml:space="preserve"> </w:t>
      </w:r>
      <w:proofErr w:type="spellStart"/>
      <w:r>
        <w:rPr>
          <w:rStyle w:val="ffline"/>
        </w:rPr>
        <w:t>tgggccaacc</w:t>
      </w:r>
      <w:proofErr w:type="spellEnd"/>
    </w:p>
    <w:p w14:paraId="59F8DA58" w14:textId="77777777" w:rsidR="00F5628C" w:rsidRDefault="00F5628C" w:rsidP="00F5628C">
      <w:pPr>
        <w:pStyle w:val="HTMLPreformatted"/>
      </w:pPr>
      <w:proofErr w:type="spellStart"/>
      <w:r>
        <w:rPr>
          <w:rStyle w:val="ffline"/>
        </w:rPr>
        <w:t>cgccaaaagc</w:t>
      </w:r>
      <w:proofErr w:type="spellEnd"/>
      <w:r>
        <w:rPr>
          <w:rStyle w:val="ffline"/>
        </w:rPr>
        <w:t xml:space="preserve"> </w:t>
      </w:r>
      <w:proofErr w:type="spellStart"/>
      <w:r>
        <w:rPr>
          <w:rStyle w:val="ffline"/>
        </w:rPr>
        <w:t>cgtctccagc</w:t>
      </w:r>
      <w:proofErr w:type="spellEnd"/>
      <w:r>
        <w:rPr>
          <w:rStyle w:val="ffline"/>
        </w:rPr>
        <w:t xml:space="preserve"> </w:t>
      </w:r>
      <w:proofErr w:type="spellStart"/>
      <w:r>
        <w:rPr>
          <w:rStyle w:val="ffline"/>
        </w:rPr>
        <w:t>ttcactcggt</w:t>
      </w:r>
      <w:proofErr w:type="spellEnd"/>
      <w:r>
        <w:rPr>
          <w:rStyle w:val="ffline"/>
        </w:rPr>
        <w:t xml:space="preserve"> </w:t>
      </w:r>
      <w:proofErr w:type="spellStart"/>
      <w:r>
        <w:rPr>
          <w:rStyle w:val="ffline"/>
        </w:rPr>
        <w:t>ttagatgaca</w:t>
      </w:r>
      <w:proofErr w:type="spellEnd"/>
      <w:r>
        <w:rPr>
          <w:rStyle w:val="ffline"/>
        </w:rPr>
        <w:t xml:space="preserve"> </w:t>
      </w:r>
      <w:proofErr w:type="spellStart"/>
      <w:r>
        <w:rPr>
          <w:rStyle w:val="ffline"/>
        </w:rPr>
        <w:t>atgcacatac</w:t>
      </w:r>
      <w:proofErr w:type="spellEnd"/>
      <w:r>
        <w:rPr>
          <w:rStyle w:val="ffline"/>
        </w:rPr>
        <w:t xml:space="preserve"> </w:t>
      </w:r>
      <w:proofErr w:type="spellStart"/>
      <w:r>
        <w:rPr>
          <w:rStyle w:val="ffline"/>
        </w:rPr>
        <w:t>ttcggctcaa</w:t>
      </w:r>
      <w:proofErr w:type="spellEnd"/>
    </w:p>
    <w:p w14:paraId="3ADD42DA" w14:textId="77777777" w:rsidR="00F5628C" w:rsidRDefault="00F5628C" w:rsidP="00F5628C">
      <w:pPr>
        <w:pStyle w:val="HTMLPreformatted"/>
      </w:pPr>
      <w:proofErr w:type="spellStart"/>
      <w:r>
        <w:rPr>
          <w:rStyle w:val="ffline"/>
        </w:rPr>
        <w:t>accttatggc</w:t>
      </w:r>
      <w:proofErr w:type="spellEnd"/>
      <w:r>
        <w:rPr>
          <w:rStyle w:val="ffline"/>
        </w:rPr>
        <w:t xml:space="preserve"> </w:t>
      </w:r>
      <w:proofErr w:type="spellStart"/>
      <w:r>
        <w:rPr>
          <w:rStyle w:val="ffline"/>
        </w:rPr>
        <w:t>gagctcaagc</w:t>
      </w:r>
      <w:proofErr w:type="spellEnd"/>
      <w:r>
        <w:rPr>
          <w:rStyle w:val="ffline"/>
        </w:rPr>
        <w:t xml:space="preserve"> </w:t>
      </w:r>
      <w:proofErr w:type="spellStart"/>
      <w:r>
        <w:rPr>
          <w:rStyle w:val="ffline"/>
        </w:rPr>
        <w:t>caatgtttca</w:t>
      </w:r>
      <w:proofErr w:type="spellEnd"/>
      <w:r>
        <w:rPr>
          <w:rStyle w:val="ffline"/>
        </w:rPr>
        <w:t xml:space="preserve"> </w:t>
      </w:r>
      <w:proofErr w:type="spellStart"/>
      <w:r>
        <w:rPr>
          <w:rStyle w:val="ffline"/>
        </w:rPr>
        <w:t>tatgagctcg</w:t>
      </w:r>
      <w:proofErr w:type="spellEnd"/>
      <w:r>
        <w:rPr>
          <w:rStyle w:val="ffline"/>
        </w:rPr>
        <w:t xml:space="preserve"> </w:t>
      </w:r>
      <w:proofErr w:type="spellStart"/>
      <w:r>
        <w:rPr>
          <w:rStyle w:val="ffline"/>
        </w:rPr>
        <w:t>atttatttgg</w:t>
      </w:r>
      <w:proofErr w:type="spellEnd"/>
      <w:r>
        <w:rPr>
          <w:rStyle w:val="ffline"/>
        </w:rPr>
        <w:t xml:space="preserve"> </w:t>
      </w:r>
      <w:proofErr w:type="spellStart"/>
      <w:r>
        <w:rPr>
          <w:rStyle w:val="ffline"/>
        </w:rPr>
        <w:t>tcgtgtagca</w:t>
      </w:r>
      <w:proofErr w:type="spellEnd"/>
    </w:p>
    <w:p w14:paraId="555A79B7" w14:textId="77777777" w:rsidR="00F5628C" w:rsidRDefault="00F5628C" w:rsidP="00F5628C">
      <w:pPr>
        <w:pStyle w:val="HTMLPreformatted"/>
      </w:pPr>
      <w:proofErr w:type="spellStart"/>
      <w:r>
        <w:rPr>
          <w:rStyle w:val="ffline"/>
        </w:rPr>
        <w:t>agtagtgtca</w:t>
      </w:r>
      <w:proofErr w:type="spellEnd"/>
      <w:r>
        <w:rPr>
          <w:rStyle w:val="ffline"/>
        </w:rPr>
        <w:t xml:space="preserve"> </w:t>
      </w:r>
      <w:proofErr w:type="spellStart"/>
      <w:r>
        <w:rPr>
          <w:rStyle w:val="ffline"/>
        </w:rPr>
        <w:t>acgcagcaac</w:t>
      </w:r>
      <w:proofErr w:type="spellEnd"/>
      <w:r>
        <w:rPr>
          <w:rStyle w:val="ffline"/>
        </w:rPr>
        <w:t xml:space="preserve"> </w:t>
      </w:r>
      <w:proofErr w:type="spellStart"/>
      <w:r>
        <w:rPr>
          <w:rStyle w:val="ffline"/>
        </w:rPr>
        <w:t>agcggatcta</w:t>
      </w:r>
      <w:proofErr w:type="spellEnd"/>
      <w:r>
        <w:rPr>
          <w:rStyle w:val="ffline"/>
        </w:rPr>
        <w:t xml:space="preserve"> </w:t>
      </w:r>
      <w:proofErr w:type="spellStart"/>
      <w:r>
        <w:rPr>
          <w:rStyle w:val="ffline"/>
        </w:rPr>
        <w:t>cagcaacaag</w:t>
      </w:r>
      <w:proofErr w:type="spellEnd"/>
      <w:r>
        <w:rPr>
          <w:rStyle w:val="ffline"/>
        </w:rPr>
        <w:t xml:space="preserve"> </w:t>
      </w:r>
      <w:proofErr w:type="spellStart"/>
      <w:r>
        <w:rPr>
          <w:rStyle w:val="ffline"/>
        </w:rPr>
        <w:t>aggcactata</w:t>
      </w:r>
      <w:proofErr w:type="spellEnd"/>
      <w:r>
        <w:rPr>
          <w:rStyle w:val="ffline"/>
        </w:rPr>
        <w:t xml:space="preserve"> </w:t>
      </w:r>
      <w:proofErr w:type="spellStart"/>
      <w:r>
        <w:rPr>
          <w:rStyle w:val="ffline"/>
        </w:rPr>
        <w:t>tcagtcggca</w:t>
      </w:r>
      <w:proofErr w:type="spellEnd"/>
    </w:p>
    <w:p w14:paraId="0AFC3721" w14:textId="77777777" w:rsidR="00F5628C" w:rsidRDefault="00F5628C" w:rsidP="00F5628C">
      <w:pPr>
        <w:pStyle w:val="HTMLPreformatted"/>
      </w:pPr>
      <w:proofErr w:type="spellStart"/>
      <w:r>
        <w:rPr>
          <w:rStyle w:val="ffline"/>
        </w:rPr>
        <w:t>cttttagctc</w:t>
      </w:r>
      <w:proofErr w:type="spellEnd"/>
      <w:r>
        <w:rPr>
          <w:rStyle w:val="ffline"/>
        </w:rPr>
        <w:t xml:space="preserve"> </w:t>
      </w:r>
      <w:proofErr w:type="spellStart"/>
      <w:r>
        <w:rPr>
          <w:rStyle w:val="ffline"/>
        </w:rPr>
        <w:t>tacaagcgga</w:t>
      </w:r>
      <w:proofErr w:type="spellEnd"/>
      <w:r>
        <w:rPr>
          <w:rStyle w:val="ffline"/>
        </w:rPr>
        <w:t xml:space="preserve"> </w:t>
      </w:r>
      <w:proofErr w:type="spellStart"/>
      <w:r>
        <w:rPr>
          <w:rStyle w:val="ffline"/>
        </w:rPr>
        <w:t>tgtagctcaa</w:t>
      </w:r>
      <w:proofErr w:type="spellEnd"/>
      <w:r>
        <w:rPr>
          <w:rStyle w:val="ffline"/>
        </w:rPr>
        <w:t xml:space="preserve"> </w:t>
      </w:r>
      <w:proofErr w:type="spellStart"/>
      <w:r>
        <w:rPr>
          <w:rStyle w:val="ffline"/>
        </w:rPr>
        <w:t>ggttattttc</w:t>
      </w:r>
      <w:proofErr w:type="spellEnd"/>
      <w:r>
        <w:rPr>
          <w:rStyle w:val="ffline"/>
        </w:rPr>
        <w:t xml:space="preserve"> </w:t>
      </w:r>
      <w:proofErr w:type="spellStart"/>
      <w:r>
        <w:rPr>
          <w:rStyle w:val="ffline"/>
        </w:rPr>
        <w:t>tgatacgtca</w:t>
      </w:r>
      <w:proofErr w:type="spellEnd"/>
      <w:r>
        <w:rPr>
          <w:rStyle w:val="ffline"/>
        </w:rPr>
        <w:t xml:space="preserve"> </w:t>
      </w:r>
      <w:proofErr w:type="spellStart"/>
      <w:r>
        <w:rPr>
          <w:rStyle w:val="ffline"/>
        </w:rPr>
        <w:t>acttgatacc</w:t>
      </w:r>
      <w:proofErr w:type="spellEnd"/>
    </w:p>
    <w:p w14:paraId="08DB91B5" w14:textId="77777777" w:rsidR="00F5628C" w:rsidRDefault="00F5628C" w:rsidP="00F5628C">
      <w:pPr>
        <w:pStyle w:val="HTMLPreformatted"/>
      </w:pPr>
      <w:proofErr w:type="spellStart"/>
      <w:r>
        <w:rPr>
          <w:rStyle w:val="ffline"/>
        </w:rPr>
        <w:t>gaacaggcaa</w:t>
      </w:r>
      <w:proofErr w:type="spellEnd"/>
      <w:r>
        <w:rPr>
          <w:rStyle w:val="ffline"/>
        </w:rPr>
        <w:t xml:space="preserve"> </w:t>
      </w:r>
      <w:proofErr w:type="spellStart"/>
      <w:r>
        <w:rPr>
          <w:rStyle w:val="ffline"/>
        </w:rPr>
        <w:t>tttataaccg</w:t>
      </w:r>
      <w:proofErr w:type="spellEnd"/>
      <w:r>
        <w:rPr>
          <w:rStyle w:val="ffline"/>
        </w:rPr>
        <w:t xml:space="preserve"> </w:t>
      </w:r>
      <w:proofErr w:type="spellStart"/>
      <w:r>
        <w:rPr>
          <w:rStyle w:val="ffline"/>
        </w:rPr>
        <w:t>tacaatcaaa</w:t>
      </w:r>
      <w:proofErr w:type="spellEnd"/>
      <w:r>
        <w:rPr>
          <w:rStyle w:val="ffline"/>
        </w:rPr>
        <w:t xml:space="preserve"> </w:t>
      </w:r>
      <w:proofErr w:type="spellStart"/>
      <w:r>
        <w:rPr>
          <w:rStyle w:val="ffline"/>
        </w:rPr>
        <w:t>ttattaggtg</w:t>
      </w:r>
      <w:proofErr w:type="spellEnd"/>
      <w:r>
        <w:rPr>
          <w:rStyle w:val="ffline"/>
        </w:rPr>
        <w:t xml:space="preserve"> </w:t>
      </w:r>
      <w:proofErr w:type="spellStart"/>
      <w:r>
        <w:rPr>
          <w:rStyle w:val="ffline"/>
        </w:rPr>
        <w:t>aaacacgaga</w:t>
      </w:r>
      <w:proofErr w:type="spellEnd"/>
      <w:r>
        <w:rPr>
          <w:rStyle w:val="ffline"/>
        </w:rPr>
        <w:t xml:space="preserve"> </w:t>
      </w:r>
      <w:proofErr w:type="spellStart"/>
      <w:r>
        <w:rPr>
          <w:rStyle w:val="ffline"/>
        </w:rPr>
        <w:t>tttaatgcag</w:t>
      </w:r>
      <w:proofErr w:type="spellEnd"/>
    </w:p>
    <w:p w14:paraId="6A718061" w14:textId="77777777" w:rsidR="00F5628C" w:rsidRDefault="00F5628C" w:rsidP="00F5628C">
      <w:pPr>
        <w:pStyle w:val="HTMLPreformatted"/>
      </w:pPr>
      <w:proofErr w:type="spellStart"/>
      <w:r>
        <w:rPr>
          <w:rStyle w:val="ffline"/>
        </w:rPr>
        <w:t>cttcgtttta</w:t>
      </w:r>
      <w:proofErr w:type="spellEnd"/>
      <w:r>
        <w:rPr>
          <w:rStyle w:val="ffline"/>
        </w:rPr>
        <w:t xml:space="preserve"> </w:t>
      </w:r>
      <w:proofErr w:type="spellStart"/>
      <w:r>
        <w:rPr>
          <w:rStyle w:val="ffline"/>
        </w:rPr>
        <w:t>aaaacggact</w:t>
      </w:r>
      <w:proofErr w:type="spellEnd"/>
      <w:r>
        <w:rPr>
          <w:rStyle w:val="ffline"/>
        </w:rPr>
        <w:t xml:space="preserve"> </w:t>
      </w:r>
      <w:proofErr w:type="spellStart"/>
      <w:r>
        <w:rPr>
          <w:rStyle w:val="ffline"/>
        </w:rPr>
        <w:t>ggtcagtgaa</w:t>
      </w:r>
      <w:proofErr w:type="spellEnd"/>
      <w:r>
        <w:rPr>
          <w:rStyle w:val="ffline"/>
        </w:rPr>
        <w:t xml:space="preserve"> </w:t>
      </w:r>
      <w:proofErr w:type="spellStart"/>
      <w:r>
        <w:rPr>
          <w:rStyle w:val="ffline"/>
        </w:rPr>
        <w:t>ttagatgttt</w:t>
      </w:r>
      <w:proofErr w:type="spellEnd"/>
      <w:r>
        <w:rPr>
          <w:rStyle w:val="ffline"/>
        </w:rPr>
        <w:t xml:space="preserve"> </w:t>
      </w:r>
      <w:proofErr w:type="spellStart"/>
      <w:r>
        <w:rPr>
          <w:rStyle w:val="ffline"/>
        </w:rPr>
        <w:t>ctcgtgcaca</w:t>
      </w:r>
      <w:proofErr w:type="spellEnd"/>
      <w:r>
        <w:rPr>
          <w:rStyle w:val="ffline"/>
        </w:rPr>
        <w:t xml:space="preserve"> </w:t>
      </w:r>
      <w:proofErr w:type="spellStart"/>
      <w:r>
        <w:rPr>
          <w:rStyle w:val="ffline"/>
        </w:rPr>
        <w:t>aaccgaactt</w:t>
      </w:r>
      <w:proofErr w:type="spellEnd"/>
    </w:p>
    <w:p w14:paraId="1F56E8D9" w14:textId="77777777" w:rsidR="00F5628C" w:rsidRDefault="00F5628C" w:rsidP="00F5628C">
      <w:pPr>
        <w:pStyle w:val="HTMLPreformatted"/>
      </w:pPr>
      <w:proofErr w:type="spellStart"/>
      <w:r>
        <w:rPr>
          <w:rStyle w:val="ffline"/>
        </w:rPr>
        <w:t>gctaccgcac</w:t>
      </w:r>
      <w:proofErr w:type="spellEnd"/>
      <w:r>
        <w:rPr>
          <w:rStyle w:val="ffline"/>
        </w:rPr>
        <w:t xml:space="preserve"> </w:t>
      </w:r>
      <w:proofErr w:type="spellStart"/>
      <w:r>
        <w:rPr>
          <w:rStyle w:val="ffline"/>
        </w:rPr>
        <w:t>aaaccactgc</w:t>
      </w:r>
      <w:proofErr w:type="spellEnd"/>
      <w:r>
        <w:rPr>
          <w:rStyle w:val="ffline"/>
        </w:rPr>
        <w:t xml:space="preserve"> </w:t>
      </w:r>
      <w:proofErr w:type="spellStart"/>
      <w:r>
        <w:rPr>
          <w:rStyle w:val="ffline"/>
        </w:rPr>
        <w:t>cctaaatatt</w:t>
      </w:r>
      <w:proofErr w:type="spellEnd"/>
      <w:r>
        <w:rPr>
          <w:rStyle w:val="ffline"/>
        </w:rPr>
        <w:t xml:space="preserve"> </w:t>
      </w:r>
      <w:proofErr w:type="spellStart"/>
      <w:r>
        <w:rPr>
          <w:rStyle w:val="ffline"/>
        </w:rPr>
        <w:t>gctcgtaaca</w:t>
      </w:r>
      <w:proofErr w:type="spellEnd"/>
      <w:r>
        <w:rPr>
          <w:rStyle w:val="ffline"/>
        </w:rPr>
        <w:t xml:space="preserve"> </w:t>
      </w:r>
      <w:proofErr w:type="spellStart"/>
      <w:r>
        <w:rPr>
          <w:rStyle w:val="ffline"/>
        </w:rPr>
        <w:t>gagccagtgc</w:t>
      </w:r>
      <w:proofErr w:type="spellEnd"/>
      <w:r>
        <w:rPr>
          <w:rStyle w:val="ffline"/>
        </w:rPr>
        <w:t xml:space="preserve"> </w:t>
      </w:r>
      <w:proofErr w:type="spellStart"/>
      <w:r>
        <w:rPr>
          <w:rStyle w:val="ffline"/>
        </w:rPr>
        <w:t>agaacatgcg</w:t>
      </w:r>
      <w:proofErr w:type="spellEnd"/>
    </w:p>
    <w:p w14:paraId="642F9DFA" w14:textId="77777777" w:rsidR="00F5628C" w:rsidRDefault="00F5628C" w:rsidP="00F5628C">
      <w:pPr>
        <w:pStyle w:val="HTMLPreformatted"/>
      </w:pPr>
      <w:proofErr w:type="spellStart"/>
      <w:r>
        <w:rPr>
          <w:rStyle w:val="ffline"/>
        </w:rPr>
        <w:t>cttgcagtct</w:t>
      </w:r>
      <w:proofErr w:type="spellEnd"/>
      <w:r>
        <w:rPr>
          <w:rStyle w:val="ffline"/>
        </w:rPr>
        <w:t xml:space="preserve"> </w:t>
      </w:r>
      <w:proofErr w:type="spellStart"/>
      <w:r>
        <w:rPr>
          <w:rStyle w:val="ffline"/>
        </w:rPr>
        <w:t>tattaggaaa</w:t>
      </w:r>
      <w:proofErr w:type="spellEnd"/>
      <w:r>
        <w:rPr>
          <w:rStyle w:val="ffline"/>
        </w:rPr>
        <w:t xml:space="preserve"> </w:t>
      </w:r>
      <w:proofErr w:type="spellStart"/>
      <w:r>
        <w:rPr>
          <w:rStyle w:val="ffline"/>
        </w:rPr>
        <w:t>accaccagca</w:t>
      </w:r>
      <w:proofErr w:type="spellEnd"/>
      <w:r>
        <w:rPr>
          <w:rStyle w:val="ffline"/>
        </w:rPr>
        <w:t xml:space="preserve"> </w:t>
      </w:r>
      <w:proofErr w:type="spellStart"/>
      <w:r>
        <w:rPr>
          <w:rStyle w:val="ffline"/>
        </w:rPr>
        <w:t>gactttaact</w:t>
      </w:r>
      <w:proofErr w:type="spellEnd"/>
      <w:r>
        <w:rPr>
          <w:rStyle w:val="ffline"/>
        </w:rPr>
        <w:t xml:space="preserve"> </w:t>
      </w:r>
      <w:proofErr w:type="spellStart"/>
      <w:r>
        <w:rPr>
          <w:rStyle w:val="ffline"/>
        </w:rPr>
        <w:t>tggctgttca</w:t>
      </w:r>
      <w:proofErr w:type="spellEnd"/>
      <w:r>
        <w:rPr>
          <w:rStyle w:val="ffline"/>
        </w:rPr>
        <w:t xml:space="preserve"> </w:t>
      </w:r>
      <w:proofErr w:type="spellStart"/>
      <w:r>
        <w:rPr>
          <w:rStyle w:val="ffline"/>
        </w:rPr>
        <w:t>acctttaact</w:t>
      </w:r>
      <w:proofErr w:type="spellEnd"/>
    </w:p>
    <w:p w14:paraId="11CC7529" w14:textId="77777777" w:rsidR="00F5628C" w:rsidRDefault="00F5628C" w:rsidP="00F5628C">
      <w:pPr>
        <w:pStyle w:val="HTMLPreformatted"/>
      </w:pPr>
      <w:proofErr w:type="spellStart"/>
      <w:r>
        <w:rPr>
          <w:rStyle w:val="ffline"/>
        </w:rPr>
        <w:t>gcaaatagta</w:t>
      </w:r>
      <w:proofErr w:type="spellEnd"/>
      <w:r>
        <w:rPr>
          <w:rStyle w:val="ffline"/>
        </w:rPr>
        <w:t xml:space="preserve"> </w:t>
      </w:r>
      <w:proofErr w:type="spellStart"/>
      <w:r>
        <w:rPr>
          <w:rStyle w:val="ffline"/>
        </w:rPr>
        <w:t>tccgtctccc</w:t>
      </w:r>
      <w:proofErr w:type="spellEnd"/>
      <w:r>
        <w:rPr>
          <w:rStyle w:val="ffline"/>
        </w:rPr>
        <w:t xml:space="preserve"> </w:t>
      </w:r>
      <w:proofErr w:type="spellStart"/>
      <w:r>
        <w:rPr>
          <w:rStyle w:val="ffline"/>
        </w:rPr>
        <w:t>tgccggtttg</w:t>
      </w:r>
      <w:proofErr w:type="spellEnd"/>
      <w:r>
        <w:rPr>
          <w:rStyle w:val="ffline"/>
        </w:rPr>
        <w:t xml:space="preserve"> </w:t>
      </w:r>
      <w:proofErr w:type="spellStart"/>
      <w:r>
        <w:rPr>
          <w:rStyle w:val="ffline"/>
        </w:rPr>
        <w:t>ccgtcaactt</w:t>
      </w:r>
      <w:proofErr w:type="spellEnd"/>
      <w:r>
        <w:rPr>
          <w:rStyle w:val="ffline"/>
        </w:rPr>
        <w:t xml:space="preserve"> </w:t>
      </w:r>
      <w:proofErr w:type="spellStart"/>
      <w:r>
        <w:rPr>
          <w:rStyle w:val="ffline"/>
        </w:rPr>
        <w:t>tacttgaaag</w:t>
      </w:r>
      <w:proofErr w:type="spellEnd"/>
      <w:r>
        <w:rPr>
          <w:rStyle w:val="ffline"/>
        </w:rPr>
        <w:t xml:space="preserve"> </w:t>
      </w:r>
      <w:proofErr w:type="spellStart"/>
      <w:r>
        <w:rPr>
          <w:rStyle w:val="ffline"/>
        </w:rPr>
        <w:t>acgacccgat</w:t>
      </w:r>
      <w:proofErr w:type="spellEnd"/>
    </w:p>
    <w:p w14:paraId="6BB76A9A" w14:textId="77777777" w:rsidR="00F5628C" w:rsidRDefault="00F5628C" w:rsidP="00F5628C">
      <w:pPr>
        <w:pStyle w:val="HTMLPreformatted"/>
      </w:pPr>
      <w:proofErr w:type="spellStart"/>
      <w:r>
        <w:rPr>
          <w:rStyle w:val="ffline"/>
        </w:rPr>
        <w:t>attgcggctg</w:t>
      </w:r>
      <w:proofErr w:type="spellEnd"/>
      <w:r>
        <w:rPr>
          <w:rStyle w:val="ffline"/>
        </w:rPr>
        <w:t xml:space="preserve"> </w:t>
      </w:r>
      <w:proofErr w:type="spellStart"/>
      <w:r>
        <w:rPr>
          <w:rStyle w:val="ffline"/>
        </w:rPr>
        <w:t>cagagcgtgc</w:t>
      </w:r>
      <w:proofErr w:type="spellEnd"/>
      <w:r>
        <w:rPr>
          <w:rStyle w:val="ffline"/>
        </w:rPr>
        <w:t xml:space="preserve"> </w:t>
      </w:r>
      <w:proofErr w:type="spellStart"/>
      <w:r>
        <w:rPr>
          <w:rStyle w:val="ffline"/>
        </w:rPr>
        <w:t>aatggcagca</w:t>
      </w:r>
      <w:proofErr w:type="spellEnd"/>
      <w:r>
        <w:rPr>
          <w:rStyle w:val="ffline"/>
        </w:rPr>
        <w:t xml:space="preserve"> </w:t>
      </w:r>
      <w:proofErr w:type="spellStart"/>
      <w:r>
        <w:rPr>
          <w:rStyle w:val="ffline"/>
        </w:rPr>
        <w:t>gataatgcac</w:t>
      </w:r>
      <w:proofErr w:type="spellEnd"/>
      <w:r>
        <w:rPr>
          <w:rStyle w:val="ffline"/>
        </w:rPr>
        <w:t xml:space="preserve"> </w:t>
      </w:r>
      <w:proofErr w:type="spellStart"/>
      <w:r>
        <w:rPr>
          <w:rStyle w:val="ffline"/>
        </w:rPr>
        <w:t>gtattgggat</w:t>
      </w:r>
      <w:proofErr w:type="spellEnd"/>
      <w:r>
        <w:rPr>
          <w:rStyle w:val="ffline"/>
        </w:rPr>
        <w:t xml:space="preserve"> </w:t>
      </w:r>
      <w:proofErr w:type="spellStart"/>
      <w:r>
        <w:rPr>
          <w:rStyle w:val="ffline"/>
        </w:rPr>
        <w:t>tgctcgtgca</w:t>
      </w:r>
      <w:proofErr w:type="spellEnd"/>
    </w:p>
    <w:p w14:paraId="76818570" w14:textId="77777777" w:rsidR="00F5628C" w:rsidRDefault="00F5628C" w:rsidP="00F5628C">
      <w:pPr>
        <w:pStyle w:val="HTMLPreformatted"/>
      </w:pPr>
      <w:proofErr w:type="spellStart"/>
      <w:r>
        <w:rPr>
          <w:rStyle w:val="ffline"/>
        </w:rPr>
        <w:t>gcatttttcc</w:t>
      </w:r>
      <w:proofErr w:type="spellEnd"/>
      <w:r>
        <w:rPr>
          <w:rStyle w:val="ffline"/>
        </w:rPr>
        <w:t xml:space="preserve"> </w:t>
      </w:r>
      <w:proofErr w:type="spellStart"/>
      <w:r>
        <w:rPr>
          <w:rStyle w:val="ffline"/>
        </w:rPr>
        <w:t>caaaactcag</w:t>
      </w:r>
      <w:proofErr w:type="spellEnd"/>
      <w:r>
        <w:rPr>
          <w:rStyle w:val="ffline"/>
        </w:rPr>
        <w:t xml:space="preserve"> </w:t>
      </w:r>
      <w:proofErr w:type="spellStart"/>
      <w:r>
        <w:rPr>
          <w:rStyle w:val="ffline"/>
        </w:rPr>
        <w:t>tcttacagga</w:t>
      </w:r>
      <w:proofErr w:type="spellEnd"/>
      <w:r>
        <w:rPr>
          <w:rStyle w:val="ffline"/>
        </w:rPr>
        <w:t xml:space="preserve"> </w:t>
      </w:r>
      <w:proofErr w:type="spellStart"/>
      <w:r>
        <w:rPr>
          <w:rStyle w:val="ffline"/>
        </w:rPr>
        <w:t>gctttaggtt</w:t>
      </w:r>
      <w:proofErr w:type="spellEnd"/>
      <w:r>
        <w:rPr>
          <w:rStyle w:val="ffline"/>
        </w:rPr>
        <w:t xml:space="preserve"> </w:t>
      </w:r>
      <w:proofErr w:type="spellStart"/>
      <w:r>
        <w:rPr>
          <w:rStyle w:val="ffline"/>
        </w:rPr>
        <w:t>atgaatcttc</w:t>
      </w:r>
      <w:proofErr w:type="spellEnd"/>
      <w:r>
        <w:rPr>
          <w:rStyle w:val="ffline"/>
        </w:rPr>
        <w:t xml:space="preserve"> </w:t>
      </w:r>
      <w:proofErr w:type="spellStart"/>
      <w:r>
        <w:rPr>
          <w:rStyle w:val="ffline"/>
        </w:rPr>
        <w:t>aagtttaagc</w:t>
      </w:r>
      <w:proofErr w:type="spellEnd"/>
    </w:p>
    <w:p w14:paraId="61E8FE51" w14:textId="77777777" w:rsidR="00F5628C" w:rsidRDefault="00F5628C" w:rsidP="00F5628C">
      <w:pPr>
        <w:pStyle w:val="HTMLPreformatted"/>
      </w:pPr>
      <w:proofErr w:type="spellStart"/>
      <w:r>
        <w:rPr>
          <w:rStyle w:val="ffline"/>
        </w:rPr>
        <w:t>gagttgggta</w:t>
      </w:r>
      <w:proofErr w:type="spellEnd"/>
      <w:r>
        <w:rPr>
          <w:rStyle w:val="ffline"/>
        </w:rPr>
        <w:t xml:space="preserve"> </w:t>
      </w:r>
      <w:proofErr w:type="spellStart"/>
      <w:r>
        <w:rPr>
          <w:rStyle w:val="ffline"/>
        </w:rPr>
        <w:t>aatggtcgag</w:t>
      </w:r>
      <w:proofErr w:type="spellEnd"/>
      <w:r>
        <w:rPr>
          <w:rStyle w:val="ffline"/>
        </w:rPr>
        <w:t xml:space="preserve"> </w:t>
      </w:r>
      <w:proofErr w:type="spellStart"/>
      <w:r>
        <w:rPr>
          <w:rStyle w:val="ffline"/>
        </w:rPr>
        <w:t>tcggactttt</w:t>
      </w:r>
      <w:proofErr w:type="spellEnd"/>
      <w:r>
        <w:rPr>
          <w:rStyle w:val="ffline"/>
        </w:rPr>
        <w:t xml:space="preserve"> </w:t>
      </w:r>
      <w:proofErr w:type="spellStart"/>
      <w:r>
        <w:rPr>
          <w:rStyle w:val="ffline"/>
        </w:rPr>
        <w:t>ttactaggac</w:t>
      </w:r>
      <w:proofErr w:type="spellEnd"/>
      <w:r>
        <w:rPr>
          <w:rStyle w:val="ffline"/>
        </w:rPr>
        <w:t xml:space="preserve"> </w:t>
      </w:r>
      <w:proofErr w:type="spellStart"/>
      <w:r>
        <w:rPr>
          <w:rStyle w:val="ffline"/>
        </w:rPr>
        <w:t>ctgtcgctgg</w:t>
      </w:r>
      <w:proofErr w:type="spellEnd"/>
      <w:r>
        <w:rPr>
          <w:rStyle w:val="ffline"/>
        </w:rPr>
        <w:t xml:space="preserve"> </w:t>
      </w:r>
      <w:proofErr w:type="spellStart"/>
      <w:r>
        <w:rPr>
          <w:rStyle w:val="ffline"/>
        </w:rPr>
        <w:t>tactattttg</w:t>
      </w:r>
      <w:proofErr w:type="spellEnd"/>
    </w:p>
    <w:p w14:paraId="4271412B" w14:textId="77777777" w:rsidR="00F5628C" w:rsidRDefault="00F5628C" w:rsidP="00F5628C">
      <w:pPr>
        <w:pStyle w:val="HTMLPreformatted"/>
      </w:pPr>
      <w:proofErr w:type="spellStart"/>
      <w:r>
        <w:rPr>
          <w:rStyle w:val="ffline"/>
        </w:rPr>
        <w:t>tcgttacctt</w:t>
      </w:r>
      <w:proofErr w:type="spellEnd"/>
      <w:r>
        <w:rPr>
          <w:rStyle w:val="ffline"/>
        </w:rPr>
        <w:t xml:space="preserve"> </w:t>
      </w:r>
      <w:proofErr w:type="spellStart"/>
      <w:r>
        <w:rPr>
          <w:rStyle w:val="ffline"/>
        </w:rPr>
        <w:t>tatttgatgg</w:t>
      </w:r>
      <w:proofErr w:type="spellEnd"/>
      <w:r>
        <w:rPr>
          <w:rStyle w:val="ffline"/>
        </w:rPr>
        <w:t xml:space="preserve"> </w:t>
      </w:r>
      <w:proofErr w:type="spellStart"/>
      <w:r>
        <w:rPr>
          <w:rStyle w:val="ffline"/>
        </w:rPr>
        <w:t>tggacaacgt</w:t>
      </w:r>
      <w:proofErr w:type="spellEnd"/>
      <w:r>
        <w:rPr>
          <w:rStyle w:val="ffline"/>
        </w:rPr>
        <w:t xml:space="preserve"> </w:t>
      </w:r>
      <w:proofErr w:type="spellStart"/>
      <w:r>
        <w:rPr>
          <w:rStyle w:val="ffline"/>
        </w:rPr>
        <w:t>aaagcaggcg</w:t>
      </w:r>
      <w:proofErr w:type="spellEnd"/>
      <w:r>
        <w:rPr>
          <w:rStyle w:val="ffline"/>
        </w:rPr>
        <w:t xml:space="preserve"> </w:t>
      </w:r>
      <w:proofErr w:type="spellStart"/>
      <w:r>
        <w:rPr>
          <w:rStyle w:val="ffline"/>
        </w:rPr>
        <w:t>ttgctcaagc</w:t>
      </w:r>
      <w:proofErr w:type="spellEnd"/>
      <w:r>
        <w:rPr>
          <w:rStyle w:val="ffline"/>
        </w:rPr>
        <w:t xml:space="preserve"> </w:t>
      </w:r>
      <w:proofErr w:type="spellStart"/>
      <w:r>
        <w:rPr>
          <w:rStyle w:val="ffline"/>
        </w:rPr>
        <w:t>aagagcggct</w:t>
      </w:r>
      <w:proofErr w:type="spellEnd"/>
    </w:p>
    <w:p w14:paraId="0DDDDD00" w14:textId="77777777" w:rsidR="00F5628C" w:rsidRDefault="00F5628C" w:rsidP="00F5628C">
      <w:pPr>
        <w:pStyle w:val="HTMLPreformatted"/>
      </w:pPr>
      <w:proofErr w:type="spellStart"/>
      <w:r>
        <w:rPr>
          <w:rStyle w:val="ffline"/>
        </w:rPr>
        <w:t>tatgaggaaa</w:t>
      </w:r>
      <w:proofErr w:type="spellEnd"/>
      <w:r>
        <w:rPr>
          <w:rStyle w:val="ffline"/>
        </w:rPr>
        <w:t xml:space="preserve"> </w:t>
      </w:r>
      <w:proofErr w:type="spellStart"/>
      <w:r>
        <w:rPr>
          <w:rStyle w:val="ffline"/>
        </w:rPr>
        <w:t>gcgtcgccaa</w:t>
      </w:r>
      <w:proofErr w:type="spellEnd"/>
      <w:r>
        <w:rPr>
          <w:rStyle w:val="ffline"/>
        </w:rPr>
        <w:t xml:space="preserve"> </w:t>
      </w:r>
      <w:proofErr w:type="spellStart"/>
      <w:r>
        <w:rPr>
          <w:rStyle w:val="ffline"/>
        </w:rPr>
        <w:t>ctatagacaa</w:t>
      </w:r>
      <w:proofErr w:type="spellEnd"/>
      <w:r>
        <w:rPr>
          <w:rStyle w:val="ffline"/>
        </w:rPr>
        <w:t xml:space="preserve"> </w:t>
      </w:r>
      <w:proofErr w:type="spellStart"/>
      <w:r>
        <w:rPr>
          <w:rStyle w:val="ffline"/>
        </w:rPr>
        <w:t>actgtactaa</w:t>
      </w:r>
      <w:proofErr w:type="spellEnd"/>
      <w:r>
        <w:rPr>
          <w:rStyle w:val="ffline"/>
        </w:rPr>
        <w:t xml:space="preserve"> </w:t>
      </w:r>
      <w:proofErr w:type="spellStart"/>
      <w:r>
        <w:rPr>
          <w:rStyle w:val="ffline"/>
        </w:rPr>
        <w:t>acgcatttcg</w:t>
      </w:r>
      <w:proofErr w:type="spellEnd"/>
      <w:r>
        <w:rPr>
          <w:rStyle w:val="ffline"/>
        </w:rPr>
        <w:t xml:space="preserve"> </w:t>
      </w:r>
      <w:proofErr w:type="spellStart"/>
      <w:r>
        <w:rPr>
          <w:rStyle w:val="ffline"/>
        </w:rPr>
        <w:t>cgaagttgaa</w:t>
      </w:r>
      <w:proofErr w:type="spellEnd"/>
    </w:p>
    <w:p w14:paraId="1373FC54" w14:textId="77777777" w:rsidR="00F5628C" w:rsidRDefault="00F5628C" w:rsidP="00F5628C">
      <w:pPr>
        <w:pStyle w:val="HTMLPreformatted"/>
      </w:pPr>
      <w:proofErr w:type="spellStart"/>
      <w:r>
        <w:rPr>
          <w:rStyle w:val="ffline"/>
        </w:rPr>
        <w:t>aatggtttat</w:t>
      </w:r>
      <w:proofErr w:type="spellEnd"/>
      <w:r>
        <w:rPr>
          <w:rStyle w:val="ffline"/>
        </w:rPr>
        <w:t xml:space="preserve"> </w:t>
      </w:r>
      <w:proofErr w:type="spellStart"/>
      <w:r>
        <w:rPr>
          <w:rStyle w:val="ffline"/>
        </w:rPr>
        <w:t>ctgatcaaag</w:t>
      </w:r>
      <w:proofErr w:type="spellEnd"/>
      <w:r>
        <w:rPr>
          <w:rStyle w:val="ffline"/>
        </w:rPr>
        <w:t xml:space="preserve"> </w:t>
      </w:r>
      <w:proofErr w:type="spellStart"/>
      <w:r>
        <w:rPr>
          <w:rStyle w:val="ffline"/>
        </w:rPr>
        <w:t>aattctcgat</w:t>
      </w:r>
      <w:proofErr w:type="spellEnd"/>
      <w:r>
        <w:rPr>
          <w:rStyle w:val="ffline"/>
        </w:rPr>
        <w:t xml:space="preserve"> </w:t>
      </w:r>
      <w:proofErr w:type="spellStart"/>
      <w:r>
        <w:rPr>
          <w:rStyle w:val="ffline"/>
        </w:rPr>
        <w:t>cagcaaattc</w:t>
      </w:r>
      <w:proofErr w:type="spellEnd"/>
      <w:r>
        <w:rPr>
          <w:rStyle w:val="ffline"/>
        </w:rPr>
        <w:t xml:space="preserve"> </w:t>
      </w:r>
      <w:proofErr w:type="spellStart"/>
      <w:r>
        <w:rPr>
          <w:rStyle w:val="ffline"/>
        </w:rPr>
        <w:t>aggctcaaaa</w:t>
      </w:r>
      <w:proofErr w:type="spellEnd"/>
      <w:r>
        <w:rPr>
          <w:rStyle w:val="ffline"/>
        </w:rPr>
        <w:t xml:space="preserve"> </w:t>
      </w:r>
      <w:proofErr w:type="spellStart"/>
      <w:r>
        <w:rPr>
          <w:rStyle w:val="ffline"/>
        </w:rPr>
        <w:t>ccaagcactc</w:t>
      </w:r>
      <w:proofErr w:type="spellEnd"/>
    </w:p>
    <w:p w14:paraId="63A3E640" w14:textId="77777777" w:rsidR="00F5628C" w:rsidRDefault="00F5628C" w:rsidP="00F5628C">
      <w:pPr>
        <w:pStyle w:val="HTMLPreformatted"/>
      </w:pPr>
      <w:proofErr w:type="spellStart"/>
      <w:r>
        <w:rPr>
          <w:rStyle w:val="ffline"/>
        </w:rPr>
        <w:t>tcctcttctc</w:t>
      </w:r>
      <w:proofErr w:type="spellEnd"/>
      <w:r>
        <w:rPr>
          <w:rStyle w:val="ffline"/>
        </w:rPr>
        <w:t xml:space="preserve"> </w:t>
      </w:r>
      <w:proofErr w:type="spellStart"/>
      <w:r>
        <w:rPr>
          <w:rStyle w:val="ffline"/>
        </w:rPr>
        <w:t>gtcatgccaa</w:t>
      </w:r>
      <w:proofErr w:type="spellEnd"/>
      <w:r>
        <w:rPr>
          <w:rStyle w:val="ffline"/>
        </w:rPr>
        <w:t xml:space="preserve"> </w:t>
      </w:r>
      <w:proofErr w:type="spellStart"/>
      <w:r>
        <w:rPr>
          <w:rStyle w:val="ffline"/>
        </w:rPr>
        <w:t>tcaactttct</w:t>
      </w:r>
      <w:proofErr w:type="spellEnd"/>
      <w:r>
        <w:rPr>
          <w:rStyle w:val="ffline"/>
        </w:rPr>
        <w:t xml:space="preserve"> </w:t>
      </w:r>
      <w:proofErr w:type="spellStart"/>
      <w:r>
        <w:rPr>
          <w:rStyle w:val="ffline"/>
        </w:rPr>
        <w:t>catttacgtt</w:t>
      </w:r>
      <w:proofErr w:type="spellEnd"/>
      <w:r>
        <w:rPr>
          <w:rStyle w:val="ffline"/>
        </w:rPr>
        <w:t xml:space="preserve"> </w:t>
      </w:r>
      <w:proofErr w:type="spellStart"/>
      <w:r>
        <w:rPr>
          <w:rStyle w:val="ffline"/>
        </w:rPr>
        <w:t>atcgagaagg</w:t>
      </w:r>
      <w:proofErr w:type="spellEnd"/>
      <w:r>
        <w:rPr>
          <w:rStyle w:val="ffline"/>
        </w:rPr>
        <w:t xml:space="preserve"> </w:t>
      </w:r>
      <w:proofErr w:type="spellStart"/>
      <w:r>
        <w:rPr>
          <w:rStyle w:val="ffline"/>
        </w:rPr>
        <w:t>tgctattagc</w:t>
      </w:r>
      <w:proofErr w:type="spellEnd"/>
    </w:p>
    <w:p w14:paraId="21C506E2" w14:textId="77777777" w:rsidR="00F5628C" w:rsidRDefault="00F5628C" w:rsidP="00F5628C">
      <w:pPr>
        <w:pStyle w:val="HTMLPreformatted"/>
      </w:pPr>
      <w:proofErr w:type="spellStart"/>
      <w:r>
        <w:rPr>
          <w:rStyle w:val="ffline"/>
        </w:rPr>
        <w:t>tatcttgatg</w:t>
      </w:r>
      <w:proofErr w:type="spellEnd"/>
      <w:r>
        <w:rPr>
          <w:rStyle w:val="ffline"/>
        </w:rPr>
        <w:t xml:space="preserve"> </w:t>
      </w:r>
      <w:proofErr w:type="spellStart"/>
      <w:r>
        <w:rPr>
          <w:rStyle w:val="ffline"/>
        </w:rPr>
        <w:t>tcattgattc</w:t>
      </w:r>
      <w:proofErr w:type="spellEnd"/>
      <w:r>
        <w:rPr>
          <w:rStyle w:val="ffline"/>
        </w:rPr>
        <w:t xml:space="preserve"> </w:t>
      </w:r>
      <w:proofErr w:type="spellStart"/>
      <w:r>
        <w:rPr>
          <w:rStyle w:val="ffline"/>
        </w:rPr>
        <w:t>tgaccgcact</w:t>
      </w:r>
      <w:proofErr w:type="spellEnd"/>
      <w:r>
        <w:rPr>
          <w:rStyle w:val="ffline"/>
        </w:rPr>
        <w:t xml:space="preserve"> </w:t>
      </w:r>
      <w:proofErr w:type="spellStart"/>
      <w:r>
        <w:rPr>
          <w:rStyle w:val="ffline"/>
        </w:rPr>
        <w:t>attttgcaac</w:t>
      </w:r>
      <w:proofErr w:type="spellEnd"/>
      <w:r>
        <w:rPr>
          <w:rStyle w:val="ffline"/>
        </w:rPr>
        <w:t xml:space="preserve"> </w:t>
      </w:r>
      <w:proofErr w:type="spellStart"/>
      <w:r>
        <w:rPr>
          <w:rStyle w:val="ffline"/>
        </w:rPr>
        <w:t>aagaacaatt</w:t>
      </w:r>
      <w:proofErr w:type="spellEnd"/>
      <w:r>
        <w:rPr>
          <w:rStyle w:val="ffline"/>
        </w:rPr>
        <w:t xml:space="preserve"> </w:t>
      </w:r>
      <w:proofErr w:type="spellStart"/>
      <w:r>
        <w:rPr>
          <w:rStyle w:val="ffline"/>
        </w:rPr>
        <w:t>agcagctcag</w:t>
      </w:r>
      <w:proofErr w:type="spellEnd"/>
    </w:p>
    <w:p w14:paraId="1EA5D994" w14:textId="77777777" w:rsidR="00F5628C" w:rsidRDefault="00F5628C" w:rsidP="00F5628C">
      <w:pPr>
        <w:pStyle w:val="HTMLPreformatted"/>
      </w:pPr>
      <w:proofErr w:type="spellStart"/>
      <w:r>
        <w:rPr>
          <w:rStyle w:val="ffline"/>
        </w:rPr>
        <w:t>ctgaaaggca</w:t>
      </w:r>
      <w:proofErr w:type="spellEnd"/>
      <w:r>
        <w:rPr>
          <w:rStyle w:val="ffline"/>
        </w:rPr>
        <w:t xml:space="preserve"> </w:t>
      </w:r>
      <w:proofErr w:type="spellStart"/>
      <w:r>
        <w:rPr>
          <w:rStyle w:val="ffline"/>
        </w:rPr>
        <w:t>gccaaatcat</w:t>
      </w:r>
      <w:proofErr w:type="spellEnd"/>
      <w:r>
        <w:rPr>
          <w:rStyle w:val="ffline"/>
        </w:rPr>
        <w:t xml:space="preserve"> </w:t>
      </w:r>
      <w:proofErr w:type="spellStart"/>
      <w:r>
        <w:rPr>
          <w:rStyle w:val="ffline"/>
        </w:rPr>
        <w:t>tgcaagcatc</w:t>
      </w:r>
      <w:proofErr w:type="spellEnd"/>
      <w:r>
        <w:rPr>
          <w:rStyle w:val="ffline"/>
        </w:rPr>
        <w:t xml:space="preserve"> </w:t>
      </w:r>
      <w:proofErr w:type="spellStart"/>
      <w:r>
        <w:rPr>
          <w:rStyle w:val="ffline"/>
        </w:rPr>
        <w:t>aatttaatcc</w:t>
      </w:r>
      <w:proofErr w:type="spellEnd"/>
      <w:r>
        <w:rPr>
          <w:rStyle w:val="ffline"/>
        </w:rPr>
        <w:t xml:space="preserve"> </w:t>
      </w:r>
      <w:proofErr w:type="spellStart"/>
      <w:r>
        <w:rPr>
          <w:rStyle w:val="ffline"/>
        </w:rPr>
        <w:t>gtgctttagg</w:t>
      </w:r>
      <w:proofErr w:type="spellEnd"/>
      <w:r>
        <w:rPr>
          <w:rStyle w:val="ffline"/>
        </w:rPr>
        <w:t xml:space="preserve"> </w:t>
      </w:r>
      <w:proofErr w:type="spellStart"/>
      <w:r>
        <w:rPr>
          <w:rStyle w:val="ffline"/>
        </w:rPr>
        <w:t>gggcggttgg</w:t>
      </w:r>
      <w:proofErr w:type="spellEnd"/>
    </w:p>
    <w:p w14:paraId="5B98D58F" w14:textId="77777777" w:rsidR="00F5628C" w:rsidRDefault="00F5628C" w:rsidP="00F5628C">
      <w:pPr>
        <w:pStyle w:val="HTMLPreformatted"/>
      </w:pPr>
      <w:proofErr w:type="spellStart"/>
      <w:r>
        <w:rPr>
          <w:rStyle w:val="ffline"/>
        </w:rPr>
        <w:t>agtagttaa</w:t>
      </w:r>
      <w:proofErr w:type="spellEnd"/>
    </w:p>
    <w:p w14:paraId="1145C424" w14:textId="77777777" w:rsidR="00F5628C" w:rsidRDefault="00F5628C" w:rsidP="00F5628C"/>
    <w:p w14:paraId="3C824FDA" w14:textId="2F8DCF8E" w:rsidR="00F5628C" w:rsidRDefault="00F5628C" w:rsidP="00F5628C">
      <w:r>
        <w:rPr>
          <w:sz w:val="24"/>
          <w:szCs w:val="24"/>
        </w:rPr>
        <w:t>&gt;</w:t>
      </w:r>
      <w:r>
        <w:t>A1S_2735 (</w:t>
      </w:r>
      <w:proofErr w:type="spellStart"/>
      <w:r w:rsidRPr="00D97131">
        <w:rPr>
          <w:i/>
          <w:iCs/>
        </w:rPr>
        <w:t>adeI</w:t>
      </w:r>
      <w:proofErr w:type="spellEnd"/>
      <w:r>
        <w:t>)</w:t>
      </w:r>
      <w:r w:rsidR="00832EB7">
        <w:t xml:space="preserve"> GenBank: CP000521.1</w:t>
      </w:r>
    </w:p>
    <w:p w14:paraId="6E3E2F91" w14:textId="77777777" w:rsidR="00F5628C" w:rsidRDefault="00F5628C" w:rsidP="00F5628C">
      <w:pPr>
        <w:pStyle w:val="HTMLPreformatted"/>
      </w:pPr>
      <w:proofErr w:type="spellStart"/>
      <w:r>
        <w:rPr>
          <w:rStyle w:val="ffline"/>
        </w:rPr>
        <w:t>atgtcggcta</w:t>
      </w:r>
      <w:proofErr w:type="spellEnd"/>
      <w:r>
        <w:rPr>
          <w:rStyle w:val="ffline"/>
        </w:rPr>
        <w:t xml:space="preserve"> </w:t>
      </w:r>
      <w:proofErr w:type="spellStart"/>
      <w:r>
        <w:rPr>
          <w:rStyle w:val="ffline"/>
        </w:rPr>
        <w:t>agctttgggc</w:t>
      </w:r>
      <w:proofErr w:type="spellEnd"/>
      <w:r>
        <w:rPr>
          <w:rStyle w:val="ffline"/>
        </w:rPr>
        <w:t xml:space="preserve"> </w:t>
      </w:r>
      <w:proofErr w:type="spellStart"/>
      <w:r>
        <w:rPr>
          <w:rStyle w:val="ffline"/>
        </w:rPr>
        <w:t>accagccctt</w:t>
      </w:r>
      <w:proofErr w:type="spellEnd"/>
      <w:r>
        <w:rPr>
          <w:rStyle w:val="ffline"/>
        </w:rPr>
        <w:t xml:space="preserve"> </w:t>
      </w:r>
      <w:proofErr w:type="spellStart"/>
      <w:r>
        <w:rPr>
          <w:rStyle w:val="ffline"/>
        </w:rPr>
        <w:t>actgcttgcg</w:t>
      </w:r>
      <w:proofErr w:type="spellEnd"/>
      <w:r>
        <w:rPr>
          <w:rStyle w:val="ffline"/>
        </w:rPr>
        <w:t xml:space="preserve"> </w:t>
      </w:r>
      <w:proofErr w:type="spellStart"/>
      <w:r>
        <w:rPr>
          <w:rStyle w:val="ffline"/>
        </w:rPr>
        <w:t>cattagcaac</w:t>
      </w:r>
      <w:proofErr w:type="spellEnd"/>
      <w:r>
        <w:rPr>
          <w:rStyle w:val="ffline"/>
        </w:rPr>
        <w:t xml:space="preserve"> </w:t>
      </w:r>
      <w:proofErr w:type="spellStart"/>
      <w:r>
        <w:rPr>
          <w:rStyle w:val="ffline"/>
        </w:rPr>
        <w:t>aagtatcgcg</w:t>
      </w:r>
      <w:proofErr w:type="spellEnd"/>
    </w:p>
    <w:p w14:paraId="62B3B18E" w14:textId="77777777" w:rsidR="00F5628C" w:rsidRDefault="00F5628C" w:rsidP="00F5628C">
      <w:pPr>
        <w:pStyle w:val="HTMLPreformatted"/>
      </w:pPr>
      <w:proofErr w:type="spellStart"/>
      <w:r>
        <w:rPr>
          <w:rStyle w:val="ffline"/>
        </w:rPr>
        <w:t>cttgttggtt</w:t>
      </w:r>
      <w:proofErr w:type="spellEnd"/>
      <w:r>
        <w:rPr>
          <w:rStyle w:val="ffline"/>
        </w:rPr>
        <w:t xml:space="preserve"> </w:t>
      </w:r>
      <w:proofErr w:type="spellStart"/>
      <w:r>
        <w:rPr>
          <w:rStyle w:val="ffline"/>
        </w:rPr>
        <w:t>gtagcaaagg</w:t>
      </w:r>
      <w:proofErr w:type="spellEnd"/>
      <w:r>
        <w:rPr>
          <w:rStyle w:val="ffline"/>
        </w:rPr>
        <w:t xml:space="preserve"> </w:t>
      </w:r>
      <w:proofErr w:type="spellStart"/>
      <w:r>
        <w:rPr>
          <w:rStyle w:val="ffline"/>
        </w:rPr>
        <w:t>ctccgatgag</w:t>
      </w:r>
      <w:proofErr w:type="spellEnd"/>
      <w:r>
        <w:rPr>
          <w:rStyle w:val="ffline"/>
        </w:rPr>
        <w:t xml:space="preserve"> </w:t>
      </w:r>
      <w:proofErr w:type="spellStart"/>
      <w:r>
        <w:rPr>
          <w:rStyle w:val="ffline"/>
        </w:rPr>
        <w:t>aaacagcaag</w:t>
      </w:r>
      <w:proofErr w:type="spellEnd"/>
      <w:r>
        <w:rPr>
          <w:rStyle w:val="ffline"/>
        </w:rPr>
        <w:t xml:space="preserve"> </w:t>
      </w:r>
      <w:proofErr w:type="spellStart"/>
      <w:r>
        <w:rPr>
          <w:rStyle w:val="ffline"/>
        </w:rPr>
        <w:t>ctgctgctgc</w:t>
      </w:r>
      <w:proofErr w:type="spellEnd"/>
      <w:r>
        <w:rPr>
          <w:rStyle w:val="ffline"/>
        </w:rPr>
        <w:t xml:space="preserve"> </w:t>
      </w:r>
      <w:proofErr w:type="spellStart"/>
      <w:r>
        <w:rPr>
          <w:rStyle w:val="ffline"/>
        </w:rPr>
        <w:t>tcagaaaatg</w:t>
      </w:r>
      <w:proofErr w:type="spellEnd"/>
    </w:p>
    <w:p w14:paraId="22AF735F" w14:textId="77777777" w:rsidR="00F5628C" w:rsidRDefault="00F5628C" w:rsidP="00F5628C">
      <w:pPr>
        <w:pStyle w:val="HTMLPreformatted"/>
      </w:pPr>
      <w:proofErr w:type="spellStart"/>
      <w:r>
        <w:rPr>
          <w:rStyle w:val="ffline"/>
        </w:rPr>
        <w:t>ccgcctgcag</w:t>
      </w:r>
      <w:proofErr w:type="spellEnd"/>
      <w:r>
        <w:rPr>
          <w:rStyle w:val="ffline"/>
        </w:rPr>
        <w:t xml:space="preserve"> </w:t>
      </w:r>
      <w:proofErr w:type="spellStart"/>
      <w:r>
        <w:rPr>
          <w:rStyle w:val="ffline"/>
        </w:rPr>
        <w:t>aagtaggtgt</w:t>
      </w:r>
      <w:proofErr w:type="spellEnd"/>
      <w:r>
        <w:rPr>
          <w:rStyle w:val="ffline"/>
        </w:rPr>
        <w:t xml:space="preserve"> </w:t>
      </w:r>
      <w:proofErr w:type="spellStart"/>
      <w:r>
        <w:rPr>
          <w:rStyle w:val="ffline"/>
        </w:rPr>
        <w:t>tattgttgct</w:t>
      </w:r>
      <w:proofErr w:type="spellEnd"/>
      <w:r>
        <w:rPr>
          <w:rStyle w:val="ffline"/>
        </w:rPr>
        <w:t xml:space="preserve"> </w:t>
      </w:r>
      <w:proofErr w:type="spellStart"/>
      <w:r>
        <w:rPr>
          <w:rStyle w:val="ffline"/>
        </w:rPr>
        <w:t>caaccacaaa</w:t>
      </w:r>
      <w:proofErr w:type="spellEnd"/>
      <w:r>
        <w:rPr>
          <w:rStyle w:val="ffline"/>
        </w:rPr>
        <w:t xml:space="preserve"> </w:t>
      </w:r>
      <w:proofErr w:type="spellStart"/>
      <w:r>
        <w:rPr>
          <w:rStyle w:val="ffline"/>
        </w:rPr>
        <w:t>gtgttgaaca</w:t>
      </w:r>
      <w:proofErr w:type="spellEnd"/>
      <w:r>
        <w:rPr>
          <w:rStyle w:val="ffline"/>
        </w:rPr>
        <w:t xml:space="preserve"> </w:t>
      </w:r>
      <w:proofErr w:type="spellStart"/>
      <w:r>
        <w:rPr>
          <w:rStyle w:val="ffline"/>
        </w:rPr>
        <w:t>aagcgttgag</w:t>
      </w:r>
      <w:proofErr w:type="spellEnd"/>
    </w:p>
    <w:p w14:paraId="3FE9D4BC" w14:textId="77777777" w:rsidR="00F5628C" w:rsidRDefault="00F5628C" w:rsidP="00F5628C">
      <w:pPr>
        <w:pStyle w:val="HTMLPreformatted"/>
      </w:pPr>
      <w:proofErr w:type="spellStart"/>
      <w:r>
        <w:rPr>
          <w:rStyle w:val="ffline"/>
        </w:rPr>
        <w:t>ctttcaggcc</w:t>
      </w:r>
      <w:proofErr w:type="spellEnd"/>
      <w:r>
        <w:rPr>
          <w:rStyle w:val="ffline"/>
        </w:rPr>
        <w:t xml:space="preserve"> </w:t>
      </w:r>
      <w:proofErr w:type="spellStart"/>
      <w:r>
        <w:rPr>
          <w:rStyle w:val="ffline"/>
        </w:rPr>
        <w:t>gtacttcagc</w:t>
      </w:r>
      <w:proofErr w:type="spellEnd"/>
      <w:r>
        <w:rPr>
          <w:rStyle w:val="ffline"/>
        </w:rPr>
        <w:t xml:space="preserve"> </w:t>
      </w:r>
      <w:proofErr w:type="spellStart"/>
      <w:r>
        <w:rPr>
          <w:rStyle w:val="ffline"/>
        </w:rPr>
        <w:t>atatcaaatt</w:t>
      </w:r>
      <w:proofErr w:type="spellEnd"/>
      <w:r>
        <w:rPr>
          <w:rStyle w:val="ffline"/>
        </w:rPr>
        <w:t xml:space="preserve"> </w:t>
      </w:r>
      <w:proofErr w:type="spellStart"/>
      <w:r>
        <w:rPr>
          <w:rStyle w:val="ffline"/>
        </w:rPr>
        <w:t>tctgaagttc</w:t>
      </w:r>
      <w:proofErr w:type="spellEnd"/>
      <w:r>
        <w:rPr>
          <w:rStyle w:val="ffline"/>
        </w:rPr>
        <w:t xml:space="preserve"> </w:t>
      </w:r>
      <w:proofErr w:type="spellStart"/>
      <w:r>
        <w:rPr>
          <w:rStyle w:val="ffline"/>
        </w:rPr>
        <w:t>gtcctcagac</w:t>
      </w:r>
      <w:proofErr w:type="spellEnd"/>
      <w:r>
        <w:rPr>
          <w:rStyle w:val="ffline"/>
        </w:rPr>
        <w:t xml:space="preserve"> </w:t>
      </w:r>
      <w:proofErr w:type="spellStart"/>
      <w:r>
        <w:rPr>
          <w:rStyle w:val="ffline"/>
        </w:rPr>
        <w:t>aagtggcgtg</w:t>
      </w:r>
      <w:proofErr w:type="spellEnd"/>
    </w:p>
    <w:p w14:paraId="0893063E" w14:textId="77777777" w:rsidR="00F5628C" w:rsidRDefault="00F5628C" w:rsidP="00F5628C">
      <w:pPr>
        <w:pStyle w:val="HTMLPreformatted"/>
      </w:pPr>
      <w:proofErr w:type="spellStart"/>
      <w:r>
        <w:rPr>
          <w:rStyle w:val="ffline"/>
        </w:rPr>
        <w:t>attttaaaac</w:t>
      </w:r>
      <w:proofErr w:type="spellEnd"/>
      <w:r>
        <w:rPr>
          <w:rStyle w:val="ffline"/>
        </w:rPr>
        <w:t xml:space="preserve"> </w:t>
      </w:r>
      <w:proofErr w:type="spellStart"/>
      <w:r>
        <w:rPr>
          <w:rStyle w:val="ffline"/>
        </w:rPr>
        <w:t>gcttatttgc</w:t>
      </w:r>
      <w:proofErr w:type="spellEnd"/>
      <w:r>
        <w:rPr>
          <w:rStyle w:val="ffline"/>
        </w:rPr>
        <w:t xml:space="preserve"> </w:t>
      </w:r>
      <w:proofErr w:type="spellStart"/>
      <w:r>
        <w:rPr>
          <w:rStyle w:val="ffline"/>
        </w:rPr>
        <w:t>tgaaggaagc</w:t>
      </w:r>
      <w:proofErr w:type="spellEnd"/>
      <w:r>
        <w:rPr>
          <w:rStyle w:val="ffline"/>
        </w:rPr>
        <w:t xml:space="preserve"> </w:t>
      </w:r>
      <w:proofErr w:type="spellStart"/>
      <w:r>
        <w:rPr>
          <w:rStyle w:val="ffline"/>
        </w:rPr>
        <w:t>tatgttcgtg</w:t>
      </w:r>
      <w:proofErr w:type="spellEnd"/>
      <w:r>
        <w:rPr>
          <w:rStyle w:val="ffline"/>
        </w:rPr>
        <w:t xml:space="preserve"> </w:t>
      </w:r>
      <w:proofErr w:type="spellStart"/>
      <w:r>
        <w:rPr>
          <w:rStyle w:val="ffline"/>
        </w:rPr>
        <w:t>aaggtcaggc</w:t>
      </w:r>
      <w:proofErr w:type="spellEnd"/>
      <w:r>
        <w:rPr>
          <w:rStyle w:val="ffline"/>
        </w:rPr>
        <w:t xml:space="preserve"> </w:t>
      </w:r>
      <w:proofErr w:type="spellStart"/>
      <w:r>
        <w:rPr>
          <w:rStyle w:val="ffline"/>
        </w:rPr>
        <w:t>gctttatgag</w:t>
      </w:r>
      <w:proofErr w:type="spellEnd"/>
    </w:p>
    <w:p w14:paraId="0B63391D" w14:textId="77777777" w:rsidR="00F5628C" w:rsidRDefault="00F5628C" w:rsidP="00F5628C">
      <w:pPr>
        <w:pStyle w:val="HTMLPreformatted"/>
      </w:pPr>
      <w:proofErr w:type="spellStart"/>
      <w:r>
        <w:rPr>
          <w:rStyle w:val="ffline"/>
        </w:rPr>
        <w:t>ctcgactcta</w:t>
      </w:r>
      <w:proofErr w:type="spellEnd"/>
      <w:r>
        <w:rPr>
          <w:rStyle w:val="ffline"/>
        </w:rPr>
        <w:t xml:space="preserve"> </w:t>
      </w:r>
      <w:proofErr w:type="spellStart"/>
      <w:r>
        <w:rPr>
          <w:rStyle w:val="ffline"/>
        </w:rPr>
        <w:t>gaacgaaccg</w:t>
      </w:r>
      <w:proofErr w:type="spellEnd"/>
      <w:r>
        <w:rPr>
          <w:rStyle w:val="ffline"/>
        </w:rPr>
        <w:t xml:space="preserve"> </w:t>
      </w:r>
      <w:proofErr w:type="spellStart"/>
      <w:r>
        <w:rPr>
          <w:rStyle w:val="ffline"/>
        </w:rPr>
        <w:t>tgcaacgtta</w:t>
      </w:r>
      <w:proofErr w:type="spellEnd"/>
      <w:r>
        <w:rPr>
          <w:rStyle w:val="ffline"/>
        </w:rPr>
        <w:t xml:space="preserve"> </w:t>
      </w:r>
      <w:proofErr w:type="spellStart"/>
      <w:r>
        <w:rPr>
          <w:rStyle w:val="ffline"/>
        </w:rPr>
        <w:t>gaaaatgcaa</w:t>
      </w:r>
      <w:proofErr w:type="spellEnd"/>
      <w:r>
        <w:rPr>
          <w:rStyle w:val="ffline"/>
        </w:rPr>
        <w:t xml:space="preserve"> </w:t>
      </w:r>
      <w:proofErr w:type="spellStart"/>
      <w:r>
        <w:rPr>
          <w:rStyle w:val="ffline"/>
        </w:rPr>
        <w:t>aagcatcact</w:t>
      </w:r>
      <w:proofErr w:type="spellEnd"/>
      <w:r>
        <w:rPr>
          <w:rStyle w:val="ffline"/>
        </w:rPr>
        <w:t xml:space="preserve"> </w:t>
      </w:r>
      <w:proofErr w:type="spellStart"/>
      <w:r>
        <w:rPr>
          <w:rStyle w:val="ffline"/>
        </w:rPr>
        <w:t>cctacaacaa</w:t>
      </w:r>
      <w:proofErr w:type="spellEnd"/>
    </w:p>
    <w:p w14:paraId="7892D709" w14:textId="77777777" w:rsidR="00F5628C" w:rsidRDefault="00F5628C" w:rsidP="00F5628C">
      <w:pPr>
        <w:pStyle w:val="HTMLPreformatted"/>
      </w:pPr>
      <w:proofErr w:type="spellStart"/>
      <w:r>
        <w:rPr>
          <w:rStyle w:val="ffline"/>
        </w:rPr>
        <w:t>caggcaaatc</w:t>
      </w:r>
      <w:proofErr w:type="spellEnd"/>
      <w:r>
        <w:rPr>
          <w:rStyle w:val="ffline"/>
        </w:rPr>
        <w:t xml:space="preserve"> </w:t>
      </w:r>
      <w:proofErr w:type="spellStart"/>
      <w:r>
        <w:rPr>
          <w:rStyle w:val="ffline"/>
        </w:rPr>
        <w:t>tagcttcact</w:t>
      </w:r>
      <w:proofErr w:type="spellEnd"/>
      <w:r>
        <w:rPr>
          <w:rStyle w:val="ffline"/>
        </w:rPr>
        <w:t xml:space="preserve"> </w:t>
      </w:r>
      <w:proofErr w:type="spellStart"/>
      <w:r>
        <w:rPr>
          <w:rStyle w:val="ffline"/>
        </w:rPr>
        <w:t>acgtaccaag</w:t>
      </w:r>
      <w:proofErr w:type="spellEnd"/>
      <w:r>
        <w:rPr>
          <w:rStyle w:val="ffline"/>
        </w:rPr>
        <w:t xml:space="preserve"> </w:t>
      </w:r>
      <w:proofErr w:type="spellStart"/>
      <w:r>
        <w:rPr>
          <w:rStyle w:val="ffline"/>
        </w:rPr>
        <w:t>ttaaatcgtt</w:t>
      </w:r>
      <w:proofErr w:type="spellEnd"/>
      <w:r>
        <w:rPr>
          <w:rStyle w:val="ffline"/>
        </w:rPr>
        <w:t xml:space="preserve"> </w:t>
      </w:r>
      <w:proofErr w:type="spellStart"/>
      <w:r>
        <w:rPr>
          <w:rStyle w:val="ffline"/>
        </w:rPr>
        <w:t>ataaacaact</w:t>
      </w:r>
      <w:proofErr w:type="spellEnd"/>
      <w:r>
        <w:rPr>
          <w:rStyle w:val="ffline"/>
        </w:rPr>
        <w:t xml:space="preserve"> </w:t>
      </w:r>
      <w:proofErr w:type="spellStart"/>
      <w:r>
        <w:rPr>
          <w:rStyle w:val="ffline"/>
        </w:rPr>
        <w:t>tgtttctagt</w:t>
      </w:r>
      <w:proofErr w:type="spellEnd"/>
    </w:p>
    <w:p w14:paraId="34507BBE" w14:textId="77777777" w:rsidR="00F5628C" w:rsidRDefault="00F5628C" w:rsidP="00F5628C">
      <w:pPr>
        <w:pStyle w:val="HTMLPreformatted"/>
      </w:pPr>
      <w:proofErr w:type="spellStart"/>
      <w:r>
        <w:rPr>
          <w:rStyle w:val="ffline"/>
        </w:rPr>
        <w:t>aatgctgtgt</w:t>
      </w:r>
      <w:proofErr w:type="spellEnd"/>
      <w:r>
        <w:rPr>
          <w:rStyle w:val="ffline"/>
        </w:rPr>
        <w:t xml:space="preserve"> </w:t>
      </w:r>
      <w:proofErr w:type="spellStart"/>
      <w:r>
        <w:rPr>
          <w:rStyle w:val="ffline"/>
        </w:rPr>
        <w:t>ctaaacagga</w:t>
      </w:r>
      <w:proofErr w:type="spellEnd"/>
      <w:r>
        <w:rPr>
          <w:rStyle w:val="ffline"/>
        </w:rPr>
        <w:t xml:space="preserve"> </w:t>
      </w:r>
      <w:proofErr w:type="spellStart"/>
      <w:r>
        <w:rPr>
          <w:rStyle w:val="ffline"/>
        </w:rPr>
        <w:t>atatgatgac</w:t>
      </w:r>
      <w:proofErr w:type="spellEnd"/>
      <w:r>
        <w:rPr>
          <w:rStyle w:val="ffline"/>
        </w:rPr>
        <w:t xml:space="preserve"> </w:t>
      </w:r>
      <w:proofErr w:type="spellStart"/>
      <w:r>
        <w:rPr>
          <w:rStyle w:val="ffline"/>
        </w:rPr>
        <w:t>ttacttggtc</w:t>
      </w:r>
      <w:proofErr w:type="spellEnd"/>
      <w:r>
        <w:rPr>
          <w:rStyle w:val="ffline"/>
        </w:rPr>
        <w:t xml:space="preserve"> </w:t>
      </w:r>
      <w:proofErr w:type="spellStart"/>
      <w:r>
        <w:rPr>
          <w:rStyle w:val="ffline"/>
        </w:rPr>
        <w:t>aagtcaatgt</w:t>
      </w:r>
      <w:proofErr w:type="spellEnd"/>
      <w:r>
        <w:rPr>
          <w:rStyle w:val="ffline"/>
        </w:rPr>
        <w:t xml:space="preserve"> </w:t>
      </w:r>
      <w:proofErr w:type="spellStart"/>
      <w:r>
        <w:rPr>
          <w:rStyle w:val="ffline"/>
        </w:rPr>
        <w:t>tgcagaagca</w:t>
      </w:r>
      <w:proofErr w:type="spellEnd"/>
    </w:p>
    <w:p w14:paraId="0EA7EB16" w14:textId="77777777" w:rsidR="00F5628C" w:rsidRDefault="00F5628C" w:rsidP="00F5628C">
      <w:pPr>
        <w:pStyle w:val="HTMLPreformatted"/>
      </w:pPr>
      <w:proofErr w:type="spellStart"/>
      <w:r>
        <w:rPr>
          <w:rStyle w:val="ffline"/>
        </w:rPr>
        <w:t>caagttgcag</w:t>
      </w:r>
      <w:proofErr w:type="spellEnd"/>
      <w:r>
        <w:rPr>
          <w:rStyle w:val="ffline"/>
        </w:rPr>
        <w:t xml:space="preserve"> </w:t>
      </w:r>
      <w:proofErr w:type="spellStart"/>
      <w:r>
        <w:rPr>
          <w:rStyle w:val="ffline"/>
        </w:rPr>
        <w:t>cagctaaggc</w:t>
      </w:r>
      <w:proofErr w:type="spellEnd"/>
      <w:r>
        <w:rPr>
          <w:rStyle w:val="ffline"/>
        </w:rPr>
        <w:t xml:space="preserve"> </w:t>
      </w:r>
      <w:proofErr w:type="spellStart"/>
      <w:r>
        <w:rPr>
          <w:rStyle w:val="ffline"/>
        </w:rPr>
        <w:t>tcaagtaaca</w:t>
      </w:r>
      <w:proofErr w:type="spellEnd"/>
      <w:r>
        <w:rPr>
          <w:rStyle w:val="ffline"/>
        </w:rPr>
        <w:t xml:space="preserve"> </w:t>
      </w:r>
      <w:proofErr w:type="spellStart"/>
      <w:r>
        <w:rPr>
          <w:rStyle w:val="ffline"/>
        </w:rPr>
        <w:t>aatgcaaatg</w:t>
      </w:r>
      <w:proofErr w:type="spellEnd"/>
      <w:r>
        <w:rPr>
          <w:rStyle w:val="ffline"/>
        </w:rPr>
        <w:t xml:space="preserve"> </w:t>
      </w:r>
      <w:proofErr w:type="spellStart"/>
      <w:r>
        <w:rPr>
          <w:rStyle w:val="ffline"/>
        </w:rPr>
        <w:t>tagatcttgg</w:t>
      </w:r>
      <w:proofErr w:type="spellEnd"/>
      <w:r>
        <w:rPr>
          <w:rStyle w:val="ffline"/>
        </w:rPr>
        <w:t xml:space="preserve"> </w:t>
      </w:r>
      <w:proofErr w:type="spellStart"/>
      <w:r>
        <w:rPr>
          <w:rStyle w:val="ffline"/>
        </w:rPr>
        <w:t>ttattctaca</w:t>
      </w:r>
      <w:proofErr w:type="spellEnd"/>
    </w:p>
    <w:p w14:paraId="5AF27445" w14:textId="77777777" w:rsidR="00F5628C" w:rsidRDefault="00F5628C" w:rsidP="00F5628C">
      <w:pPr>
        <w:pStyle w:val="HTMLPreformatted"/>
      </w:pPr>
      <w:proofErr w:type="spellStart"/>
      <w:r>
        <w:rPr>
          <w:rStyle w:val="ffline"/>
        </w:rPr>
        <w:t>attcgctctc</w:t>
      </w:r>
      <w:proofErr w:type="spellEnd"/>
      <w:r>
        <w:rPr>
          <w:rStyle w:val="ffline"/>
        </w:rPr>
        <w:t xml:space="preserve"> </w:t>
      </w:r>
      <w:proofErr w:type="spellStart"/>
      <w:r>
        <w:rPr>
          <w:rStyle w:val="ffline"/>
        </w:rPr>
        <w:t>ctatttctgg</w:t>
      </w:r>
      <w:proofErr w:type="spellEnd"/>
      <w:r>
        <w:rPr>
          <w:rStyle w:val="ffline"/>
        </w:rPr>
        <w:t xml:space="preserve"> </w:t>
      </w:r>
      <w:proofErr w:type="spellStart"/>
      <w:r>
        <w:rPr>
          <w:rStyle w:val="ffline"/>
        </w:rPr>
        <w:t>ccaatctggt</w:t>
      </w:r>
      <w:proofErr w:type="spellEnd"/>
      <w:r>
        <w:rPr>
          <w:rStyle w:val="ffline"/>
        </w:rPr>
        <w:t xml:space="preserve"> </w:t>
      </w:r>
      <w:proofErr w:type="spellStart"/>
      <w:r>
        <w:rPr>
          <w:rStyle w:val="ffline"/>
        </w:rPr>
        <w:t>cgttcttcag</w:t>
      </w:r>
      <w:proofErr w:type="spellEnd"/>
      <w:r>
        <w:rPr>
          <w:rStyle w:val="ffline"/>
        </w:rPr>
        <w:t xml:space="preserve"> </w:t>
      </w:r>
      <w:proofErr w:type="spellStart"/>
      <w:r>
        <w:rPr>
          <w:rStyle w:val="ffline"/>
        </w:rPr>
        <w:t>taacggctgg</w:t>
      </w:r>
      <w:proofErr w:type="spellEnd"/>
      <w:r>
        <w:rPr>
          <w:rStyle w:val="ffline"/>
        </w:rPr>
        <w:t xml:space="preserve"> </w:t>
      </w:r>
      <w:proofErr w:type="spellStart"/>
      <w:r>
        <w:rPr>
          <w:rStyle w:val="ffline"/>
        </w:rPr>
        <w:t>tgctttggtt</w:t>
      </w:r>
      <w:proofErr w:type="spellEnd"/>
    </w:p>
    <w:p w14:paraId="22636DA2" w14:textId="77777777" w:rsidR="00F5628C" w:rsidRDefault="00F5628C" w:rsidP="00F5628C">
      <w:pPr>
        <w:pStyle w:val="HTMLPreformatted"/>
      </w:pPr>
      <w:proofErr w:type="spellStart"/>
      <w:r>
        <w:rPr>
          <w:rStyle w:val="ffline"/>
        </w:rPr>
        <w:lastRenderedPageBreak/>
        <w:t>actgcaaacc</w:t>
      </w:r>
      <w:proofErr w:type="spellEnd"/>
      <w:r>
        <w:rPr>
          <w:rStyle w:val="ffline"/>
        </w:rPr>
        <w:t xml:space="preserve"> </w:t>
      </w:r>
      <w:proofErr w:type="spellStart"/>
      <w:r>
        <w:rPr>
          <w:rStyle w:val="ffline"/>
        </w:rPr>
        <w:t>agactgaccc</w:t>
      </w:r>
      <w:proofErr w:type="spellEnd"/>
      <w:r>
        <w:rPr>
          <w:rStyle w:val="ffline"/>
        </w:rPr>
        <w:t xml:space="preserve"> </w:t>
      </w:r>
      <w:proofErr w:type="spellStart"/>
      <w:r>
        <w:rPr>
          <w:rStyle w:val="ffline"/>
        </w:rPr>
        <w:t>gttggtaacg</w:t>
      </w:r>
      <w:proofErr w:type="spellEnd"/>
      <w:r>
        <w:rPr>
          <w:rStyle w:val="ffline"/>
        </w:rPr>
        <w:t xml:space="preserve"> </w:t>
      </w:r>
      <w:proofErr w:type="spellStart"/>
      <w:r>
        <w:rPr>
          <w:rStyle w:val="ffline"/>
        </w:rPr>
        <w:t>attcaacagt</w:t>
      </w:r>
      <w:proofErr w:type="spellEnd"/>
      <w:r>
        <w:rPr>
          <w:rStyle w:val="ffline"/>
        </w:rPr>
        <w:t xml:space="preserve"> </w:t>
      </w:r>
      <w:proofErr w:type="spellStart"/>
      <w:r>
        <w:rPr>
          <w:rStyle w:val="ffline"/>
        </w:rPr>
        <w:t>tagatcctat</w:t>
      </w:r>
      <w:proofErr w:type="spellEnd"/>
      <w:r>
        <w:rPr>
          <w:rStyle w:val="ffline"/>
        </w:rPr>
        <w:t xml:space="preserve"> </w:t>
      </w:r>
      <w:proofErr w:type="spellStart"/>
      <w:r>
        <w:rPr>
          <w:rStyle w:val="ffline"/>
        </w:rPr>
        <w:t>ctatgttgat</w:t>
      </w:r>
      <w:proofErr w:type="spellEnd"/>
    </w:p>
    <w:p w14:paraId="5B71AF46" w14:textId="77777777" w:rsidR="00F5628C" w:rsidRDefault="00F5628C" w:rsidP="00F5628C">
      <w:pPr>
        <w:pStyle w:val="HTMLPreformatted"/>
      </w:pPr>
      <w:proofErr w:type="spellStart"/>
      <w:r>
        <w:rPr>
          <w:rStyle w:val="ffline"/>
        </w:rPr>
        <w:t>attaatcagt</w:t>
      </w:r>
      <w:proofErr w:type="spellEnd"/>
      <w:r>
        <w:rPr>
          <w:rStyle w:val="ffline"/>
        </w:rPr>
        <w:t xml:space="preserve"> </w:t>
      </w:r>
      <w:proofErr w:type="spellStart"/>
      <w:r>
        <w:rPr>
          <w:rStyle w:val="ffline"/>
        </w:rPr>
        <w:t>ctagtgctga</w:t>
      </w:r>
      <w:proofErr w:type="spellEnd"/>
      <w:r>
        <w:rPr>
          <w:rStyle w:val="ffline"/>
        </w:rPr>
        <w:t xml:space="preserve"> </w:t>
      </w:r>
      <w:proofErr w:type="spellStart"/>
      <w:r>
        <w:rPr>
          <w:rStyle w:val="ffline"/>
        </w:rPr>
        <w:t>gttattgcgt</w:t>
      </w:r>
      <w:proofErr w:type="spellEnd"/>
      <w:r>
        <w:rPr>
          <w:rStyle w:val="ffline"/>
        </w:rPr>
        <w:t xml:space="preserve"> </w:t>
      </w:r>
      <w:proofErr w:type="spellStart"/>
      <w:r>
        <w:rPr>
          <w:rStyle w:val="ffline"/>
        </w:rPr>
        <w:t>ttacgtcaac</w:t>
      </w:r>
      <w:proofErr w:type="spellEnd"/>
      <w:r>
        <w:rPr>
          <w:rStyle w:val="ffline"/>
        </w:rPr>
        <w:t xml:space="preserve"> </w:t>
      </w:r>
      <w:proofErr w:type="spellStart"/>
      <w:r>
        <w:rPr>
          <w:rStyle w:val="ffline"/>
        </w:rPr>
        <w:t>aactaagcaa</w:t>
      </w:r>
      <w:proofErr w:type="spellEnd"/>
      <w:r>
        <w:rPr>
          <w:rStyle w:val="ffline"/>
        </w:rPr>
        <w:t xml:space="preserve"> </w:t>
      </w:r>
      <w:proofErr w:type="spellStart"/>
      <w:r>
        <w:rPr>
          <w:rStyle w:val="ffline"/>
        </w:rPr>
        <w:t>aggcagttta</w:t>
      </w:r>
      <w:proofErr w:type="spellEnd"/>
    </w:p>
    <w:p w14:paraId="335DFEF3" w14:textId="77777777" w:rsidR="00F5628C" w:rsidRDefault="00F5628C" w:rsidP="00F5628C">
      <w:pPr>
        <w:pStyle w:val="HTMLPreformatted"/>
      </w:pPr>
      <w:proofErr w:type="spellStart"/>
      <w:r>
        <w:rPr>
          <w:rStyle w:val="ffline"/>
        </w:rPr>
        <w:t>aataacagta</w:t>
      </w:r>
      <w:proofErr w:type="spellEnd"/>
      <w:r>
        <w:rPr>
          <w:rStyle w:val="ffline"/>
        </w:rPr>
        <w:t xml:space="preserve"> </w:t>
      </w:r>
      <w:proofErr w:type="spellStart"/>
      <w:r>
        <w:rPr>
          <w:rStyle w:val="ffline"/>
        </w:rPr>
        <w:t>acaacacgaa</w:t>
      </w:r>
      <w:proofErr w:type="spellEnd"/>
      <w:r>
        <w:rPr>
          <w:rStyle w:val="ffline"/>
        </w:rPr>
        <w:t xml:space="preserve"> </w:t>
      </w:r>
      <w:proofErr w:type="spellStart"/>
      <w:r>
        <w:rPr>
          <w:rStyle w:val="ffline"/>
        </w:rPr>
        <w:t>agtaaaatta</w:t>
      </w:r>
      <w:proofErr w:type="spellEnd"/>
      <w:r>
        <w:rPr>
          <w:rStyle w:val="ffline"/>
        </w:rPr>
        <w:t xml:space="preserve"> </w:t>
      </w:r>
      <w:proofErr w:type="spellStart"/>
      <w:r>
        <w:rPr>
          <w:rStyle w:val="ffline"/>
        </w:rPr>
        <w:t>aagcttgaag</w:t>
      </w:r>
      <w:proofErr w:type="spellEnd"/>
      <w:r>
        <w:rPr>
          <w:rStyle w:val="ffline"/>
        </w:rPr>
        <w:t xml:space="preserve"> </w:t>
      </w:r>
      <w:proofErr w:type="spellStart"/>
      <w:r>
        <w:rPr>
          <w:rStyle w:val="ffline"/>
        </w:rPr>
        <w:t>atggttctac</w:t>
      </w:r>
      <w:proofErr w:type="spellEnd"/>
      <w:r>
        <w:rPr>
          <w:rStyle w:val="ffline"/>
        </w:rPr>
        <w:t xml:space="preserve"> </w:t>
      </w:r>
      <w:proofErr w:type="spellStart"/>
      <w:r>
        <w:rPr>
          <w:rStyle w:val="ffline"/>
        </w:rPr>
        <w:t>ctatccaatc</w:t>
      </w:r>
      <w:proofErr w:type="spellEnd"/>
    </w:p>
    <w:p w14:paraId="380A870C" w14:textId="77777777" w:rsidR="00F5628C" w:rsidRDefault="00F5628C" w:rsidP="00F5628C">
      <w:pPr>
        <w:pStyle w:val="HTMLPreformatted"/>
      </w:pPr>
      <w:proofErr w:type="spellStart"/>
      <w:r>
        <w:rPr>
          <w:rStyle w:val="ffline"/>
        </w:rPr>
        <w:t>gaagggcaac</w:t>
      </w:r>
      <w:proofErr w:type="spellEnd"/>
      <w:r>
        <w:rPr>
          <w:rStyle w:val="ffline"/>
        </w:rPr>
        <w:t xml:space="preserve"> </w:t>
      </w:r>
      <w:proofErr w:type="spellStart"/>
      <w:r>
        <w:rPr>
          <w:rStyle w:val="ffline"/>
        </w:rPr>
        <w:t>ttgctttctc</w:t>
      </w:r>
      <w:proofErr w:type="spellEnd"/>
      <w:r>
        <w:rPr>
          <w:rStyle w:val="ffline"/>
        </w:rPr>
        <w:t xml:space="preserve"> </w:t>
      </w:r>
      <w:proofErr w:type="spellStart"/>
      <w:r>
        <w:rPr>
          <w:rStyle w:val="ffline"/>
        </w:rPr>
        <w:t>tgacgcttct</w:t>
      </w:r>
      <w:proofErr w:type="spellEnd"/>
      <w:r>
        <w:rPr>
          <w:rStyle w:val="ffline"/>
        </w:rPr>
        <w:t xml:space="preserve"> </w:t>
      </w:r>
      <w:proofErr w:type="spellStart"/>
      <w:r>
        <w:rPr>
          <w:rStyle w:val="ffline"/>
        </w:rPr>
        <w:t>gtaaaccaag</w:t>
      </w:r>
      <w:proofErr w:type="spellEnd"/>
      <w:r>
        <w:rPr>
          <w:rStyle w:val="ffline"/>
        </w:rPr>
        <w:t xml:space="preserve"> </w:t>
      </w:r>
      <w:proofErr w:type="spellStart"/>
      <w:r>
        <w:rPr>
          <w:rStyle w:val="ffline"/>
        </w:rPr>
        <w:t>atacaggaac</w:t>
      </w:r>
      <w:proofErr w:type="spellEnd"/>
      <w:r>
        <w:rPr>
          <w:rStyle w:val="ffline"/>
        </w:rPr>
        <w:t xml:space="preserve"> </w:t>
      </w:r>
      <w:proofErr w:type="spellStart"/>
      <w:r>
        <w:rPr>
          <w:rStyle w:val="ffline"/>
        </w:rPr>
        <w:t>aattacatta</w:t>
      </w:r>
      <w:proofErr w:type="spellEnd"/>
    </w:p>
    <w:p w14:paraId="06EB97E0" w14:textId="77777777" w:rsidR="00F5628C" w:rsidRDefault="00F5628C" w:rsidP="00F5628C">
      <w:pPr>
        <w:pStyle w:val="HTMLPreformatted"/>
      </w:pPr>
      <w:proofErr w:type="spellStart"/>
      <w:r>
        <w:rPr>
          <w:rStyle w:val="ffline"/>
        </w:rPr>
        <w:t>cgtgccgtat</w:t>
      </w:r>
      <w:proofErr w:type="spellEnd"/>
      <w:r>
        <w:rPr>
          <w:rStyle w:val="ffline"/>
        </w:rPr>
        <w:t xml:space="preserve"> </w:t>
      </w:r>
      <w:proofErr w:type="spellStart"/>
      <w:r>
        <w:rPr>
          <w:rStyle w:val="ffline"/>
        </w:rPr>
        <w:t>tctctaaccc</w:t>
      </w:r>
      <w:proofErr w:type="spellEnd"/>
      <w:r>
        <w:rPr>
          <w:rStyle w:val="ffline"/>
        </w:rPr>
        <w:t xml:space="preserve"> </w:t>
      </w:r>
      <w:proofErr w:type="spellStart"/>
      <w:r>
        <w:rPr>
          <w:rStyle w:val="ffline"/>
        </w:rPr>
        <w:t>gaatcattta</w:t>
      </w:r>
      <w:proofErr w:type="spellEnd"/>
      <w:r>
        <w:rPr>
          <w:rStyle w:val="ffline"/>
        </w:rPr>
        <w:t xml:space="preserve"> </w:t>
      </w:r>
      <w:proofErr w:type="spellStart"/>
      <w:r>
        <w:rPr>
          <w:rStyle w:val="ffline"/>
        </w:rPr>
        <w:t>ttgcttccgg</w:t>
      </w:r>
      <w:proofErr w:type="spellEnd"/>
      <w:r>
        <w:rPr>
          <w:rStyle w:val="ffline"/>
        </w:rPr>
        <w:t xml:space="preserve"> </w:t>
      </w:r>
      <w:proofErr w:type="spellStart"/>
      <w:r>
        <w:rPr>
          <w:rStyle w:val="ffline"/>
        </w:rPr>
        <w:t>gtatgtatac</w:t>
      </w:r>
      <w:proofErr w:type="spellEnd"/>
      <w:r>
        <w:rPr>
          <w:rStyle w:val="ffline"/>
        </w:rPr>
        <w:t xml:space="preserve"> </w:t>
      </w:r>
      <w:proofErr w:type="spellStart"/>
      <w:r>
        <w:rPr>
          <w:rStyle w:val="ffline"/>
        </w:rPr>
        <w:t>cactgcgcaa</w:t>
      </w:r>
      <w:proofErr w:type="spellEnd"/>
    </w:p>
    <w:p w14:paraId="172E2EEA" w14:textId="77777777" w:rsidR="00F5628C" w:rsidRDefault="00F5628C" w:rsidP="00F5628C">
      <w:pPr>
        <w:pStyle w:val="HTMLPreformatted"/>
      </w:pPr>
      <w:proofErr w:type="spellStart"/>
      <w:r>
        <w:rPr>
          <w:rStyle w:val="ffline"/>
        </w:rPr>
        <w:t>attgttcagg</w:t>
      </w:r>
      <w:proofErr w:type="spellEnd"/>
      <w:r>
        <w:rPr>
          <w:rStyle w:val="ffline"/>
        </w:rPr>
        <w:t xml:space="preserve"> </w:t>
      </w:r>
      <w:proofErr w:type="spellStart"/>
      <w:r>
        <w:rPr>
          <w:rStyle w:val="ffline"/>
        </w:rPr>
        <w:t>gcgttgttcc</w:t>
      </w:r>
      <w:proofErr w:type="spellEnd"/>
      <w:r>
        <w:rPr>
          <w:rStyle w:val="ffline"/>
        </w:rPr>
        <w:t xml:space="preserve"> </w:t>
      </w:r>
      <w:proofErr w:type="spellStart"/>
      <w:r>
        <w:rPr>
          <w:rStyle w:val="ffline"/>
        </w:rPr>
        <w:t>aaatgcttac</w:t>
      </w:r>
      <w:proofErr w:type="spellEnd"/>
      <w:r>
        <w:rPr>
          <w:rStyle w:val="ffline"/>
        </w:rPr>
        <w:t xml:space="preserve"> </w:t>
      </w:r>
      <w:proofErr w:type="spellStart"/>
      <w:r>
        <w:rPr>
          <w:rStyle w:val="ffline"/>
        </w:rPr>
        <w:t>ctgattcctc</w:t>
      </w:r>
      <w:proofErr w:type="spellEnd"/>
      <w:r>
        <w:rPr>
          <w:rStyle w:val="ffline"/>
        </w:rPr>
        <w:t xml:space="preserve"> </w:t>
      </w:r>
      <w:proofErr w:type="spellStart"/>
      <w:r>
        <w:rPr>
          <w:rStyle w:val="ffline"/>
        </w:rPr>
        <w:t>aagctgccat</w:t>
      </w:r>
      <w:proofErr w:type="spellEnd"/>
      <w:r>
        <w:rPr>
          <w:rStyle w:val="ffline"/>
        </w:rPr>
        <w:t xml:space="preserve"> </w:t>
      </w:r>
      <w:proofErr w:type="spellStart"/>
      <w:r>
        <w:rPr>
          <w:rStyle w:val="ffline"/>
        </w:rPr>
        <w:t>tactcgttta</w:t>
      </w:r>
      <w:proofErr w:type="spellEnd"/>
    </w:p>
    <w:p w14:paraId="61CA85DF" w14:textId="77777777" w:rsidR="00F5628C" w:rsidRDefault="00F5628C" w:rsidP="00F5628C">
      <w:pPr>
        <w:pStyle w:val="HTMLPreformatted"/>
      </w:pPr>
      <w:proofErr w:type="spellStart"/>
      <w:r>
        <w:rPr>
          <w:rStyle w:val="ffline"/>
        </w:rPr>
        <w:t>cctacagggc</w:t>
      </w:r>
      <w:proofErr w:type="spellEnd"/>
      <w:r>
        <w:rPr>
          <w:rStyle w:val="ffline"/>
        </w:rPr>
        <w:t xml:space="preserve"> </w:t>
      </w:r>
      <w:proofErr w:type="spellStart"/>
      <w:r>
        <w:rPr>
          <w:rStyle w:val="ffline"/>
        </w:rPr>
        <w:t>aagctgtagc</w:t>
      </w:r>
      <w:proofErr w:type="spellEnd"/>
      <w:r>
        <w:rPr>
          <w:rStyle w:val="ffline"/>
        </w:rPr>
        <w:t xml:space="preserve"> </w:t>
      </w:r>
      <w:proofErr w:type="spellStart"/>
      <w:r>
        <w:rPr>
          <w:rStyle w:val="ffline"/>
        </w:rPr>
        <w:t>gatgcttgtt</w:t>
      </w:r>
      <w:proofErr w:type="spellEnd"/>
      <w:r>
        <w:rPr>
          <w:rStyle w:val="ffline"/>
        </w:rPr>
        <w:t xml:space="preserve"> </w:t>
      </w:r>
      <w:proofErr w:type="spellStart"/>
      <w:r>
        <w:rPr>
          <w:rStyle w:val="ffline"/>
        </w:rPr>
        <w:t>aatgctaaag</w:t>
      </w:r>
      <w:proofErr w:type="spellEnd"/>
      <w:r>
        <w:rPr>
          <w:rStyle w:val="ffline"/>
        </w:rPr>
        <w:t xml:space="preserve"> </w:t>
      </w:r>
      <w:proofErr w:type="spellStart"/>
      <w:r>
        <w:rPr>
          <w:rStyle w:val="ffline"/>
        </w:rPr>
        <w:t>gggttgttga</w:t>
      </w:r>
      <w:proofErr w:type="spellEnd"/>
      <w:r>
        <w:rPr>
          <w:rStyle w:val="ffline"/>
        </w:rPr>
        <w:t xml:space="preserve"> </w:t>
      </w:r>
      <w:proofErr w:type="spellStart"/>
      <w:r>
        <w:rPr>
          <w:rStyle w:val="ffline"/>
        </w:rPr>
        <w:t>gagccgtcct</w:t>
      </w:r>
      <w:proofErr w:type="spellEnd"/>
    </w:p>
    <w:p w14:paraId="317EA510" w14:textId="77777777" w:rsidR="00F5628C" w:rsidRDefault="00F5628C" w:rsidP="00F5628C">
      <w:pPr>
        <w:pStyle w:val="HTMLPreformatted"/>
      </w:pPr>
      <w:proofErr w:type="spellStart"/>
      <w:r>
        <w:rPr>
          <w:rStyle w:val="ffline"/>
        </w:rPr>
        <w:t>gttgaaacct</w:t>
      </w:r>
      <w:proofErr w:type="spellEnd"/>
      <w:r>
        <w:rPr>
          <w:rStyle w:val="ffline"/>
        </w:rPr>
        <w:t xml:space="preserve"> </w:t>
      </w:r>
      <w:proofErr w:type="spellStart"/>
      <w:r>
        <w:rPr>
          <w:rStyle w:val="ffline"/>
        </w:rPr>
        <w:t>ctggtgttca</w:t>
      </w:r>
      <w:proofErr w:type="spellEnd"/>
      <w:r>
        <w:rPr>
          <w:rStyle w:val="ffline"/>
        </w:rPr>
        <w:t xml:space="preserve"> </w:t>
      </w:r>
      <w:proofErr w:type="spellStart"/>
      <w:r>
        <w:rPr>
          <w:rStyle w:val="ffline"/>
        </w:rPr>
        <w:t>aggacaaaat</w:t>
      </w:r>
      <w:proofErr w:type="spellEnd"/>
      <w:r>
        <w:rPr>
          <w:rStyle w:val="ffline"/>
        </w:rPr>
        <w:t xml:space="preserve"> </w:t>
      </w:r>
      <w:proofErr w:type="spellStart"/>
      <w:r>
        <w:rPr>
          <w:rStyle w:val="ffline"/>
        </w:rPr>
        <w:t>tggattgtga</w:t>
      </w:r>
      <w:proofErr w:type="spellEnd"/>
      <w:r>
        <w:rPr>
          <w:rStyle w:val="ffline"/>
        </w:rPr>
        <w:t xml:space="preserve"> </w:t>
      </w:r>
      <w:proofErr w:type="spellStart"/>
      <w:r>
        <w:rPr>
          <w:rStyle w:val="ffline"/>
        </w:rPr>
        <w:t>ctaacggctt</w:t>
      </w:r>
      <w:proofErr w:type="spellEnd"/>
      <w:r>
        <w:rPr>
          <w:rStyle w:val="ffline"/>
        </w:rPr>
        <w:t xml:space="preserve"> </w:t>
      </w:r>
      <w:proofErr w:type="spellStart"/>
      <w:r>
        <w:rPr>
          <w:rStyle w:val="ffline"/>
        </w:rPr>
        <w:t>aaaagccggc</w:t>
      </w:r>
      <w:proofErr w:type="spellEnd"/>
    </w:p>
    <w:p w14:paraId="628F239D" w14:textId="77777777" w:rsidR="00F5628C" w:rsidRDefault="00F5628C" w:rsidP="00F5628C">
      <w:pPr>
        <w:pStyle w:val="HTMLPreformatted"/>
      </w:pPr>
      <w:proofErr w:type="spellStart"/>
      <w:r>
        <w:rPr>
          <w:rStyle w:val="ffline"/>
        </w:rPr>
        <w:t>gataaagtca</w:t>
      </w:r>
      <w:proofErr w:type="spellEnd"/>
      <w:r>
        <w:rPr>
          <w:rStyle w:val="ffline"/>
        </w:rPr>
        <w:t xml:space="preserve"> </w:t>
      </w:r>
      <w:proofErr w:type="spellStart"/>
      <w:r>
        <w:rPr>
          <w:rStyle w:val="ffline"/>
        </w:rPr>
        <w:t>ttgttgatgg</w:t>
      </w:r>
      <w:proofErr w:type="spellEnd"/>
      <w:r>
        <w:rPr>
          <w:rStyle w:val="ffline"/>
        </w:rPr>
        <w:t xml:space="preserve"> </w:t>
      </w:r>
      <w:proofErr w:type="spellStart"/>
      <w:r>
        <w:rPr>
          <w:rStyle w:val="ffline"/>
        </w:rPr>
        <w:t>tgttgccaaa</w:t>
      </w:r>
      <w:proofErr w:type="spellEnd"/>
      <w:r>
        <w:rPr>
          <w:rStyle w:val="ffline"/>
        </w:rPr>
        <w:t xml:space="preserve"> </w:t>
      </w:r>
      <w:proofErr w:type="spellStart"/>
      <w:r>
        <w:rPr>
          <w:rStyle w:val="ffline"/>
        </w:rPr>
        <w:t>gttaaagaag</w:t>
      </w:r>
      <w:proofErr w:type="spellEnd"/>
      <w:r>
        <w:rPr>
          <w:rStyle w:val="ffline"/>
        </w:rPr>
        <w:t xml:space="preserve"> </w:t>
      </w:r>
      <w:proofErr w:type="spellStart"/>
      <w:r>
        <w:rPr>
          <w:rStyle w:val="ffline"/>
        </w:rPr>
        <w:t>ggcaagaagt</w:t>
      </w:r>
      <w:proofErr w:type="spellEnd"/>
      <w:r>
        <w:rPr>
          <w:rStyle w:val="ffline"/>
        </w:rPr>
        <w:t xml:space="preserve"> </w:t>
      </w:r>
      <w:proofErr w:type="spellStart"/>
      <w:r>
        <w:rPr>
          <w:rStyle w:val="ffline"/>
        </w:rPr>
        <w:t>atcagcaaaa</w:t>
      </w:r>
      <w:proofErr w:type="spellEnd"/>
    </w:p>
    <w:p w14:paraId="28561ED8" w14:textId="77777777" w:rsidR="00F5628C" w:rsidRDefault="00F5628C" w:rsidP="00F5628C">
      <w:pPr>
        <w:pStyle w:val="HTMLPreformatted"/>
      </w:pPr>
      <w:proofErr w:type="spellStart"/>
      <w:r>
        <w:rPr>
          <w:rStyle w:val="ffline"/>
        </w:rPr>
        <w:t>ccttatcaag</w:t>
      </w:r>
      <w:proofErr w:type="spellEnd"/>
      <w:r>
        <w:rPr>
          <w:rStyle w:val="ffline"/>
        </w:rPr>
        <w:t xml:space="preserve"> </w:t>
      </w:r>
      <w:proofErr w:type="spellStart"/>
      <w:r>
        <w:rPr>
          <w:rStyle w:val="ffline"/>
        </w:rPr>
        <w:t>ctcaaccagc</w:t>
      </w:r>
      <w:proofErr w:type="spellEnd"/>
      <w:r>
        <w:rPr>
          <w:rStyle w:val="ffline"/>
        </w:rPr>
        <w:t xml:space="preserve"> </w:t>
      </w:r>
      <w:proofErr w:type="spellStart"/>
      <w:r>
        <w:rPr>
          <w:rStyle w:val="ffline"/>
        </w:rPr>
        <w:t>aaactctcaa</w:t>
      </w:r>
      <w:proofErr w:type="spellEnd"/>
      <w:r>
        <w:rPr>
          <w:rStyle w:val="ffline"/>
        </w:rPr>
        <w:t xml:space="preserve"> </w:t>
      </w:r>
      <w:proofErr w:type="spellStart"/>
      <w:r>
        <w:rPr>
          <w:rStyle w:val="ffline"/>
        </w:rPr>
        <w:t>ggtgcagcac</w:t>
      </w:r>
      <w:proofErr w:type="spellEnd"/>
      <w:r>
        <w:rPr>
          <w:rStyle w:val="ffline"/>
        </w:rPr>
        <w:t xml:space="preserve"> </w:t>
      </w:r>
      <w:proofErr w:type="spellStart"/>
      <w:r>
        <w:rPr>
          <w:rStyle w:val="ffline"/>
        </w:rPr>
        <w:t>caaatgctgc</w:t>
      </w:r>
      <w:proofErr w:type="spellEnd"/>
      <w:r>
        <w:rPr>
          <w:rStyle w:val="ffline"/>
        </w:rPr>
        <w:t xml:space="preserve"> </w:t>
      </w:r>
      <w:proofErr w:type="spellStart"/>
      <w:r>
        <w:rPr>
          <w:rStyle w:val="ffline"/>
        </w:rPr>
        <w:t>gaaaccggct</w:t>
      </w:r>
      <w:proofErr w:type="spellEnd"/>
    </w:p>
    <w:p w14:paraId="0AEA1206" w14:textId="77777777" w:rsidR="00F5628C" w:rsidRDefault="00F5628C" w:rsidP="00F5628C">
      <w:pPr>
        <w:pStyle w:val="HTMLPreformatted"/>
        <w:rPr>
          <w:rStyle w:val="ffline"/>
        </w:rPr>
      </w:pPr>
      <w:proofErr w:type="spellStart"/>
      <w:r>
        <w:rPr>
          <w:rStyle w:val="ffline"/>
        </w:rPr>
        <w:t>caatcaggta</w:t>
      </w:r>
      <w:proofErr w:type="spellEnd"/>
      <w:r>
        <w:rPr>
          <w:rStyle w:val="ffline"/>
        </w:rPr>
        <w:t xml:space="preserve"> </w:t>
      </w:r>
      <w:proofErr w:type="spellStart"/>
      <w:r>
        <w:rPr>
          <w:rStyle w:val="ffline"/>
        </w:rPr>
        <w:t>aacctcaagc</w:t>
      </w:r>
      <w:proofErr w:type="spellEnd"/>
      <w:r>
        <w:rPr>
          <w:rStyle w:val="ffline"/>
        </w:rPr>
        <w:t xml:space="preserve"> </w:t>
      </w:r>
      <w:proofErr w:type="spellStart"/>
      <w:r>
        <w:rPr>
          <w:rStyle w:val="ffline"/>
        </w:rPr>
        <w:t>agaacagaaa</w:t>
      </w:r>
      <w:proofErr w:type="spellEnd"/>
      <w:r>
        <w:rPr>
          <w:rStyle w:val="ffline"/>
        </w:rPr>
        <w:t xml:space="preserve"> </w:t>
      </w:r>
      <w:proofErr w:type="spellStart"/>
      <w:r>
        <w:rPr>
          <w:rStyle w:val="ffline"/>
        </w:rPr>
        <w:t>gcagcttcaa</w:t>
      </w:r>
      <w:proofErr w:type="spellEnd"/>
      <w:r>
        <w:rPr>
          <w:rStyle w:val="ffline"/>
        </w:rPr>
        <w:t xml:space="preserve"> </w:t>
      </w:r>
      <w:proofErr w:type="spellStart"/>
      <w:r>
        <w:rPr>
          <w:rStyle w:val="ffline"/>
        </w:rPr>
        <w:t>atgcataa</w:t>
      </w:r>
      <w:proofErr w:type="spellEnd"/>
    </w:p>
    <w:p w14:paraId="50C22394" w14:textId="77777777" w:rsidR="00F5628C" w:rsidRDefault="00F5628C" w:rsidP="00F5628C">
      <w:pPr>
        <w:pStyle w:val="HTMLPreformatted"/>
        <w:rPr>
          <w:rStyle w:val="ffline"/>
        </w:rPr>
      </w:pPr>
    </w:p>
    <w:p w14:paraId="42DBD5D5" w14:textId="37857042" w:rsidR="00F5628C" w:rsidRDefault="00F5628C" w:rsidP="00F5628C">
      <w:r>
        <w:rPr>
          <w:rStyle w:val="ffline"/>
        </w:rPr>
        <w:t>&gt;</w:t>
      </w:r>
      <w:r>
        <w:t>A1S_2736 (</w:t>
      </w:r>
      <w:proofErr w:type="spellStart"/>
      <w:r w:rsidRPr="00F5628C">
        <w:rPr>
          <w:i/>
          <w:iCs/>
        </w:rPr>
        <w:t>adeJ</w:t>
      </w:r>
      <w:proofErr w:type="spellEnd"/>
      <w:r>
        <w:t>)</w:t>
      </w:r>
      <w:r w:rsidR="00832EB7">
        <w:t xml:space="preserve"> GenBank: CP000521.1</w:t>
      </w:r>
    </w:p>
    <w:p w14:paraId="06A729E5" w14:textId="77777777" w:rsidR="00F5628C" w:rsidRDefault="00F5628C" w:rsidP="00F5628C">
      <w:pPr>
        <w:pStyle w:val="HTMLPreformatted"/>
      </w:pPr>
      <w:proofErr w:type="spellStart"/>
      <w:r>
        <w:rPr>
          <w:rStyle w:val="ffline"/>
        </w:rPr>
        <w:t>atggcacaat</w:t>
      </w:r>
      <w:proofErr w:type="spellEnd"/>
      <w:r>
        <w:rPr>
          <w:rStyle w:val="ffline"/>
        </w:rPr>
        <w:t xml:space="preserve"> </w:t>
      </w:r>
      <w:proofErr w:type="spellStart"/>
      <w:r>
        <w:rPr>
          <w:rStyle w:val="ffline"/>
        </w:rPr>
        <w:t>tttttattca</w:t>
      </w:r>
      <w:proofErr w:type="spellEnd"/>
      <w:r>
        <w:rPr>
          <w:rStyle w:val="ffline"/>
        </w:rPr>
        <w:t xml:space="preserve"> </w:t>
      </w:r>
      <w:proofErr w:type="spellStart"/>
      <w:r>
        <w:rPr>
          <w:rStyle w:val="ffline"/>
        </w:rPr>
        <w:t>tcgccccata</w:t>
      </w:r>
      <w:proofErr w:type="spellEnd"/>
      <w:r>
        <w:rPr>
          <w:rStyle w:val="ffline"/>
        </w:rPr>
        <w:t xml:space="preserve"> </w:t>
      </w:r>
      <w:proofErr w:type="spellStart"/>
      <w:r>
        <w:rPr>
          <w:rStyle w:val="ffline"/>
        </w:rPr>
        <w:t>tttgcgtggg</w:t>
      </w:r>
      <w:proofErr w:type="spellEnd"/>
      <w:r>
        <w:rPr>
          <w:rStyle w:val="ffline"/>
        </w:rPr>
        <w:t xml:space="preserve"> </w:t>
      </w:r>
      <w:proofErr w:type="spellStart"/>
      <w:r>
        <w:rPr>
          <w:rStyle w:val="ffline"/>
        </w:rPr>
        <w:t>tgattgcatt</w:t>
      </w:r>
      <w:proofErr w:type="spellEnd"/>
      <w:r>
        <w:rPr>
          <w:rStyle w:val="ffline"/>
        </w:rPr>
        <w:t xml:space="preserve"> </w:t>
      </w:r>
      <w:proofErr w:type="spellStart"/>
      <w:r>
        <w:rPr>
          <w:rStyle w:val="ffline"/>
        </w:rPr>
        <w:t>agtcattatg</w:t>
      </w:r>
      <w:proofErr w:type="spellEnd"/>
    </w:p>
    <w:p w14:paraId="55FEDDAD" w14:textId="77777777" w:rsidR="00F5628C" w:rsidRDefault="00F5628C" w:rsidP="00F5628C">
      <w:pPr>
        <w:pStyle w:val="HTMLPreformatted"/>
      </w:pPr>
      <w:proofErr w:type="spellStart"/>
      <w:r>
        <w:rPr>
          <w:rStyle w:val="ffline"/>
        </w:rPr>
        <w:t>ttggcgggta</w:t>
      </w:r>
      <w:proofErr w:type="spellEnd"/>
      <w:r>
        <w:rPr>
          <w:rStyle w:val="ffline"/>
        </w:rPr>
        <w:t xml:space="preserve"> </w:t>
      </w:r>
      <w:proofErr w:type="spellStart"/>
      <w:r>
        <w:rPr>
          <w:rStyle w:val="ffline"/>
        </w:rPr>
        <w:t>ttcttacgct</w:t>
      </w:r>
      <w:proofErr w:type="spellEnd"/>
      <w:r>
        <w:rPr>
          <w:rStyle w:val="ffline"/>
        </w:rPr>
        <w:t xml:space="preserve"> </w:t>
      </w:r>
      <w:proofErr w:type="spellStart"/>
      <w:r>
        <w:rPr>
          <w:rStyle w:val="ffline"/>
        </w:rPr>
        <w:t>aacaaaaatg</w:t>
      </w:r>
      <w:proofErr w:type="spellEnd"/>
      <w:r>
        <w:rPr>
          <w:rStyle w:val="ffline"/>
        </w:rPr>
        <w:t xml:space="preserve"> </w:t>
      </w:r>
      <w:proofErr w:type="spellStart"/>
      <w:r>
        <w:rPr>
          <w:rStyle w:val="ffline"/>
        </w:rPr>
        <w:t>cctattgcac</w:t>
      </w:r>
      <w:proofErr w:type="spellEnd"/>
      <w:r>
        <w:rPr>
          <w:rStyle w:val="ffline"/>
        </w:rPr>
        <w:t xml:space="preserve"> </w:t>
      </w:r>
      <w:proofErr w:type="spellStart"/>
      <w:r>
        <w:rPr>
          <w:rStyle w:val="ffline"/>
        </w:rPr>
        <w:t>aatatccaac</w:t>
      </w:r>
      <w:proofErr w:type="spellEnd"/>
      <w:r>
        <w:rPr>
          <w:rStyle w:val="ffline"/>
        </w:rPr>
        <w:t xml:space="preserve"> </w:t>
      </w:r>
      <w:proofErr w:type="spellStart"/>
      <w:r>
        <w:rPr>
          <w:rStyle w:val="ffline"/>
        </w:rPr>
        <w:t>gattgcacca</w:t>
      </w:r>
      <w:proofErr w:type="spellEnd"/>
    </w:p>
    <w:p w14:paraId="2D8B2B7D" w14:textId="77777777" w:rsidR="00F5628C" w:rsidRDefault="00F5628C" w:rsidP="00F5628C">
      <w:pPr>
        <w:pStyle w:val="HTMLPreformatted"/>
      </w:pPr>
      <w:proofErr w:type="spellStart"/>
      <w:r>
        <w:rPr>
          <w:rStyle w:val="ffline"/>
        </w:rPr>
        <w:t>ccaaccgtaa</w:t>
      </w:r>
      <w:proofErr w:type="spellEnd"/>
      <w:r>
        <w:rPr>
          <w:rStyle w:val="ffline"/>
        </w:rPr>
        <w:t xml:space="preserve"> </w:t>
      </w:r>
      <w:proofErr w:type="spellStart"/>
      <w:r>
        <w:rPr>
          <w:rStyle w:val="ffline"/>
        </w:rPr>
        <w:t>cgattgctgc</w:t>
      </w:r>
      <w:proofErr w:type="spellEnd"/>
      <w:r>
        <w:rPr>
          <w:rStyle w:val="ffline"/>
        </w:rPr>
        <w:t xml:space="preserve"> </w:t>
      </w:r>
      <w:proofErr w:type="spellStart"/>
      <w:r>
        <w:rPr>
          <w:rStyle w:val="ffline"/>
        </w:rPr>
        <w:t>gacttatcct</w:t>
      </w:r>
      <w:proofErr w:type="spellEnd"/>
      <w:r>
        <w:rPr>
          <w:rStyle w:val="ffline"/>
        </w:rPr>
        <w:t xml:space="preserve"> </w:t>
      </w:r>
      <w:proofErr w:type="spellStart"/>
      <w:r>
        <w:rPr>
          <w:rStyle w:val="ffline"/>
        </w:rPr>
        <w:t>ggtgcatcgg</w:t>
      </w:r>
      <w:proofErr w:type="spellEnd"/>
      <w:r>
        <w:rPr>
          <w:rStyle w:val="ffline"/>
        </w:rPr>
        <w:t xml:space="preserve"> </w:t>
      </w:r>
      <w:proofErr w:type="spellStart"/>
      <w:r>
        <w:rPr>
          <w:rStyle w:val="ffline"/>
        </w:rPr>
        <w:t>ctgaaacagt</w:t>
      </w:r>
      <w:proofErr w:type="spellEnd"/>
      <w:r>
        <w:rPr>
          <w:rStyle w:val="ffline"/>
        </w:rPr>
        <w:t xml:space="preserve"> </w:t>
      </w:r>
      <w:proofErr w:type="spellStart"/>
      <w:r>
        <w:rPr>
          <w:rStyle w:val="ffline"/>
        </w:rPr>
        <w:t>tgaaaatact</w:t>
      </w:r>
      <w:proofErr w:type="spellEnd"/>
    </w:p>
    <w:p w14:paraId="4F1014A1" w14:textId="77777777" w:rsidR="00F5628C" w:rsidRDefault="00F5628C" w:rsidP="00F5628C">
      <w:pPr>
        <w:pStyle w:val="HTMLPreformatted"/>
      </w:pPr>
      <w:proofErr w:type="spellStart"/>
      <w:r>
        <w:rPr>
          <w:rStyle w:val="ffline"/>
        </w:rPr>
        <w:t>gtaacccaga</w:t>
      </w:r>
      <w:proofErr w:type="spellEnd"/>
      <w:r>
        <w:rPr>
          <w:rStyle w:val="ffline"/>
        </w:rPr>
        <w:t xml:space="preserve"> </w:t>
      </w:r>
      <w:proofErr w:type="spellStart"/>
      <w:r>
        <w:rPr>
          <w:rStyle w:val="ffline"/>
        </w:rPr>
        <w:t>tcattgaaca</w:t>
      </w:r>
      <w:proofErr w:type="spellEnd"/>
      <w:r>
        <w:rPr>
          <w:rStyle w:val="ffline"/>
        </w:rPr>
        <w:t xml:space="preserve"> </w:t>
      </w:r>
      <w:proofErr w:type="spellStart"/>
      <w:r>
        <w:rPr>
          <w:rStyle w:val="ffline"/>
        </w:rPr>
        <w:t>acaaatgaat</w:t>
      </w:r>
      <w:proofErr w:type="spellEnd"/>
      <w:r>
        <w:rPr>
          <w:rStyle w:val="ffline"/>
        </w:rPr>
        <w:t xml:space="preserve"> </w:t>
      </w:r>
      <w:proofErr w:type="spellStart"/>
      <w:r>
        <w:rPr>
          <w:rStyle w:val="ffline"/>
        </w:rPr>
        <w:t>ggtcttgatg</w:t>
      </w:r>
      <w:proofErr w:type="spellEnd"/>
      <w:r>
        <w:rPr>
          <w:rStyle w:val="ffline"/>
        </w:rPr>
        <w:t xml:space="preserve"> </w:t>
      </w:r>
      <w:proofErr w:type="spellStart"/>
      <w:r>
        <w:rPr>
          <w:rStyle w:val="ffline"/>
        </w:rPr>
        <w:t>gcttacgtta</w:t>
      </w:r>
      <w:proofErr w:type="spellEnd"/>
      <w:r>
        <w:rPr>
          <w:rStyle w:val="ffline"/>
        </w:rPr>
        <w:t xml:space="preserve"> </w:t>
      </w:r>
      <w:proofErr w:type="spellStart"/>
      <w:r>
        <w:rPr>
          <w:rStyle w:val="ffline"/>
        </w:rPr>
        <w:t>tatttcatct</w:t>
      </w:r>
      <w:proofErr w:type="spellEnd"/>
    </w:p>
    <w:p w14:paraId="36F44380" w14:textId="77777777" w:rsidR="00F5628C" w:rsidRDefault="00F5628C" w:rsidP="00F5628C">
      <w:pPr>
        <w:pStyle w:val="HTMLPreformatted"/>
      </w:pPr>
      <w:proofErr w:type="spellStart"/>
      <w:r>
        <w:rPr>
          <w:rStyle w:val="ffline"/>
        </w:rPr>
        <w:t>aacagtgctg</w:t>
      </w:r>
      <w:proofErr w:type="spellEnd"/>
      <w:r>
        <w:rPr>
          <w:rStyle w:val="ffline"/>
        </w:rPr>
        <w:t xml:space="preserve"> </w:t>
      </w:r>
      <w:proofErr w:type="spellStart"/>
      <w:r>
        <w:rPr>
          <w:rStyle w:val="ffline"/>
        </w:rPr>
        <w:t>gtaatggtca</w:t>
      </w:r>
      <w:proofErr w:type="spellEnd"/>
      <w:r>
        <w:rPr>
          <w:rStyle w:val="ffline"/>
        </w:rPr>
        <w:t xml:space="preserve"> </w:t>
      </w:r>
      <w:proofErr w:type="spellStart"/>
      <w:r>
        <w:rPr>
          <w:rStyle w:val="ffline"/>
        </w:rPr>
        <w:t>ggcatctatt</w:t>
      </w:r>
      <w:proofErr w:type="spellEnd"/>
      <w:r>
        <w:rPr>
          <w:rStyle w:val="ffline"/>
        </w:rPr>
        <w:t xml:space="preserve"> </w:t>
      </w:r>
      <w:proofErr w:type="spellStart"/>
      <w:r>
        <w:rPr>
          <w:rStyle w:val="ffline"/>
        </w:rPr>
        <w:t>caattaaact</w:t>
      </w:r>
      <w:proofErr w:type="spellEnd"/>
      <w:r>
        <w:rPr>
          <w:rStyle w:val="ffline"/>
        </w:rPr>
        <w:t xml:space="preserve"> </w:t>
      </w:r>
      <w:proofErr w:type="spellStart"/>
      <w:r>
        <w:rPr>
          <w:rStyle w:val="ffline"/>
        </w:rPr>
        <w:t>ttgaacaagg</w:t>
      </w:r>
      <w:proofErr w:type="spellEnd"/>
      <w:r>
        <w:rPr>
          <w:rStyle w:val="ffline"/>
        </w:rPr>
        <w:t xml:space="preserve"> </w:t>
      </w:r>
      <w:proofErr w:type="spellStart"/>
      <w:r>
        <w:rPr>
          <w:rStyle w:val="ffline"/>
        </w:rPr>
        <w:t>tgttgaccct</w:t>
      </w:r>
      <w:proofErr w:type="spellEnd"/>
    </w:p>
    <w:p w14:paraId="53CE4543" w14:textId="77777777" w:rsidR="00F5628C" w:rsidRDefault="00F5628C" w:rsidP="00F5628C">
      <w:pPr>
        <w:pStyle w:val="HTMLPreformatted"/>
      </w:pPr>
      <w:proofErr w:type="spellStart"/>
      <w:r>
        <w:rPr>
          <w:rStyle w:val="ffline"/>
        </w:rPr>
        <w:t>gatattgcac</w:t>
      </w:r>
      <w:proofErr w:type="spellEnd"/>
      <w:r>
        <w:rPr>
          <w:rStyle w:val="ffline"/>
        </w:rPr>
        <w:t xml:space="preserve"> </w:t>
      </w:r>
      <w:proofErr w:type="spellStart"/>
      <w:r>
        <w:rPr>
          <w:rStyle w:val="ffline"/>
        </w:rPr>
        <w:t>aggttcaagt</w:t>
      </w:r>
      <w:proofErr w:type="spellEnd"/>
      <w:r>
        <w:rPr>
          <w:rStyle w:val="ffline"/>
        </w:rPr>
        <w:t xml:space="preserve"> </w:t>
      </w:r>
      <w:proofErr w:type="spellStart"/>
      <w:r>
        <w:rPr>
          <w:rStyle w:val="ffline"/>
        </w:rPr>
        <w:t>tcaaaacaaa</w:t>
      </w:r>
      <w:proofErr w:type="spellEnd"/>
      <w:r>
        <w:rPr>
          <w:rStyle w:val="ffline"/>
        </w:rPr>
        <w:t xml:space="preserve"> </w:t>
      </w:r>
      <w:proofErr w:type="spellStart"/>
      <w:r>
        <w:rPr>
          <w:rStyle w:val="ffline"/>
        </w:rPr>
        <w:t>ttgcaatctg</w:t>
      </w:r>
      <w:proofErr w:type="spellEnd"/>
      <w:r>
        <w:rPr>
          <w:rStyle w:val="ffline"/>
        </w:rPr>
        <w:t xml:space="preserve"> </w:t>
      </w:r>
      <w:proofErr w:type="spellStart"/>
      <w:r>
        <w:rPr>
          <w:rStyle w:val="ffline"/>
        </w:rPr>
        <w:t>caactgcgct</w:t>
      </w:r>
      <w:proofErr w:type="spellEnd"/>
      <w:r>
        <w:rPr>
          <w:rStyle w:val="ffline"/>
        </w:rPr>
        <w:t xml:space="preserve"> </w:t>
      </w:r>
      <w:proofErr w:type="spellStart"/>
      <w:r>
        <w:rPr>
          <w:rStyle w:val="ffline"/>
        </w:rPr>
        <w:t>tttacctgaa</w:t>
      </w:r>
      <w:proofErr w:type="spellEnd"/>
    </w:p>
    <w:p w14:paraId="2B440B49" w14:textId="77777777" w:rsidR="00F5628C" w:rsidRDefault="00F5628C" w:rsidP="00F5628C">
      <w:pPr>
        <w:pStyle w:val="HTMLPreformatted"/>
      </w:pPr>
      <w:proofErr w:type="spellStart"/>
      <w:r>
        <w:rPr>
          <w:rStyle w:val="ffline"/>
        </w:rPr>
        <w:t>gatgtacaac</w:t>
      </w:r>
      <w:proofErr w:type="spellEnd"/>
      <w:r>
        <w:rPr>
          <w:rStyle w:val="ffline"/>
        </w:rPr>
        <w:t xml:space="preserve"> </w:t>
      </w:r>
      <w:proofErr w:type="spellStart"/>
      <w:r>
        <w:rPr>
          <w:rStyle w:val="ffline"/>
        </w:rPr>
        <w:t>gtcaaggtgt</w:t>
      </w:r>
      <w:proofErr w:type="spellEnd"/>
      <w:r>
        <w:rPr>
          <w:rStyle w:val="ffline"/>
        </w:rPr>
        <w:t xml:space="preserve"> </w:t>
      </w:r>
      <w:proofErr w:type="spellStart"/>
      <w:r>
        <w:rPr>
          <w:rStyle w:val="ffline"/>
        </w:rPr>
        <w:t>aacagttact</w:t>
      </w:r>
      <w:proofErr w:type="spellEnd"/>
      <w:r>
        <w:rPr>
          <w:rStyle w:val="ffline"/>
        </w:rPr>
        <w:t xml:space="preserve"> </w:t>
      </w:r>
      <w:proofErr w:type="spellStart"/>
      <w:r>
        <w:rPr>
          <w:rStyle w:val="ffline"/>
        </w:rPr>
        <w:t>aaatctggtg</w:t>
      </w:r>
      <w:proofErr w:type="spellEnd"/>
      <w:r>
        <w:rPr>
          <w:rStyle w:val="ffline"/>
        </w:rPr>
        <w:t xml:space="preserve"> </w:t>
      </w:r>
      <w:proofErr w:type="spellStart"/>
      <w:r>
        <w:rPr>
          <w:rStyle w:val="ffline"/>
        </w:rPr>
        <w:t>cgagcttctt</w:t>
      </w:r>
      <w:proofErr w:type="spellEnd"/>
      <w:r>
        <w:rPr>
          <w:rStyle w:val="ffline"/>
        </w:rPr>
        <w:t xml:space="preserve"> </w:t>
      </w:r>
      <w:proofErr w:type="spellStart"/>
      <w:r>
        <w:rPr>
          <w:rStyle w:val="ffline"/>
        </w:rPr>
        <w:t>gcaagttatt</w:t>
      </w:r>
      <w:proofErr w:type="spellEnd"/>
    </w:p>
    <w:p w14:paraId="6C71B13B" w14:textId="77777777" w:rsidR="00F5628C" w:rsidRDefault="00F5628C" w:rsidP="00F5628C">
      <w:pPr>
        <w:pStyle w:val="HTMLPreformatted"/>
      </w:pPr>
      <w:proofErr w:type="spellStart"/>
      <w:r>
        <w:rPr>
          <w:rStyle w:val="ffline"/>
        </w:rPr>
        <w:t>gcattctatt</w:t>
      </w:r>
      <w:proofErr w:type="spellEnd"/>
      <w:r>
        <w:rPr>
          <w:rStyle w:val="ffline"/>
        </w:rPr>
        <w:t xml:space="preserve"> </w:t>
      </w:r>
      <w:proofErr w:type="spellStart"/>
      <w:r>
        <w:rPr>
          <w:rStyle w:val="ffline"/>
        </w:rPr>
        <w:t>caccagataa</w:t>
      </w:r>
      <w:proofErr w:type="spellEnd"/>
      <w:r>
        <w:rPr>
          <w:rStyle w:val="ffline"/>
        </w:rPr>
        <w:t xml:space="preserve"> </w:t>
      </w:r>
      <w:proofErr w:type="spellStart"/>
      <w:r>
        <w:rPr>
          <w:rStyle w:val="ffline"/>
        </w:rPr>
        <w:t>caacctgtca</w:t>
      </w:r>
      <w:proofErr w:type="spellEnd"/>
      <w:r>
        <w:rPr>
          <w:rStyle w:val="ffline"/>
        </w:rPr>
        <w:t xml:space="preserve"> </w:t>
      </w:r>
      <w:proofErr w:type="spellStart"/>
      <w:r>
        <w:rPr>
          <w:rStyle w:val="ffline"/>
        </w:rPr>
        <w:t>gactctgaca</w:t>
      </w:r>
      <w:proofErr w:type="spellEnd"/>
      <w:r>
        <w:rPr>
          <w:rStyle w:val="ffline"/>
        </w:rPr>
        <w:t xml:space="preserve"> </w:t>
      </w:r>
      <w:proofErr w:type="spellStart"/>
      <w:r>
        <w:rPr>
          <w:rStyle w:val="ffline"/>
        </w:rPr>
        <w:t>ttaaagacta</w:t>
      </w:r>
      <w:proofErr w:type="spellEnd"/>
      <w:r>
        <w:rPr>
          <w:rStyle w:val="ffline"/>
        </w:rPr>
        <w:t xml:space="preserve"> </w:t>
      </w:r>
      <w:proofErr w:type="spellStart"/>
      <w:r>
        <w:rPr>
          <w:rStyle w:val="ffline"/>
        </w:rPr>
        <w:t>cgtaaactcg</w:t>
      </w:r>
      <w:proofErr w:type="spellEnd"/>
    </w:p>
    <w:p w14:paraId="60A909BC" w14:textId="77777777" w:rsidR="00F5628C" w:rsidRDefault="00F5628C" w:rsidP="00F5628C">
      <w:pPr>
        <w:pStyle w:val="HTMLPreformatted"/>
      </w:pPr>
      <w:proofErr w:type="spellStart"/>
      <w:r>
        <w:rPr>
          <w:rStyle w:val="ffline"/>
        </w:rPr>
        <w:t>tcaattaaag</w:t>
      </w:r>
      <w:proofErr w:type="spellEnd"/>
      <w:r>
        <w:rPr>
          <w:rStyle w:val="ffline"/>
        </w:rPr>
        <w:t xml:space="preserve"> </w:t>
      </w:r>
      <w:proofErr w:type="spellStart"/>
      <w:r>
        <w:rPr>
          <w:rStyle w:val="ffline"/>
        </w:rPr>
        <w:t>aaccgcttag</w:t>
      </w:r>
      <w:proofErr w:type="spellEnd"/>
      <w:r>
        <w:rPr>
          <w:rStyle w:val="ffline"/>
        </w:rPr>
        <w:t xml:space="preserve"> </w:t>
      </w:r>
      <w:proofErr w:type="spellStart"/>
      <w:r>
        <w:rPr>
          <w:rStyle w:val="ffline"/>
        </w:rPr>
        <w:t>ccgtgttgcc</w:t>
      </w:r>
      <w:proofErr w:type="spellEnd"/>
      <w:r>
        <w:rPr>
          <w:rStyle w:val="ffline"/>
        </w:rPr>
        <w:t xml:space="preserve"> </w:t>
      </w:r>
      <w:proofErr w:type="spellStart"/>
      <w:r>
        <w:rPr>
          <w:rStyle w:val="ffline"/>
        </w:rPr>
        <w:t>ggtgttggtg</w:t>
      </w:r>
      <w:proofErr w:type="spellEnd"/>
      <w:r>
        <w:rPr>
          <w:rStyle w:val="ffline"/>
        </w:rPr>
        <w:t xml:space="preserve"> </w:t>
      </w:r>
      <w:proofErr w:type="spellStart"/>
      <w:r>
        <w:rPr>
          <w:rStyle w:val="ffline"/>
        </w:rPr>
        <w:t>aggtacaggt</w:t>
      </w:r>
      <w:proofErr w:type="spellEnd"/>
      <w:r>
        <w:rPr>
          <w:rStyle w:val="ffline"/>
        </w:rPr>
        <w:t xml:space="preserve"> </w:t>
      </w:r>
      <w:proofErr w:type="spellStart"/>
      <w:r>
        <w:rPr>
          <w:rStyle w:val="ffline"/>
        </w:rPr>
        <w:t>cttcggtggc</w:t>
      </w:r>
      <w:proofErr w:type="spellEnd"/>
    </w:p>
    <w:p w14:paraId="4FE76150" w14:textId="77777777" w:rsidR="00F5628C" w:rsidRDefault="00F5628C" w:rsidP="00F5628C">
      <w:pPr>
        <w:pStyle w:val="HTMLPreformatted"/>
      </w:pPr>
      <w:proofErr w:type="spellStart"/>
      <w:r>
        <w:rPr>
          <w:rStyle w:val="ffline"/>
        </w:rPr>
        <w:t>tcatacgcaa</w:t>
      </w:r>
      <w:proofErr w:type="spellEnd"/>
      <w:r>
        <w:rPr>
          <w:rStyle w:val="ffline"/>
        </w:rPr>
        <w:t xml:space="preserve"> </w:t>
      </w:r>
      <w:proofErr w:type="spellStart"/>
      <w:r>
        <w:rPr>
          <w:rStyle w:val="ffline"/>
        </w:rPr>
        <w:t>tgcgtatctg</w:t>
      </w:r>
      <w:proofErr w:type="spellEnd"/>
      <w:r>
        <w:rPr>
          <w:rStyle w:val="ffline"/>
        </w:rPr>
        <w:t xml:space="preserve"> </w:t>
      </w:r>
      <w:proofErr w:type="spellStart"/>
      <w:r>
        <w:rPr>
          <w:rStyle w:val="ffline"/>
        </w:rPr>
        <w:t>gcttgatcca</w:t>
      </w:r>
      <w:proofErr w:type="spellEnd"/>
      <w:r>
        <w:rPr>
          <w:rStyle w:val="ffline"/>
        </w:rPr>
        <w:t xml:space="preserve"> </w:t>
      </w:r>
      <w:proofErr w:type="spellStart"/>
      <w:r>
        <w:rPr>
          <w:rStyle w:val="ffline"/>
        </w:rPr>
        <w:t>gctaaattaa</w:t>
      </w:r>
      <w:proofErr w:type="spellEnd"/>
      <w:r>
        <w:rPr>
          <w:rStyle w:val="ffline"/>
        </w:rPr>
        <w:t xml:space="preserve"> </w:t>
      </w:r>
      <w:proofErr w:type="spellStart"/>
      <w:r>
        <w:rPr>
          <w:rStyle w:val="ffline"/>
        </w:rPr>
        <w:t>caagctacca</w:t>
      </w:r>
      <w:proofErr w:type="spellEnd"/>
      <w:r>
        <w:rPr>
          <w:rStyle w:val="ffline"/>
        </w:rPr>
        <w:t xml:space="preserve"> </w:t>
      </w:r>
      <w:proofErr w:type="spellStart"/>
      <w:r>
        <w:rPr>
          <w:rStyle w:val="ffline"/>
        </w:rPr>
        <w:t>acttactcct</w:t>
      </w:r>
      <w:proofErr w:type="spellEnd"/>
    </w:p>
    <w:p w14:paraId="7A8D291A" w14:textId="77777777" w:rsidR="00F5628C" w:rsidRDefault="00F5628C" w:rsidP="00F5628C">
      <w:pPr>
        <w:pStyle w:val="HTMLPreformatted"/>
      </w:pPr>
      <w:proofErr w:type="spellStart"/>
      <w:r>
        <w:rPr>
          <w:rStyle w:val="ffline"/>
        </w:rPr>
        <w:t>agtgatattg</w:t>
      </w:r>
      <w:proofErr w:type="spellEnd"/>
      <w:r>
        <w:rPr>
          <w:rStyle w:val="ffline"/>
        </w:rPr>
        <w:t xml:space="preserve"> </w:t>
      </w:r>
      <w:proofErr w:type="spellStart"/>
      <w:r>
        <w:rPr>
          <w:rStyle w:val="ffline"/>
        </w:rPr>
        <w:t>caactgcctt</w:t>
      </w:r>
      <w:proofErr w:type="spellEnd"/>
      <w:r>
        <w:rPr>
          <w:rStyle w:val="ffline"/>
        </w:rPr>
        <w:t xml:space="preserve"> </w:t>
      </w:r>
      <w:proofErr w:type="spellStart"/>
      <w:r>
        <w:rPr>
          <w:rStyle w:val="ffline"/>
        </w:rPr>
        <w:t>acaagcgcag</w:t>
      </w:r>
      <w:proofErr w:type="spellEnd"/>
      <w:r>
        <w:rPr>
          <w:rStyle w:val="ffline"/>
        </w:rPr>
        <w:t xml:space="preserve"> </w:t>
      </w:r>
      <w:proofErr w:type="spellStart"/>
      <w:r>
        <w:rPr>
          <w:rStyle w:val="ffline"/>
        </w:rPr>
        <w:t>aactcgcaag</w:t>
      </w:r>
      <w:proofErr w:type="spellEnd"/>
      <w:r>
        <w:rPr>
          <w:rStyle w:val="ffline"/>
        </w:rPr>
        <w:t xml:space="preserve"> </w:t>
      </w:r>
      <w:proofErr w:type="spellStart"/>
      <w:r>
        <w:rPr>
          <w:rStyle w:val="ffline"/>
        </w:rPr>
        <w:t>ttgctgtagg</w:t>
      </w:r>
      <w:proofErr w:type="spellEnd"/>
      <w:r>
        <w:rPr>
          <w:rStyle w:val="ffline"/>
        </w:rPr>
        <w:t xml:space="preserve"> </w:t>
      </w:r>
      <w:proofErr w:type="spellStart"/>
      <w:r>
        <w:rPr>
          <w:rStyle w:val="ffline"/>
        </w:rPr>
        <w:t>tcagttaggt</w:t>
      </w:r>
      <w:proofErr w:type="spellEnd"/>
    </w:p>
    <w:p w14:paraId="146ED1FE" w14:textId="77777777" w:rsidR="00F5628C" w:rsidRDefault="00F5628C" w:rsidP="00F5628C">
      <w:pPr>
        <w:pStyle w:val="HTMLPreformatted"/>
      </w:pPr>
      <w:proofErr w:type="spellStart"/>
      <w:r>
        <w:rPr>
          <w:rStyle w:val="ffline"/>
        </w:rPr>
        <w:t>ggtgctccgg</w:t>
      </w:r>
      <w:proofErr w:type="spellEnd"/>
      <w:r>
        <w:rPr>
          <w:rStyle w:val="ffline"/>
        </w:rPr>
        <w:t xml:space="preserve"> </w:t>
      </w:r>
      <w:proofErr w:type="spellStart"/>
      <w:r>
        <w:rPr>
          <w:rStyle w:val="ffline"/>
        </w:rPr>
        <w:t>ctgtacaagg</w:t>
      </w:r>
      <w:proofErr w:type="spellEnd"/>
      <w:r>
        <w:rPr>
          <w:rStyle w:val="ffline"/>
        </w:rPr>
        <w:t xml:space="preserve"> </w:t>
      </w:r>
      <w:proofErr w:type="spellStart"/>
      <w:r>
        <w:rPr>
          <w:rStyle w:val="ffline"/>
        </w:rPr>
        <w:t>tcaagttctt</w:t>
      </w:r>
      <w:proofErr w:type="spellEnd"/>
      <w:r>
        <w:rPr>
          <w:rStyle w:val="ffline"/>
        </w:rPr>
        <w:t xml:space="preserve"> </w:t>
      </w:r>
      <w:proofErr w:type="spellStart"/>
      <w:r>
        <w:rPr>
          <w:rStyle w:val="ffline"/>
        </w:rPr>
        <w:t>aacgcaacag</w:t>
      </w:r>
      <w:proofErr w:type="spellEnd"/>
      <w:r>
        <w:rPr>
          <w:rStyle w:val="ffline"/>
        </w:rPr>
        <w:t xml:space="preserve"> </w:t>
      </w:r>
      <w:proofErr w:type="spellStart"/>
      <w:r>
        <w:rPr>
          <w:rStyle w:val="ffline"/>
        </w:rPr>
        <w:t>taaatgcaca</w:t>
      </w:r>
      <w:proofErr w:type="spellEnd"/>
      <w:r>
        <w:rPr>
          <w:rStyle w:val="ffline"/>
        </w:rPr>
        <w:t xml:space="preserve"> </w:t>
      </w:r>
      <w:proofErr w:type="spellStart"/>
      <w:r>
        <w:rPr>
          <w:rStyle w:val="ffline"/>
        </w:rPr>
        <w:t>aagcttattg</w:t>
      </w:r>
      <w:proofErr w:type="spellEnd"/>
    </w:p>
    <w:p w14:paraId="7A7AC760" w14:textId="77777777" w:rsidR="00F5628C" w:rsidRDefault="00F5628C" w:rsidP="00F5628C">
      <w:pPr>
        <w:pStyle w:val="HTMLPreformatted"/>
      </w:pPr>
      <w:proofErr w:type="spellStart"/>
      <w:r>
        <w:rPr>
          <w:rStyle w:val="ffline"/>
        </w:rPr>
        <w:t>cagactcctg</w:t>
      </w:r>
      <w:proofErr w:type="spellEnd"/>
      <w:r>
        <w:rPr>
          <w:rStyle w:val="ffline"/>
        </w:rPr>
        <w:t xml:space="preserve"> </w:t>
      </w:r>
      <w:proofErr w:type="spellStart"/>
      <w:r>
        <w:rPr>
          <w:rStyle w:val="ffline"/>
        </w:rPr>
        <w:t>aacagtttaa</w:t>
      </w:r>
      <w:proofErr w:type="spellEnd"/>
      <w:r>
        <w:rPr>
          <w:rStyle w:val="ffline"/>
        </w:rPr>
        <w:t xml:space="preserve"> </w:t>
      </w:r>
      <w:proofErr w:type="spellStart"/>
      <w:r>
        <w:rPr>
          <w:rStyle w:val="ffline"/>
        </w:rPr>
        <w:t>aaatatcttc</w:t>
      </w:r>
      <w:proofErr w:type="spellEnd"/>
      <w:r>
        <w:rPr>
          <w:rStyle w:val="ffline"/>
        </w:rPr>
        <w:t xml:space="preserve"> </w:t>
      </w:r>
      <w:proofErr w:type="spellStart"/>
      <w:r>
        <w:rPr>
          <w:rStyle w:val="ffline"/>
        </w:rPr>
        <w:t>ttaaagaaca</w:t>
      </w:r>
      <w:proofErr w:type="spellEnd"/>
      <w:r>
        <w:rPr>
          <w:rStyle w:val="ffline"/>
        </w:rPr>
        <w:t xml:space="preserve"> </w:t>
      </w:r>
      <w:proofErr w:type="spellStart"/>
      <w:r>
        <w:rPr>
          <w:rStyle w:val="ffline"/>
        </w:rPr>
        <w:t>cagcatcagg</w:t>
      </w:r>
      <w:proofErr w:type="spellEnd"/>
      <w:r>
        <w:rPr>
          <w:rStyle w:val="ffline"/>
        </w:rPr>
        <w:t xml:space="preserve"> </w:t>
      </w:r>
      <w:proofErr w:type="spellStart"/>
      <w:r>
        <w:rPr>
          <w:rStyle w:val="ffline"/>
        </w:rPr>
        <w:t>tgctgaggtt</w:t>
      </w:r>
      <w:proofErr w:type="spellEnd"/>
    </w:p>
    <w:p w14:paraId="533FA05D" w14:textId="77777777" w:rsidR="00F5628C" w:rsidRDefault="00F5628C" w:rsidP="00F5628C">
      <w:pPr>
        <w:pStyle w:val="HTMLPreformatted"/>
      </w:pPr>
      <w:proofErr w:type="spellStart"/>
      <w:r>
        <w:rPr>
          <w:rStyle w:val="ffline"/>
        </w:rPr>
        <w:t>cgattaaaag</w:t>
      </w:r>
      <w:proofErr w:type="spellEnd"/>
      <w:r>
        <w:rPr>
          <w:rStyle w:val="ffline"/>
        </w:rPr>
        <w:t xml:space="preserve"> </w:t>
      </w:r>
      <w:proofErr w:type="spellStart"/>
      <w:r>
        <w:rPr>
          <w:rStyle w:val="ffline"/>
        </w:rPr>
        <w:t>atgttgctcg</w:t>
      </w:r>
      <w:proofErr w:type="spellEnd"/>
      <w:r>
        <w:rPr>
          <w:rStyle w:val="ffline"/>
        </w:rPr>
        <w:t xml:space="preserve"> </w:t>
      </w:r>
      <w:proofErr w:type="spellStart"/>
      <w:r>
        <w:rPr>
          <w:rStyle w:val="ffline"/>
        </w:rPr>
        <w:t>cgtagaatta</w:t>
      </w:r>
      <w:proofErr w:type="spellEnd"/>
      <w:r>
        <w:rPr>
          <w:rStyle w:val="ffline"/>
        </w:rPr>
        <w:t xml:space="preserve"> </w:t>
      </w:r>
      <w:proofErr w:type="spellStart"/>
      <w:r>
        <w:rPr>
          <w:rStyle w:val="ffline"/>
        </w:rPr>
        <w:t>ggttcggata</w:t>
      </w:r>
      <w:proofErr w:type="spellEnd"/>
      <w:r>
        <w:rPr>
          <w:rStyle w:val="ffline"/>
        </w:rPr>
        <w:t xml:space="preserve"> </w:t>
      </w:r>
      <w:proofErr w:type="spellStart"/>
      <w:r>
        <w:rPr>
          <w:rStyle w:val="ffline"/>
        </w:rPr>
        <w:t>actatcaatt</w:t>
      </w:r>
      <w:proofErr w:type="spellEnd"/>
      <w:r>
        <w:rPr>
          <w:rStyle w:val="ffline"/>
        </w:rPr>
        <w:t xml:space="preserve"> </w:t>
      </w:r>
      <w:proofErr w:type="spellStart"/>
      <w:r>
        <w:rPr>
          <w:rStyle w:val="ffline"/>
        </w:rPr>
        <w:t>tgactcgaag</w:t>
      </w:r>
      <w:proofErr w:type="spellEnd"/>
    </w:p>
    <w:p w14:paraId="4AF7FE9B" w14:textId="77777777" w:rsidR="00F5628C" w:rsidRDefault="00F5628C" w:rsidP="00F5628C">
      <w:pPr>
        <w:pStyle w:val="HTMLPreformatted"/>
      </w:pPr>
      <w:proofErr w:type="spellStart"/>
      <w:r>
        <w:rPr>
          <w:rStyle w:val="ffline"/>
        </w:rPr>
        <w:t>tttaacggta</w:t>
      </w:r>
      <w:proofErr w:type="spellEnd"/>
      <w:r>
        <w:rPr>
          <w:rStyle w:val="ffline"/>
        </w:rPr>
        <w:t xml:space="preserve"> </w:t>
      </w:r>
      <w:proofErr w:type="spellStart"/>
      <w:r>
        <w:rPr>
          <w:rStyle w:val="ffline"/>
        </w:rPr>
        <w:t>aaccggcagc</w:t>
      </w:r>
      <w:proofErr w:type="spellEnd"/>
      <w:r>
        <w:rPr>
          <w:rStyle w:val="ffline"/>
        </w:rPr>
        <w:t xml:space="preserve"> </w:t>
      </w:r>
      <w:proofErr w:type="spellStart"/>
      <w:r>
        <w:rPr>
          <w:rStyle w:val="ffline"/>
        </w:rPr>
        <w:t>tggtcttgca</w:t>
      </w:r>
      <w:proofErr w:type="spellEnd"/>
      <w:r>
        <w:rPr>
          <w:rStyle w:val="ffline"/>
        </w:rPr>
        <w:t xml:space="preserve"> </w:t>
      </w:r>
      <w:proofErr w:type="spellStart"/>
      <w:r>
        <w:rPr>
          <w:rStyle w:val="ffline"/>
        </w:rPr>
        <w:t>attaaaattg</w:t>
      </w:r>
      <w:proofErr w:type="spellEnd"/>
      <w:r>
        <w:rPr>
          <w:rStyle w:val="ffline"/>
        </w:rPr>
        <w:t xml:space="preserve"> </w:t>
      </w:r>
      <w:proofErr w:type="spellStart"/>
      <w:r>
        <w:rPr>
          <w:rStyle w:val="ffline"/>
        </w:rPr>
        <w:t>caacaggtgc</w:t>
      </w:r>
      <w:proofErr w:type="spellEnd"/>
      <w:r>
        <w:rPr>
          <w:rStyle w:val="ffline"/>
        </w:rPr>
        <w:t xml:space="preserve"> </w:t>
      </w:r>
      <w:proofErr w:type="spellStart"/>
      <w:r>
        <w:rPr>
          <w:rStyle w:val="ffline"/>
        </w:rPr>
        <w:t>taacgcactc</w:t>
      </w:r>
      <w:proofErr w:type="spellEnd"/>
    </w:p>
    <w:p w14:paraId="26EF4C96" w14:textId="77777777" w:rsidR="00F5628C" w:rsidRDefault="00F5628C" w:rsidP="00F5628C">
      <w:pPr>
        <w:pStyle w:val="HTMLPreformatted"/>
      </w:pPr>
      <w:proofErr w:type="spellStart"/>
      <w:r>
        <w:rPr>
          <w:rStyle w:val="ffline"/>
        </w:rPr>
        <w:t>gacacagccg</w:t>
      </w:r>
      <w:proofErr w:type="spellEnd"/>
      <w:r>
        <w:rPr>
          <w:rStyle w:val="ffline"/>
        </w:rPr>
        <w:t xml:space="preserve"> </w:t>
      </w:r>
      <w:proofErr w:type="spellStart"/>
      <w:r>
        <w:rPr>
          <w:rStyle w:val="ffline"/>
        </w:rPr>
        <w:t>aagcagttga</w:t>
      </w:r>
      <w:proofErr w:type="spellEnd"/>
      <w:r>
        <w:rPr>
          <w:rStyle w:val="ffline"/>
        </w:rPr>
        <w:t xml:space="preserve"> </w:t>
      </w:r>
      <w:proofErr w:type="spellStart"/>
      <w:r>
        <w:rPr>
          <w:rStyle w:val="ffline"/>
        </w:rPr>
        <w:t>acaacgttta</w:t>
      </w:r>
      <w:proofErr w:type="spellEnd"/>
      <w:r>
        <w:rPr>
          <w:rStyle w:val="ffline"/>
        </w:rPr>
        <w:t xml:space="preserve"> </w:t>
      </w:r>
      <w:proofErr w:type="spellStart"/>
      <w:r>
        <w:rPr>
          <w:rStyle w:val="ffline"/>
        </w:rPr>
        <w:t>tctgaactac</w:t>
      </w:r>
      <w:proofErr w:type="spellEnd"/>
      <w:r>
        <w:rPr>
          <w:rStyle w:val="ffline"/>
        </w:rPr>
        <w:t xml:space="preserve"> </w:t>
      </w:r>
      <w:proofErr w:type="spellStart"/>
      <w:r>
        <w:rPr>
          <w:rStyle w:val="ffline"/>
        </w:rPr>
        <w:t>gtaagaacta</w:t>
      </w:r>
      <w:proofErr w:type="spellEnd"/>
      <w:r>
        <w:rPr>
          <w:rStyle w:val="ffline"/>
        </w:rPr>
        <w:t xml:space="preserve"> </w:t>
      </w:r>
      <w:proofErr w:type="spellStart"/>
      <w:r>
        <w:rPr>
          <w:rStyle w:val="ffline"/>
        </w:rPr>
        <w:t>tccaacaggt</w:t>
      </w:r>
      <w:proofErr w:type="spellEnd"/>
    </w:p>
    <w:p w14:paraId="4559ECE2" w14:textId="77777777" w:rsidR="00F5628C" w:rsidRDefault="00F5628C" w:rsidP="00F5628C">
      <w:pPr>
        <w:pStyle w:val="HTMLPreformatted"/>
      </w:pPr>
      <w:proofErr w:type="spellStart"/>
      <w:r>
        <w:rPr>
          <w:rStyle w:val="ffline"/>
        </w:rPr>
        <w:t>cttgcagata</w:t>
      </w:r>
      <w:proofErr w:type="spellEnd"/>
      <w:r>
        <w:rPr>
          <w:rStyle w:val="ffline"/>
        </w:rPr>
        <w:t xml:space="preserve"> </w:t>
      </w:r>
      <w:proofErr w:type="spellStart"/>
      <w:r>
        <w:rPr>
          <w:rStyle w:val="ffline"/>
        </w:rPr>
        <w:t>aactggctta</w:t>
      </w:r>
      <w:proofErr w:type="spellEnd"/>
      <w:r>
        <w:rPr>
          <w:rStyle w:val="ffline"/>
        </w:rPr>
        <w:t xml:space="preserve"> </w:t>
      </w:r>
      <w:proofErr w:type="spellStart"/>
      <w:r>
        <w:rPr>
          <w:rStyle w:val="ffline"/>
        </w:rPr>
        <w:t>tgacacgact</w:t>
      </w:r>
      <w:proofErr w:type="spellEnd"/>
      <w:r>
        <w:rPr>
          <w:rStyle w:val="ffline"/>
        </w:rPr>
        <w:t xml:space="preserve"> </w:t>
      </w:r>
      <w:proofErr w:type="spellStart"/>
      <w:r>
        <w:rPr>
          <w:rStyle w:val="ffline"/>
        </w:rPr>
        <w:t>ccatttatcc</w:t>
      </w:r>
      <w:proofErr w:type="spellEnd"/>
      <w:r>
        <w:rPr>
          <w:rStyle w:val="ffline"/>
        </w:rPr>
        <w:t xml:space="preserve"> </w:t>
      </w:r>
      <w:proofErr w:type="spellStart"/>
      <w:r>
        <w:rPr>
          <w:rStyle w:val="ffline"/>
        </w:rPr>
        <w:t>gtctttcaat</w:t>
      </w:r>
      <w:proofErr w:type="spellEnd"/>
      <w:r>
        <w:rPr>
          <w:rStyle w:val="ffline"/>
        </w:rPr>
        <w:t xml:space="preserve"> </w:t>
      </w:r>
      <w:proofErr w:type="spellStart"/>
      <w:r>
        <w:rPr>
          <w:rStyle w:val="ffline"/>
        </w:rPr>
        <w:t>tgaaagtgta</w:t>
      </w:r>
      <w:proofErr w:type="spellEnd"/>
    </w:p>
    <w:p w14:paraId="25E18480" w14:textId="77777777" w:rsidR="00F5628C" w:rsidRDefault="00F5628C" w:rsidP="00F5628C">
      <w:pPr>
        <w:pStyle w:val="HTMLPreformatted"/>
      </w:pPr>
      <w:proofErr w:type="spellStart"/>
      <w:r>
        <w:rPr>
          <w:rStyle w:val="ffline"/>
        </w:rPr>
        <w:t>gtacacacat</w:t>
      </w:r>
      <w:proofErr w:type="spellEnd"/>
      <w:r>
        <w:rPr>
          <w:rStyle w:val="ffline"/>
        </w:rPr>
        <w:t xml:space="preserve"> </w:t>
      </w:r>
      <w:proofErr w:type="spellStart"/>
      <w:r>
        <w:rPr>
          <w:rStyle w:val="ffline"/>
        </w:rPr>
        <w:t>taattgaagc</w:t>
      </w:r>
      <w:proofErr w:type="spellEnd"/>
      <w:r>
        <w:rPr>
          <w:rStyle w:val="ffline"/>
        </w:rPr>
        <w:t xml:space="preserve"> </w:t>
      </w:r>
      <w:proofErr w:type="spellStart"/>
      <w:r>
        <w:rPr>
          <w:rStyle w:val="ffline"/>
        </w:rPr>
        <w:t>cgtgattttg</w:t>
      </w:r>
      <w:proofErr w:type="spellEnd"/>
      <w:r>
        <w:rPr>
          <w:rStyle w:val="ffline"/>
        </w:rPr>
        <w:t xml:space="preserve"> </w:t>
      </w:r>
      <w:proofErr w:type="spellStart"/>
      <w:r>
        <w:rPr>
          <w:rStyle w:val="ffline"/>
        </w:rPr>
        <w:t>gtattcattg</w:t>
      </w:r>
      <w:proofErr w:type="spellEnd"/>
      <w:r>
        <w:rPr>
          <w:rStyle w:val="ffline"/>
        </w:rPr>
        <w:t xml:space="preserve"> </w:t>
      </w:r>
      <w:proofErr w:type="spellStart"/>
      <w:r>
        <w:rPr>
          <w:rStyle w:val="ffline"/>
        </w:rPr>
        <w:t>tcatgttcct</w:t>
      </w:r>
      <w:proofErr w:type="spellEnd"/>
      <w:r>
        <w:rPr>
          <w:rStyle w:val="ffline"/>
        </w:rPr>
        <w:t xml:space="preserve"> </w:t>
      </w:r>
      <w:proofErr w:type="spellStart"/>
      <w:r>
        <w:rPr>
          <w:rStyle w:val="ffline"/>
        </w:rPr>
        <w:t>attcttacaa</w:t>
      </w:r>
      <w:proofErr w:type="spellEnd"/>
    </w:p>
    <w:p w14:paraId="57A4F9A4" w14:textId="77777777" w:rsidR="00F5628C" w:rsidRDefault="00F5628C" w:rsidP="00F5628C">
      <w:pPr>
        <w:pStyle w:val="HTMLPreformatted"/>
      </w:pPr>
      <w:proofErr w:type="spellStart"/>
      <w:r>
        <w:rPr>
          <w:rStyle w:val="ffline"/>
        </w:rPr>
        <w:t>aactggcgtg</w:t>
      </w:r>
      <w:proofErr w:type="spellEnd"/>
      <w:r>
        <w:rPr>
          <w:rStyle w:val="ffline"/>
        </w:rPr>
        <w:t xml:space="preserve"> </w:t>
      </w:r>
      <w:proofErr w:type="spellStart"/>
      <w:r>
        <w:rPr>
          <w:rStyle w:val="ffline"/>
        </w:rPr>
        <w:t>caacgattat</w:t>
      </w:r>
      <w:proofErr w:type="spellEnd"/>
      <w:r>
        <w:rPr>
          <w:rStyle w:val="ffline"/>
        </w:rPr>
        <w:t xml:space="preserve"> </w:t>
      </w:r>
      <w:proofErr w:type="spellStart"/>
      <w:r>
        <w:rPr>
          <w:rStyle w:val="ffline"/>
        </w:rPr>
        <w:t>tccaacgctt</w:t>
      </w:r>
      <w:proofErr w:type="spellEnd"/>
      <w:r>
        <w:rPr>
          <w:rStyle w:val="ffline"/>
        </w:rPr>
        <w:t xml:space="preserve"> </w:t>
      </w:r>
      <w:proofErr w:type="spellStart"/>
      <w:r>
        <w:rPr>
          <w:rStyle w:val="ffline"/>
        </w:rPr>
        <w:t>gcagttccag</w:t>
      </w:r>
      <w:proofErr w:type="spellEnd"/>
      <w:r>
        <w:rPr>
          <w:rStyle w:val="ffline"/>
        </w:rPr>
        <w:t xml:space="preserve"> </w:t>
      </w:r>
      <w:proofErr w:type="spellStart"/>
      <w:r>
        <w:rPr>
          <w:rStyle w:val="ffline"/>
        </w:rPr>
        <w:t>tagttgtatt</w:t>
      </w:r>
      <w:proofErr w:type="spellEnd"/>
      <w:r>
        <w:rPr>
          <w:rStyle w:val="ffline"/>
        </w:rPr>
        <w:t xml:space="preserve"> </w:t>
      </w:r>
      <w:proofErr w:type="spellStart"/>
      <w:r>
        <w:rPr>
          <w:rStyle w:val="ffline"/>
        </w:rPr>
        <w:t>aggtacattt</w:t>
      </w:r>
      <w:proofErr w:type="spellEnd"/>
    </w:p>
    <w:p w14:paraId="6F09EBEE" w14:textId="77777777" w:rsidR="00F5628C" w:rsidRDefault="00F5628C" w:rsidP="00F5628C">
      <w:pPr>
        <w:pStyle w:val="HTMLPreformatted"/>
      </w:pPr>
      <w:proofErr w:type="spellStart"/>
      <w:r>
        <w:rPr>
          <w:rStyle w:val="ffline"/>
        </w:rPr>
        <w:t>gcggtcatta</w:t>
      </w:r>
      <w:proofErr w:type="spellEnd"/>
      <w:r>
        <w:rPr>
          <w:rStyle w:val="ffline"/>
        </w:rPr>
        <w:t xml:space="preserve"> </w:t>
      </w:r>
      <w:proofErr w:type="spellStart"/>
      <w:r>
        <w:rPr>
          <w:rStyle w:val="ffline"/>
        </w:rPr>
        <w:t>atatctttgg</w:t>
      </w:r>
      <w:proofErr w:type="spellEnd"/>
      <w:r>
        <w:rPr>
          <w:rStyle w:val="ffline"/>
        </w:rPr>
        <w:t xml:space="preserve"> </w:t>
      </w:r>
      <w:proofErr w:type="spellStart"/>
      <w:r>
        <w:rPr>
          <w:rStyle w:val="ffline"/>
        </w:rPr>
        <w:t>cttctcaatt</w:t>
      </w:r>
      <w:proofErr w:type="spellEnd"/>
      <w:r>
        <w:rPr>
          <w:rStyle w:val="ffline"/>
        </w:rPr>
        <w:t xml:space="preserve"> </w:t>
      </w:r>
      <w:proofErr w:type="spellStart"/>
      <w:r>
        <w:rPr>
          <w:rStyle w:val="ffline"/>
        </w:rPr>
        <w:t>aacaccttaa</w:t>
      </w:r>
      <w:proofErr w:type="spellEnd"/>
      <w:r>
        <w:rPr>
          <w:rStyle w:val="ffline"/>
        </w:rPr>
        <w:t xml:space="preserve"> </w:t>
      </w:r>
      <w:proofErr w:type="spellStart"/>
      <w:r>
        <w:rPr>
          <w:rStyle w:val="ffline"/>
        </w:rPr>
        <w:t>ccatgttcgc</w:t>
      </w:r>
      <w:proofErr w:type="spellEnd"/>
      <w:r>
        <w:rPr>
          <w:rStyle w:val="ffline"/>
        </w:rPr>
        <w:t xml:space="preserve"> </w:t>
      </w:r>
      <w:proofErr w:type="spellStart"/>
      <w:r>
        <w:rPr>
          <w:rStyle w:val="ffline"/>
        </w:rPr>
        <w:t>tatggtattg</w:t>
      </w:r>
      <w:proofErr w:type="spellEnd"/>
    </w:p>
    <w:p w14:paraId="6AAD041E" w14:textId="77777777" w:rsidR="00F5628C" w:rsidRDefault="00F5628C" w:rsidP="00F5628C">
      <w:pPr>
        <w:pStyle w:val="HTMLPreformatted"/>
      </w:pPr>
      <w:proofErr w:type="spellStart"/>
      <w:r>
        <w:rPr>
          <w:rStyle w:val="ffline"/>
        </w:rPr>
        <w:t>gcaatcggtc</w:t>
      </w:r>
      <w:proofErr w:type="spellEnd"/>
      <w:r>
        <w:rPr>
          <w:rStyle w:val="ffline"/>
        </w:rPr>
        <w:t xml:space="preserve"> </w:t>
      </w:r>
      <w:proofErr w:type="spellStart"/>
      <w:r>
        <w:rPr>
          <w:rStyle w:val="ffline"/>
        </w:rPr>
        <w:t>ttctggtcga</w:t>
      </w:r>
      <w:proofErr w:type="spellEnd"/>
      <w:r>
        <w:rPr>
          <w:rStyle w:val="ffline"/>
        </w:rPr>
        <w:t xml:space="preserve"> </w:t>
      </w:r>
      <w:proofErr w:type="spellStart"/>
      <w:r>
        <w:rPr>
          <w:rStyle w:val="ffline"/>
        </w:rPr>
        <w:t>cgacgccatt</w:t>
      </w:r>
      <w:proofErr w:type="spellEnd"/>
      <w:r>
        <w:rPr>
          <w:rStyle w:val="ffline"/>
        </w:rPr>
        <w:t xml:space="preserve"> </w:t>
      </w:r>
      <w:proofErr w:type="spellStart"/>
      <w:r>
        <w:rPr>
          <w:rStyle w:val="ffline"/>
        </w:rPr>
        <w:t>gttgtagtcg</w:t>
      </w:r>
      <w:proofErr w:type="spellEnd"/>
      <w:r>
        <w:rPr>
          <w:rStyle w:val="ffline"/>
        </w:rPr>
        <w:t xml:space="preserve"> </w:t>
      </w:r>
      <w:proofErr w:type="spellStart"/>
      <w:r>
        <w:rPr>
          <w:rStyle w:val="ffline"/>
        </w:rPr>
        <w:t>aaaacgttga</w:t>
      </w:r>
      <w:proofErr w:type="spellEnd"/>
      <w:r>
        <w:rPr>
          <w:rStyle w:val="ffline"/>
        </w:rPr>
        <w:t xml:space="preserve"> </w:t>
      </w:r>
      <w:proofErr w:type="spellStart"/>
      <w:r>
        <w:rPr>
          <w:rStyle w:val="ffline"/>
        </w:rPr>
        <w:t>acgtgtgatg</w:t>
      </w:r>
      <w:proofErr w:type="spellEnd"/>
    </w:p>
    <w:p w14:paraId="0A83DA14" w14:textId="77777777" w:rsidR="00F5628C" w:rsidRDefault="00F5628C" w:rsidP="00F5628C">
      <w:pPr>
        <w:pStyle w:val="HTMLPreformatted"/>
      </w:pPr>
      <w:proofErr w:type="spellStart"/>
      <w:r>
        <w:rPr>
          <w:rStyle w:val="ffline"/>
        </w:rPr>
        <w:t>agtgaagacc</w:t>
      </w:r>
      <w:proofErr w:type="spellEnd"/>
      <w:r>
        <w:rPr>
          <w:rStyle w:val="ffline"/>
        </w:rPr>
        <w:t xml:space="preserve"> </w:t>
      </w:r>
      <w:proofErr w:type="spellStart"/>
      <w:r>
        <w:rPr>
          <w:rStyle w:val="ffline"/>
        </w:rPr>
        <w:t>ataccgatcc</w:t>
      </w:r>
      <w:proofErr w:type="spellEnd"/>
      <w:r>
        <w:rPr>
          <w:rStyle w:val="ffline"/>
        </w:rPr>
        <w:t xml:space="preserve"> </w:t>
      </w:r>
      <w:proofErr w:type="spellStart"/>
      <w:r>
        <w:rPr>
          <w:rStyle w:val="ffline"/>
        </w:rPr>
        <w:t>ggttaccgcc</w:t>
      </w:r>
      <w:proofErr w:type="spellEnd"/>
      <w:r>
        <w:rPr>
          <w:rStyle w:val="ffline"/>
        </w:rPr>
        <w:t xml:space="preserve"> </w:t>
      </w:r>
      <w:proofErr w:type="spellStart"/>
      <w:r>
        <w:rPr>
          <w:rStyle w:val="ffline"/>
        </w:rPr>
        <w:t>acttctcgct</w:t>
      </w:r>
      <w:proofErr w:type="spellEnd"/>
      <w:r>
        <w:rPr>
          <w:rStyle w:val="ffline"/>
        </w:rPr>
        <w:t xml:space="preserve"> </w:t>
      </w:r>
      <w:proofErr w:type="spellStart"/>
      <w:r>
        <w:rPr>
          <w:rStyle w:val="ffline"/>
        </w:rPr>
        <w:t>caatgcagca</w:t>
      </w:r>
      <w:proofErr w:type="spellEnd"/>
      <w:r>
        <w:rPr>
          <w:rStyle w:val="ffline"/>
        </w:rPr>
        <w:t xml:space="preserve"> </w:t>
      </w:r>
      <w:proofErr w:type="spellStart"/>
      <w:r>
        <w:rPr>
          <w:rStyle w:val="ffline"/>
        </w:rPr>
        <w:t>gatttctggt</w:t>
      </w:r>
      <w:proofErr w:type="spellEnd"/>
    </w:p>
    <w:p w14:paraId="7F51E94F" w14:textId="77777777" w:rsidR="00F5628C" w:rsidRDefault="00F5628C" w:rsidP="00F5628C">
      <w:pPr>
        <w:pStyle w:val="HTMLPreformatted"/>
      </w:pPr>
      <w:proofErr w:type="spellStart"/>
      <w:r>
        <w:rPr>
          <w:rStyle w:val="ffline"/>
        </w:rPr>
        <w:t>gcgttagtag</w:t>
      </w:r>
      <w:proofErr w:type="spellEnd"/>
      <w:r>
        <w:rPr>
          <w:rStyle w:val="ffline"/>
        </w:rPr>
        <w:t xml:space="preserve"> </w:t>
      </w:r>
      <w:proofErr w:type="spellStart"/>
      <w:r>
        <w:rPr>
          <w:rStyle w:val="ffline"/>
        </w:rPr>
        <w:t>gtattaccag</w:t>
      </w:r>
      <w:proofErr w:type="spellEnd"/>
      <w:r>
        <w:rPr>
          <w:rStyle w:val="ffline"/>
        </w:rPr>
        <w:t xml:space="preserve"> </w:t>
      </w:r>
      <w:proofErr w:type="spellStart"/>
      <w:r>
        <w:rPr>
          <w:rStyle w:val="ffline"/>
        </w:rPr>
        <w:t>cgtattgaca</w:t>
      </w:r>
      <w:proofErr w:type="spellEnd"/>
      <w:r>
        <w:rPr>
          <w:rStyle w:val="ffline"/>
        </w:rPr>
        <w:t xml:space="preserve"> </w:t>
      </w:r>
      <w:proofErr w:type="spellStart"/>
      <w:r>
        <w:rPr>
          <w:rStyle w:val="ffline"/>
        </w:rPr>
        <w:t>gcggtattcg</w:t>
      </w:r>
      <w:proofErr w:type="spellEnd"/>
      <w:r>
        <w:rPr>
          <w:rStyle w:val="ffline"/>
        </w:rPr>
        <w:t xml:space="preserve"> </w:t>
      </w:r>
      <w:proofErr w:type="spellStart"/>
      <w:r>
        <w:rPr>
          <w:rStyle w:val="ffline"/>
        </w:rPr>
        <w:t>taccaatggc</w:t>
      </w:r>
      <w:proofErr w:type="spellEnd"/>
      <w:r>
        <w:rPr>
          <w:rStyle w:val="ffline"/>
        </w:rPr>
        <w:t xml:space="preserve"> </w:t>
      </w:r>
      <w:proofErr w:type="spellStart"/>
      <w:r>
        <w:rPr>
          <w:rStyle w:val="ffline"/>
        </w:rPr>
        <w:t>tttctttggt</w:t>
      </w:r>
      <w:proofErr w:type="spellEnd"/>
    </w:p>
    <w:p w14:paraId="047076CF" w14:textId="77777777" w:rsidR="00F5628C" w:rsidRDefault="00F5628C" w:rsidP="00F5628C">
      <w:pPr>
        <w:pStyle w:val="HTMLPreformatted"/>
      </w:pPr>
      <w:proofErr w:type="spellStart"/>
      <w:r>
        <w:rPr>
          <w:rStyle w:val="ffline"/>
        </w:rPr>
        <w:t>ggtacaacag</w:t>
      </w:r>
      <w:proofErr w:type="spellEnd"/>
      <w:r>
        <w:rPr>
          <w:rStyle w:val="ffline"/>
        </w:rPr>
        <w:t xml:space="preserve"> </w:t>
      </w:r>
      <w:proofErr w:type="spellStart"/>
      <w:r>
        <w:rPr>
          <w:rStyle w:val="ffline"/>
        </w:rPr>
        <w:t>gtgtaattta</w:t>
      </w:r>
      <w:proofErr w:type="spellEnd"/>
      <w:r>
        <w:rPr>
          <w:rStyle w:val="ffline"/>
        </w:rPr>
        <w:t xml:space="preserve"> </w:t>
      </w:r>
      <w:proofErr w:type="spellStart"/>
      <w:r>
        <w:rPr>
          <w:rStyle w:val="ffline"/>
        </w:rPr>
        <w:t>ccgccagttc</w:t>
      </w:r>
      <w:proofErr w:type="spellEnd"/>
      <w:r>
        <w:rPr>
          <w:rStyle w:val="ffline"/>
        </w:rPr>
        <w:t xml:space="preserve"> </w:t>
      </w:r>
      <w:proofErr w:type="spellStart"/>
      <w:r>
        <w:rPr>
          <w:rStyle w:val="ffline"/>
        </w:rPr>
        <w:t>tcgattaccc</w:t>
      </w:r>
      <w:proofErr w:type="spellEnd"/>
      <w:r>
        <w:rPr>
          <w:rStyle w:val="ffline"/>
        </w:rPr>
        <w:t xml:space="preserve"> </w:t>
      </w:r>
      <w:proofErr w:type="spellStart"/>
      <w:r>
        <w:rPr>
          <w:rStyle w:val="ffline"/>
        </w:rPr>
        <w:t>ttgtaactgc</w:t>
      </w:r>
      <w:proofErr w:type="spellEnd"/>
      <w:r>
        <w:rPr>
          <w:rStyle w:val="ffline"/>
        </w:rPr>
        <w:t xml:space="preserve"> </w:t>
      </w:r>
      <w:proofErr w:type="spellStart"/>
      <w:r>
        <w:rPr>
          <w:rStyle w:val="ffline"/>
        </w:rPr>
        <w:t>aatggttctg</w:t>
      </w:r>
      <w:proofErr w:type="spellEnd"/>
    </w:p>
    <w:p w14:paraId="698AA775" w14:textId="77777777" w:rsidR="00F5628C" w:rsidRDefault="00F5628C" w:rsidP="00F5628C">
      <w:pPr>
        <w:pStyle w:val="HTMLPreformatted"/>
      </w:pPr>
      <w:proofErr w:type="spellStart"/>
      <w:r>
        <w:rPr>
          <w:rStyle w:val="ffline"/>
        </w:rPr>
        <w:t>tcgttaattg</w:t>
      </w:r>
      <w:proofErr w:type="spellEnd"/>
      <w:r>
        <w:rPr>
          <w:rStyle w:val="ffline"/>
        </w:rPr>
        <w:t xml:space="preserve"> </w:t>
      </w:r>
      <w:proofErr w:type="spellStart"/>
      <w:r>
        <w:rPr>
          <w:rStyle w:val="ffline"/>
        </w:rPr>
        <w:t>tagcgttgac</w:t>
      </w:r>
      <w:proofErr w:type="spellEnd"/>
      <w:r>
        <w:rPr>
          <w:rStyle w:val="ffline"/>
        </w:rPr>
        <w:t xml:space="preserve"> </w:t>
      </w:r>
      <w:proofErr w:type="spellStart"/>
      <w:r>
        <w:rPr>
          <w:rStyle w:val="ffline"/>
        </w:rPr>
        <w:t>gttcacaccg</w:t>
      </w:r>
      <w:proofErr w:type="spellEnd"/>
      <w:r>
        <w:rPr>
          <w:rStyle w:val="ffline"/>
        </w:rPr>
        <w:t xml:space="preserve"> </w:t>
      </w:r>
      <w:proofErr w:type="spellStart"/>
      <w:r>
        <w:rPr>
          <w:rStyle w:val="ffline"/>
        </w:rPr>
        <w:t>gcactttgtg</w:t>
      </w:r>
      <w:proofErr w:type="spellEnd"/>
      <w:r>
        <w:rPr>
          <w:rStyle w:val="ffline"/>
        </w:rPr>
        <w:t xml:space="preserve"> </w:t>
      </w:r>
      <w:proofErr w:type="spellStart"/>
      <w:r>
        <w:rPr>
          <w:rStyle w:val="ffline"/>
        </w:rPr>
        <w:t>caactatctt</w:t>
      </w:r>
      <w:proofErr w:type="spellEnd"/>
      <w:r>
        <w:rPr>
          <w:rStyle w:val="ffline"/>
        </w:rPr>
        <w:t xml:space="preserve"> </w:t>
      </w:r>
      <w:proofErr w:type="spellStart"/>
      <w:r>
        <w:rPr>
          <w:rStyle w:val="ffline"/>
        </w:rPr>
        <w:t>gaaacagcat</w:t>
      </w:r>
      <w:proofErr w:type="spellEnd"/>
    </w:p>
    <w:p w14:paraId="07471F8E" w14:textId="77777777" w:rsidR="00F5628C" w:rsidRDefault="00F5628C" w:rsidP="00F5628C">
      <w:pPr>
        <w:pStyle w:val="HTMLPreformatted"/>
      </w:pPr>
      <w:proofErr w:type="spellStart"/>
      <w:r>
        <w:rPr>
          <w:rStyle w:val="ffline"/>
        </w:rPr>
        <w:t>gatcctaata</w:t>
      </w:r>
      <w:proofErr w:type="spellEnd"/>
      <w:r>
        <w:rPr>
          <w:rStyle w:val="ffline"/>
        </w:rPr>
        <w:t xml:space="preserve"> </w:t>
      </w:r>
      <w:proofErr w:type="spellStart"/>
      <w:r>
        <w:rPr>
          <w:rStyle w:val="ffline"/>
        </w:rPr>
        <w:t>aagaaccaag</w:t>
      </w:r>
      <w:proofErr w:type="spellEnd"/>
      <w:r>
        <w:rPr>
          <w:rStyle w:val="ffline"/>
        </w:rPr>
        <w:t xml:space="preserve"> </w:t>
      </w:r>
      <w:proofErr w:type="spellStart"/>
      <w:r>
        <w:rPr>
          <w:rStyle w:val="ffline"/>
        </w:rPr>
        <w:t>caataatatc</w:t>
      </w:r>
      <w:proofErr w:type="spellEnd"/>
      <w:r>
        <w:rPr>
          <w:rStyle w:val="ffline"/>
        </w:rPr>
        <w:t xml:space="preserve"> </w:t>
      </w:r>
      <w:proofErr w:type="spellStart"/>
      <w:r>
        <w:rPr>
          <w:rStyle w:val="ffline"/>
        </w:rPr>
        <w:t>tttgcgcgtt</w:t>
      </w:r>
      <w:proofErr w:type="spellEnd"/>
      <w:r>
        <w:rPr>
          <w:rStyle w:val="ffline"/>
        </w:rPr>
        <w:t xml:space="preserve"> </w:t>
      </w:r>
      <w:proofErr w:type="spellStart"/>
      <w:r>
        <w:rPr>
          <w:rStyle w:val="ffline"/>
        </w:rPr>
        <w:t>tctttagaag</w:t>
      </w:r>
      <w:proofErr w:type="spellEnd"/>
      <w:r>
        <w:rPr>
          <w:rStyle w:val="ffline"/>
        </w:rPr>
        <w:t xml:space="preserve"> </w:t>
      </w:r>
      <w:proofErr w:type="spellStart"/>
      <w:r>
        <w:rPr>
          <w:rStyle w:val="ffline"/>
        </w:rPr>
        <w:t>ctttaacaat</w:t>
      </w:r>
      <w:proofErr w:type="spellEnd"/>
    </w:p>
    <w:p w14:paraId="4E923B37" w14:textId="77777777" w:rsidR="00F5628C" w:rsidRDefault="00F5628C" w:rsidP="00F5628C">
      <w:pPr>
        <w:pStyle w:val="HTMLPreformatted"/>
      </w:pPr>
      <w:proofErr w:type="spellStart"/>
      <w:r>
        <w:rPr>
          <w:rStyle w:val="ffline"/>
        </w:rPr>
        <w:t>ggttttgacc</w:t>
      </w:r>
      <w:proofErr w:type="spellEnd"/>
      <w:r>
        <w:rPr>
          <w:rStyle w:val="ffline"/>
        </w:rPr>
        <w:t xml:space="preserve"> </w:t>
      </w:r>
      <w:proofErr w:type="spellStart"/>
      <w:r>
        <w:rPr>
          <w:rStyle w:val="ffline"/>
        </w:rPr>
        <w:t>gcatgtcgca</w:t>
      </w:r>
      <w:proofErr w:type="spellEnd"/>
      <w:r>
        <w:rPr>
          <w:rStyle w:val="ffline"/>
        </w:rPr>
        <w:t xml:space="preserve"> </w:t>
      </w:r>
      <w:proofErr w:type="spellStart"/>
      <w:r>
        <w:rPr>
          <w:rStyle w:val="ffline"/>
        </w:rPr>
        <w:t>tagctaccaa</w:t>
      </w:r>
      <w:proofErr w:type="spellEnd"/>
      <w:r>
        <w:rPr>
          <w:rStyle w:val="ffline"/>
        </w:rPr>
        <w:t xml:space="preserve"> </w:t>
      </w:r>
      <w:proofErr w:type="spellStart"/>
      <w:r>
        <w:rPr>
          <w:rStyle w:val="ffline"/>
        </w:rPr>
        <w:t>aatggtgtta</w:t>
      </w:r>
      <w:proofErr w:type="spellEnd"/>
      <w:r>
        <w:rPr>
          <w:rStyle w:val="ffline"/>
        </w:rPr>
        <w:t xml:space="preserve"> </w:t>
      </w:r>
      <w:proofErr w:type="spellStart"/>
      <w:r>
        <w:rPr>
          <w:rStyle w:val="ffline"/>
        </w:rPr>
        <w:t>gccgcatgct</w:t>
      </w:r>
      <w:proofErr w:type="spellEnd"/>
      <w:r>
        <w:rPr>
          <w:rStyle w:val="ffline"/>
        </w:rPr>
        <w:t xml:space="preserve"> </w:t>
      </w:r>
      <w:proofErr w:type="spellStart"/>
      <w:r>
        <w:rPr>
          <w:rStyle w:val="ffline"/>
        </w:rPr>
        <w:t>taaaggcaaa</w:t>
      </w:r>
      <w:proofErr w:type="spellEnd"/>
    </w:p>
    <w:p w14:paraId="5AF68266" w14:textId="77777777" w:rsidR="00F5628C" w:rsidRDefault="00F5628C" w:rsidP="00F5628C">
      <w:pPr>
        <w:pStyle w:val="HTMLPreformatted"/>
      </w:pPr>
      <w:proofErr w:type="spellStart"/>
      <w:r>
        <w:rPr>
          <w:rStyle w:val="ffline"/>
        </w:rPr>
        <w:t>atcttctctg</w:t>
      </w:r>
      <w:proofErr w:type="spellEnd"/>
      <w:r>
        <w:rPr>
          <w:rStyle w:val="ffline"/>
        </w:rPr>
        <w:t xml:space="preserve"> </w:t>
      </w:r>
      <w:proofErr w:type="spellStart"/>
      <w:r>
        <w:rPr>
          <w:rStyle w:val="ffline"/>
        </w:rPr>
        <w:t>gcgtgctcta</w:t>
      </w:r>
      <w:proofErr w:type="spellEnd"/>
      <w:r>
        <w:rPr>
          <w:rStyle w:val="ffline"/>
        </w:rPr>
        <w:t xml:space="preserve"> </w:t>
      </w:r>
      <w:proofErr w:type="spellStart"/>
      <w:r>
        <w:rPr>
          <w:rStyle w:val="ffline"/>
        </w:rPr>
        <w:t>tgctgttgta</w:t>
      </w:r>
      <w:proofErr w:type="spellEnd"/>
      <w:r>
        <w:rPr>
          <w:rStyle w:val="ffline"/>
        </w:rPr>
        <w:t xml:space="preserve"> </w:t>
      </w:r>
      <w:proofErr w:type="spellStart"/>
      <w:r>
        <w:rPr>
          <w:rStyle w:val="ffline"/>
        </w:rPr>
        <w:t>gttgcccttt</w:t>
      </w:r>
      <w:proofErr w:type="spellEnd"/>
      <w:r>
        <w:rPr>
          <w:rStyle w:val="ffline"/>
        </w:rPr>
        <w:t xml:space="preserve"> </w:t>
      </w:r>
      <w:proofErr w:type="spellStart"/>
      <w:r>
        <w:rPr>
          <w:rStyle w:val="ffline"/>
        </w:rPr>
        <w:t>tagtcttctt</w:t>
      </w:r>
      <w:proofErr w:type="spellEnd"/>
      <w:r>
        <w:rPr>
          <w:rStyle w:val="ffline"/>
        </w:rPr>
        <w:t xml:space="preserve"> </w:t>
      </w:r>
      <w:proofErr w:type="spellStart"/>
      <w:r>
        <w:rPr>
          <w:rStyle w:val="ffline"/>
        </w:rPr>
        <w:t>gttccaaaaa</w:t>
      </w:r>
      <w:proofErr w:type="spellEnd"/>
    </w:p>
    <w:p w14:paraId="3DF55F97" w14:textId="77777777" w:rsidR="00F5628C" w:rsidRDefault="00F5628C" w:rsidP="00F5628C">
      <w:pPr>
        <w:pStyle w:val="HTMLPreformatted"/>
      </w:pPr>
      <w:proofErr w:type="spellStart"/>
      <w:r>
        <w:rPr>
          <w:rStyle w:val="ffline"/>
        </w:rPr>
        <w:t>ctcccgtctt</w:t>
      </w:r>
      <w:proofErr w:type="spellEnd"/>
      <w:r>
        <w:rPr>
          <w:rStyle w:val="ffline"/>
        </w:rPr>
        <w:t xml:space="preserve"> </w:t>
      </w:r>
      <w:proofErr w:type="spellStart"/>
      <w:r>
        <w:rPr>
          <w:rStyle w:val="ffline"/>
        </w:rPr>
        <w:t>cattcttacc</w:t>
      </w:r>
      <w:proofErr w:type="spellEnd"/>
      <w:r>
        <w:rPr>
          <w:rStyle w:val="ffline"/>
        </w:rPr>
        <w:t xml:space="preserve"> </w:t>
      </w:r>
      <w:proofErr w:type="spellStart"/>
      <w:r>
        <w:rPr>
          <w:rStyle w:val="ffline"/>
        </w:rPr>
        <w:t>agaagaagat</w:t>
      </w:r>
      <w:proofErr w:type="spellEnd"/>
      <w:r>
        <w:rPr>
          <w:rStyle w:val="ffline"/>
        </w:rPr>
        <w:t xml:space="preserve"> </w:t>
      </w:r>
      <w:proofErr w:type="spellStart"/>
      <w:r>
        <w:rPr>
          <w:rStyle w:val="ffline"/>
        </w:rPr>
        <w:t>cagggtgtgg</w:t>
      </w:r>
      <w:proofErr w:type="spellEnd"/>
      <w:r>
        <w:rPr>
          <w:rStyle w:val="ffline"/>
        </w:rPr>
        <w:t xml:space="preserve"> </w:t>
      </w:r>
      <w:proofErr w:type="spellStart"/>
      <w:r>
        <w:rPr>
          <w:rStyle w:val="ffline"/>
        </w:rPr>
        <w:t>tcatgacact</w:t>
      </w:r>
      <w:proofErr w:type="spellEnd"/>
      <w:r>
        <w:rPr>
          <w:rStyle w:val="ffline"/>
        </w:rPr>
        <w:t xml:space="preserve"> </w:t>
      </w:r>
      <w:proofErr w:type="spellStart"/>
      <w:r>
        <w:rPr>
          <w:rStyle w:val="ffline"/>
        </w:rPr>
        <w:t>tgtacaatta</w:t>
      </w:r>
      <w:proofErr w:type="spellEnd"/>
    </w:p>
    <w:p w14:paraId="09610A36" w14:textId="77777777" w:rsidR="00F5628C" w:rsidRDefault="00F5628C" w:rsidP="00F5628C">
      <w:pPr>
        <w:pStyle w:val="HTMLPreformatted"/>
      </w:pPr>
      <w:proofErr w:type="spellStart"/>
      <w:r>
        <w:rPr>
          <w:rStyle w:val="ffline"/>
        </w:rPr>
        <w:t>ccaccaaatg</w:t>
      </w:r>
      <w:proofErr w:type="spellEnd"/>
      <w:r>
        <w:rPr>
          <w:rStyle w:val="ffline"/>
        </w:rPr>
        <w:t xml:space="preserve"> </w:t>
      </w:r>
      <w:proofErr w:type="spellStart"/>
      <w:r>
        <w:rPr>
          <w:rStyle w:val="ffline"/>
        </w:rPr>
        <w:t>caacgcttga</w:t>
      </w:r>
      <w:proofErr w:type="spellEnd"/>
      <w:r>
        <w:rPr>
          <w:rStyle w:val="ffline"/>
        </w:rPr>
        <w:t xml:space="preserve"> </w:t>
      </w:r>
      <w:proofErr w:type="spellStart"/>
      <w:r>
        <w:rPr>
          <w:rStyle w:val="ffline"/>
        </w:rPr>
        <w:t>ccgtaccggt</w:t>
      </w:r>
      <w:proofErr w:type="spellEnd"/>
      <w:r>
        <w:rPr>
          <w:rStyle w:val="ffline"/>
        </w:rPr>
        <w:t xml:space="preserve"> </w:t>
      </w:r>
      <w:proofErr w:type="spellStart"/>
      <w:r>
        <w:rPr>
          <w:rStyle w:val="ffline"/>
        </w:rPr>
        <w:t>aaagtgattg</w:t>
      </w:r>
      <w:proofErr w:type="spellEnd"/>
      <w:r>
        <w:rPr>
          <w:rStyle w:val="ffline"/>
        </w:rPr>
        <w:t xml:space="preserve"> </w:t>
      </w:r>
      <w:proofErr w:type="spellStart"/>
      <w:r>
        <w:rPr>
          <w:rStyle w:val="ffline"/>
        </w:rPr>
        <w:t>acaccatgac</w:t>
      </w:r>
      <w:proofErr w:type="spellEnd"/>
      <w:r>
        <w:rPr>
          <w:rStyle w:val="ffline"/>
        </w:rPr>
        <w:t xml:space="preserve"> </w:t>
      </w:r>
      <w:proofErr w:type="spellStart"/>
      <w:r>
        <w:rPr>
          <w:rStyle w:val="ffline"/>
        </w:rPr>
        <w:t>taacttcttt</w:t>
      </w:r>
      <w:proofErr w:type="spellEnd"/>
    </w:p>
    <w:p w14:paraId="6AD171BC" w14:textId="77777777" w:rsidR="00F5628C" w:rsidRDefault="00F5628C" w:rsidP="00F5628C">
      <w:pPr>
        <w:pStyle w:val="HTMLPreformatted"/>
      </w:pPr>
      <w:proofErr w:type="spellStart"/>
      <w:r>
        <w:rPr>
          <w:rStyle w:val="ffline"/>
        </w:rPr>
        <w:t>atgaatgaaa</w:t>
      </w:r>
      <w:proofErr w:type="spellEnd"/>
      <w:r>
        <w:rPr>
          <w:rStyle w:val="ffline"/>
        </w:rPr>
        <w:t xml:space="preserve"> </w:t>
      </w:r>
      <w:proofErr w:type="spellStart"/>
      <w:r>
        <w:rPr>
          <w:rStyle w:val="ffline"/>
        </w:rPr>
        <w:t>aagacaccgt</w:t>
      </w:r>
      <w:proofErr w:type="spellEnd"/>
      <w:r>
        <w:rPr>
          <w:rStyle w:val="ffline"/>
        </w:rPr>
        <w:t xml:space="preserve"> </w:t>
      </w:r>
      <w:proofErr w:type="spellStart"/>
      <w:r>
        <w:rPr>
          <w:rStyle w:val="ffline"/>
        </w:rPr>
        <w:t>ggaatctatt</w:t>
      </w:r>
      <w:proofErr w:type="spellEnd"/>
      <w:r>
        <w:rPr>
          <w:rStyle w:val="ffline"/>
        </w:rPr>
        <w:t xml:space="preserve"> </w:t>
      </w:r>
      <w:proofErr w:type="spellStart"/>
      <w:r>
        <w:rPr>
          <w:rStyle w:val="ffline"/>
        </w:rPr>
        <w:t>ttcactgttt</w:t>
      </w:r>
      <w:proofErr w:type="spellEnd"/>
      <w:r>
        <w:rPr>
          <w:rStyle w:val="ffline"/>
        </w:rPr>
        <w:t xml:space="preserve"> </w:t>
      </w:r>
      <w:proofErr w:type="spellStart"/>
      <w:r>
        <w:rPr>
          <w:rStyle w:val="ffline"/>
        </w:rPr>
        <w:t>ctggtttctc</w:t>
      </w:r>
      <w:proofErr w:type="spellEnd"/>
      <w:r>
        <w:rPr>
          <w:rStyle w:val="ffline"/>
        </w:rPr>
        <w:t xml:space="preserve"> </w:t>
      </w:r>
      <w:proofErr w:type="spellStart"/>
      <w:r>
        <w:rPr>
          <w:rStyle w:val="ffline"/>
        </w:rPr>
        <w:t>attcacaggt</w:t>
      </w:r>
      <w:proofErr w:type="spellEnd"/>
    </w:p>
    <w:p w14:paraId="00053B60" w14:textId="77777777" w:rsidR="00F5628C" w:rsidRDefault="00F5628C" w:rsidP="00F5628C">
      <w:pPr>
        <w:pStyle w:val="HTMLPreformatted"/>
      </w:pPr>
      <w:proofErr w:type="spellStart"/>
      <w:r>
        <w:rPr>
          <w:rStyle w:val="ffline"/>
        </w:rPr>
        <w:t>gttggtcaaa</w:t>
      </w:r>
      <w:proofErr w:type="spellEnd"/>
      <w:r>
        <w:rPr>
          <w:rStyle w:val="ffline"/>
        </w:rPr>
        <w:t xml:space="preserve"> </w:t>
      </w:r>
      <w:proofErr w:type="spellStart"/>
      <w:r>
        <w:rPr>
          <w:rStyle w:val="ffline"/>
        </w:rPr>
        <w:t>acgctggtat</w:t>
      </w:r>
      <w:proofErr w:type="spellEnd"/>
      <w:r>
        <w:rPr>
          <w:rStyle w:val="ffline"/>
        </w:rPr>
        <w:t xml:space="preserve"> </w:t>
      </w:r>
      <w:proofErr w:type="spellStart"/>
      <w:r>
        <w:rPr>
          <w:rStyle w:val="ffline"/>
        </w:rPr>
        <w:t>tggcttcgtt</w:t>
      </w:r>
      <w:proofErr w:type="spellEnd"/>
      <w:r>
        <w:rPr>
          <w:rStyle w:val="ffline"/>
        </w:rPr>
        <w:t xml:space="preserve"> </w:t>
      </w:r>
      <w:proofErr w:type="spellStart"/>
      <w:r>
        <w:rPr>
          <w:rStyle w:val="ffline"/>
        </w:rPr>
        <w:t>aagttgaaag</w:t>
      </w:r>
      <w:proofErr w:type="spellEnd"/>
      <w:r>
        <w:rPr>
          <w:rStyle w:val="ffline"/>
        </w:rPr>
        <w:t xml:space="preserve"> </w:t>
      </w:r>
      <w:proofErr w:type="spellStart"/>
      <w:r>
        <w:rPr>
          <w:rStyle w:val="ffline"/>
        </w:rPr>
        <w:t>actggagcaa</w:t>
      </w:r>
      <w:proofErr w:type="spellEnd"/>
      <w:r>
        <w:rPr>
          <w:rStyle w:val="ffline"/>
        </w:rPr>
        <w:t xml:space="preserve"> </w:t>
      </w:r>
      <w:proofErr w:type="spellStart"/>
      <w:r>
        <w:rPr>
          <w:rStyle w:val="ffline"/>
        </w:rPr>
        <w:t>acgtacgaca</w:t>
      </w:r>
      <w:proofErr w:type="spellEnd"/>
    </w:p>
    <w:p w14:paraId="63C391F0" w14:textId="77777777" w:rsidR="00F5628C" w:rsidRDefault="00F5628C" w:rsidP="00F5628C">
      <w:pPr>
        <w:pStyle w:val="HTMLPreformatted"/>
      </w:pPr>
      <w:proofErr w:type="spellStart"/>
      <w:r>
        <w:rPr>
          <w:rStyle w:val="ffline"/>
        </w:rPr>
        <w:t>ccagaaactc</w:t>
      </w:r>
      <w:proofErr w:type="spellEnd"/>
      <w:r>
        <w:rPr>
          <w:rStyle w:val="ffline"/>
        </w:rPr>
        <w:t xml:space="preserve"> </w:t>
      </w:r>
      <w:proofErr w:type="spellStart"/>
      <w:r>
        <w:rPr>
          <w:rStyle w:val="ffline"/>
        </w:rPr>
        <w:t>aaattggttc</w:t>
      </w:r>
      <w:proofErr w:type="spellEnd"/>
      <w:r>
        <w:rPr>
          <w:rStyle w:val="ffline"/>
        </w:rPr>
        <w:t xml:space="preserve"> </w:t>
      </w:r>
      <w:proofErr w:type="spellStart"/>
      <w:r>
        <w:rPr>
          <w:rStyle w:val="ffline"/>
        </w:rPr>
        <w:t>attgattcag</w:t>
      </w:r>
      <w:proofErr w:type="spellEnd"/>
      <w:r>
        <w:rPr>
          <w:rStyle w:val="ffline"/>
        </w:rPr>
        <w:t xml:space="preserve"> </w:t>
      </w:r>
      <w:proofErr w:type="spellStart"/>
      <w:r>
        <w:rPr>
          <w:rStyle w:val="ffline"/>
        </w:rPr>
        <w:t>cgtggtatgg</w:t>
      </w:r>
      <w:proofErr w:type="spellEnd"/>
      <w:r>
        <w:rPr>
          <w:rStyle w:val="ffline"/>
        </w:rPr>
        <w:t xml:space="preserve"> </w:t>
      </w:r>
      <w:proofErr w:type="spellStart"/>
      <w:r>
        <w:rPr>
          <w:rStyle w:val="ffline"/>
        </w:rPr>
        <w:t>cattaaatat</w:t>
      </w:r>
      <w:proofErr w:type="spellEnd"/>
      <w:r>
        <w:rPr>
          <w:rStyle w:val="ffline"/>
        </w:rPr>
        <w:t xml:space="preserve"> </w:t>
      </w:r>
      <w:proofErr w:type="spellStart"/>
      <w:r>
        <w:rPr>
          <w:rStyle w:val="ffline"/>
        </w:rPr>
        <w:t>gatcattaaa</w:t>
      </w:r>
      <w:proofErr w:type="spellEnd"/>
    </w:p>
    <w:p w14:paraId="60C289A4" w14:textId="77777777" w:rsidR="00F5628C" w:rsidRDefault="00F5628C" w:rsidP="00F5628C">
      <w:pPr>
        <w:pStyle w:val="HTMLPreformatted"/>
      </w:pPr>
      <w:proofErr w:type="spellStart"/>
      <w:r>
        <w:rPr>
          <w:rStyle w:val="ffline"/>
        </w:rPr>
        <w:t>gatgcatcat</w:t>
      </w:r>
      <w:proofErr w:type="spellEnd"/>
      <w:r>
        <w:rPr>
          <w:rStyle w:val="ffline"/>
        </w:rPr>
        <w:t xml:space="preserve"> </w:t>
      </w:r>
      <w:proofErr w:type="spellStart"/>
      <w:r>
        <w:rPr>
          <w:rStyle w:val="ffline"/>
        </w:rPr>
        <w:t>atgttatgcc</w:t>
      </w:r>
      <w:proofErr w:type="spellEnd"/>
      <w:r>
        <w:rPr>
          <w:rStyle w:val="ffline"/>
        </w:rPr>
        <w:t xml:space="preserve"> </w:t>
      </w:r>
      <w:proofErr w:type="spellStart"/>
      <w:r>
        <w:rPr>
          <w:rStyle w:val="ffline"/>
        </w:rPr>
        <w:t>gttacagctt</w:t>
      </w:r>
      <w:proofErr w:type="spellEnd"/>
      <w:r>
        <w:rPr>
          <w:rStyle w:val="ffline"/>
        </w:rPr>
        <w:t xml:space="preserve"> </w:t>
      </w:r>
      <w:proofErr w:type="spellStart"/>
      <w:r>
        <w:rPr>
          <w:rStyle w:val="ffline"/>
        </w:rPr>
        <w:t>ccagcaatgc</w:t>
      </w:r>
      <w:proofErr w:type="spellEnd"/>
      <w:r>
        <w:rPr>
          <w:rStyle w:val="ffline"/>
        </w:rPr>
        <w:t xml:space="preserve"> </w:t>
      </w:r>
      <w:proofErr w:type="spellStart"/>
      <w:r>
        <w:rPr>
          <w:rStyle w:val="ffline"/>
        </w:rPr>
        <w:t>ctgaacttgg</w:t>
      </w:r>
      <w:proofErr w:type="spellEnd"/>
      <w:r>
        <w:rPr>
          <w:rStyle w:val="ffline"/>
        </w:rPr>
        <w:t xml:space="preserve"> </w:t>
      </w:r>
      <w:proofErr w:type="spellStart"/>
      <w:r>
        <w:rPr>
          <w:rStyle w:val="ffline"/>
        </w:rPr>
        <w:t>tgtaactgcc</w:t>
      </w:r>
      <w:proofErr w:type="spellEnd"/>
    </w:p>
    <w:p w14:paraId="22273E08" w14:textId="77777777" w:rsidR="00F5628C" w:rsidRDefault="00F5628C" w:rsidP="00F5628C">
      <w:pPr>
        <w:pStyle w:val="HTMLPreformatted"/>
      </w:pPr>
      <w:proofErr w:type="spellStart"/>
      <w:r>
        <w:rPr>
          <w:rStyle w:val="ffline"/>
        </w:rPr>
        <w:t>ggatttaact</w:t>
      </w:r>
      <w:proofErr w:type="spellEnd"/>
      <w:r>
        <w:rPr>
          <w:rStyle w:val="ffline"/>
        </w:rPr>
        <w:t xml:space="preserve"> </w:t>
      </w:r>
      <w:proofErr w:type="spellStart"/>
      <w:r>
        <w:rPr>
          <w:rStyle w:val="ffline"/>
        </w:rPr>
        <w:t>tgcagcttaa</w:t>
      </w:r>
      <w:proofErr w:type="spellEnd"/>
      <w:r>
        <w:rPr>
          <w:rStyle w:val="ffline"/>
        </w:rPr>
        <w:t xml:space="preserve"> </w:t>
      </w:r>
      <w:proofErr w:type="spellStart"/>
      <w:r>
        <w:rPr>
          <w:rStyle w:val="ffline"/>
        </w:rPr>
        <w:t>agattcaagt</w:t>
      </w:r>
      <w:proofErr w:type="spellEnd"/>
      <w:r>
        <w:rPr>
          <w:rStyle w:val="ffline"/>
        </w:rPr>
        <w:t xml:space="preserve"> </w:t>
      </w:r>
      <w:proofErr w:type="spellStart"/>
      <w:r>
        <w:rPr>
          <w:rStyle w:val="ffline"/>
        </w:rPr>
        <w:t>ggtcaaggcc</w:t>
      </w:r>
      <w:proofErr w:type="spellEnd"/>
      <w:r>
        <w:rPr>
          <w:rStyle w:val="ffline"/>
        </w:rPr>
        <w:t xml:space="preserve"> </w:t>
      </w:r>
      <w:proofErr w:type="spellStart"/>
      <w:r>
        <w:rPr>
          <w:rStyle w:val="ffline"/>
        </w:rPr>
        <w:t>atgagaaact</w:t>
      </w:r>
      <w:proofErr w:type="spellEnd"/>
      <w:r>
        <w:rPr>
          <w:rStyle w:val="ffline"/>
        </w:rPr>
        <w:t xml:space="preserve"> </w:t>
      </w:r>
      <w:proofErr w:type="spellStart"/>
      <w:r>
        <w:rPr>
          <w:rStyle w:val="ffline"/>
        </w:rPr>
        <w:t>gatcgcagct</w:t>
      </w:r>
      <w:proofErr w:type="spellEnd"/>
    </w:p>
    <w:p w14:paraId="5683907F" w14:textId="77777777" w:rsidR="00F5628C" w:rsidRDefault="00F5628C" w:rsidP="00F5628C">
      <w:pPr>
        <w:pStyle w:val="HTMLPreformatted"/>
      </w:pPr>
      <w:proofErr w:type="spellStart"/>
      <w:r>
        <w:rPr>
          <w:rStyle w:val="ffline"/>
        </w:rPr>
        <w:t>cgtaacacga</w:t>
      </w:r>
      <w:proofErr w:type="spellEnd"/>
      <w:r>
        <w:rPr>
          <w:rStyle w:val="ffline"/>
        </w:rPr>
        <w:t xml:space="preserve"> </w:t>
      </w:r>
      <w:proofErr w:type="spellStart"/>
      <w:r>
        <w:rPr>
          <w:rStyle w:val="ffline"/>
        </w:rPr>
        <w:t>ttttaggttt</w:t>
      </w:r>
      <w:proofErr w:type="spellEnd"/>
      <w:r>
        <w:rPr>
          <w:rStyle w:val="ffline"/>
        </w:rPr>
        <w:t xml:space="preserve"> </w:t>
      </w:r>
      <w:proofErr w:type="spellStart"/>
      <w:r>
        <w:rPr>
          <w:rStyle w:val="ffline"/>
        </w:rPr>
        <w:t>ggcatcacaa</w:t>
      </w:r>
      <w:proofErr w:type="spellEnd"/>
      <w:r>
        <w:rPr>
          <w:rStyle w:val="ffline"/>
        </w:rPr>
        <w:t xml:space="preserve"> </w:t>
      </w:r>
      <w:proofErr w:type="spellStart"/>
      <w:r>
        <w:rPr>
          <w:rStyle w:val="ffline"/>
        </w:rPr>
        <w:t>gataaacgtc</w:t>
      </w:r>
      <w:proofErr w:type="spellEnd"/>
      <w:r>
        <w:rPr>
          <w:rStyle w:val="ffline"/>
        </w:rPr>
        <w:t xml:space="preserve"> </w:t>
      </w:r>
      <w:proofErr w:type="spellStart"/>
      <w:r>
        <w:rPr>
          <w:rStyle w:val="ffline"/>
        </w:rPr>
        <w:t>ttgtaggtgt</w:t>
      </w:r>
      <w:proofErr w:type="spellEnd"/>
      <w:r>
        <w:rPr>
          <w:rStyle w:val="ffline"/>
        </w:rPr>
        <w:t xml:space="preserve"> </w:t>
      </w:r>
      <w:proofErr w:type="spellStart"/>
      <w:r>
        <w:rPr>
          <w:rStyle w:val="ffline"/>
        </w:rPr>
        <w:t>gcgtccaaat</w:t>
      </w:r>
      <w:proofErr w:type="spellEnd"/>
    </w:p>
    <w:p w14:paraId="104B3EF1" w14:textId="77777777" w:rsidR="00F5628C" w:rsidRDefault="00F5628C" w:rsidP="00F5628C">
      <w:pPr>
        <w:pStyle w:val="HTMLPreformatted"/>
      </w:pPr>
      <w:proofErr w:type="spellStart"/>
      <w:r>
        <w:rPr>
          <w:rStyle w:val="ffline"/>
        </w:rPr>
        <w:t>ggtcaggaag</w:t>
      </w:r>
      <w:proofErr w:type="spellEnd"/>
      <w:r>
        <w:rPr>
          <w:rStyle w:val="ffline"/>
        </w:rPr>
        <w:t xml:space="preserve"> </w:t>
      </w:r>
      <w:proofErr w:type="spellStart"/>
      <w:r>
        <w:rPr>
          <w:rStyle w:val="ffline"/>
        </w:rPr>
        <w:t>atactcctca</w:t>
      </w:r>
      <w:proofErr w:type="spellEnd"/>
      <w:r>
        <w:rPr>
          <w:rStyle w:val="ffline"/>
        </w:rPr>
        <w:t xml:space="preserve"> </w:t>
      </w:r>
      <w:proofErr w:type="spellStart"/>
      <w:r>
        <w:rPr>
          <w:rStyle w:val="ffline"/>
        </w:rPr>
        <w:t>atatcaaatt</w:t>
      </w:r>
      <w:proofErr w:type="spellEnd"/>
      <w:r>
        <w:rPr>
          <w:rStyle w:val="ffline"/>
        </w:rPr>
        <w:t xml:space="preserve"> </w:t>
      </w:r>
      <w:proofErr w:type="spellStart"/>
      <w:r>
        <w:rPr>
          <w:rStyle w:val="ffline"/>
        </w:rPr>
        <w:t>aatgtagatc</w:t>
      </w:r>
      <w:proofErr w:type="spellEnd"/>
      <w:r>
        <w:rPr>
          <w:rStyle w:val="ffline"/>
        </w:rPr>
        <w:t xml:space="preserve"> </w:t>
      </w:r>
      <w:proofErr w:type="spellStart"/>
      <w:r>
        <w:rPr>
          <w:rStyle w:val="ffline"/>
        </w:rPr>
        <w:t>aggctcaagc</w:t>
      </w:r>
      <w:proofErr w:type="spellEnd"/>
      <w:r>
        <w:rPr>
          <w:rStyle w:val="ffline"/>
        </w:rPr>
        <w:t xml:space="preserve"> </w:t>
      </w:r>
      <w:proofErr w:type="spellStart"/>
      <w:r>
        <w:rPr>
          <w:rStyle w:val="ffline"/>
        </w:rPr>
        <w:t>tggtgctatg</w:t>
      </w:r>
      <w:proofErr w:type="spellEnd"/>
    </w:p>
    <w:p w14:paraId="31BA5F1F" w14:textId="77777777" w:rsidR="00F5628C" w:rsidRDefault="00F5628C" w:rsidP="00F5628C">
      <w:pPr>
        <w:pStyle w:val="HTMLPreformatted"/>
      </w:pPr>
      <w:proofErr w:type="spellStart"/>
      <w:r>
        <w:rPr>
          <w:rStyle w:val="ffline"/>
        </w:rPr>
        <w:t>ggcgttagta</w:t>
      </w:r>
      <w:proofErr w:type="spellEnd"/>
      <w:r>
        <w:rPr>
          <w:rStyle w:val="ffline"/>
        </w:rPr>
        <w:t xml:space="preserve"> </w:t>
      </w:r>
      <w:proofErr w:type="spellStart"/>
      <w:r>
        <w:rPr>
          <w:rStyle w:val="ffline"/>
        </w:rPr>
        <w:t>ttgccgaaat</w:t>
      </w:r>
      <w:proofErr w:type="spellEnd"/>
      <w:r>
        <w:rPr>
          <w:rStyle w:val="ffline"/>
        </w:rPr>
        <w:t xml:space="preserve"> </w:t>
      </w:r>
      <w:proofErr w:type="spellStart"/>
      <w:r>
        <w:rPr>
          <w:rStyle w:val="ffline"/>
        </w:rPr>
        <w:t>caacaataca</w:t>
      </w:r>
      <w:proofErr w:type="spellEnd"/>
      <w:r>
        <w:rPr>
          <w:rStyle w:val="ffline"/>
        </w:rPr>
        <w:t xml:space="preserve"> </w:t>
      </w:r>
      <w:proofErr w:type="spellStart"/>
      <w:r>
        <w:rPr>
          <w:rStyle w:val="ffline"/>
        </w:rPr>
        <w:t>atgcgtattg</w:t>
      </w:r>
      <w:proofErr w:type="spellEnd"/>
      <w:r>
        <w:rPr>
          <w:rStyle w:val="ffline"/>
        </w:rPr>
        <w:t xml:space="preserve"> </w:t>
      </w:r>
      <w:proofErr w:type="spellStart"/>
      <w:r>
        <w:rPr>
          <w:rStyle w:val="ffline"/>
        </w:rPr>
        <w:t>catggggtgg</w:t>
      </w:r>
      <w:proofErr w:type="spellEnd"/>
      <w:r>
        <w:rPr>
          <w:rStyle w:val="ffline"/>
        </w:rPr>
        <w:t xml:space="preserve"> </w:t>
      </w:r>
      <w:proofErr w:type="spellStart"/>
      <w:r>
        <w:rPr>
          <w:rStyle w:val="ffline"/>
        </w:rPr>
        <w:t>ctcatacatt</w:t>
      </w:r>
      <w:proofErr w:type="spellEnd"/>
    </w:p>
    <w:p w14:paraId="55DFEB3F" w14:textId="77777777" w:rsidR="00F5628C" w:rsidRDefault="00F5628C" w:rsidP="00F5628C">
      <w:pPr>
        <w:pStyle w:val="HTMLPreformatted"/>
      </w:pPr>
      <w:proofErr w:type="spellStart"/>
      <w:r>
        <w:rPr>
          <w:rStyle w:val="ffline"/>
        </w:rPr>
        <w:t>aacgatttcg</w:t>
      </w:r>
      <w:proofErr w:type="spellEnd"/>
      <w:r>
        <w:rPr>
          <w:rStyle w:val="ffline"/>
        </w:rPr>
        <w:t xml:space="preserve"> </w:t>
      </w:r>
      <w:proofErr w:type="spellStart"/>
      <w:r>
        <w:rPr>
          <w:rStyle w:val="ffline"/>
        </w:rPr>
        <w:t>ttgaccgtgg</w:t>
      </w:r>
      <w:proofErr w:type="spellEnd"/>
      <w:r>
        <w:rPr>
          <w:rStyle w:val="ffline"/>
        </w:rPr>
        <w:t xml:space="preserve"> </w:t>
      </w:r>
      <w:proofErr w:type="spellStart"/>
      <w:r>
        <w:rPr>
          <w:rStyle w:val="ffline"/>
        </w:rPr>
        <w:t>tcgtgtgaaa</w:t>
      </w:r>
      <w:proofErr w:type="spellEnd"/>
      <w:r>
        <w:rPr>
          <w:rStyle w:val="ffline"/>
        </w:rPr>
        <w:t xml:space="preserve"> </w:t>
      </w:r>
      <w:proofErr w:type="spellStart"/>
      <w:r>
        <w:rPr>
          <w:rStyle w:val="ffline"/>
        </w:rPr>
        <w:t>aaagtttatg</w:t>
      </w:r>
      <w:proofErr w:type="spellEnd"/>
      <w:r>
        <w:rPr>
          <w:rStyle w:val="ffline"/>
        </w:rPr>
        <w:t xml:space="preserve"> </w:t>
      </w:r>
      <w:proofErr w:type="spellStart"/>
      <w:r>
        <w:rPr>
          <w:rStyle w:val="ffline"/>
        </w:rPr>
        <w:t>ttcaaggtga</w:t>
      </w:r>
      <w:proofErr w:type="spellEnd"/>
      <w:r>
        <w:rPr>
          <w:rStyle w:val="ffline"/>
        </w:rPr>
        <w:t xml:space="preserve"> </w:t>
      </w:r>
      <w:proofErr w:type="spellStart"/>
      <w:r>
        <w:rPr>
          <w:rStyle w:val="ffline"/>
        </w:rPr>
        <w:t>tgcgggcagc</w:t>
      </w:r>
      <w:proofErr w:type="spellEnd"/>
    </w:p>
    <w:p w14:paraId="0A50B891" w14:textId="77777777" w:rsidR="00F5628C" w:rsidRDefault="00F5628C" w:rsidP="00F5628C">
      <w:pPr>
        <w:pStyle w:val="HTMLPreformatted"/>
      </w:pPr>
      <w:proofErr w:type="spellStart"/>
      <w:r>
        <w:rPr>
          <w:rStyle w:val="ffline"/>
        </w:rPr>
        <w:t>cgtatgatgc</w:t>
      </w:r>
      <w:proofErr w:type="spellEnd"/>
      <w:r>
        <w:rPr>
          <w:rStyle w:val="ffline"/>
        </w:rPr>
        <w:t xml:space="preserve"> </w:t>
      </w:r>
      <w:proofErr w:type="spellStart"/>
      <w:r>
        <w:rPr>
          <w:rStyle w:val="ffline"/>
        </w:rPr>
        <w:t>ctgaagactt</w:t>
      </w:r>
      <w:proofErr w:type="spellEnd"/>
      <w:r>
        <w:rPr>
          <w:rStyle w:val="ffline"/>
        </w:rPr>
        <w:t xml:space="preserve"> </w:t>
      </w:r>
      <w:proofErr w:type="spellStart"/>
      <w:r>
        <w:rPr>
          <w:rStyle w:val="ffline"/>
        </w:rPr>
        <w:t>aaacaaatgg</w:t>
      </w:r>
      <w:proofErr w:type="spellEnd"/>
      <w:r>
        <w:rPr>
          <w:rStyle w:val="ffline"/>
        </w:rPr>
        <w:t xml:space="preserve"> </w:t>
      </w:r>
      <w:proofErr w:type="spellStart"/>
      <w:r>
        <w:rPr>
          <w:rStyle w:val="ffline"/>
        </w:rPr>
        <w:t>tatgtacgta</w:t>
      </w:r>
      <w:proofErr w:type="spellEnd"/>
      <w:r>
        <w:rPr>
          <w:rStyle w:val="ffline"/>
        </w:rPr>
        <w:t xml:space="preserve"> </w:t>
      </w:r>
      <w:proofErr w:type="spellStart"/>
      <w:r>
        <w:rPr>
          <w:rStyle w:val="ffline"/>
        </w:rPr>
        <w:t>ataacaaagg</w:t>
      </w:r>
      <w:proofErr w:type="spellEnd"/>
      <w:r>
        <w:rPr>
          <w:rStyle w:val="ffline"/>
        </w:rPr>
        <w:t xml:space="preserve"> </w:t>
      </w:r>
      <w:proofErr w:type="spellStart"/>
      <w:r>
        <w:rPr>
          <w:rStyle w:val="ffline"/>
        </w:rPr>
        <w:t>tgagatggtt</w:t>
      </w:r>
      <w:proofErr w:type="spellEnd"/>
    </w:p>
    <w:p w14:paraId="55C53CA2" w14:textId="77777777" w:rsidR="00F5628C" w:rsidRDefault="00F5628C" w:rsidP="00F5628C">
      <w:pPr>
        <w:pStyle w:val="HTMLPreformatted"/>
      </w:pPr>
      <w:proofErr w:type="spellStart"/>
      <w:r>
        <w:rPr>
          <w:rStyle w:val="ffline"/>
        </w:rPr>
        <w:t>ccattctcgg</w:t>
      </w:r>
      <w:proofErr w:type="spellEnd"/>
      <w:r>
        <w:rPr>
          <w:rStyle w:val="ffline"/>
        </w:rPr>
        <w:t xml:space="preserve"> </w:t>
      </w:r>
      <w:proofErr w:type="spellStart"/>
      <w:r>
        <w:rPr>
          <w:rStyle w:val="ffline"/>
        </w:rPr>
        <w:t>cgtttgctac</w:t>
      </w:r>
      <w:proofErr w:type="spellEnd"/>
      <w:r>
        <w:rPr>
          <w:rStyle w:val="ffline"/>
        </w:rPr>
        <w:t xml:space="preserve"> </w:t>
      </w:r>
      <w:proofErr w:type="spellStart"/>
      <w:r>
        <w:rPr>
          <w:rStyle w:val="ffline"/>
        </w:rPr>
        <w:t>aggcgaatgg</w:t>
      </w:r>
      <w:proofErr w:type="spellEnd"/>
      <w:r>
        <w:rPr>
          <w:rStyle w:val="ffline"/>
        </w:rPr>
        <w:t xml:space="preserve"> </w:t>
      </w:r>
      <w:proofErr w:type="spellStart"/>
      <w:r>
        <w:rPr>
          <w:rStyle w:val="ffline"/>
        </w:rPr>
        <w:t>acgtatggtt</w:t>
      </w:r>
      <w:proofErr w:type="spellEnd"/>
      <w:r>
        <w:rPr>
          <w:rStyle w:val="ffline"/>
        </w:rPr>
        <w:t xml:space="preserve"> </w:t>
      </w:r>
      <w:proofErr w:type="spellStart"/>
      <w:r>
        <w:rPr>
          <w:rStyle w:val="ffline"/>
        </w:rPr>
        <w:t>ctccacgtct</w:t>
      </w:r>
      <w:proofErr w:type="spellEnd"/>
      <w:r>
        <w:rPr>
          <w:rStyle w:val="ffline"/>
        </w:rPr>
        <w:t xml:space="preserve"> </w:t>
      </w:r>
      <w:proofErr w:type="spellStart"/>
      <w:r>
        <w:rPr>
          <w:rStyle w:val="ffline"/>
        </w:rPr>
        <w:t>cgaacgttat</w:t>
      </w:r>
      <w:proofErr w:type="spellEnd"/>
    </w:p>
    <w:p w14:paraId="0AB40845" w14:textId="77777777" w:rsidR="00F5628C" w:rsidRDefault="00F5628C" w:rsidP="00F5628C">
      <w:pPr>
        <w:pStyle w:val="HTMLPreformatted"/>
      </w:pPr>
      <w:proofErr w:type="spellStart"/>
      <w:r>
        <w:rPr>
          <w:rStyle w:val="ffline"/>
        </w:rPr>
        <w:t>aacggtgtgt</w:t>
      </w:r>
      <w:proofErr w:type="spellEnd"/>
      <w:r>
        <w:rPr>
          <w:rStyle w:val="ffline"/>
        </w:rPr>
        <w:t xml:space="preserve"> </w:t>
      </w:r>
      <w:proofErr w:type="spellStart"/>
      <w:r>
        <w:rPr>
          <w:rStyle w:val="ffline"/>
        </w:rPr>
        <w:t>catcagttaa</w:t>
      </w:r>
      <w:proofErr w:type="spellEnd"/>
      <w:r>
        <w:rPr>
          <w:rStyle w:val="ffline"/>
        </w:rPr>
        <w:t xml:space="preserve"> </w:t>
      </w:r>
      <w:proofErr w:type="spellStart"/>
      <w:r>
        <w:rPr>
          <w:rStyle w:val="ffline"/>
        </w:rPr>
        <w:t>cattcaaggt</w:t>
      </w:r>
      <w:proofErr w:type="spellEnd"/>
      <w:r>
        <w:rPr>
          <w:rStyle w:val="ffline"/>
        </w:rPr>
        <w:t xml:space="preserve"> </w:t>
      </w:r>
      <w:proofErr w:type="spellStart"/>
      <w:r>
        <w:rPr>
          <w:rStyle w:val="ffline"/>
        </w:rPr>
        <w:t>acacctgcac</w:t>
      </w:r>
      <w:proofErr w:type="spellEnd"/>
      <w:r>
        <w:rPr>
          <w:rStyle w:val="ffline"/>
        </w:rPr>
        <w:t xml:space="preserve"> </w:t>
      </w:r>
      <w:proofErr w:type="spellStart"/>
      <w:r>
        <w:rPr>
          <w:rStyle w:val="ffline"/>
        </w:rPr>
        <w:t>ctggcgtgag</w:t>
      </w:r>
      <w:proofErr w:type="spellEnd"/>
      <w:r>
        <w:rPr>
          <w:rStyle w:val="ffline"/>
        </w:rPr>
        <w:t xml:space="preserve"> </w:t>
      </w:r>
      <w:proofErr w:type="spellStart"/>
      <w:r>
        <w:rPr>
          <w:rStyle w:val="ffline"/>
        </w:rPr>
        <w:t>ctctggtgat</w:t>
      </w:r>
      <w:proofErr w:type="spellEnd"/>
    </w:p>
    <w:p w14:paraId="37ADE462" w14:textId="77777777" w:rsidR="00F5628C" w:rsidRDefault="00F5628C" w:rsidP="00F5628C">
      <w:pPr>
        <w:pStyle w:val="HTMLPreformatted"/>
      </w:pPr>
      <w:proofErr w:type="spellStart"/>
      <w:r>
        <w:rPr>
          <w:rStyle w:val="ffline"/>
        </w:rPr>
        <w:t>gccatgaaag</w:t>
      </w:r>
      <w:proofErr w:type="spellEnd"/>
      <w:r>
        <w:rPr>
          <w:rStyle w:val="ffline"/>
        </w:rPr>
        <w:t xml:space="preserve"> </w:t>
      </w:r>
      <w:proofErr w:type="spellStart"/>
      <w:r>
        <w:rPr>
          <w:rStyle w:val="ffline"/>
        </w:rPr>
        <w:t>caatggaaaa</w:t>
      </w:r>
      <w:proofErr w:type="spellEnd"/>
      <w:r>
        <w:rPr>
          <w:rStyle w:val="ffline"/>
        </w:rPr>
        <w:t xml:space="preserve"> </w:t>
      </w:r>
      <w:proofErr w:type="spellStart"/>
      <w:r>
        <w:rPr>
          <w:rStyle w:val="ffline"/>
        </w:rPr>
        <w:t>aattattggt</w:t>
      </w:r>
      <w:proofErr w:type="spellEnd"/>
      <w:r>
        <w:rPr>
          <w:rStyle w:val="ffline"/>
        </w:rPr>
        <w:t xml:space="preserve"> </w:t>
      </w:r>
      <w:proofErr w:type="spellStart"/>
      <w:r>
        <w:rPr>
          <w:rStyle w:val="ffline"/>
        </w:rPr>
        <w:t>aagttgcctt</w:t>
      </w:r>
      <w:proofErr w:type="spellEnd"/>
      <w:r>
        <w:rPr>
          <w:rStyle w:val="ffline"/>
        </w:rPr>
        <w:t xml:space="preserve"> </w:t>
      </w:r>
      <w:proofErr w:type="spellStart"/>
      <w:r>
        <w:rPr>
          <w:rStyle w:val="ffline"/>
        </w:rPr>
        <w:t>ctatgggctt</w:t>
      </w:r>
      <w:proofErr w:type="spellEnd"/>
      <w:r>
        <w:rPr>
          <w:rStyle w:val="ffline"/>
        </w:rPr>
        <w:t xml:space="preserve"> </w:t>
      </w:r>
      <w:proofErr w:type="spellStart"/>
      <w:r>
        <w:rPr>
          <w:rStyle w:val="ffline"/>
        </w:rPr>
        <w:t>acaaggtttc</w:t>
      </w:r>
      <w:proofErr w:type="spellEnd"/>
    </w:p>
    <w:p w14:paraId="251F489D" w14:textId="77777777" w:rsidR="00F5628C" w:rsidRDefault="00F5628C" w:rsidP="00F5628C">
      <w:pPr>
        <w:pStyle w:val="HTMLPreformatted"/>
      </w:pPr>
      <w:proofErr w:type="spellStart"/>
      <w:r>
        <w:rPr>
          <w:rStyle w:val="ffline"/>
        </w:rPr>
        <w:lastRenderedPageBreak/>
        <w:t>gactatgaat</w:t>
      </w:r>
      <w:proofErr w:type="spellEnd"/>
      <w:r>
        <w:rPr>
          <w:rStyle w:val="ffline"/>
        </w:rPr>
        <w:t xml:space="preserve"> </w:t>
      </w:r>
      <w:proofErr w:type="spellStart"/>
      <w:r>
        <w:rPr>
          <w:rStyle w:val="ffline"/>
        </w:rPr>
        <w:t>ggacaggctt</w:t>
      </w:r>
      <w:proofErr w:type="spellEnd"/>
      <w:r>
        <w:rPr>
          <w:rStyle w:val="ffline"/>
        </w:rPr>
        <w:t xml:space="preserve"> </w:t>
      </w:r>
      <w:proofErr w:type="spellStart"/>
      <w:r>
        <w:rPr>
          <w:rStyle w:val="ffline"/>
        </w:rPr>
        <w:t>atcacttgaa</w:t>
      </w:r>
      <w:proofErr w:type="spellEnd"/>
      <w:r>
        <w:rPr>
          <w:rStyle w:val="ffline"/>
        </w:rPr>
        <w:t xml:space="preserve"> </w:t>
      </w:r>
      <w:proofErr w:type="spellStart"/>
      <w:r>
        <w:rPr>
          <w:rStyle w:val="ffline"/>
        </w:rPr>
        <w:t>gaacgtgagt</w:t>
      </w:r>
      <w:proofErr w:type="spellEnd"/>
      <w:r>
        <w:rPr>
          <w:rStyle w:val="ffline"/>
        </w:rPr>
        <w:t xml:space="preserve"> </w:t>
      </w:r>
      <w:proofErr w:type="spellStart"/>
      <w:r>
        <w:rPr>
          <w:rStyle w:val="ffline"/>
        </w:rPr>
        <w:t>ctggtgctca</w:t>
      </w:r>
      <w:proofErr w:type="spellEnd"/>
      <w:r>
        <w:rPr>
          <w:rStyle w:val="ffline"/>
        </w:rPr>
        <w:t xml:space="preserve"> </w:t>
      </w:r>
      <w:proofErr w:type="spellStart"/>
      <w:r>
        <w:rPr>
          <w:rStyle w:val="ffline"/>
        </w:rPr>
        <w:t>agcgccgttc</w:t>
      </w:r>
      <w:proofErr w:type="spellEnd"/>
    </w:p>
    <w:p w14:paraId="3C316DAD" w14:textId="77777777" w:rsidR="00F5628C" w:rsidRDefault="00F5628C" w:rsidP="00F5628C">
      <w:pPr>
        <w:pStyle w:val="HTMLPreformatted"/>
      </w:pPr>
      <w:proofErr w:type="spellStart"/>
      <w:r>
        <w:rPr>
          <w:rStyle w:val="ffline"/>
        </w:rPr>
        <w:t>ttatacgcac</w:t>
      </w:r>
      <w:proofErr w:type="spellEnd"/>
      <w:r>
        <w:rPr>
          <w:rStyle w:val="ffline"/>
        </w:rPr>
        <w:t xml:space="preserve"> </w:t>
      </w:r>
      <w:proofErr w:type="spellStart"/>
      <w:r>
        <w:rPr>
          <w:rStyle w:val="ffline"/>
        </w:rPr>
        <w:t>tttcattgtt</w:t>
      </w:r>
      <w:proofErr w:type="spellEnd"/>
      <w:r>
        <w:rPr>
          <w:rStyle w:val="ffline"/>
        </w:rPr>
        <w:t xml:space="preserve"> </w:t>
      </w:r>
      <w:proofErr w:type="spellStart"/>
      <w:r>
        <w:rPr>
          <w:rStyle w:val="ffline"/>
        </w:rPr>
        <w:t>aatcgtattc</w:t>
      </w:r>
      <w:proofErr w:type="spellEnd"/>
      <w:r>
        <w:rPr>
          <w:rStyle w:val="ffline"/>
        </w:rPr>
        <w:t xml:space="preserve"> </w:t>
      </w:r>
      <w:proofErr w:type="spellStart"/>
      <w:r>
        <w:rPr>
          <w:rStyle w:val="ffline"/>
        </w:rPr>
        <w:t>ctttgcttgg</w:t>
      </w:r>
      <w:proofErr w:type="spellEnd"/>
      <w:r>
        <w:rPr>
          <w:rStyle w:val="ffline"/>
        </w:rPr>
        <w:t xml:space="preserve"> </w:t>
      </w:r>
      <w:proofErr w:type="spellStart"/>
      <w:r>
        <w:rPr>
          <w:rStyle w:val="ffline"/>
        </w:rPr>
        <w:t>ctgcactata</w:t>
      </w:r>
      <w:proofErr w:type="spellEnd"/>
      <w:r>
        <w:rPr>
          <w:rStyle w:val="ffline"/>
        </w:rPr>
        <w:t xml:space="preserve"> </w:t>
      </w:r>
      <w:proofErr w:type="spellStart"/>
      <w:r>
        <w:rPr>
          <w:rStyle w:val="ffline"/>
        </w:rPr>
        <w:t>tgaaagctgg</w:t>
      </w:r>
      <w:proofErr w:type="spellEnd"/>
    </w:p>
    <w:p w14:paraId="4F4959FE" w14:textId="77777777" w:rsidR="00F5628C" w:rsidRDefault="00F5628C" w:rsidP="00F5628C">
      <w:pPr>
        <w:pStyle w:val="HTMLPreformatted"/>
      </w:pPr>
      <w:proofErr w:type="spellStart"/>
      <w:r>
        <w:rPr>
          <w:rStyle w:val="ffline"/>
        </w:rPr>
        <w:t>tcaattccgt</w:t>
      </w:r>
      <w:proofErr w:type="spellEnd"/>
      <w:r>
        <w:rPr>
          <w:rStyle w:val="ffline"/>
        </w:rPr>
        <w:t xml:space="preserve"> </w:t>
      </w:r>
      <w:proofErr w:type="spellStart"/>
      <w:r>
        <w:rPr>
          <w:rStyle w:val="ffline"/>
        </w:rPr>
        <w:t>tctcggtttt</w:t>
      </w:r>
      <w:proofErr w:type="spellEnd"/>
      <w:r>
        <w:rPr>
          <w:rStyle w:val="ffline"/>
        </w:rPr>
        <w:t xml:space="preserve"> </w:t>
      </w:r>
      <w:proofErr w:type="spellStart"/>
      <w:r>
        <w:rPr>
          <w:rStyle w:val="ffline"/>
        </w:rPr>
        <w:t>acttgtggta</w:t>
      </w:r>
      <w:proofErr w:type="spellEnd"/>
      <w:r>
        <w:rPr>
          <w:rStyle w:val="ffline"/>
        </w:rPr>
        <w:t xml:space="preserve"> </w:t>
      </w:r>
      <w:proofErr w:type="spellStart"/>
      <w:r>
        <w:rPr>
          <w:rStyle w:val="ffline"/>
        </w:rPr>
        <w:t>ccacttggtg</w:t>
      </w:r>
      <w:proofErr w:type="spellEnd"/>
      <w:r>
        <w:rPr>
          <w:rStyle w:val="ffline"/>
        </w:rPr>
        <w:t xml:space="preserve"> </w:t>
      </w:r>
      <w:proofErr w:type="spellStart"/>
      <w:r>
        <w:rPr>
          <w:rStyle w:val="ffline"/>
        </w:rPr>
        <w:t>tcattggtgc</w:t>
      </w:r>
      <w:proofErr w:type="spellEnd"/>
      <w:r>
        <w:rPr>
          <w:rStyle w:val="ffline"/>
        </w:rPr>
        <w:t xml:space="preserve"> </w:t>
      </w:r>
      <w:proofErr w:type="spellStart"/>
      <w:r>
        <w:rPr>
          <w:rStyle w:val="ffline"/>
        </w:rPr>
        <w:t>aatcgtattg</w:t>
      </w:r>
      <w:proofErr w:type="spellEnd"/>
    </w:p>
    <w:p w14:paraId="4C0E3E70" w14:textId="77777777" w:rsidR="00F5628C" w:rsidRDefault="00F5628C" w:rsidP="00F5628C">
      <w:pPr>
        <w:pStyle w:val="HTMLPreformatted"/>
      </w:pPr>
      <w:proofErr w:type="spellStart"/>
      <w:r>
        <w:rPr>
          <w:rStyle w:val="ffline"/>
        </w:rPr>
        <w:t>acctacttgg</w:t>
      </w:r>
      <w:proofErr w:type="spellEnd"/>
      <w:r>
        <w:rPr>
          <w:rStyle w:val="ffline"/>
        </w:rPr>
        <w:t xml:space="preserve"> </w:t>
      </w:r>
      <w:proofErr w:type="spellStart"/>
      <w:r>
        <w:rPr>
          <w:rStyle w:val="ffline"/>
        </w:rPr>
        <w:t>gcatgattat</w:t>
      </w:r>
      <w:proofErr w:type="spellEnd"/>
      <w:r>
        <w:rPr>
          <w:rStyle w:val="ffline"/>
        </w:rPr>
        <w:t xml:space="preserve"> </w:t>
      </w:r>
      <w:proofErr w:type="spellStart"/>
      <w:r>
        <w:rPr>
          <w:rStyle w:val="ffline"/>
        </w:rPr>
        <w:t>taaaggagat</w:t>
      </w:r>
      <w:proofErr w:type="spellEnd"/>
      <w:r>
        <w:rPr>
          <w:rStyle w:val="ffline"/>
        </w:rPr>
        <w:t xml:space="preserve"> </w:t>
      </w:r>
      <w:proofErr w:type="spellStart"/>
      <w:r>
        <w:rPr>
          <w:rStyle w:val="ffline"/>
        </w:rPr>
        <w:t>ccaaatctct</w:t>
      </w:r>
      <w:proofErr w:type="spellEnd"/>
      <w:r>
        <w:rPr>
          <w:rStyle w:val="ffline"/>
        </w:rPr>
        <w:t xml:space="preserve"> </w:t>
      </w:r>
      <w:proofErr w:type="spellStart"/>
      <w:r>
        <w:rPr>
          <w:rStyle w:val="ffline"/>
        </w:rPr>
        <w:t>caaataacat</w:t>
      </w:r>
      <w:proofErr w:type="spellEnd"/>
      <w:r>
        <w:rPr>
          <w:rStyle w:val="ffline"/>
        </w:rPr>
        <w:t xml:space="preserve"> </w:t>
      </w:r>
      <w:proofErr w:type="spellStart"/>
      <w:r>
        <w:rPr>
          <w:rStyle w:val="ffline"/>
        </w:rPr>
        <w:t>ttacttccaa</w:t>
      </w:r>
      <w:proofErr w:type="spellEnd"/>
    </w:p>
    <w:p w14:paraId="597E2E5F" w14:textId="77777777" w:rsidR="00F5628C" w:rsidRDefault="00F5628C" w:rsidP="00F5628C">
      <w:pPr>
        <w:pStyle w:val="HTMLPreformatted"/>
      </w:pPr>
      <w:proofErr w:type="spellStart"/>
      <w:r>
        <w:rPr>
          <w:rStyle w:val="ffline"/>
        </w:rPr>
        <w:t>gtagcgatta</w:t>
      </w:r>
      <w:proofErr w:type="spellEnd"/>
      <w:r>
        <w:rPr>
          <w:rStyle w:val="ffline"/>
        </w:rPr>
        <w:t xml:space="preserve"> </w:t>
      </w:r>
      <w:proofErr w:type="spellStart"/>
      <w:r>
        <w:rPr>
          <w:rStyle w:val="ffline"/>
        </w:rPr>
        <w:t>ttgcggttat</w:t>
      </w:r>
      <w:proofErr w:type="spellEnd"/>
      <w:r>
        <w:rPr>
          <w:rStyle w:val="ffline"/>
        </w:rPr>
        <w:t xml:space="preserve"> </w:t>
      </w:r>
      <w:proofErr w:type="spellStart"/>
      <w:r>
        <w:rPr>
          <w:rStyle w:val="ffline"/>
        </w:rPr>
        <w:t>cggtctttct</w:t>
      </w:r>
      <w:proofErr w:type="spellEnd"/>
      <w:r>
        <w:rPr>
          <w:rStyle w:val="ffline"/>
        </w:rPr>
        <w:t xml:space="preserve"> </w:t>
      </w:r>
      <w:proofErr w:type="spellStart"/>
      <w:r>
        <w:rPr>
          <w:rStyle w:val="ffline"/>
        </w:rPr>
        <w:t>gcaaaaaatg</w:t>
      </w:r>
      <w:proofErr w:type="spellEnd"/>
      <w:r>
        <w:rPr>
          <w:rStyle w:val="ffline"/>
        </w:rPr>
        <w:t xml:space="preserve"> </w:t>
      </w:r>
      <w:proofErr w:type="spellStart"/>
      <w:r>
        <w:rPr>
          <w:rStyle w:val="ffline"/>
        </w:rPr>
        <w:t>cgatcttgat</w:t>
      </w:r>
      <w:proofErr w:type="spellEnd"/>
      <w:r>
        <w:rPr>
          <w:rStyle w:val="ffline"/>
        </w:rPr>
        <w:t xml:space="preserve"> </w:t>
      </w:r>
      <w:proofErr w:type="spellStart"/>
      <w:r>
        <w:rPr>
          <w:rStyle w:val="ffline"/>
        </w:rPr>
        <w:t>tgttgaattc</w:t>
      </w:r>
      <w:proofErr w:type="spellEnd"/>
    </w:p>
    <w:p w14:paraId="58C5CAA0" w14:textId="77777777" w:rsidR="00F5628C" w:rsidRDefault="00F5628C" w:rsidP="00F5628C">
      <w:pPr>
        <w:pStyle w:val="HTMLPreformatted"/>
      </w:pPr>
      <w:proofErr w:type="spellStart"/>
      <w:r>
        <w:rPr>
          <w:rStyle w:val="ffline"/>
        </w:rPr>
        <w:t>gcaaaagaat</w:t>
      </w:r>
      <w:proofErr w:type="spellEnd"/>
      <w:r>
        <w:rPr>
          <w:rStyle w:val="ffline"/>
        </w:rPr>
        <w:t xml:space="preserve"> </w:t>
      </w:r>
      <w:proofErr w:type="spellStart"/>
      <w:r>
        <w:rPr>
          <w:rStyle w:val="ffline"/>
        </w:rPr>
        <w:t>tgcaggaaaa</w:t>
      </w:r>
      <w:proofErr w:type="spellEnd"/>
      <w:r>
        <w:rPr>
          <w:rStyle w:val="ffline"/>
        </w:rPr>
        <w:t xml:space="preserve"> </w:t>
      </w:r>
      <w:proofErr w:type="spellStart"/>
      <w:r>
        <w:rPr>
          <w:rStyle w:val="ffline"/>
        </w:rPr>
        <w:t>aggtgaagat</w:t>
      </w:r>
      <w:proofErr w:type="spellEnd"/>
      <w:r>
        <w:rPr>
          <w:rStyle w:val="ffline"/>
        </w:rPr>
        <w:t xml:space="preserve"> </w:t>
      </w:r>
      <w:proofErr w:type="spellStart"/>
      <w:r>
        <w:rPr>
          <w:rStyle w:val="ffline"/>
        </w:rPr>
        <w:t>ctacttgatg</w:t>
      </w:r>
      <w:proofErr w:type="spellEnd"/>
      <w:r>
        <w:rPr>
          <w:rStyle w:val="ffline"/>
        </w:rPr>
        <w:t xml:space="preserve"> </w:t>
      </w:r>
      <w:proofErr w:type="spellStart"/>
      <w:r>
        <w:rPr>
          <w:rStyle w:val="ffline"/>
        </w:rPr>
        <w:t>caaccttaca</w:t>
      </w:r>
      <w:proofErr w:type="spellEnd"/>
      <w:r>
        <w:rPr>
          <w:rStyle w:val="ffline"/>
        </w:rPr>
        <w:t xml:space="preserve"> </w:t>
      </w:r>
      <w:proofErr w:type="spellStart"/>
      <w:r>
        <w:rPr>
          <w:rStyle w:val="ffline"/>
        </w:rPr>
        <w:t>tgctgcaaaa</w:t>
      </w:r>
      <w:proofErr w:type="spellEnd"/>
    </w:p>
    <w:p w14:paraId="36FB4D58" w14:textId="77777777" w:rsidR="00F5628C" w:rsidRDefault="00F5628C" w:rsidP="00F5628C">
      <w:pPr>
        <w:pStyle w:val="HTMLPreformatted"/>
      </w:pPr>
      <w:proofErr w:type="spellStart"/>
      <w:r>
        <w:rPr>
          <w:rStyle w:val="ffline"/>
        </w:rPr>
        <w:t>atgcgtttac</w:t>
      </w:r>
      <w:proofErr w:type="spellEnd"/>
      <w:r>
        <w:rPr>
          <w:rStyle w:val="ffline"/>
        </w:rPr>
        <w:t xml:space="preserve"> </w:t>
      </w:r>
      <w:proofErr w:type="spellStart"/>
      <w:r>
        <w:rPr>
          <w:rStyle w:val="ffline"/>
        </w:rPr>
        <w:t>gtccaattat</w:t>
      </w:r>
      <w:proofErr w:type="spellEnd"/>
      <w:r>
        <w:rPr>
          <w:rStyle w:val="ffline"/>
        </w:rPr>
        <w:t xml:space="preserve"> </w:t>
      </w:r>
      <w:proofErr w:type="spellStart"/>
      <w:r>
        <w:rPr>
          <w:rStyle w:val="ffline"/>
        </w:rPr>
        <w:t>catgaccacc</w:t>
      </w:r>
      <w:proofErr w:type="spellEnd"/>
      <w:r>
        <w:rPr>
          <w:rStyle w:val="ffline"/>
        </w:rPr>
        <w:t xml:space="preserve"> </w:t>
      </w:r>
      <w:proofErr w:type="spellStart"/>
      <w:r>
        <w:rPr>
          <w:rStyle w:val="ffline"/>
        </w:rPr>
        <w:t>cttgccttcg</w:t>
      </w:r>
      <w:proofErr w:type="spellEnd"/>
      <w:r>
        <w:rPr>
          <w:rStyle w:val="ffline"/>
        </w:rPr>
        <w:t xml:space="preserve"> </w:t>
      </w:r>
      <w:proofErr w:type="spellStart"/>
      <w:r>
        <w:rPr>
          <w:rStyle w:val="ffline"/>
        </w:rPr>
        <w:t>gtttcggtgt</w:t>
      </w:r>
      <w:proofErr w:type="spellEnd"/>
      <w:r>
        <w:rPr>
          <w:rStyle w:val="ffline"/>
        </w:rPr>
        <w:t xml:space="preserve"> </w:t>
      </w:r>
      <w:proofErr w:type="spellStart"/>
      <w:r>
        <w:rPr>
          <w:rStyle w:val="ffline"/>
        </w:rPr>
        <w:t>acttccactt</w:t>
      </w:r>
      <w:proofErr w:type="spellEnd"/>
    </w:p>
    <w:p w14:paraId="61D2EE0D" w14:textId="77777777" w:rsidR="00F5628C" w:rsidRDefault="00F5628C" w:rsidP="00F5628C">
      <w:pPr>
        <w:pStyle w:val="HTMLPreformatted"/>
      </w:pPr>
      <w:proofErr w:type="spellStart"/>
      <w:r>
        <w:rPr>
          <w:rStyle w:val="ffline"/>
        </w:rPr>
        <w:t>gcactttcaa</w:t>
      </w:r>
      <w:proofErr w:type="spellEnd"/>
      <w:r>
        <w:rPr>
          <w:rStyle w:val="ffline"/>
        </w:rPr>
        <w:t xml:space="preserve"> </w:t>
      </w:r>
      <w:proofErr w:type="spellStart"/>
      <w:r>
        <w:rPr>
          <w:rStyle w:val="ffline"/>
        </w:rPr>
        <w:t>caggtgccgg</w:t>
      </w:r>
      <w:proofErr w:type="spellEnd"/>
      <w:r>
        <w:rPr>
          <w:rStyle w:val="ffline"/>
        </w:rPr>
        <w:t xml:space="preserve"> </w:t>
      </w:r>
      <w:proofErr w:type="spellStart"/>
      <w:r>
        <w:rPr>
          <w:rStyle w:val="ffline"/>
        </w:rPr>
        <w:t>tgcaggaagt</w:t>
      </w:r>
      <w:proofErr w:type="spellEnd"/>
      <w:r>
        <w:rPr>
          <w:rStyle w:val="ffline"/>
        </w:rPr>
        <w:t xml:space="preserve"> </w:t>
      </w:r>
      <w:proofErr w:type="spellStart"/>
      <w:r>
        <w:rPr>
          <w:rStyle w:val="ffline"/>
        </w:rPr>
        <w:t>cagcactctg</w:t>
      </w:r>
      <w:proofErr w:type="spellEnd"/>
      <w:r>
        <w:rPr>
          <w:rStyle w:val="ffline"/>
        </w:rPr>
        <w:t xml:space="preserve"> </w:t>
      </w:r>
      <w:proofErr w:type="spellStart"/>
      <w:r>
        <w:rPr>
          <w:rStyle w:val="ffline"/>
        </w:rPr>
        <w:t>taggctttgg</w:t>
      </w:r>
      <w:proofErr w:type="spellEnd"/>
      <w:r>
        <w:rPr>
          <w:rStyle w:val="ffline"/>
        </w:rPr>
        <w:t xml:space="preserve"> </w:t>
      </w:r>
      <w:proofErr w:type="spellStart"/>
      <w:r>
        <w:rPr>
          <w:rStyle w:val="ffline"/>
        </w:rPr>
        <w:t>tgtacttggt</w:t>
      </w:r>
      <w:proofErr w:type="spellEnd"/>
    </w:p>
    <w:p w14:paraId="740354B1" w14:textId="77777777" w:rsidR="00F5628C" w:rsidRDefault="00F5628C" w:rsidP="00F5628C">
      <w:pPr>
        <w:pStyle w:val="HTMLPreformatted"/>
      </w:pPr>
      <w:proofErr w:type="spellStart"/>
      <w:r>
        <w:rPr>
          <w:rStyle w:val="ffline"/>
        </w:rPr>
        <w:t>ggcgtactca</w:t>
      </w:r>
      <w:proofErr w:type="spellEnd"/>
      <w:r>
        <w:rPr>
          <w:rStyle w:val="ffline"/>
        </w:rPr>
        <w:t xml:space="preserve"> </w:t>
      </w:r>
      <w:proofErr w:type="spellStart"/>
      <w:r>
        <w:rPr>
          <w:rStyle w:val="ffline"/>
        </w:rPr>
        <w:t>gcgcgacgtt</w:t>
      </w:r>
      <w:proofErr w:type="spellEnd"/>
      <w:r>
        <w:rPr>
          <w:rStyle w:val="ffline"/>
        </w:rPr>
        <w:t xml:space="preserve"> </w:t>
      </w:r>
      <w:proofErr w:type="spellStart"/>
      <w:r>
        <w:rPr>
          <w:rStyle w:val="ffline"/>
        </w:rPr>
        <w:t>cttaggtatc</w:t>
      </w:r>
      <w:proofErr w:type="spellEnd"/>
      <w:r>
        <w:rPr>
          <w:rStyle w:val="ffline"/>
        </w:rPr>
        <w:t xml:space="preserve"> </w:t>
      </w:r>
      <w:proofErr w:type="spellStart"/>
      <w:r>
        <w:rPr>
          <w:rStyle w:val="ffline"/>
        </w:rPr>
        <w:t>ttctttatcc</w:t>
      </w:r>
      <w:proofErr w:type="spellEnd"/>
      <w:r>
        <w:rPr>
          <w:rStyle w:val="ffline"/>
        </w:rPr>
        <w:t xml:space="preserve"> </w:t>
      </w:r>
      <w:proofErr w:type="spellStart"/>
      <w:r>
        <w:rPr>
          <w:rStyle w:val="ffline"/>
        </w:rPr>
        <w:t>ctgtattcta</w:t>
      </w:r>
      <w:proofErr w:type="spellEnd"/>
      <w:r>
        <w:rPr>
          <w:rStyle w:val="ffline"/>
        </w:rPr>
        <w:t xml:space="preserve"> </w:t>
      </w:r>
      <w:proofErr w:type="spellStart"/>
      <w:r>
        <w:rPr>
          <w:rStyle w:val="ffline"/>
        </w:rPr>
        <w:t>tgtgtggatt</w:t>
      </w:r>
      <w:proofErr w:type="spellEnd"/>
    </w:p>
    <w:p w14:paraId="3ED500B0" w14:textId="77777777" w:rsidR="00F5628C" w:rsidRDefault="00F5628C" w:rsidP="00F5628C">
      <w:pPr>
        <w:pStyle w:val="HTMLPreformatted"/>
      </w:pPr>
      <w:proofErr w:type="spellStart"/>
      <w:r>
        <w:rPr>
          <w:rStyle w:val="ffline"/>
        </w:rPr>
        <w:t>cgtagtatct</w:t>
      </w:r>
      <w:proofErr w:type="spellEnd"/>
      <w:r>
        <w:rPr>
          <w:rStyle w:val="ffline"/>
        </w:rPr>
        <w:t xml:space="preserve"> </w:t>
      </w:r>
      <w:proofErr w:type="spellStart"/>
      <w:r>
        <w:rPr>
          <w:rStyle w:val="ffline"/>
        </w:rPr>
        <w:t>ttaagtacaa</w:t>
      </w:r>
      <w:proofErr w:type="spellEnd"/>
      <w:r>
        <w:rPr>
          <w:rStyle w:val="ffline"/>
        </w:rPr>
        <w:t xml:space="preserve"> </w:t>
      </w:r>
      <w:proofErr w:type="spellStart"/>
      <w:r>
        <w:rPr>
          <w:rStyle w:val="ffline"/>
        </w:rPr>
        <w:t>accaaaaacc</w:t>
      </w:r>
      <w:proofErr w:type="spellEnd"/>
      <w:r>
        <w:rPr>
          <w:rStyle w:val="ffline"/>
        </w:rPr>
        <w:t xml:space="preserve"> </w:t>
      </w:r>
      <w:proofErr w:type="spellStart"/>
      <w:r>
        <w:rPr>
          <w:rStyle w:val="ffline"/>
        </w:rPr>
        <w:t>ataaacactc</w:t>
      </w:r>
      <w:proofErr w:type="spellEnd"/>
      <w:r>
        <w:rPr>
          <w:rStyle w:val="ffline"/>
        </w:rPr>
        <w:t xml:space="preserve"> </w:t>
      </w:r>
      <w:proofErr w:type="spellStart"/>
      <w:r>
        <w:rPr>
          <w:rStyle w:val="ffline"/>
        </w:rPr>
        <w:t>aggagcataa</w:t>
      </w:r>
      <w:proofErr w:type="spellEnd"/>
      <w:r>
        <w:rPr>
          <w:rStyle w:val="ffline"/>
        </w:rPr>
        <w:t xml:space="preserve"> </w:t>
      </w:r>
      <w:proofErr w:type="spellStart"/>
      <w:r>
        <w:rPr>
          <w:rStyle w:val="ffline"/>
        </w:rPr>
        <w:t>atcgtga</w:t>
      </w:r>
      <w:proofErr w:type="spellEnd"/>
    </w:p>
    <w:p w14:paraId="0C88397B" w14:textId="77777777" w:rsidR="00F5628C" w:rsidRDefault="00F5628C" w:rsidP="00F5628C">
      <w:pPr>
        <w:pStyle w:val="HTMLPreformatted"/>
      </w:pPr>
    </w:p>
    <w:p w14:paraId="6111D97B" w14:textId="3100206A" w:rsidR="00F5628C" w:rsidRDefault="00F5628C" w:rsidP="00F5628C">
      <w:r>
        <w:t>&gt;A1S_2737 (</w:t>
      </w:r>
      <w:proofErr w:type="spellStart"/>
      <w:r w:rsidRPr="00F5628C">
        <w:rPr>
          <w:i/>
          <w:iCs/>
        </w:rPr>
        <w:t>adeK</w:t>
      </w:r>
      <w:proofErr w:type="spellEnd"/>
      <w:r>
        <w:t>)</w:t>
      </w:r>
      <w:r w:rsidR="00832EB7">
        <w:t xml:space="preserve"> GenBank: CP000521.1</w:t>
      </w:r>
    </w:p>
    <w:p w14:paraId="04D12D90" w14:textId="77777777" w:rsidR="00F5628C" w:rsidRDefault="00F5628C" w:rsidP="00F5628C">
      <w:pPr>
        <w:pStyle w:val="HTMLPreformatted"/>
      </w:pPr>
      <w:proofErr w:type="spellStart"/>
      <w:r>
        <w:rPr>
          <w:rStyle w:val="ffline"/>
        </w:rPr>
        <w:t>atgcaaaaag</w:t>
      </w:r>
      <w:proofErr w:type="spellEnd"/>
      <w:r>
        <w:rPr>
          <w:rStyle w:val="ffline"/>
        </w:rPr>
        <w:t xml:space="preserve"> </w:t>
      </w:r>
      <w:proofErr w:type="spellStart"/>
      <w:r>
        <w:rPr>
          <w:rStyle w:val="ffline"/>
        </w:rPr>
        <w:t>tatggtctat</w:t>
      </w:r>
      <w:proofErr w:type="spellEnd"/>
      <w:r>
        <w:rPr>
          <w:rStyle w:val="ffline"/>
        </w:rPr>
        <w:t xml:space="preserve"> </w:t>
      </w:r>
      <w:proofErr w:type="spellStart"/>
      <w:r>
        <w:rPr>
          <w:rStyle w:val="ffline"/>
        </w:rPr>
        <w:t>ttcaggtcgt</w:t>
      </w:r>
      <w:proofErr w:type="spellEnd"/>
      <w:r>
        <w:rPr>
          <w:rStyle w:val="ffline"/>
        </w:rPr>
        <w:t xml:space="preserve"> </w:t>
      </w:r>
      <w:proofErr w:type="spellStart"/>
      <w:r>
        <w:rPr>
          <w:rStyle w:val="ffline"/>
        </w:rPr>
        <w:t>agcattgcgg</w:t>
      </w:r>
      <w:proofErr w:type="spellEnd"/>
      <w:r>
        <w:rPr>
          <w:rStyle w:val="ffline"/>
        </w:rPr>
        <w:t xml:space="preserve"> </w:t>
      </w:r>
      <w:proofErr w:type="spellStart"/>
      <w:r>
        <w:rPr>
          <w:rStyle w:val="ffline"/>
        </w:rPr>
        <w:t>tatctgcact</w:t>
      </w:r>
      <w:proofErr w:type="spellEnd"/>
      <w:r>
        <w:rPr>
          <w:rStyle w:val="ffline"/>
        </w:rPr>
        <w:t xml:space="preserve"> </w:t>
      </w:r>
      <w:proofErr w:type="spellStart"/>
      <w:r>
        <w:rPr>
          <w:rStyle w:val="ffline"/>
        </w:rPr>
        <w:t>tgcgcttgct</w:t>
      </w:r>
      <w:proofErr w:type="spellEnd"/>
    </w:p>
    <w:p w14:paraId="67CD93AC" w14:textId="77777777" w:rsidR="00F5628C" w:rsidRDefault="00F5628C" w:rsidP="00F5628C">
      <w:pPr>
        <w:pStyle w:val="HTMLPreformatted"/>
      </w:pPr>
      <w:proofErr w:type="spellStart"/>
      <w:r>
        <w:rPr>
          <w:rStyle w:val="ffline"/>
        </w:rPr>
        <w:t>ttggcagctt</w:t>
      </w:r>
      <w:proofErr w:type="spellEnd"/>
      <w:r>
        <w:rPr>
          <w:rStyle w:val="ffline"/>
        </w:rPr>
        <w:t xml:space="preserve"> </w:t>
      </w:r>
      <w:proofErr w:type="spellStart"/>
      <w:r>
        <w:rPr>
          <w:rStyle w:val="ffline"/>
        </w:rPr>
        <w:t>gtcaaagcat</w:t>
      </w:r>
      <w:proofErr w:type="spellEnd"/>
      <w:r>
        <w:rPr>
          <w:rStyle w:val="ffline"/>
        </w:rPr>
        <w:t xml:space="preserve"> </w:t>
      </w:r>
      <w:proofErr w:type="spellStart"/>
      <w:r>
        <w:rPr>
          <w:rStyle w:val="ffline"/>
        </w:rPr>
        <w:t>gcgcggccca</w:t>
      </w:r>
      <w:proofErr w:type="spellEnd"/>
      <w:r>
        <w:rPr>
          <w:rStyle w:val="ffline"/>
        </w:rPr>
        <w:t xml:space="preserve"> </w:t>
      </w:r>
      <w:proofErr w:type="spellStart"/>
      <w:r>
        <w:rPr>
          <w:rStyle w:val="ffline"/>
        </w:rPr>
        <w:t>gaaccagtcg</w:t>
      </w:r>
      <w:proofErr w:type="spellEnd"/>
      <w:r>
        <w:rPr>
          <w:rStyle w:val="ffline"/>
        </w:rPr>
        <w:t xml:space="preserve"> </w:t>
      </w:r>
      <w:proofErr w:type="spellStart"/>
      <w:r>
        <w:rPr>
          <w:rStyle w:val="ffline"/>
        </w:rPr>
        <w:t>tgaaaaccga</w:t>
      </w:r>
      <w:proofErr w:type="spellEnd"/>
      <w:r>
        <w:rPr>
          <w:rStyle w:val="ffline"/>
        </w:rPr>
        <w:t xml:space="preserve"> </w:t>
      </w:r>
      <w:proofErr w:type="spellStart"/>
      <w:r>
        <w:rPr>
          <w:rStyle w:val="ffline"/>
        </w:rPr>
        <w:t>tataccacaa</w:t>
      </w:r>
      <w:proofErr w:type="spellEnd"/>
    </w:p>
    <w:p w14:paraId="54A72DB0" w14:textId="77777777" w:rsidR="00F5628C" w:rsidRDefault="00F5628C" w:rsidP="00F5628C">
      <w:pPr>
        <w:pStyle w:val="HTMLPreformatted"/>
      </w:pPr>
      <w:proofErr w:type="spellStart"/>
      <w:r>
        <w:rPr>
          <w:rStyle w:val="ffline"/>
        </w:rPr>
        <w:t>agctatgcat</w:t>
      </w:r>
      <w:proofErr w:type="spellEnd"/>
      <w:r>
        <w:rPr>
          <w:rStyle w:val="ffline"/>
        </w:rPr>
        <w:t xml:space="preserve"> </w:t>
      </w:r>
      <w:proofErr w:type="spellStart"/>
      <w:r>
        <w:rPr>
          <w:rStyle w:val="ffline"/>
        </w:rPr>
        <w:t>ataacagcgc</w:t>
      </w:r>
      <w:proofErr w:type="spellEnd"/>
      <w:r>
        <w:rPr>
          <w:rStyle w:val="ffline"/>
        </w:rPr>
        <w:t xml:space="preserve"> </w:t>
      </w:r>
      <w:proofErr w:type="spellStart"/>
      <w:r>
        <w:rPr>
          <w:rStyle w:val="ffline"/>
        </w:rPr>
        <w:t>ttctggtacg</w:t>
      </w:r>
      <w:proofErr w:type="spellEnd"/>
      <w:r>
        <w:rPr>
          <w:rStyle w:val="ffline"/>
        </w:rPr>
        <w:t xml:space="preserve"> </w:t>
      </w:r>
      <w:proofErr w:type="spellStart"/>
      <w:r>
        <w:rPr>
          <w:rStyle w:val="ffline"/>
        </w:rPr>
        <w:t>tctattgctg</w:t>
      </w:r>
      <w:proofErr w:type="spellEnd"/>
      <w:r>
        <w:rPr>
          <w:rStyle w:val="ffline"/>
        </w:rPr>
        <w:t xml:space="preserve"> </w:t>
      </w:r>
      <w:proofErr w:type="spellStart"/>
      <w:r>
        <w:rPr>
          <w:rStyle w:val="ffline"/>
        </w:rPr>
        <w:t>aacagggtta</w:t>
      </w:r>
      <w:proofErr w:type="spellEnd"/>
      <w:r>
        <w:rPr>
          <w:rStyle w:val="ffline"/>
        </w:rPr>
        <w:t xml:space="preserve"> </w:t>
      </w:r>
      <w:proofErr w:type="spellStart"/>
      <w:r>
        <w:rPr>
          <w:rStyle w:val="ffline"/>
        </w:rPr>
        <w:t>taaacagttc</w:t>
      </w:r>
      <w:proofErr w:type="spellEnd"/>
    </w:p>
    <w:p w14:paraId="2C908A9C" w14:textId="77777777" w:rsidR="00F5628C" w:rsidRDefault="00F5628C" w:rsidP="00F5628C">
      <w:pPr>
        <w:pStyle w:val="HTMLPreformatted"/>
      </w:pPr>
      <w:proofErr w:type="spellStart"/>
      <w:r>
        <w:rPr>
          <w:rStyle w:val="ffline"/>
        </w:rPr>
        <w:t>tttgctgacc</w:t>
      </w:r>
      <w:proofErr w:type="spellEnd"/>
      <w:r>
        <w:rPr>
          <w:rStyle w:val="ffline"/>
        </w:rPr>
        <w:t xml:space="preserve"> </w:t>
      </w:r>
      <w:proofErr w:type="spellStart"/>
      <w:r>
        <w:rPr>
          <w:rStyle w:val="ffline"/>
        </w:rPr>
        <w:t>cgcgtttgct</w:t>
      </w:r>
      <w:proofErr w:type="spellEnd"/>
      <w:r>
        <w:rPr>
          <w:rStyle w:val="ffline"/>
        </w:rPr>
        <w:t xml:space="preserve"> </w:t>
      </w:r>
      <w:proofErr w:type="spellStart"/>
      <w:r>
        <w:rPr>
          <w:rStyle w:val="ffline"/>
        </w:rPr>
        <w:t>tgaagtgatt</w:t>
      </w:r>
      <w:proofErr w:type="spellEnd"/>
      <w:r>
        <w:rPr>
          <w:rStyle w:val="ffline"/>
        </w:rPr>
        <w:t xml:space="preserve"> </w:t>
      </w:r>
      <w:proofErr w:type="spellStart"/>
      <w:r>
        <w:rPr>
          <w:rStyle w:val="ffline"/>
        </w:rPr>
        <w:t>gatttggctc</w:t>
      </w:r>
      <w:proofErr w:type="spellEnd"/>
      <w:r>
        <w:rPr>
          <w:rStyle w:val="ffline"/>
        </w:rPr>
        <w:t xml:space="preserve"> </w:t>
      </w:r>
      <w:proofErr w:type="spellStart"/>
      <w:r>
        <w:rPr>
          <w:rStyle w:val="ffline"/>
        </w:rPr>
        <w:t>ttgccaataa</w:t>
      </w:r>
      <w:proofErr w:type="spellEnd"/>
      <w:r>
        <w:rPr>
          <w:rStyle w:val="ffline"/>
        </w:rPr>
        <w:t xml:space="preserve"> </w:t>
      </w:r>
      <w:proofErr w:type="spellStart"/>
      <w:r>
        <w:rPr>
          <w:rStyle w:val="ffline"/>
        </w:rPr>
        <w:t>ccgtgactta</w:t>
      </w:r>
      <w:proofErr w:type="spellEnd"/>
    </w:p>
    <w:p w14:paraId="40225C10" w14:textId="77777777" w:rsidR="00F5628C" w:rsidRDefault="00F5628C" w:rsidP="00F5628C">
      <w:pPr>
        <w:pStyle w:val="HTMLPreformatted"/>
      </w:pPr>
      <w:proofErr w:type="spellStart"/>
      <w:r>
        <w:rPr>
          <w:rStyle w:val="ffline"/>
        </w:rPr>
        <w:t>cgtacagcaa</w:t>
      </w:r>
      <w:proofErr w:type="spellEnd"/>
      <w:r>
        <w:rPr>
          <w:rStyle w:val="ffline"/>
        </w:rPr>
        <w:t xml:space="preserve"> </w:t>
      </w:r>
      <w:proofErr w:type="spellStart"/>
      <w:r>
        <w:rPr>
          <w:rStyle w:val="ffline"/>
        </w:rPr>
        <w:t>cgctcaatat</w:t>
      </w:r>
      <w:proofErr w:type="spellEnd"/>
      <w:r>
        <w:rPr>
          <w:rStyle w:val="ffline"/>
        </w:rPr>
        <w:t xml:space="preserve"> </w:t>
      </w:r>
      <w:proofErr w:type="spellStart"/>
      <w:r>
        <w:rPr>
          <w:rStyle w:val="ffline"/>
        </w:rPr>
        <w:t>tgaacgtgct</w:t>
      </w:r>
      <w:proofErr w:type="spellEnd"/>
      <w:r>
        <w:rPr>
          <w:rStyle w:val="ffline"/>
        </w:rPr>
        <w:t xml:space="preserve"> </w:t>
      </w:r>
      <w:proofErr w:type="spellStart"/>
      <w:r>
        <w:rPr>
          <w:rStyle w:val="ffline"/>
        </w:rPr>
        <w:t>caacagcaat</w:t>
      </w:r>
      <w:proofErr w:type="spellEnd"/>
      <w:r>
        <w:rPr>
          <w:rStyle w:val="ffline"/>
        </w:rPr>
        <w:t xml:space="preserve"> </w:t>
      </w:r>
      <w:proofErr w:type="spellStart"/>
      <w:r>
        <w:rPr>
          <w:rStyle w:val="ffline"/>
        </w:rPr>
        <w:t>atcagattac</w:t>
      </w:r>
      <w:proofErr w:type="spellEnd"/>
      <w:r>
        <w:rPr>
          <w:rStyle w:val="ffline"/>
        </w:rPr>
        <w:t xml:space="preserve"> </w:t>
      </w:r>
      <w:proofErr w:type="spellStart"/>
      <w:r>
        <w:rPr>
          <w:rStyle w:val="ffline"/>
        </w:rPr>
        <w:t>acagaacaac</w:t>
      </w:r>
      <w:proofErr w:type="spellEnd"/>
    </w:p>
    <w:p w14:paraId="0132A00B" w14:textId="77777777" w:rsidR="00F5628C" w:rsidRDefault="00F5628C" w:rsidP="00F5628C">
      <w:pPr>
        <w:pStyle w:val="HTMLPreformatted"/>
      </w:pPr>
      <w:proofErr w:type="spellStart"/>
      <w:r>
        <w:rPr>
          <w:rStyle w:val="ffline"/>
        </w:rPr>
        <w:t>cagcttccaa</w:t>
      </w:r>
      <w:proofErr w:type="spellEnd"/>
      <w:r>
        <w:rPr>
          <w:rStyle w:val="ffline"/>
        </w:rPr>
        <w:t xml:space="preserve"> </w:t>
      </w:r>
      <w:proofErr w:type="spellStart"/>
      <w:r>
        <w:rPr>
          <w:rStyle w:val="ffline"/>
        </w:rPr>
        <w:t>caatcggagc</w:t>
      </w:r>
      <w:proofErr w:type="spellEnd"/>
      <w:r>
        <w:rPr>
          <w:rStyle w:val="ffline"/>
        </w:rPr>
        <w:t xml:space="preserve"> </w:t>
      </w:r>
      <w:proofErr w:type="spellStart"/>
      <w:r>
        <w:rPr>
          <w:rStyle w:val="ffline"/>
        </w:rPr>
        <w:t>aagtggtagt</w:t>
      </w:r>
      <w:proofErr w:type="spellEnd"/>
      <w:r>
        <w:rPr>
          <w:rStyle w:val="ffline"/>
        </w:rPr>
        <w:t xml:space="preserve"> </w:t>
      </w:r>
      <w:proofErr w:type="spellStart"/>
      <w:r>
        <w:rPr>
          <w:rStyle w:val="ffline"/>
        </w:rPr>
        <w:t>gcaattcgtc</w:t>
      </w:r>
      <w:proofErr w:type="spellEnd"/>
      <w:r>
        <w:rPr>
          <w:rStyle w:val="ffline"/>
        </w:rPr>
        <w:t xml:space="preserve"> </w:t>
      </w:r>
      <w:proofErr w:type="spellStart"/>
      <w:r>
        <w:rPr>
          <w:rStyle w:val="ffline"/>
        </w:rPr>
        <w:t>aggtttctca</w:t>
      </w:r>
      <w:proofErr w:type="spellEnd"/>
      <w:r>
        <w:rPr>
          <w:rStyle w:val="ffline"/>
        </w:rPr>
        <w:t xml:space="preserve"> </w:t>
      </w:r>
      <w:proofErr w:type="spellStart"/>
      <w:r>
        <w:rPr>
          <w:rStyle w:val="ffline"/>
        </w:rPr>
        <w:t>aagccgtgat</w:t>
      </w:r>
      <w:proofErr w:type="spellEnd"/>
    </w:p>
    <w:p w14:paraId="0E326B64" w14:textId="77777777" w:rsidR="00F5628C" w:rsidRDefault="00F5628C" w:rsidP="00F5628C">
      <w:pPr>
        <w:pStyle w:val="HTMLPreformatted"/>
      </w:pPr>
      <w:proofErr w:type="spellStart"/>
      <w:r>
        <w:rPr>
          <w:rStyle w:val="ffline"/>
        </w:rPr>
        <w:t>ccgaataatc</w:t>
      </w:r>
      <w:proofErr w:type="spellEnd"/>
      <w:r>
        <w:rPr>
          <w:rStyle w:val="ffline"/>
        </w:rPr>
        <w:t xml:space="preserve"> </w:t>
      </w:r>
      <w:proofErr w:type="spellStart"/>
      <w:r>
        <w:rPr>
          <w:rStyle w:val="ffline"/>
        </w:rPr>
        <w:t>cctactctac</w:t>
      </w:r>
      <w:proofErr w:type="spellEnd"/>
      <w:r>
        <w:rPr>
          <w:rStyle w:val="ffline"/>
        </w:rPr>
        <w:t xml:space="preserve"> </w:t>
      </w:r>
      <w:proofErr w:type="spellStart"/>
      <w:r>
        <w:rPr>
          <w:rStyle w:val="ffline"/>
        </w:rPr>
        <w:t>ttatcaagta</w:t>
      </w:r>
      <w:proofErr w:type="spellEnd"/>
      <w:r>
        <w:rPr>
          <w:rStyle w:val="ffline"/>
        </w:rPr>
        <w:t xml:space="preserve"> </w:t>
      </w:r>
      <w:proofErr w:type="spellStart"/>
      <w:r>
        <w:rPr>
          <w:rStyle w:val="ffline"/>
        </w:rPr>
        <w:t>ggtttgggtg</w:t>
      </w:r>
      <w:proofErr w:type="spellEnd"/>
      <w:r>
        <w:rPr>
          <w:rStyle w:val="ffline"/>
        </w:rPr>
        <w:t xml:space="preserve"> </w:t>
      </w:r>
      <w:proofErr w:type="spellStart"/>
      <w:r>
        <w:rPr>
          <w:rStyle w:val="ffline"/>
        </w:rPr>
        <w:t>taactgctta</w:t>
      </w:r>
      <w:proofErr w:type="spellEnd"/>
      <w:r>
        <w:rPr>
          <w:rStyle w:val="ffline"/>
        </w:rPr>
        <w:t xml:space="preserve"> </w:t>
      </w:r>
      <w:proofErr w:type="spellStart"/>
      <w:r>
        <w:rPr>
          <w:rStyle w:val="ffline"/>
        </w:rPr>
        <w:t>tgagctagat</w:t>
      </w:r>
      <w:proofErr w:type="spellEnd"/>
    </w:p>
    <w:p w14:paraId="3F4E80F2" w14:textId="77777777" w:rsidR="00F5628C" w:rsidRDefault="00F5628C" w:rsidP="00F5628C">
      <w:pPr>
        <w:pStyle w:val="HTMLPreformatted"/>
      </w:pPr>
      <w:proofErr w:type="spellStart"/>
      <w:r>
        <w:rPr>
          <w:rStyle w:val="ffline"/>
        </w:rPr>
        <w:t>ttctggggtc</w:t>
      </w:r>
      <w:proofErr w:type="spellEnd"/>
      <w:r>
        <w:rPr>
          <w:rStyle w:val="ffline"/>
        </w:rPr>
        <w:t xml:space="preserve"> </w:t>
      </w:r>
      <w:proofErr w:type="spellStart"/>
      <w:r>
        <w:rPr>
          <w:rStyle w:val="ffline"/>
        </w:rPr>
        <w:t>gtgttcgtag</w:t>
      </w:r>
      <w:proofErr w:type="spellEnd"/>
      <w:r>
        <w:rPr>
          <w:rStyle w:val="ffline"/>
        </w:rPr>
        <w:t xml:space="preserve"> </w:t>
      </w:r>
      <w:proofErr w:type="spellStart"/>
      <w:r>
        <w:rPr>
          <w:rStyle w:val="ffline"/>
        </w:rPr>
        <w:t>cctcaaagat</w:t>
      </w:r>
      <w:proofErr w:type="spellEnd"/>
      <w:r>
        <w:rPr>
          <w:rStyle w:val="ffline"/>
        </w:rPr>
        <w:t xml:space="preserve"> </w:t>
      </w:r>
      <w:proofErr w:type="spellStart"/>
      <w:r>
        <w:rPr>
          <w:rStyle w:val="ffline"/>
        </w:rPr>
        <w:t>gctgctttag</w:t>
      </w:r>
      <w:proofErr w:type="spellEnd"/>
      <w:r>
        <w:rPr>
          <w:rStyle w:val="ffline"/>
        </w:rPr>
        <w:t xml:space="preserve"> </w:t>
      </w:r>
      <w:proofErr w:type="spellStart"/>
      <w:r>
        <w:rPr>
          <w:rStyle w:val="ffline"/>
        </w:rPr>
        <w:t>atagttatct</w:t>
      </w:r>
      <w:proofErr w:type="spellEnd"/>
      <w:r>
        <w:rPr>
          <w:rStyle w:val="ffline"/>
        </w:rPr>
        <w:t xml:space="preserve"> </w:t>
      </w:r>
      <w:proofErr w:type="spellStart"/>
      <w:r>
        <w:rPr>
          <w:rStyle w:val="ffline"/>
        </w:rPr>
        <w:t>tgcaacacaa</w:t>
      </w:r>
      <w:proofErr w:type="spellEnd"/>
    </w:p>
    <w:p w14:paraId="41B589EF" w14:textId="77777777" w:rsidR="00F5628C" w:rsidRDefault="00F5628C" w:rsidP="00F5628C">
      <w:pPr>
        <w:pStyle w:val="HTMLPreformatted"/>
      </w:pPr>
      <w:proofErr w:type="spellStart"/>
      <w:r>
        <w:rPr>
          <w:rStyle w:val="ffline"/>
        </w:rPr>
        <w:t>agtgctcgtg</w:t>
      </w:r>
      <w:proofErr w:type="spellEnd"/>
      <w:r>
        <w:rPr>
          <w:rStyle w:val="ffline"/>
        </w:rPr>
        <w:t xml:space="preserve"> </w:t>
      </w:r>
      <w:proofErr w:type="spellStart"/>
      <w:r>
        <w:rPr>
          <w:rStyle w:val="ffline"/>
        </w:rPr>
        <w:t>attcgactca</w:t>
      </w:r>
      <w:proofErr w:type="spellEnd"/>
      <w:r>
        <w:rPr>
          <w:rStyle w:val="ffline"/>
        </w:rPr>
        <w:t xml:space="preserve"> </w:t>
      </w:r>
      <w:proofErr w:type="spellStart"/>
      <w:r>
        <w:rPr>
          <w:rStyle w:val="ffline"/>
        </w:rPr>
        <w:t>aatcagtctg</w:t>
      </w:r>
      <w:proofErr w:type="spellEnd"/>
      <w:r>
        <w:rPr>
          <w:rStyle w:val="ffline"/>
        </w:rPr>
        <w:t xml:space="preserve"> </w:t>
      </w:r>
      <w:proofErr w:type="spellStart"/>
      <w:r>
        <w:rPr>
          <w:rStyle w:val="ffline"/>
        </w:rPr>
        <w:t>attagccaag</w:t>
      </w:r>
      <w:proofErr w:type="spellEnd"/>
      <w:r>
        <w:rPr>
          <w:rStyle w:val="ffline"/>
        </w:rPr>
        <w:t xml:space="preserve"> </w:t>
      </w:r>
      <w:proofErr w:type="spellStart"/>
      <w:r>
        <w:rPr>
          <w:rStyle w:val="ffline"/>
        </w:rPr>
        <w:t>ttgctcaagc</w:t>
      </w:r>
      <w:proofErr w:type="spellEnd"/>
      <w:r>
        <w:rPr>
          <w:rStyle w:val="ffline"/>
        </w:rPr>
        <w:t xml:space="preserve"> </w:t>
      </w:r>
      <w:proofErr w:type="spellStart"/>
      <w:r>
        <w:rPr>
          <w:rStyle w:val="ffline"/>
        </w:rPr>
        <w:t>atggttaaat</w:t>
      </w:r>
      <w:proofErr w:type="spellEnd"/>
    </w:p>
    <w:p w14:paraId="6C797907" w14:textId="77777777" w:rsidR="00F5628C" w:rsidRDefault="00F5628C" w:rsidP="00F5628C">
      <w:pPr>
        <w:pStyle w:val="HTMLPreformatted"/>
      </w:pPr>
      <w:proofErr w:type="spellStart"/>
      <w:r>
        <w:rPr>
          <w:rStyle w:val="ffline"/>
        </w:rPr>
        <w:t>tattcgtttg</w:t>
      </w:r>
      <w:proofErr w:type="spellEnd"/>
      <w:r>
        <w:rPr>
          <w:rStyle w:val="ffline"/>
        </w:rPr>
        <w:t xml:space="preserve"> </w:t>
      </w:r>
      <w:proofErr w:type="spellStart"/>
      <w:r>
        <w:rPr>
          <w:rStyle w:val="ffline"/>
        </w:rPr>
        <w:t>caacagcaaa</w:t>
      </w:r>
      <w:proofErr w:type="spellEnd"/>
      <w:r>
        <w:rPr>
          <w:rStyle w:val="ffline"/>
        </w:rPr>
        <w:t xml:space="preserve"> </w:t>
      </w:r>
      <w:proofErr w:type="spellStart"/>
      <w:r>
        <w:rPr>
          <w:rStyle w:val="ffline"/>
        </w:rPr>
        <w:t>cttaagactg</w:t>
      </w:r>
      <w:proofErr w:type="spellEnd"/>
      <w:r>
        <w:rPr>
          <w:rStyle w:val="ffline"/>
        </w:rPr>
        <w:t xml:space="preserve"> </w:t>
      </w:r>
      <w:proofErr w:type="spellStart"/>
      <w:r>
        <w:rPr>
          <w:rStyle w:val="ffline"/>
        </w:rPr>
        <w:t>gcagagcaaa</w:t>
      </w:r>
      <w:proofErr w:type="spellEnd"/>
      <w:r>
        <w:rPr>
          <w:rStyle w:val="ffline"/>
        </w:rPr>
        <w:t xml:space="preserve"> </w:t>
      </w:r>
      <w:proofErr w:type="spellStart"/>
      <w:r>
        <w:rPr>
          <w:rStyle w:val="ffline"/>
        </w:rPr>
        <w:t>cgcttaaagc</w:t>
      </w:r>
      <w:proofErr w:type="spellEnd"/>
      <w:r>
        <w:rPr>
          <w:rStyle w:val="ffline"/>
        </w:rPr>
        <w:t xml:space="preserve"> </w:t>
      </w:r>
      <w:proofErr w:type="spellStart"/>
      <w:r>
        <w:rPr>
          <w:rStyle w:val="ffline"/>
        </w:rPr>
        <w:t>acagttagat</w:t>
      </w:r>
      <w:proofErr w:type="spellEnd"/>
    </w:p>
    <w:p w14:paraId="0B24EE44" w14:textId="77777777" w:rsidR="00F5628C" w:rsidRDefault="00F5628C" w:rsidP="00F5628C">
      <w:pPr>
        <w:pStyle w:val="HTMLPreformatted"/>
      </w:pPr>
      <w:proofErr w:type="spellStart"/>
      <w:r>
        <w:rPr>
          <w:rStyle w:val="ffline"/>
        </w:rPr>
        <w:t>tcttacaatc</w:t>
      </w:r>
      <w:proofErr w:type="spellEnd"/>
      <w:r>
        <w:rPr>
          <w:rStyle w:val="ffline"/>
        </w:rPr>
        <w:t xml:space="preserve"> </w:t>
      </w:r>
      <w:proofErr w:type="spellStart"/>
      <w:r>
        <w:rPr>
          <w:rStyle w:val="ffline"/>
        </w:rPr>
        <w:t>tcaacaaaaa</w:t>
      </w:r>
      <w:proofErr w:type="spellEnd"/>
      <w:r>
        <w:rPr>
          <w:rStyle w:val="ffline"/>
        </w:rPr>
        <w:t xml:space="preserve"> </w:t>
      </w:r>
      <w:proofErr w:type="spellStart"/>
      <w:r>
        <w:rPr>
          <w:rStyle w:val="ffline"/>
        </w:rPr>
        <w:t>acgttttgat</w:t>
      </w:r>
      <w:proofErr w:type="spellEnd"/>
      <w:r>
        <w:rPr>
          <w:rStyle w:val="ffline"/>
        </w:rPr>
        <w:t xml:space="preserve"> </w:t>
      </w:r>
      <w:proofErr w:type="spellStart"/>
      <w:r>
        <w:rPr>
          <w:rStyle w:val="ffline"/>
        </w:rPr>
        <w:t>gtaggtattg</w:t>
      </w:r>
      <w:proofErr w:type="spellEnd"/>
      <w:r>
        <w:rPr>
          <w:rStyle w:val="ffline"/>
        </w:rPr>
        <w:t xml:space="preserve"> </w:t>
      </w:r>
      <w:proofErr w:type="spellStart"/>
      <w:r>
        <w:rPr>
          <w:rStyle w:val="ffline"/>
        </w:rPr>
        <w:t>acagtgaagt</w:t>
      </w:r>
      <w:proofErr w:type="spellEnd"/>
      <w:r>
        <w:rPr>
          <w:rStyle w:val="ffline"/>
        </w:rPr>
        <w:t xml:space="preserve"> </w:t>
      </w:r>
      <w:proofErr w:type="spellStart"/>
      <w:r>
        <w:rPr>
          <w:rStyle w:val="ffline"/>
        </w:rPr>
        <w:t>tccattacgt</w:t>
      </w:r>
      <w:proofErr w:type="spellEnd"/>
    </w:p>
    <w:p w14:paraId="22D56FC3" w14:textId="77777777" w:rsidR="00F5628C" w:rsidRDefault="00F5628C" w:rsidP="00F5628C">
      <w:pPr>
        <w:pStyle w:val="HTMLPreformatted"/>
      </w:pPr>
      <w:proofErr w:type="spellStart"/>
      <w:r>
        <w:rPr>
          <w:rStyle w:val="ffline"/>
        </w:rPr>
        <w:t>caagcacaga</w:t>
      </w:r>
      <w:proofErr w:type="spellEnd"/>
      <w:r>
        <w:rPr>
          <w:rStyle w:val="ffline"/>
        </w:rPr>
        <w:t xml:space="preserve"> </w:t>
      </w:r>
      <w:proofErr w:type="spellStart"/>
      <w:r>
        <w:rPr>
          <w:rStyle w:val="ffline"/>
        </w:rPr>
        <w:t>tttctgtaga</w:t>
      </w:r>
      <w:proofErr w:type="spellEnd"/>
      <w:r>
        <w:rPr>
          <w:rStyle w:val="ffline"/>
        </w:rPr>
        <w:t xml:space="preserve"> </w:t>
      </w:r>
      <w:proofErr w:type="spellStart"/>
      <w:r>
        <w:rPr>
          <w:rStyle w:val="ffline"/>
        </w:rPr>
        <w:t>aactgcgcgt</w:t>
      </w:r>
      <w:proofErr w:type="spellEnd"/>
      <w:r>
        <w:rPr>
          <w:rStyle w:val="ffline"/>
        </w:rPr>
        <w:t xml:space="preserve"> </w:t>
      </w:r>
      <w:proofErr w:type="spellStart"/>
      <w:r>
        <w:rPr>
          <w:rStyle w:val="ffline"/>
        </w:rPr>
        <w:t>aatgatgtag</w:t>
      </w:r>
      <w:proofErr w:type="spellEnd"/>
      <w:r>
        <w:rPr>
          <w:rStyle w:val="ffline"/>
        </w:rPr>
        <w:t xml:space="preserve"> </w:t>
      </w:r>
      <w:proofErr w:type="spellStart"/>
      <w:r>
        <w:rPr>
          <w:rStyle w:val="ffline"/>
        </w:rPr>
        <w:t>cgaactacaa</w:t>
      </w:r>
      <w:proofErr w:type="spellEnd"/>
      <w:r>
        <w:rPr>
          <w:rStyle w:val="ffline"/>
        </w:rPr>
        <w:t xml:space="preserve"> </w:t>
      </w:r>
      <w:proofErr w:type="spellStart"/>
      <w:r>
        <w:rPr>
          <w:rStyle w:val="ffline"/>
        </w:rPr>
        <w:t>aactcaaatt</w:t>
      </w:r>
      <w:proofErr w:type="spellEnd"/>
    </w:p>
    <w:p w14:paraId="712D4322" w14:textId="77777777" w:rsidR="00F5628C" w:rsidRDefault="00F5628C" w:rsidP="00F5628C">
      <w:pPr>
        <w:pStyle w:val="HTMLPreformatted"/>
      </w:pPr>
      <w:proofErr w:type="spellStart"/>
      <w:r>
        <w:rPr>
          <w:rStyle w:val="ffline"/>
        </w:rPr>
        <w:t>gctcaagcac</w:t>
      </w:r>
      <w:proofErr w:type="spellEnd"/>
      <w:r>
        <w:rPr>
          <w:rStyle w:val="ffline"/>
        </w:rPr>
        <w:t xml:space="preserve"> </w:t>
      </w:r>
      <w:proofErr w:type="spellStart"/>
      <w:r>
        <w:rPr>
          <w:rStyle w:val="ffline"/>
        </w:rPr>
        <w:t>aaaacttgtt</w:t>
      </w:r>
      <w:proofErr w:type="spellEnd"/>
      <w:r>
        <w:rPr>
          <w:rStyle w:val="ffline"/>
        </w:rPr>
        <w:t xml:space="preserve"> </w:t>
      </w:r>
      <w:proofErr w:type="spellStart"/>
      <w:r>
        <w:rPr>
          <w:rStyle w:val="ffline"/>
        </w:rPr>
        <w:t>gaacttgctt</w:t>
      </w:r>
      <w:proofErr w:type="spellEnd"/>
      <w:r>
        <w:rPr>
          <w:rStyle w:val="ffline"/>
        </w:rPr>
        <w:t xml:space="preserve"> </w:t>
      </w:r>
      <w:proofErr w:type="spellStart"/>
      <w:r>
        <w:rPr>
          <w:rStyle w:val="ffline"/>
        </w:rPr>
        <w:t>gtaggccaac</w:t>
      </w:r>
      <w:proofErr w:type="spellEnd"/>
      <w:r>
        <w:rPr>
          <w:rStyle w:val="ffline"/>
        </w:rPr>
        <w:t xml:space="preserve"> </w:t>
      </w:r>
      <w:proofErr w:type="spellStart"/>
      <w:r>
        <w:rPr>
          <w:rStyle w:val="ffline"/>
        </w:rPr>
        <w:t>ctgttccaca</w:t>
      </w:r>
      <w:proofErr w:type="spellEnd"/>
      <w:r>
        <w:rPr>
          <w:rStyle w:val="ffline"/>
        </w:rPr>
        <w:t xml:space="preserve"> </w:t>
      </w:r>
      <w:proofErr w:type="spellStart"/>
      <w:r>
        <w:rPr>
          <w:rStyle w:val="ffline"/>
        </w:rPr>
        <w:t>aaacttgtta</w:t>
      </w:r>
      <w:proofErr w:type="spellEnd"/>
    </w:p>
    <w:p w14:paraId="70757180" w14:textId="77777777" w:rsidR="00F5628C" w:rsidRDefault="00F5628C" w:rsidP="00F5628C">
      <w:pPr>
        <w:pStyle w:val="HTMLPreformatted"/>
      </w:pPr>
      <w:proofErr w:type="spellStart"/>
      <w:r>
        <w:rPr>
          <w:rStyle w:val="ffline"/>
        </w:rPr>
        <w:t>cctacacaac</w:t>
      </w:r>
      <w:proofErr w:type="spellEnd"/>
      <w:r>
        <w:rPr>
          <w:rStyle w:val="ffline"/>
        </w:rPr>
        <w:t xml:space="preserve"> </w:t>
      </w:r>
      <w:proofErr w:type="spellStart"/>
      <w:r>
        <w:rPr>
          <w:rStyle w:val="ffline"/>
        </w:rPr>
        <w:t>ctgtaaaacg</w:t>
      </w:r>
      <w:proofErr w:type="spellEnd"/>
      <w:r>
        <w:rPr>
          <w:rStyle w:val="ffline"/>
        </w:rPr>
        <w:t xml:space="preserve"> </w:t>
      </w:r>
      <w:proofErr w:type="spellStart"/>
      <w:r>
        <w:rPr>
          <w:rStyle w:val="ffline"/>
        </w:rPr>
        <w:t>cattgctcaa</w:t>
      </w:r>
      <w:proofErr w:type="spellEnd"/>
      <w:r>
        <w:rPr>
          <w:rStyle w:val="ffline"/>
        </w:rPr>
        <w:t xml:space="preserve"> </w:t>
      </w:r>
      <w:proofErr w:type="spellStart"/>
      <w:r>
        <w:rPr>
          <w:rStyle w:val="ffline"/>
        </w:rPr>
        <w:t>caaaatgtgt</w:t>
      </w:r>
      <w:proofErr w:type="spellEnd"/>
      <w:r>
        <w:rPr>
          <w:rStyle w:val="ffline"/>
        </w:rPr>
        <w:t xml:space="preserve"> </w:t>
      </w:r>
      <w:proofErr w:type="spellStart"/>
      <w:r>
        <w:rPr>
          <w:rStyle w:val="ffline"/>
        </w:rPr>
        <w:t>ttactgccgg</w:t>
      </w:r>
      <w:proofErr w:type="spellEnd"/>
      <w:r>
        <w:rPr>
          <w:rStyle w:val="ffline"/>
        </w:rPr>
        <w:t xml:space="preserve"> </w:t>
      </w:r>
      <w:proofErr w:type="spellStart"/>
      <w:r>
        <w:rPr>
          <w:rStyle w:val="ffline"/>
        </w:rPr>
        <w:t>tttaccaagt</w:t>
      </w:r>
      <w:proofErr w:type="spellEnd"/>
    </w:p>
    <w:p w14:paraId="649028F8" w14:textId="77777777" w:rsidR="00F5628C" w:rsidRDefault="00F5628C" w:rsidP="00F5628C">
      <w:pPr>
        <w:pStyle w:val="HTMLPreformatted"/>
      </w:pPr>
      <w:proofErr w:type="spellStart"/>
      <w:r>
        <w:rPr>
          <w:rStyle w:val="ffline"/>
        </w:rPr>
        <w:t>gacttgttaa</w:t>
      </w:r>
      <w:proofErr w:type="spellEnd"/>
      <w:r>
        <w:rPr>
          <w:rStyle w:val="ffline"/>
        </w:rPr>
        <w:t xml:space="preserve"> </w:t>
      </w:r>
      <w:proofErr w:type="spellStart"/>
      <w:r>
        <w:rPr>
          <w:rStyle w:val="ffline"/>
        </w:rPr>
        <w:t>ataaccgtcc</w:t>
      </w:r>
      <w:proofErr w:type="spellEnd"/>
      <w:r>
        <w:rPr>
          <w:rStyle w:val="ffline"/>
        </w:rPr>
        <w:t xml:space="preserve"> </w:t>
      </w:r>
      <w:proofErr w:type="spellStart"/>
      <w:r>
        <w:rPr>
          <w:rStyle w:val="ffline"/>
        </w:rPr>
        <w:t>ggatgtaaaa</w:t>
      </w:r>
      <w:proofErr w:type="spellEnd"/>
      <w:r>
        <w:rPr>
          <w:rStyle w:val="ffline"/>
        </w:rPr>
        <w:t xml:space="preserve"> </w:t>
      </w:r>
      <w:proofErr w:type="spellStart"/>
      <w:r>
        <w:rPr>
          <w:rStyle w:val="ffline"/>
        </w:rPr>
        <w:t>gctgctgaat</w:t>
      </w:r>
      <w:proofErr w:type="spellEnd"/>
      <w:r>
        <w:rPr>
          <w:rStyle w:val="ffline"/>
        </w:rPr>
        <w:t xml:space="preserve"> </w:t>
      </w:r>
      <w:proofErr w:type="spellStart"/>
      <w:r>
        <w:rPr>
          <w:rStyle w:val="ffline"/>
        </w:rPr>
        <w:t>acaacttaag</w:t>
      </w:r>
      <w:proofErr w:type="spellEnd"/>
      <w:r>
        <w:rPr>
          <w:rStyle w:val="ffline"/>
        </w:rPr>
        <w:t xml:space="preserve"> </w:t>
      </w:r>
      <w:proofErr w:type="spellStart"/>
      <w:r>
        <w:rPr>
          <w:rStyle w:val="ffline"/>
        </w:rPr>
        <w:t>cgctgcgggt</w:t>
      </w:r>
      <w:proofErr w:type="spellEnd"/>
    </w:p>
    <w:p w14:paraId="09809A79" w14:textId="77777777" w:rsidR="00F5628C" w:rsidRDefault="00F5628C" w:rsidP="00F5628C">
      <w:pPr>
        <w:pStyle w:val="HTMLPreformatted"/>
      </w:pPr>
      <w:proofErr w:type="spellStart"/>
      <w:r>
        <w:rPr>
          <w:rStyle w:val="ffline"/>
        </w:rPr>
        <w:t>gcgaatatcg</w:t>
      </w:r>
      <w:proofErr w:type="spellEnd"/>
      <w:r>
        <w:rPr>
          <w:rStyle w:val="ffline"/>
        </w:rPr>
        <w:t xml:space="preserve"> </w:t>
      </w:r>
      <w:proofErr w:type="spellStart"/>
      <w:r>
        <w:rPr>
          <w:rStyle w:val="ffline"/>
        </w:rPr>
        <w:t>gtgctgcaaa</w:t>
      </w:r>
      <w:proofErr w:type="spellEnd"/>
      <w:r>
        <w:rPr>
          <w:rStyle w:val="ffline"/>
        </w:rPr>
        <w:t xml:space="preserve"> </w:t>
      </w:r>
      <w:proofErr w:type="spellStart"/>
      <w:r>
        <w:rPr>
          <w:rStyle w:val="ffline"/>
        </w:rPr>
        <w:t>agcacgttta</w:t>
      </w:r>
      <w:proofErr w:type="spellEnd"/>
      <w:r>
        <w:rPr>
          <w:rStyle w:val="ffline"/>
        </w:rPr>
        <w:t xml:space="preserve"> </w:t>
      </w:r>
      <w:proofErr w:type="spellStart"/>
      <w:r>
        <w:rPr>
          <w:rStyle w:val="ffline"/>
        </w:rPr>
        <w:t>ttcccaacca</w:t>
      </w:r>
      <w:proofErr w:type="spellEnd"/>
      <w:r>
        <w:rPr>
          <w:rStyle w:val="ffline"/>
        </w:rPr>
        <w:t xml:space="preserve"> </w:t>
      </w:r>
      <w:proofErr w:type="spellStart"/>
      <w:r>
        <w:rPr>
          <w:rStyle w:val="ffline"/>
        </w:rPr>
        <w:t>ttagcttaac</w:t>
      </w:r>
      <w:proofErr w:type="spellEnd"/>
      <w:r>
        <w:rPr>
          <w:rStyle w:val="ffline"/>
        </w:rPr>
        <w:t xml:space="preserve"> </w:t>
      </w:r>
      <w:proofErr w:type="spellStart"/>
      <w:r>
        <w:rPr>
          <w:rStyle w:val="ffline"/>
        </w:rPr>
        <w:t>gggttcggct</w:t>
      </w:r>
      <w:proofErr w:type="spellEnd"/>
    </w:p>
    <w:p w14:paraId="25B2C869" w14:textId="77777777" w:rsidR="00F5628C" w:rsidRDefault="00F5628C" w:rsidP="00F5628C">
      <w:pPr>
        <w:pStyle w:val="HTMLPreformatted"/>
      </w:pPr>
      <w:proofErr w:type="spellStart"/>
      <w:r>
        <w:rPr>
          <w:rStyle w:val="ffline"/>
        </w:rPr>
        <w:t>ggttatgcat</w:t>
      </w:r>
      <w:proofErr w:type="spellEnd"/>
      <w:r>
        <w:rPr>
          <w:rStyle w:val="ffline"/>
        </w:rPr>
        <w:t xml:space="preserve"> </w:t>
      </w:r>
      <w:proofErr w:type="spellStart"/>
      <w:r>
        <w:rPr>
          <w:rStyle w:val="ffline"/>
        </w:rPr>
        <w:t>caactgactt</w:t>
      </w:r>
      <w:proofErr w:type="spellEnd"/>
      <w:r>
        <w:rPr>
          <w:rStyle w:val="ffline"/>
        </w:rPr>
        <w:t xml:space="preserve"> </w:t>
      </w:r>
      <w:proofErr w:type="spellStart"/>
      <w:r>
        <w:rPr>
          <w:rStyle w:val="ffline"/>
        </w:rPr>
        <w:t>aagtgatcta</w:t>
      </w:r>
      <w:proofErr w:type="spellEnd"/>
      <w:r>
        <w:rPr>
          <w:rStyle w:val="ffline"/>
        </w:rPr>
        <w:t xml:space="preserve"> </w:t>
      </w:r>
      <w:proofErr w:type="spellStart"/>
      <w:r>
        <w:rPr>
          <w:rStyle w:val="ffline"/>
        </w:rPr>
        <w:t>tttaagtctg</w:t>
      </w:r>
      <w:proofErr w:type="spellEnd"/>
      <w:r>
        <w:rPr>
          <w:rStyle w:val="ffline"/>
        </w:rPr>
        <w:t xml:space="preserve"> </w:t>
      </w:r>
      <w:proofErr w:type="spellStart"/>
      <w:r>
        <w:rPr>
          <w:rStyle w:val="ffline"/>
        </w:rPr>
        <w:t>gtggttttgt</w:t>
      </w:r>
      <w:proofErr w:type="spellEnd"/>
      <w:r>
        <w:rPr>
          <w:rStyle w:val="ffline"/>
        </w:rPr>
        <w:t xml:space="preserve"> </w:t>
      </w:r>
      <w:proofErr w:type="spellStart"/>
      <w:r>
        <w:rPr>
          <w:rStyle w:val="ffline"/>
        </w:rPr>
        <w:t>atggtcagtt</w:t>
      </w:r>
      <w:proofErr w:type="spellEnd"/>
    </w:p>
    <w:p w14:paraId="56BF1D50" w14:textId="77777777" w:rsidR="00F5628C" w:rsidRDefault="00F5628C" w:rsidP="00F5628C">
      <w:pPr>
        <w:pStyle w:val="HTMLPreformatted"/>
      </w:pPr>
      <w:proofErr w:type="spellStart"/>
      <w:r>
        <w:rPr>
          <w:rStyle w:val="ffline"/>
        </w:rPr>
        <w:t>ggtccaagct</w:t>
      </w:r>
      <w:proofErr w:type="spellEnd"/>
      <w:r>
        <w:rPr>
          <w:rStyle w:val="ffline"/>
        </w:rPr>
        <w:t xml:space="preserve"> </w:t>
      </w:r>
      <w:proofErr w:type="spellStart"/>
      <w:r>
        <w:rPr>
          <w:rStyle w:val="ffline"/>
        </w:rPr>
        <w:t>tagatttacc</w:t>
      </w:r>
      <w:proofErr w:type="spellEnd"/>
      <w:r>
        <w:rPr>
          <w:rStyle w:val="ffline"/>
        </w:rPr>
        <w:t xml:space="preserve"> </w:t>
      </w:r>
      <w:proofErr w:type="spellStart"/>
      <w:r>
        <w:rPr>
          <w:rStyle w:val="ffline"/>
        </w:rPr>
        <w:t>aatctttgac</w:t>
      </w:r>
      <w:proofErr w:type="spellEnd"/>
      <w:r>
        <w:rPr>
          <w:rStyle w:val="ffline"/>
        </w:rPr>
        <w:t xml:space="preserve"> </w:t>
      </w:r>
      <w:proofErr w:type="spellStart"/>
      <w:r>
        <w:rPr>
          <w:rStyle w:val="ffline"/>
        </w:rPr>
        <w:t>tggggtacac</w:t>
      </w:r>
      <w:proofErr w:type="spellEnd"/>
      <w:r>
        <w:rPr>
          <w:rStyle w:val="ffline"/>
        </w:rPr>
        <w:t xml:space="preserve"> </w:t>
      </w:r>
      <w:proofErr w:type="spellStart"/>
      <w:r>
        <w:rPr>
          <w:rStyle w:val="ffline"/>
        </w:rPr>
        <w:t>gccgtgccaa</w:t>
      </w:r>
      <w:proofErr w:type="spellEnd"/>
      <w:r>
        <w:rPr>
          <w:rStyle w:val="ffline"/>
        </w:rPr>
        <w:t xml:space="preserve"> </w:t>
      </w:r>
      <w:proofErr w:type="spellStart"/>
      <w:r>
        <w:rPr>
          <w:rStyle w:val="ffline"/>
        </w:rPr>
        <w:t>tgtaaaaatt</w:t>
      </w:r>
      <w:proofErr w:type="spellEnd"/>
    </w:p>
    <w:p w14:paraId="7CD4769A" w14:textId="77777777" w:rsidR="00F5628C" w:rsidRDefault="00F5628C" w:rsidP="00F5628C">
      <w:pPr>
        <w:pStyle w:val="HTMLPreformatted"/>
      </w:pPr>
      <w:proofErr w:type="spellStart"/>
      <w:r>
        <w:rPr>
          <w:rStyle w:val="ffline"/>
        </w:rPr>
        <w:t>tctgaaactg</w:t>
      </w:r>
      <w:proofErr w:type="spellEnd"/>
      <w:r>
        <w:rPr>
          <w:rStyle w:val="ffline"/>
        </w:rPr>
        <w:t xml:space="preserve"> </w:t>
      </w:r>
      <w:proofErr w:type="spellStart"/>
      <w:r>
        <w:rPr>
          <w:rStyle w:val="ffline"/>
        </w:rPr>
        <w:t>atcagaaaat</w:t>
      </w:r>
      <w:proofErr w:type="spellEnd"/>
      <w:r>
        <w:rPr>
          <w:rStyle w:val="ffline"/>
        </w:rPr>
        <w:t xml:space="preserve"> </w:t>
      </w:r>
      <w:proofErr w:type="spellStart"/>
      <w:r>
        <w:rPr>
          <w:rStyle w:val="ffline"/>
        </w:rPr>
        <w:t>tgcattgtct</w:t>
      </w:r>
      <w:proofErr w:type="spellEnd"/>
      <w:r>
        <w:rPr>
          <w:rStyle w:val="ffline"/>
        </w:rPr>
        <w:t xml:space="preserve"> </w:t>
      </w:r>
      <w:proofErr w:type="spellStart"/>
      <w:r>
        <w:rPr>
          <w:rStyle w:val="ffline"/>
        </w:rPr>
        <w:t>gattatgaaa</w:t>
      </w:r>
      <w:proofErr w:type="spellEnd"/>
      <w:r>
        <w:rPr>
          <w:rStyle w:val="ffline"/>
        </w:rPr>
        <w:t xml:space="preserve"> </w:t>
      </w:r>
      <w:proofErr w:type="spellStart"/>
      <w:r>
        <w:rPr>
          <w:rStyle w:val="ffline"/>
        </w:rPr>
        <w:t>aatcagttca</w:t>
      </w:r>
      <w:proofErr w:type="spellEnd"/>
      <w:r>
        <w:rPr>
          <w:rStyle w:val="ffline"/>
        </w:rPr>
        <w:t xml:space="preserve"> </w:t>
      </w:r>
      <w:proofErr w:type="spellStart"/>
      <w:r>
        <w:rPr>
          <w:rStyle w:val="ffline"/>
        </w:rPr>
        <w:t>gtcggcgttc</w:t>
      </w:r>
      <w:proofErr w:type="spellEnd"/>
    </w:p>
    <w:p w14:paraId="7DD6EB67" w14:textId="77777777" w:rsidR="00F5628C" w:rsidRDefault="00F5628C" w:rsidP="00F5628C">
      <w:pPr>
        <w:pStyle w:val="HTMLPreformatted"/>
      </w:pPr>
      <w:proofErr w:type="spellStart"/>
      <w:r>
        <w:rPr>
          <w:rStyle w:val="ffline"/>
        </w:rPr>
        <w:t>cgtgaagtta</w:t>
      </w:r>
      <w:proofErr w:type="spellEnd"/>
      <w:r>
        <w:rPr>
          <w:rStyle w:val="ffline"/>
        </w:rPr>
        <w:t xml:space="preserve"> </w:t>
      </w:r>
      <w:proofErr w:type="spellStart"/>
      <w:r>
        <w:rPr>
          <w:rStyle w:val="ffline"/>
        </w:rPr>
        <w:t>atgacgcgct</w:t>
      </w:r>
      <w:proofErr w:type="spellEnd"/>
      <w:r>
        <w:rPr>
          <w:rStyle w:val="ffline"/>
        </w:rPr>
        <w:t xml:space="preserve"> </w:t>
      </w:r>
      <w:proofErr w:type="spellStart"/>
      <w:r>
        <w:rPr>
          <w:rStyle w:val="ffline"/>
        </w:rPr>
        <w:t>tgcaactcgt</w:t>
      </w:r>
      <w:proofErr w:type="spellEnd"/>
      <w:r>
        <w:rPr>
          <w:rStyle w:val="ffline"/>
        </w:rPr>
        <w:t xml:space="preserve"> </w:t>
      </w:r>
      <w:proofErr w:type="spellStart"/>
      <w:r>
        <w:rPr>
          <w:rStyle w:val="ffline"/>
        </w:rPr>
        <w:t>gccaacattg</w:t>
      </w:r>
      <w:proofErr w:type="spellEnd"/>
      <w:r>
        <w:rPr>
          <w:rStyle w:val="ffline"/>
        </w:rPr>
        <w:t xml:space="preserve"> </w:t>
      </w:r>
      <w:proofErr w:type="spellStart"/>
      <w:r>
        <w:rPr>
          <w:rStyle w:val="ffline"/>
        </w:rPr>
        <w:t>gtgagcgttt</w:t>
      </w:r>
      <w:proofErr w:type="spellEnd"/>
      <w:r>
        <w:rPr>
          <w:rStyle w:val="ffline"/>
        </w:rPr>
        <w:t xml:space="preserve"> </w:t>
      </w:r>
      <w:proofErr w:type="spellStart"/>
      <w:r>
        <w:rPr>
          <w:rStyle w:val="ffline"/>
        </w:rPr>
        <w:t>aacagcacaa</w:t>
      </w:r>
      <w:proofErr w:type="spellEnd"/>
    </w:p>
    <w:p w14:paraId="3911B931" w14:textId="77777777" w:rsidR="00F5628C" w:rsidRDefault="00F5628C" w:rsidP="00F5628C">
      <w:pPr>
        <w:pStyle w:val="HTMLPreformatted"/>
      </w:pPr>
      <w:proofErr w:type="spellStart"/>
      <w:r>
        <w:rPr>
          <w:rStyle w:val="ffline"/>
        </w:rPr>
        <w:t>caacgtctag</w:t>
      </w:r>
      <w:proofErr w:type="spellEnd"/>
      <w:r>
        <w:rPr>
          <w:rStyle w:val="ffline"/>
        </w:rPr>
        <w:t xml:space="preserve"> </w:t>
      </w:r>
      <w:proofErr w:type="spellStart"/>
      <w:r>
        <w:rPr>
          <w:rStyle w:val="ffline"/>
        </w:rPr>
        <w:t>tagaagcgac</w:t>
      </w:r>
      <w:proofErr w:type="spellEnd"/>
      <w:r>
        <w:rPr>
          <w:rStyle w:val="ffline"/>
        </w:rPr>
        <w:t xml:space="preserve"> </w:t>
      </w:r>
      <w:proofErr w:type="spellStart"/>
      <w:r>
        <w:rPr>
          <w:rStyle w:val="ffline"/>
        </w:rPr>
        <w:t>taaccgcaac</w:t>
      </w:r>
      <w:proofErr w:type="spellEnd"/>
      <w:r>
        <w:rPr>
          <w:rStyle w:val="ffline"/>
        </w:rPr>
        <w:t xml:space="preserve"> </w:t>
      </w:r>
      <w:proofErr w:type="spellStart"/>
      <w:r>
        <w:rPr>
          <w:rStyle w:val="ffline"/>
        </w:rPr>
        <w:t>tacacacttt</w:t>
      </w:r>
      <w:proofErr w:type="spellEnd"/>
      <w:r>
        <w:rPr>
          <w:rStyle w:val="ffline"/>
        </w:rPr>
        <w:t xml:space="preserve"> </w:t>
      </w:r>
      <w:proofErr w:type="spellStart"/>
      <w:r>
        <w:rPr>
          <w:rStyle w:val="ffline"/>
        </w:rPr>
        <w:t>caaatgcccg</w:t>
      </w:r>
      <w:proofErr w:type="spellEnd"/>
      <w:r>
        <w:rPr>
          <w:rStyle w:val="ffline"/>
        </w:rPr>
        <w:t xml:space="preserve"> </w:t>
      </w:r>
      <w:proofErr w:type="spellStart"/>
      <w:r>
        <w:rPr>
          <w:rStyle w:val="ffline"/>
        </w:rPr>
        <w:t>cttccgtgct</w:t>
      </w:r>
      <w:proofErr w:type="spellEnd"/>
    </w:p>
    <w:p w14:paraId="77FA607E" w14:textId="77777777" w:rsidR="00F5628C" w:rsidRDefault="00F5628C" w:rsidP="00F5628C">
      <w:pPr>
        <w:pStyle w:val="HTMLPreformatted"/>
      </w:pPr>
      <w:proofErr w:type="spellStart"/>
      <w:r>
        <w:rPr>
          <w:rStyle w:val="ffline"/>
        </w:rPr>
        <w:t>ggtattgata</w:t>
      </w:r>
      <w:proofErr w:type="spellEnd"/>
      <w:r>
        <w:rPr>
          <w:rStyle w:val="ffline"/>
        </w:rPr>
        <w:t xml:space="preserve"> </w:t>
      </w:r>
      <w:proofErr w:type="spellStart"/>
      <w:r>
        <w:rPr>
          <w:rStyle w:val="ffline"/>
        </w:rPr>
        <w:t>gttacttgac</w:t>
      </w:r>
      <w:proofErr w:type="spellEnd"/>
      <w:r>
        <w:rPr>
          <w:rStyle w:val="ffline"/>
        </w:rPr>
        <w:t xml:space="preserve"> </w:t>
      </w:r>
      <w:proofErr w:type="spellStart"/>
      <w:r>
        <w:rPr>
          <w:rStyle w:val="ffline"/>
        </w:rPr>
        <w:t>tgttcttgat</w:t>
      </w:r>
      <w:proofErr w:type="spellEnd"/>
      <w:r>
        <w:rPr>
          <w:rStyle w:val="ffline"/>
        </w:rPr>
        <w:t xml:space="preserve"> </w:t>
      </w:r>
      <w:proofErr w:type="spellStart"/>
      <w:r>
        <w:rPr>
          <w:rStyle w:val="ffline"/>
        </w:rPr>
        <w:t>gcgcagcgtt</w:t>
      </w:r>
      <w:proofErr w:type="spellEnd"/>
      <w:r>
        <w:rPr>
          <w:rStyle w:val="ffline"/>
        </w:rPr>
        <w:t xml:space="preserve"> </w:t>
      </w:r>
      <w:proofErr w:type="spellStart"/>
      <w:r>
        <w:rPr>
          <w:rStyle w:val="ffline"/>
        </w:rPr>
        <w:t>cttcatatgc</w:t>
      </w:r>
      <w:proofErr w:type="spellEnd"/>
      <w:r>
        <w:rPr>
          <w:rStyle w:val="ffline"/>
        </w:rPr>
        <w:t xml:space="preserve"> </w:t>
      </w:r>
      <w:proofErr w:type="spellStart"/>
      <w:r>
        <w:rPr>
          <w:rStyle w:val="ffline"/>
        </w:rPr>
        <w:t>agctgaacaa</w:t>
      </w:r>
      <w:proofErr w:type="spellEnd"/>
    </w:p>
    <w:p w14:paraId="5B54BDDA" w14:textId="77777777" w:rsidR="00F5628C" w:rsidRDefault="00F5628C" w:rsidP="00F5628C">
      <w:pPr>
        <w:pStyle w:val="HTMLPreformatted"/>
      </w:pPr>
      <w:proofErr w:type="spellStart"/>
      <w:r>
        <w:rPr>
          <w:rStyle w:val="ffline"/>
        </w:rPr>
        <w:t>ggtttgttat</w:t>
      </w:r>
      <w:proofErr w:type="spellEnd"/>
      <w:r>
        <w:rPr>
          <w:rStyle w:val="ffline"/>
        </w:rPr>
        <w:t xml:space="preserve"> </w:t>
      </w:r>
      <w:proofErr w:type="spellStart"/>
      <w:r>
        <w:rPr>
          <w:rStyle w:val="ffline"/>
        </w:rPr>
        <w:t>tgcttcaaca</w:t>
      </w:r>
      <w:proofErr w:type="spellEnd"/>
      <w:r>
        <w:rPr>
          <w:rStyle w:val="ffline"/>
        </w:rPr>
        <w:t xml:space="preserve"> </w:t>
      </w:r>
      <w:proofErr w:type="spellStart"/>
      <w:r>
        <w:rPr>
          <w:rStyle w:val="ffline"/>
        </w:rPr>
        <w:t>agcaaactta</w:t>
      </w:r>
      <w:proofErr w:type="spellEnd"/>
      <w:r>
        <w:rPr>
          <w:rStyle w:val="ffline"/>
        </w:rPr>
        <w:t xml:space="preserve"> </w:t>
      </w:r>
      <w:proofErr w:type="spellStart"/>
      <w:r>
        <w:rPr>
          <w:rStyle w:val="ffline"/>
        </w:rPr>
        <w:t>aacaaccaaa</w:t>
      </w:r>
      <w:proofErr w:type="spellEnd"/>
      <w:r>
        <w:rPr>
          <w:rStyle w:val="ffline"/>
        </w:rPr>
        <w:t xml:space="preserve"> </w:t>
      </w:r>
      <w:proofErr w:type="spellStart"/>
      <w:r>
        <w:rPr>
          <w:rStyle w:val="ffline"/>
        </w:rPr>
        <w:t>tcgagttata</w:t>
      </w:r>
      <w:proofErr w:type="spellEnd"/>
      <w:r>
        <w:rPr>
          <w:rStyle w:val="ffline"/>
        </w:rPr>
        <w:t xml:space="preserve"> </w:t>
      </w:r>
      <w:proofErr w:type="spellStart"/>
      <w:r>
        <w:rPr>
          <w:rStyle w:val="ffline"/>
        </w:rPr>
        <w:t>caaaactcta</w:t>
      </w:r>
      <w:proofErr w:type="spellEnd"/>
    </w:p>
    <w:p w14:paraId="5D044C9B" w14:textId="77777777" w:rsidR="00F5628C" w:rsidRDefault="00F5628C" w:rsidP="00F5628C">
      <w:pPr>
        <w:pStyle w:val="HTMLPreformatted"/>
      </w:pPr>
      <w:proofErr w:type="spellStart"/>
      <w:r>
        <w:rPr>
          <w:rStyle w:val="ffline"/>
        </w:rPr>
        <w:t>ggtggcggtt</w:t>
      </w:r>
      <w:proofErr w:type="spellEnd"/>
      <w:r>
        <w:rPr>
          <w:rStyle w:val="ffline"/>
        </w:rPr>
        <w:t xml:space="preserve"> </w:t>
      </w:r>
      <w:proofErr w:type="spellStart"/>
      <w:r>
        <w:rPr>
          <w:rStyle w:val="ffline"/>
        </w:rPr>
        <w:t>taaaagcaaa</w:t>
      </w:r>
      <w:proofErr w:type="spellEnd"/>
      <w:r>
        <w:rPr>
          <w:rStyle w:val="ffline"/>
        </w:rPr>
        <w:t xml:space="preserve"> </w:t>
      </w:r>
      <w:proofErr w:type="spellStart"/>
      <w:r>
        <w:rPr>
          <w:rStyle w:val="ffline"/>
        </w:rPr>
        <w:t>tacttcagat</w:t>
      </w:r>
      <w:proofErr w:type="spellEnd"/>
      <w:r>
        <w:rPr>
          <w:rStyle w:val="ffline"/>
        </w:rPr>
        <w:t xml:space="preserve"> </w:t>
      </w:r>
      <w:proofErr w:type="spellStart"/>
      <w:r>
        <w:rPr>
          <w:rStyle w:val="ffline"/>
        </w:rPr>
        <w:t>acagtggtac</w:t>
      </w:r>
      <w:proofErr w:type="spellEnd"/>
      <w:r>
        <w:rPr>
          <w:rStyle w:val="ffline"/>
        </w:rPr>
        <w:t xml:space="preserve"> </w:t>
      </w:r>
      <w:proofErr w:type="spellStart"/>
      <w:r>
        <w:rPr>
          <w:rStyle w:val="ffline"/>
        </w:rPr>
        <w:t>atcaaccatc</w:t>
      </w:r>
      <w:proofErr w:type="spellEnd"/>
      <w:r>
        <w:rPr>
          <w:rStyle w:val="ffline"/>
        </w:rPr>
        <w:t xml:space="preserve"> </w:t>
      </w:r>
      <w:proofErr w:type="spellStart"/>
      <w:r>
        <w:rPr>
          <w:rStyle w:val="ffline"/>
        </w:rPr>
        <w:t>tagtgctgaa</w:t>
      </w:r>
      <w:proofErr w:type="spellEnd"/>
    </w:p>
    <w:p w14:paraId="08FBAC2E" w14:textId="77777777" w:rsidR="00F5628C" w:rsidRDefault="00F5628C" w:rsidP="00F5628C">
      <w:pPr>
        <w:pStyle w:val="HTMLPreformatted"/>
      </w:pPr>
      <w:proofErr w:type="spellStart"/>
      <w:r>
        <w:rPr>
          <w:rStyle w:val="ffline"/>
        </w:rPr>
        <w:t>cttaaaaagc</w:t>
      </w:r>
      <w:proofErr w:type="spellEnd"/>
      <w:r>
        <w:rPr>
          <w:rStyle w:val="ffline"/>
        </w:rPr>
        <w:t xml:space="preserve"> </w:t>
      </w:r>
      <w:proofErr w:type="spellStart"/>
      <w:r>
        <w:rPr>
          <w:rStyle w:val="ffline"/>
        </w:rPr>
        <w:t>aataa</w:t>
      </w:r>
      <w:proofErr w:type="spellEnd"/>
    </w:p>
    <w:p w14:paraId="5691BBBF" w14:textId="36100550" w:rsidR="00FD502E" w:rsidRDefault="00FD502E" w:rsidP="00FD502E">
      <w:pPr>
        <w:rPr>
          <w:sz w:val="24"/>
          <w:szCs w:val="24"/>
        </w:rPr>
      </w:pPr>
    </w:p>
    <w:p w14:paraId="4B1A2102" w14:textId="7D759AE3" w:rsidR="00F5628C" w:rsidRDefault="00F5628C" w:rsidP="00F5628C">
      <w:r>
        <w:rPr>
          <w:sz w:val="24"/>
          <w:szCs w:val="24"/>
        </w:rPr>
        <w:t>&gt;</w:t>
      </w:r>
      <w:r>
        <w:t>ABUW_1949 (</w:t>
      </w:r>
      <w:proofErr w:type="spellStart"/>
      <w:r w:rsidRPr="00F5628C">
        <w:rPr>
          <w:i/>
          <w:iCs/>
        </w:rPr>
        <w:t>amfA</w:t>
      </w:r>
      <w:proofErr w:type="spellEnd"/>
      <w:r>
        <w:t>)</w:t>
      </w:r>
      <w:r w:rsidR="00832EB7">
        <w:t xml:space="preserve"> GenBank: CP008706.1</w:t>
      </w:r>
    </w:p>
    <w:p w14:paraId="3988C5DA" w14:textId="448573BC" w:rsidR="00F5628C" w:rsidRDefault="00F5628C" w:rsidP="00F5628C">
      <w:pPr>
        <w:pStyle w:val="HTMLPreformatted"/>
      </w:pPr>
      <w:proofErr w:type="spellStart"/>
      <w:r>
        <w:rPr>
          <w:rStyle w:val="ffline"/>
        </w:rPr>
        <w:t>atggataacg</w:t>
      </w:r>
      <w:proofErr w:type="spellEnd"/>
      <w:r>
        <w:rPr>
          <w:rStyle w:val="ffline"/>
        </w:rPr>
        <w:t xml:space="preserve"> </w:t>
      </w:r>
      <w:proofErr w:type="spellStart"/>
      <w:r>
        <w:rPr>
          <w:rStyle w:val="ffline"/>
        </w:rPr>
        <w:t>tagctcagct</w:t>
      </w:r>
      <w:proofErr w:type="spellEnd"/>
      <w:r>
        <w:rPr>
          <w:rStyle w:val="ffline"/>
        </w:rPr>
        <w:t xml:space="preserve"> </w:t>
      </w:r>
      <w:proofErr w:type="spellStart"/>
      <w:r>
        <w:rPr>
          <w:rStyle w:val="ffline"/>
        </w:rPr>
        <w:t>agaaactgat</w:t>
      </w:r>
      <w:proofErr w:type="spellEnd"/>
      <w:r>
        <w:rPr>
          <w:rStyle w:val="ffline"/>
        </w:rPr>
        <w:t xml:space="preserve"> </w:t>
      </w:r>
      <w:proofErr w:type="spellStart"/>
      <w:r>
        <w:rPr>
          <w:rStyle w:val="ffline"/>
        </w:rPr>
        <w:t>actaatttcc</w:t>
      </w:r>
      <w:proofErr w:type="spellEnd"/>
      <w:r>
        <w:rPr>
          <w:rStyle w:val="ffline"/>
        </w:rPr>
        <w:t xml:space="preserve"> </w:t>
      </w:r>
      <w:proofErr w:type="spellStart"/>
      <w:r>
        <w:rPr>
          <w:rStyle w:val="ffline"/>
        </w:rPr>
        <w:t>aaagccgaaa</w:t>
      </w:r>
      <w:proofErr w:type="spellEnd"/>
      <w:r>
        <w:rPr>
          <w:rStyle w:val="ffline"/>
        </w:rPr>
        <w:t xml:space="preserve"> </w:t>
      </w:r>
      <w:proofErr w:type="spellStart"/>
      <w:r>
        <w:rPr>
          <w:rStyle w:val="ffline"/>
        </w:rPr>
        <w:t>gaaaataact</w:t>
      </w:r>
      <w:proofErr w:type="spellEnd"/>
    </w:p>
    <w:p w14:paraId="4F1B09D2" w14:textId="4EB5DAB3" w:rsidR="00F5628C" w:rsidRDefault="00F5628C" w:rsidP="00F5628C">
      <w:pPr>
        <w:pStyle w:val="HTMLPreformatted"/>
      </w:pPr>
      <w:proofErr w:type="spellStart"/>
      <w:r>
        <w:rPr>
          <w:rStyle w:val="ffline"/>
        </w:rPr>
        <w:t>tggggtgttt</w:t>
      </w:r>
      <w:proofErr w:type="spellEnd"/>
      <w:r>
        <w:rPr>
          <w:rStyle w:val="ffline"/>
        </w:rPr>
        <w:t xml:space="preserve"> </w:t>
      </w:r>
      <w:proofErr w:type="spellStart"/>
      <w:r>
        <w:rPr>
          <w:rStyle w:val="ffline"/>
        </w:rPr>
        <w:t>ttagtgtcct</w:t>
      </w:r>
      <w:proofErr w:type="spellEnd"/>
      <w:r>
        <w:rPr>
          <w:rStyle w:val="ffline"/>
        </w:rPr>
        <w:t xml:space="preserve"> </w:t>
      </w:r>
      <w:proofErr w:type="spellStart"/>
      <w:r>
        <w:rPr>
          <w:rStyle w:val="ffline"/>
        </w:rPr>
        <w:t>gctgttattt</w:t>
      </w:r>
      <w:proofErr w:type="spellEnd"/>
      <w:r>
        <w:rPr>
          <w:rStyle w:val="ffline"/>
        </w:rPr>
        <w:t xml:space="preserve"> </w:t>
      </w:r>
      <w:proofErr w:type="spellStart"/>
      <w:r>
        <w:rPr>
          <w:rStyle w:val="ffline"/>
        </w:rPr>
        <w:t>ttagttgctg</w:t>
      </w:r>
      <w:proofErr w:type="spellEnd"/>
      <w:r>
        <w:rPr>
          <w:rStyle w:val="ffline"/>
        </w:rPr>
        <w:t xml:space="preserve"> </w:t>
      </w:r>
      <w:proofErr w:type="spellStart"/>
      <w:r>
        <w:rPr>
          <w:rStyle w:val="ffline"/>
        </w:rPr>
        <w:t>gcatcttata</w:t>
      </w:r>
      <w:proofErr w:type="spellEnd"/>
      <w:r>
        <w:rPr>
          <w:rStyle w:val="ffline"/>
        </w:rPr>
        <w:t xml:space="preserve"> </w:t>
      </w:r>
      <w:proofErr w:type="spellStart"/>
      <w:r>
        <w:rPr>
          <w:rStyle w:val="ffline"/>
        </w:rPr>
        <w:t>ttattttttt</w:t>
      </w:r>
      <w:proofErr w:type="spellEnd"/>
    </w:p>
    <w:p w14:paraId="5B549E05" w14:textId="3193D1FB" w:rsidR="00F5628C" w:rsidRDefault="00F5628C" w:rsidP="00F5628C">
      <w:pPr>
        <w:pStyle w:val="HTMLPreformatted"/>
      </w:pPr>
      <w:proofErr w:type="spellStart"/>
      <w:r>
        <w:rPr>
          <w:rStyle w:val="ffline"/>
        </w:rPr>
        <w:t>gtataccgat</w:t>
      </w:r>
      <w:proofErr w:type="spellEnd"/>
      <w:r>
        <w:rPr>
          <w:rStyle w:val="ffline"/>
        </w:rPr>
        <w:t xml:space="preserve"> </w:t>
      </w:r>
      <w:proofErr w:type="spellStart"/>
      <w:r>
        <w:rPr>
          <w:rStyle w:val="ffline"/>
        </w:rPr>
        <w:t>tctatcaatc</w:t>
      </w:r>
      <w:proofErr w:type="spellEnd"/>
      <w:r>
        <w:rPr>
          <w:rStyle w:val="ffline"/>
        </w:rPr>
        <w:t xml:space="preserve"> </w:t>
      </w:r>
      <w:proofErr w:type="spellStart"/>
      <w:r>
        <w:rPr>
          <w:rStyle w:val="ffline"/>
        </w:rPr>
        <w:t>tactgataat</w:t>
      </w:r>
      <w:proofErr w:type="spellEnd"/>
      <w:r>
        <w:rPr>
          <w:rStyle w:val="ffline"/>
        </w:rPr>
        <w:t xml:space="preserve"> </w:t>
      </w:r>
      <w:proofErr w:type="spellStart"/>
      <w:r>
        <w:rPr>
          <w:rStyle w:val="ffline"/>
        </w:rPr>
        <w:t>gcttatgtac</w:t>
      </w:r>
      <w:proofErr w:type="spellEnd"/>
      <w:r>
        <w:rPr>
          <w:rStyle w:val="ffline"/>
        </w:rPr>
        <w:t xml:space="preserve"> </w:t>
      </w:r>
      <w:proofErr w:type="spellStart"/>
      <w:r>
        <w:rPr>
          <w:rStyle w:val="ffline"/>
        </w:rPr>
        <w:t>aagccgatgt</w:t>
      </w:r>
      <w:proofErr w:type="spellEnd"/>
      <w:r>
        <w:rPr>
          <w:rStyle w:val="ffline"/>
        </w:rPr>
        <w:t xml:space="preserve"> </w:t>
      </w:r>
      <w:proofErr w:type="spellStart"/>
      <w:r>
        <w:rPr>
          <w:rStyle w:val="ffline"/>
        </w:rPr>
        <w:t>cacttgggtg</w:t>
      </w:r>
      <w:proofErr w:type="spellEnd"/>
    </w:p>
    <w:p w14:paraId="583F12C3" w14:textId="0EEB5291" w:rsidR="00F5628C" w:rsidRDefault="00F5628C" w:rsidP="00F5628C">
      <w:pPr>
        <w:pStyle w:val="HTMLPreformatted"/>
      </w:pPr>
      <w:proofErr w:type="spellStart"/>
      <w:r>
        <w:rPr>
          <w:rStyle w:val="ffline"/>
        </w:rPr>
        <w:t>atgccaaaga</w:t>
      </w:r>
      <w:proofErr w:type="spellEnd"/>
      <w:r>
        <w:rPr>
          <w:rStyle w:val="ffline"/>
        </w:rPr>
        <w:t xml:space="preserve"> </w:t>
      </w:r>
      <w:proofErr w:type="spellStart"/>
      <w:r>
        <w:rPr>
          <w:rStyle w:val="ffline"/>
        </w:rPr>
        <w:t>tttcaggcga</w:t>
      </w:r>
      <w:proofErr w:type="spellEnd"/>
      <w:r>
        <w:rPr>
          <w:rStyle w:val="ffline"/>
        </w:rPr>
        <w:t xml:space="preserve"> </w:t>
      </w:r>
      <w:proofErr w:type="spellStart"/>
      <w:r>
        <w:rPr>
          <w:rStyle w:val="ffline"/>
        </w:rPr>
        <w:t>agtgatggag</w:t>
      </w:r>
      <w:proofErr w:type="spellEnd"/>
      <w:r>
        <w:rPr>
          <w:rStyle w:val="ffline"/>
        </w:rPr>
        <w:t xml:space="preserve"> </w:t>
      </w:r>
      <w:proofErr w:type="spellStart"/>
      <w:r>
        <w:rPr>
          <w:rStyle w:val="ffline"/>
        </w:rPr>
        <w:t>ttattaatta</w:t>
      </w:r>
      <w:proofErr w:type="spellEnd"/>
      <w:r>
        <w:rPr>
          <w:rStyle w:val="ffline"/>
        </w:rPr>
        <w:t xml:space="preserve"> </w:t>
      </w:r>
      <w:proofErr w:type="spellStart"/>
      <w:r>
        <w:rPr>
          <w:rStyle w:val="ffline"/>
        </w:rPr>
        <w:t>acgataatca</w:t>
      </w:r>
      <w:proofErr w:type="spellEnd"/>
      <w:r>
        <w:rPr>
          <w:rStyle w:val="ffline"/>
        </w:rPr>
        <w:t xml:space="preserve"> </w:t>
      </w:r>
      <w:proofErr w:type="spellStart"/>
      <w:r>
        <w:rPr>
          <w:rStyle w:val="ffline"/>
        </w:rPr>
        <w:t>gtttgtaaaa</w:t>
      </w:r>
      <w:proofErr w:type="spellEnd"/>
    </w:p>
    <w:p w14:paraId="06BFA0BB" w14:textId="74CB49FB" w:rsidR="00F5628C" w:rsidRDefault="00F5628C" w:rsidP="00F5628C">
      <w:pPr>
        <w:pStyle w:val="HTMLPreformatted"/>
      </w:pPr>
      <w:proofErr w:type="spellStart"/>
      <w:r>
        <w:rPr>
          <w:rStyle w:val="ffline"/>
        </w:rPr>
        <w:t>aaaggggaaa</w:t>
      </w:r>
      <w:proofErr w:type="spellEnd"/>
      <w:r>
        <w:rPr>
          <w:rStyle w:val="ffline"/>
        </w:rPr>
        <w:t xml:space="preserve"> </w:t>
      </w:r>
      <w:proofErr w:type="spellStart"/>
      <w:r>
        <w:rPr>
          <w:rStyle w:val="ffline"/>
        </w:rPr>
        <w:t>ctttagcggt</w:t>
      </w:r>
      <w:proofErr w:type="spellEnd"/>
      <w:r>
        <w:rPr>
          <w:rStyle w:val="ffline"/>
        </w:rPr>
        <w:t xml:space="preserve"> </w:t>
      </w:r>
      <w:proofErr w:type="spellStart"/>
      <w:r>
        <w:rPr>
          <w:rStyle w:val="ffline"/>
        </w:rPr>
        <w:t>attagaccat</w:t>
      </w:r>
      <w:proofErr w:type="spellEnd"/>
      <w:r>
        <w:rPr>
          <w:rStyle w:val="ffline"/>
        </w:rPr>
        <w:t xml:space="preserve"> </w:t>
      </w:r>
      <w:proofErr w:type="spellStart"/>
      <w:r>
        <w:rPr>
          <w:rStyle w:val="ffline"/>
        </w:rPr>
        <w:t>cgtgactacc</w:t>
      </w:r>
      <w:proofErr w:type="spellEnd"/>
      <w:r>
        <w:rPr>
          <w:rStyle w:val="ffline"/>
        </w:rPr>
        <w:t xml:space="preserve"> </w:t>
      </w:r>
      <w:proofErr w:type="spellStart"/>
      <w:r>
        <w:rPr>
          <w:rStyle w:val="ffline"/>
        </w:rPr>
        <w:t>aagctcgtta</w:t>
      </w:r>
      <w:proofErr w:type="spellEnd"/>
      <w:r>
        <w:rPr>
          <w:rStyle w:val="ffline"/>
        </w:rPr>
        <w:t xml:space="preserve"> </w:t>
      </w:r>
      <w:proofErr w:type="spellStart"/>
      <w:r>
        <w:rPr>
          <w:rStyle w:val="ffline"/>
        </w:rPr>
        <w:t>tgaccaagcc</w:t>
      </w:r>
      <w:proofErr w:type="spellEnd"/>
    </w:p>
    <w:p w14:paraId="0085C9E7" w14:textId="35E22310" w:rsidR="00F5628C" w:rsidRDefault="00F5628C" w:rsidP="00F5628C">
      <w:pPr>
        <w:pStyle w:val="HTMLPreformatted"/>
      </w:pPr>
      <w:proofErr w:type="spellStart"/>
      <w:r>
        <w:rPr>
          <w:rStyle w:val="ffline"/>
        </w:rPr>
        <w:t>cgttctgtgg</w:t>
      </w:r>
      <w:proofErr w:type="spellEnd"/>
      <w:r>
        <w:rPr>
          <w:rStyle w:val="ffline"/>
        </w:rPr>
        <w:t xml:space="preserve"> </w:t>
      </w:r>
      <w:proofErr w:type="spellStart"/>
      <w:r>
        <w:rPr>
          <w:rStyle w:val="ffline"/>
        </w:rPr>
        <w:t>tcagcttaaa</w:t>
      </w:r>
      <w:proofErr w:type="spellEnd"/>
      <w:r>
        <w:rPr>
          <w:rStyle w:val="ffline"/>
        </w:rPr>
        <w:t xml:space="preserve"> </w:t>
      </w:r>
      <w:proofErr w:type="spellStart"/>
      <w:r>
        <w:rPr>
          <w:rStyle w:val="ffline"/>
        </w:rPr>
        <w:t>agaagcagcg</w:t>
      </w:r>
      <w:proofErr w:type="spellEnd"/>
      <w:r>
        <w:rPr>
          <w:rStyle w:val="ffline"/>
        </w:rPr>
        <w:t xml:space="preserve"> </w:t>
      </w:r>
      <w:proofErr w:type="spellStart"/>
      <w:r>
        <w:rPr>
          <w:rStyle w:val="ffline"/>
        </w:rPr>
        <w:t>ctgggtgtac</w:t>
      </w:r>
      <w:proofErr w:type="spellEnd"/>
      <w:r>
        <w:rPr>
          <w:rStyle w:val="ffline"/>
        </w:rPr>
        <w:t xml:space="preserve"> </w:t>
      </w:r>
      <w:proofErr w:type="spellStart"/>
      <w:r>
        <w:rPr>
          <w:rStyle w:val="ffline"/>
        </w:rPr>
        <w:t>aacaacaaaa</w:t>
      </w:r>
      <w:proofErr w:type="spellEnd"/>
      <w:r>
        <w:rPr>
          <w:rStyle w:val="ffline"/>
        </w:rPr>
        <w:t xml:space="preserve"> </w:t>
      </w:r>
      <w:proofErr w:type="spellStart"/>
      <w:r>
        <w:rPr>
          <w:rStyle w:val="ffline"/>
        </w:rPr>
        <w:t>tgaaaagtct</w:t>
      </w:r>
      <w:proofErr w:type="spellEnd"/>
    </w:p>
    <w:p w14:paraId="279F5D97" w14:textId="3F67E079" w:rsidR="00F5628C" w:rsidRDefault="00F5628C" w:rsidP="00F5628C">
      <w:pPr>
        <w:pStyle w:val="HTMLPreformatted"/>
      </w:pPr>
      <w:proofErr w:type="spellStart"/>
      <w:r>
        <w:rPr>
          <w:rStyle w:val="ffline"/>
        </w:rPr>
        <w:t>gcacggtcgt</w:t>
      </w:r>
      <w:proofErr w:type="spellEnd"/>
      <w:r>
        <w:rPr>
          <w:rStyle w:val="ffline"/>
        </w:rPr>
        <w:t xml:space="preserve"> </w:t>
      </w:r>
      <w:proofErr w:type="spellStart"/>
      <w:r>
        <w:rPr>
          <w:rStyle w:val="ffline"/>
        </w:rPr>
        <w:t>caattattga</w:t>
      </w:r>
      <w:proofErr w:type="spellEnd"/>
      <w:r>
        <w:rPr>
          <w:rStyle w:val="ffline"/>
        </w:rPr>
        <w:t xml:space="preserve"> </w:t>
      </w:r>
      <w:proofErr w:type="spellStart"/>
      <w:r>
        <w:rPr>
          <w:rStyle w:val="ffline"/>
        </w:rPr>
        <w:t>agcaaatagt</w:t>
      </w:r>
      <w:proofErr w:type="spellEnd"/>
      <w:r>
        <w:rPr>
          <w:rStyle w:val="ffline"/>
        </w:rPr>
        <w:t xml:space="preserve"> </w:t>
      </w:r>
      <w:proofErr w:type="spellStart"/>
      <w:r>
        <w:rPr>
          <w:rStyle w:val="ffline"/>
        </w:rPr>
        <w:t>ggtgtagtgg</w:t>
      </w:r>
      <w:proofErr w:type="spellEnd"/>
      <w:r>
        <w:rPr>
          <w:rStyle w:val="ffline"/>
        </w:rPr>
        <w:t xml:space="preserve"> </w:t>
      </w:r>
      <w:proofErr w:type="spellStart"/>
      <w:r>
        <w:rPr>
          <w:rStyle w:val="ffline"/>
        </w:rPr>
        <w:t>cagcacaagc</w:t>
      </w:r>
      <w:proofErr w:type="spellEnd"/>
      <w:r>
        <w:rPr>
          <w:rStyle w:val="ffline"/>
        </w:rPr>
        <w:t xml:space="preserve"> </w:t>
      </w:r>
      <w:proofErr w:type="spellStart"/>
      <w:r>
        <w:rPr>
          <w:rStyle w:val="ffline"/>
        </w:rPr>
        <w:t>tgatttagcg</w:t>
      </w:r>
      <w:proofErr w:type="spellEnd"/>
    </w:p>
    <w:p w14:paraId="27D625F3" w14:textId="0F1B5CA0" w:rsidR="00F5628C" w:rsidRDefault="00F5628C" w:rsidP="00F5628C">
      <w:pPr>
        <w:pStyle w:val="HTMLPreformatted"/>
      </w:pPr>
      <w:proofErr w:type="spellStart"/>
      <w:r>
        <w:rPr>
          <w:rStyle w:val="ffline"/>
        </w:rPr>
        <w:t>cgtttgaaaa</w:t>
      </w:r>
      <w:proofErr w:type="spellEnd"/>
      <w:r>
        <w:rPr>
          <w:rStyle w:val="ffline"/>
        </w:rPr>
        <w:t xml:space="preserve"> </w:t>
      </w:r>
      <w:proofErr w:type="spellStart"/>
      <w:r>
        <w:rPr>
          <w:rStyle w:val="ffline"/>
        </w:rPr>
        <w:t>aagagttcga</w:t>
      </w:r>
      <w:proofErr w:type="spellEnd"/>
      <w:r>
        <w:rPr>
          <w:rStyle w:val="ffline"/>
        </w:rPr>
        <w:t xml:space="preserve"> </w:t>
      </w:r>
      <w:proofErr w:type="spellStart"/>
      <w:r>
        <w:rPr>
          <w:rStyle w:val="ffline"/>
        </w:rPr>
        <w:t>gcgttatcaa</w:t>
      </w:r>
      <w:proofErr w:type="spellEnd"/>
      <w:r>
        <w:rPr>
          <w:rStyle w:val="ffline"/>
        </w:rPr>
        <w:t xml:space="preserve"> </w:t>
      </w:r>
      <w:proofErr w:type="spellStart"/>
      <w:r>
        <w:rPr>
          <w:rStyle w:val="ffline"/>
        </w:rPr>
        <w:t>gatttattaa</w:t>
      </w:r>
      <w:proofErr w:type="spellEnd"/>
      <w:r>
        <w:rPr>
          <w:rStyle w:val="ffline"/>
        </w:rPr>
        <w:t xml:space="preserve"> </w:t>
      </w:r>
      <w:proofErr w:type="spellStart"/>
      <w:r>
        <w:rPr>
          <w:rStyle w:val="ffline"/>
        </w:rPr>
        <w:t>aagatggcgt</w:t>
      </w:r>
      <w:proofErr w:type="spellEnd"/>
      <w:r>
        <w:rPr>
          <w:rStyle w:val="ffline"/>
        </w:rPr>
        <w:t xml:space="preserve"> </w:t>
      </w:r>
      <w:proofErr w:type="spellStart"/>
      <w:r>
        <w:rPr>
          <w:rStyle w:val="ffline"/>
        </w:rPr>
        <w:t>aattacccga</w:t>
      </w:r>
      <w:proofErr w:type="spellEnd"/>
    </w:p>
    <w:p w14:paraId="5D7AB42E" w14:textId="27BD115C" w:rsidR="00F5628C" w:rsidRDefault="00F5628C" w:rsidP="00F5628C">
      <w:pPr>
        <w:pStyle w:val="HTMLPreformatted"/>
      </w:pPr>
      <w:proofErr w:type="spellStart"/>
      <w:r>
        <w:rPr>
          <w:rStyle w:val="ffline"/>
        </w:rPr>
        <w:t>caaaattttg</w:t>
      </w:r>
      <w:proofErr w:type="spellEnd"/>
      <w:r>
        <w:rPr>
          <w:rStyle w:val="ffline"/>
        </w:rPr>
        <w:t xml:space="preserve"> </w:t>
      </w:r>
      <w:proofErr w:type="spellStart"/>
      <w:r>
        <w:rPr>
          <w:rStyle w:val="ffline"/>
        </w:rPr>
        <w:t>aaggaatcca</w:t>
      </w:r>
      <w:proofErr w:type="spellEnd"/>
      <w:r>
        <w:rPr>
          <w:rStyle w:val="ffline"/>
        </w:rPr>
        <w:t xml:space="preserve"> </w:t>
      </w:r>
      <w:proofErr w:type="spellStart"/>
      <w:r>
        <w:rPr>
          <w:rStyle w:val="ffline"/>
        </w:rPr>
        <w:t>gtctcaatat</w:t>
      </w:r>
      <w:proofErr w:type="spellEnd"/>
      <w:r>
        <w:rPr>
          <w:rStyle w:val="ffline"/>
        </w:rPr>
        <w:t xml:space="preserve"> </w:t>
      </w:r>
      <w:proofErr w:type="spellStart"/>
      <w:r>
        <w:rPr>
          <w:rStyle w:val="ffline"/>
        </w:rPr>
        <w:t>ttaacggctc</w:t>
      </w:r>
      <w:proofErr w:type="spellEnd"/>
      <w:r>
        <w:rPr>
          <w:rStyle w:val="ffline"/>
        </w:rPr>
        <w:t xml:space="preserve"> </w:t>
      </w:r>
      <w:proofErr w:type="spellStart"/>
      <w:r>
        <w:rPr>
          <w:rStyle w:val="ffline"/>
        </w:rPr>
        <w:t>aggcacagct</w:t>
      </w:r>
      <w:proofErr w:type="spellEnd"/>
      <w:r>
        <w:rPr>
          <w:rStyle w:val="ffline"/>
        </w:rPr>
        <w:t xml:space="preserve"> </w:t>
      </w:r>
      <w:proofErr w:type="spellStart"/>
      <w:r>
        <w:rPr>
          <w:rStyle w:val="ffline"/>
        </w:rPr>
        <w:t>cagcaaagcg</w:t>
      </w:r>
      <w:proofErr w:type="spellEnd"/>
    </w:p>
    <w:p w14:paraId="475F2330" w14:textId="1B4FC8D8" w:rsidR="00F5628C" w:rsidRDefault="00F5628C" w:rsidP="00F5628C">
      <w:pPr>
        <w:pStyle w:val="HTMLPreformatted"/>
      </w:pPr>
      <w:proofErr w:type="spellStart"/>
      <w:r>
        <w:rPr>
          <w:rStyle w:val="ffline"/>
        </w:rPr>
        <w:t>caagccgccg</w:t>
      </w:r>
      <w:proofErr w:type="spellEnd"/>
      <w:r>
        <w:rPr>
          <w:rStyle w:val="ffline"/>
        </w:rPr>
        <w:t xml:space="preserve"> </w:t>
      </w:r>
      <w:proofErr w:type="spellStart"/>
      <w:r>
        <w:rPr>
          <w:rStyle w:val="ffline"/>
        </w:rPr>
        <w:t>taaatgcagc</w:t>
      </w:r>
      <w:proofErr w:type="spellEnd"/>
      <w:r>
        <w:rPr>
          <w:rStyle w:val="ffline"/>
        </w:rPr>
        <w:t xml:space="preserve"> </w:t>
      </w:r>
      <w:proofErr w:type="spellStart"/>
      <w:r>
        <w:rPr>
          <w:rStyle w:val="ffline"/>
        </w:rPr>
        <w:t>agaagctcag</w:t>
      </w:r>
      <w:proofErr w:type="spellEnd"/>
      <w:r>
        <w:rPr>
          <w:rStyle w:val="ffline"/>
        </w:rPr>
        <w:t xml:space="preserve"> </w:t>
      </w:r>
      <w:proofErr w:type="spellStart"/>
      <w:r>
        <w:rPr>
          <w:rStyle w:val="ffline"/>
        </w:rPr>
        <w:t>ttggggagtt</w:t>
      </w:r>
      <w:proofErr w:type="spellEnd"/>
      <w:r>
        <w:rPr>
          <w:rStyle w:val="ffline"/>
        </w:rPr>
        <w:t xml:space="preserve"> </w:t>
      </w:r>
      <w:proofErr w:type="spellStart"/>
      <w:r>
        <w:rPr>
          <w:rStyle w:val="ffline"/>
        </w:rPr>
        <w:t>tacaagccag</w:t>
      </w:r>
      <w:proofErr w:type="spellEnd"/>
      <w:r>
        <w:rPr>
          <w:rStyle w:val="ffline"/>
        </w:rPr>
        <w:t xml:space="preserve"> </w:t>
      </w:r>
      <w:proofErr w:type="spellStart"/>
      <w:r>
        <w:rPr>
          <w:rStyle w:val="ffline"/>
        </w:rPr>
        <w:t>tcgagcgcag</w:t>
      </w:r>
      <w:proofErr w:type="spellEnd"/>
    </w:p>
    <w:p w14:paraId="27D5BBC2" w14:textId="5ED8D8D0" w:rsidR="00F5628C" w:rsidRDefault="00F5628C" w:rsidP="00F5628C">
      <w:pPr>
        <w:pStyle w:val="HTMLPreformatted"/>
      </w:pPr>
      <w:proofErr w:type="spellStart"/>
      <w:r>
        <w:rPr>
          <w:rStyle w:val="ffline"/>
        </w:rPr>
        <w:t>cttttagcag</w:t>
      </w:r>
      <w:proofErr w:type="spellEnd"/>
      <w:r>
        <w:rPr>
          <w:rStyle w:val="ffline"/>
        </w:rPr>
        <w:t xml:space="preserve"> </w:t>
      </w:r>
      <w:proofErr w:type="spellStart"/>
      <w:r>
        <w:rPr>
          <w:rStyle w:val="ffline"/>
        </w:rPr>
        <w:t>atattcaaag</w:t>
      </w:r>
      <w:proofErr w:type="spellEnd"/>
      <w:r>
        <w:rPr>
          <w:rStyle w:val="ffline"/>
        </w:rPr>
        <w:t xml:space="preserve"> </w:t>
      </w:r>
      <w:proofErr w:type="spellStart"/>
      <w:r>
        <w:rPr>
          <w:rStyle w:val="ffline"/>
        </w:rPr>
        <w:t>tgccaatgca</w:t>
      </w:r>
      <w:proofErr w:type="spellEnd"/>
      <w:r>
        <w:rPr>
          <w:rStyle w:val="ffline"/>
        </w:rPr>
        <w:t xml:space="preserve"> </w:t>
      </w:r>
      <w:proofErr w:type="spellStart"/>
      <w:r>
        <w:rPr>
          <w:rStyle w:val="ffline"/>
        </w:rPr>
        <w:t>aacctaaacc</w:t>
      </w:r>
      <w:proofErr w:type="spellEnd"/>
      <w:r>
        <w:rPr>
          <w:rStyle w:val="ffline"/>
        </w:rPr>
        <w:t xml:space="preserve"> </w:t>
      </w:r>
      <w:proofErr w:type="spellStart"/>
      <w:r>
        <w:rPr>
          <w:rStyle w:val="ffline"/>
        </w:rPr>
        <w:t>tgtatcaggt</w:t>
      </w:r>
      <w:proofErr w:type="spellEnd"/>
      <w:r>
        <w:rPr>
          <w:rStyle w:val="ffline"/>
        </w:rPr>
        <w:t xml:space="preserve"> </w:t>
      </w:r>
      <w:proofErr w:type="spellStart"/>
      <w:r>
        <w:rPr>
          <w:rStyle w:val="ffline"/>
        </w:rPr>
        <w:t>cgatttggct</w:t>
      </w:r>
      <w:proofErr w:type="spellEnd"/>
    </w:p>
    <w:p w14:paraId="4D90DAB7" w14:textId="4002954E" w:rsidR="00F5628C" w:rsidRDefault="00F5628C" w:rsidP="00F5628C">
      <w:pPr>
        <w:pStyle w:val="HTMLPreformatted"/>
      </w:pPr>
      <w:proofErr w:type="spellStart"/>
      <w:r>
        <w:rPr>
          <w:rStyle w:val="ffline"/>
        </w:rPr>
        <w:t>tcctcaaaag</w:t>
      </w:r>
      <w:proofErr w:type="spellEnd"/>
      <w:r>
        <w:rPr>
          <w:rStyle w:val="ffline"/>
        </w:rPr>
        <w:t xml:space="preserve"> </w:t>
      </w:r>
      <w:proofErr w:type="spellStart"/>
      <w:r>
        <w:rPr>
          <w:rStyle w:val="ffline"/>
        </w:rPr>
        <w:t>tggttagtcc</w:t>
      </w:r>
      <w:proofErr w:type="spellEnd"/>
      <w:r>
        <w:rPr>
          <w:rStyle w:val="ffline"/>
        </w:rPr>
        <w:t xml:space="preserve"> </w:t>
      </w:r>
      <w:proofErr w:type="spellStart"/>
      <w:r>
        <w:rPr>
          <w:rStyle w:val="ffline"/>
        </w:rPr>
        <w:t>tgtaagcggt</w:t>
      </w:r>
      <w:proofErr w:type="spellEnd"/>
      <w:r>
        <w:rPr>
          <w:rStyle w:val="ffline"/>
        </w:rPr>
        <w:t xml:space="preserve"> </w:t>
      </w:r>
      <w:proofErr w:type="spellStart"/>
      <w:r>
        <w:rPr>
          <w:rStyle w:val="ffline"/>
        </w:rPr>
        <w:t>aaaatcggta</w:t>
      </w:r>
      <w:proofErr w:type="spellEnd"/>
      <w:r>
        <w:rPr>
          <w:rStyle w:val="ffline"/>
        </w:rPr>
        <w:t xml:space="preserve"> </w:t>
      </w:r>
      <w:proofErr w:type="spellStart"/>
      <w:r>
        <w:rPr>
          <w:rStyle w:val="ffline"/>
        </w:rPr>
        <w:t>gtctggcaat</w:t>
      </w:r>
      <w:proofErr w:type="spellEnd"/>
      <w:r>
        <w:rPr>
          <w:rStyle w:val="ffline"/>
        </w:rPr>
        <w:t xml:space="preserve"> </w:t>
      </w:r>
      <w:proofErr w:type="spellStart"/>
      <w:r>
        <w:rPr>
          <w:rStyle w:val="ffline"/>
        </w:rPr>
        <w:t>tcaaaaaggc</w:t>
      </w:r>
      <w:proofErr w:type="spellEnd"/>
    </w:p>
    <w:p w14:paraId="49238522" w14:textId="3E26A0D6" w:rsidR="00F5628C" w:rsidRDefault="00F5628C" w:rsidP="00F5628C">
      <w:pPr>
        <w:pStyle w:val="HTMLPreformatted"/>
      </w:pPr>
      <w:proofErr w:type="spellStart"/>
      <w:r>
        <w:rPr>
          <w:rStyle w:val="ffline"/>
        </w:rPr>
        <w:t>tcacgtgttt</w:t>
      </w:r>
      <w:proofErr w:type="spellEnd"/>
      <w:r>
        <w:rPr>
          <w:rStyle w:val="ffline"/>
        </w:rPr>
        <w:t xml:space="preserve"> </w:t>
      </w:r>
      <w:proofErr w:type="spellStart"/>
      <w:r>
        <w:rPr>
          <w:rStyle w:val="ffline"/>
        </w:rPr>
        <w:t>ctccacaaac</w:t>
      </w:r>
      <w:proofErr w:type="spellEnd"/>
      <w:r>
        <w:rPr>
          <w:rStyle w:val="ffline"/>
        </w:rPr>
        <w:t xml:space="preserve"> </w:t>
      </w:r>
      <w:proofErr w:type="spellStart"/>
      <w:r>
        <w:rPr>
          <w:rStyle w:val="ffline"/>
        </w:rPr>
        <w:t>ccgcttaatg</w:t>
      </w:r>
      <w:proofErr w:type="spellEnd"/>
      <w:r>
        <w:rPr>
          <w:rStyle w:val="ffline"/>
        </w:rPr>
        <w:t xml:space="preserve"> </w:t>
      </w:r>
      <w:proofErr w:type="spellStart"/>
      <w:r>
        <w:rPr>
          <w:rStyle w:val="ffline"/>
        </w:rPr>
        <w:t>gcgatcattc</w:t>
      </w:r>
      <w:proofErr w:type="spellEnd"/>
      <w:r>
        <w:rPr>
          <w:rStyle w:val="ffline"/>
        </w:rPr>
        <w:t xml:space="preserve"> </w:t>
      </w:r>
      <w:proofErr w:type="spellStart"/>
      <w:r>
        <w:rPr>
          <w:rStyle w:val="ffline"/>
        </w:rPr>
        <w:t>ctgaaaatag</w:t>
      </w:r>
      <w:proofErr w:type="spellEnd"/>
      <w:r>
        <w:rPr>
          <w:rStyle w:val="ffline"/>
        </w:rPr>
        <w:t xml:space="preserve"> </w:t>
      </w:r>
      <w:proofErr w:type="spellStart"/>
      <w:r>
        <w:rPr>
          <w:rStyle w:val="ffline"/>
        </w:rPr>
        <w:t>tttgtatgta</w:t>
      </w:r>
      <w:proofErr w:type="spellEnd"/>
    </w:p>
    <w:p w14:paraId="72B73D58" w14:textId="6AF500DD" w:rsidR="00F5628C" w:rsidRDefault="00F5628C" w:rsidP="00F5628C">
      <w:pPr>
        <w:pStyle w:val="HTMLPreformatted"/>
      </w:pPr>
      <w:proofErr w:type="spellStart"/>
      <w:r>
        <w:rPr>
          <w:rStyle w:val="ffline"/>
        </w:rPr>
        <w:t>caggcgaact</w:t>
      </w:r>
      <w:proofErr w:type="spellEnd"/>
      <w:r>
        <w:rPr>
          <w:rStyle w:val="ffline"/>
        </w:rPr>
        <w:t xml:space="preserve"> </w:t>
      </w:r>
      <w:proofErr w:type="spellStart"/>
      <w:r>
        <w:rPr>
          <w:rStyle w:val="ffline"/>
        </w:rPr>
        <w:t>tcaaagaaac</w:t>
      </w:r>
      <w:proofErr w:type="spellEnd"/>
      <w:r>
        <w:rPr>
          <w:rStyle w:val="ffline"/>
        </w:rPr>
        <w:t xml:space="preserve"> </w:t>
      </w:r>
      <w:proofErr w:type="spellStart"/>
      <w:r>
        <w:rPr>
          <w:rStyle w:val="ffline"/>
        </w:rPr>
        <w:t>ccaaattgaa</w:t>
      </w:r>
      <w:proofErr w:type="spellEnd"/>
      <w:r>
        <w:rPr>
          <w:rStyle w:val="ffline"/>
        </w:rPr>
        <w:t xml:space="preserve"> </w:t>
      </w:r>
      <w:proofErr w:type="spellStart"/>
      <w:r>
        <w:rPr>
          <w:rStyle w:val="ffline"/>
        </w:rPr>
        <w:t>aaaatgcata</w:t>
      </w:r>
      <w:proofErr w:type="spellEnd"/>
      <w:r>
        <w:rPr>
          <w:rStyle w:val="ffline"/>
        </w:rPr>
        <w:t xml:space="preserve"> </w:t>
      </w:r>
      <w:proofErr w:type="spellStart"/>
      <w:r>
        <w:rPr>
          <w:rStyle w:val="ffline"/>
        </w:rPr>
        <w:t>tcggtcagaa</w:t>
      </w:r>
      <w:proofErr w:type="spellEnd"/>
      <w:r>
        <w:rPr>
          <w:rStyle w:val="ffline"/>
        </w:rPr>
        <w:t xml:space="preserve"> </w:t>
      </w:r>
      <w:proofErr w:type="spellStart"/>
      <w:r>
        <w:rPr>
          <w:rStyle w:val="ffline"/>
        </w:rPr>
        <w:t>agttaaatta</w:t>
      </w:r>
      <w:proofErr w:type="spellEnd"/>
    </w:p>
    <w:p w14:paraId="7AB94A8F" w14:textId="542F174B" w:rsidR="00F5628C" w:rsidRDefault="00F5628C" w:rsidP="00F5628C">
      <w:pPr>
        <w:pStyle w:val="HTMLPreformatted"/>
      </w:pPr>
      <w:proofErr w:type="spellStart"/>
      <w:r>
        <w:rPr>
          <w:rStyle w:val="ffline"/>
        </w:rPr>
        <w:t>aaacttgatg</w:t>
      </w:r>
      <w:proofErr w:type="spellEnd"/>
      <w:r>
        <w:rPr>
          <w:rStyle w:val="ffline"/>
        </w:rPr>
        <w:t xml:space="preserve"> </w:t>
      </w:r>
      <w:proofErr w:type="spellStart"/>
      <w:r>
        <w:rPr>
          <w:rStyle w:val="ffline"/>
        </w:rPr>
        <w:t>cttatccaag</w:t>
      </w:r>
      <w:proofErr w:type="spellEnd"/>
      <w:r>
        <w:rPr>
          <w:rStyle w:val="ffline"/>
        </w:rPr>
        <w:t xml:space="preserve"> </w:t>
      </w:r>
      <w:proofErr w:type="spellStart"/>
      <w:r>
        <w:rPr>
          <w:rStyle w:val="ffline"/>
        </w:rPr>
        <w:t>cctcaacttt</w:t>
      </w:r>
      <w:proofErr w:type="spellEnd"/>
      <w:r>
        <w:rPr>
          <w:rStyle w:val="ffline"/>
        </w:rPr>
        <w:t xml:space="preserve"> </w:t>
      </w:r>
      <w:proofErr w:type="spellStart"/>
      <w:r>
        <w:rPr>
          <w:rStyle w:val="ffline"/>
        </w:rPr>
        <w:t>accggaaaaa</w:t>
      </w:r>
      <w:proofErr w:type="spellEnd"/>
      <w:r>
        <w:rPr>
          <w:rStyle w:val="ffline"/>
        </w:rPr>
        <w:t xml:space="preserve"> </w:t>
      </w:r>
      <w:proofErr w:type="spellStart"/>
      <w:r>
        <w:rPr>
          <w:rStyle w:val="ffline"/>
        </w:rPr>
        <w:t>ttgagagttt</w:t>
      </w:r>
      <w:proofErr w:type="spellEnd"/>
      <w:r>
        <w:rPr>
          <w:rStyle w:val="ffline"/>
        </w:rPr>
        <w:t xml:space="preserve"> </w:t>
      </w:r>
      <w:proofErr w:type="spellStart"/>
      <w:r>
        <w:rPr>
          <w:rStyle w:val="ffline"/>
        </w:rPr>
        <w:t>ttctcccgct</w:t>
      </w:r>
      <w:proofErr w:type="spellEnd"/>
    </w:p>
    <w:p w14:paraId="316E37E0" w14:textId="2D9D7F93" w:rsidR="00F5628C" w:rsidRDefault="00F5628C" w:rsidP="00F5628C">
      <w:pPr>
        <w:pStyle w:val="HTMLPreformatted"/>
      </w:pPr>
      <w:proofErr w:type="spellStart"/>
      <w:r>
        <w:rPr>
          <w:rStyle w:val="ffline"/>
        </w:rPr>
        <w:lastRenderedPageBreak/>
        <w:t>tcaggcgcga</w:t>
      </w:r>
      <w:proofErr w:type="spellEnd"/>
      <w:r>
        <w:rPr>
          <w:rStyle w:val="ffline"/>
        </w:rPr>
        <w:t xml:space="preserve"> </w:t>
      </w:r>
      <w:proofErr w:type="spellStart"/>
      <w:r>
        <w:rPr>
          <w:rStyle w:val="ffline"/>
        </w:rPr>
        <w:t>ctttctcact</w:t>
      </w:r>
      <w:proofErr w:type="spellEnd"/>
      <w:r>
        <w:rPr>
          <w:rStyle w:val="ffline"/>
        </w:rPr>
        <w:t xml:space="preserve"> </w:t>
      </w:r>
      <w:proofErr w:type="spellStart"/>
      <w:r>
        <w:rPr>
          <w:rStyle w:val="ffline"/>
        </w:rPr>
        <w:t>tatgccacca</w:t>
      </w:r>
      <w:proofErr w:type="spellEnd"/>
      <w:r>
        <w:rPr>
          <w:rStyle w:val="ffline"/>
        </w:rPr>
        <w:t xml:space="preserve"> </w:t>
      </w:r>
      <w:proofErr w:type="spellStart"/>
      <w:r>
        <w:rPr>
          <w:rStyle w:val="ffline"/>
        </w:rPr>
        <w:t>gacaatgcca</w:t>
      </w:r>
      <w:proofErr w:type="spellEnd"/>
      <w:r>
        <w:rPr>
          <w:rStyle w:val="ffline"/>
        </w:rPr>
        <w:t xml:space="preserve"> </w:t>
      </w:r>
      <w:proofErr w:type="spellStart"/>
      <w:r>
        <w:rPr>
          <w:rStyle w:val="ffline"/>
        </w:rPr>
        <w:t>caggcaactt</w:t>
      </w:r>
      <w:proofErr w:type="spellEnd"/>
      <w:r>
        <w:rPr>
          <w:rStyle w:val="ffline"/>
        </w:rPr>
        <w:t xml:space="preserve"> </w:t>
      </w:r>
      <w:proofErr w:type="spellStart"/>
      <w:r>
        <w:rPr>
          <w:rStyle w:val="ffline"/>
        </w:rPr>
        <w:t>taacaaggtt</w:t>
      </w:r>
      <w:proofErr w:type="spellEnd"/>
    </w:p>
    <w:p w14:paraId="6C6263D0" w14:textId="0E33F064" w:rsidR="00F5628C" w:rsidRDefault="00F5628C" w:rsidP="00F5628C">
      <w:pPr>
        <w:pStyle w:val="HTMLPreformatted"/>
      </w:pPr>
      <w:proofErr w:type="spellStart"/>
      <w:r>
        <w:rPr>
          <w:rStyle w:val="ffline"/>
        </w:rPr>
        <w:t>gtacagcgta</w:t>
      </w:r>
      <w:proofErr w:type="spellEnd"/>
      <w:r>
        <w:rPr>
          <w:rStyle w:val="ffline"/>
        </w:rPr>
        <w:t xml:space="preserve"> </w:t>
      </w:r>
      <w:proofErr w:type="spellStart"/>
      <w:r>
        <w:rPr>
          <w:rStyle w:val="ffline"/>
        </w:rPr>
        <w:t>ttcctgtacg</w:t>
      </w:r>
      <w:proofErr w:type="spellEnd"/>
      <w:r>
        <w:rPr>
          <w:rStyle w:val="ffline"/>
        </w:rPr>
        <w:t xml:space="preserve"> </w:t>
      </w:r>
      <w:proofErr w:type="spellStart"/>
      <w:r>
        <w:rPr>
          <w:rStyle w:val="ffline"/>
        </w:rPr>
        <w:t>tatcgccata</w:t>
      </w:r>
      <w:proofErr w:type="spellEnd"/>
      <w:r>
        <w:rPr>
          <w:rStyle w:val="ffline"/>
        </w:rPr>
        <w:t xml:space="preserve"> </w:t>
      </w:r>
      <w:proofErr w:type="spellStart"/>
      <w:r>
        <w:rPr>
          <w:rStyle w:val="ffline"/>
        </w:rPr>
        <w:t>gattcaagcc</w:t>
      </w:r>
      <w:proofErr w:type="spellEnd"/>
      <w:r>
        <w:rPr>
          <w:rStyle w:val="ffline"/>
        </w:rPr>
        <w:t xml:space="preserve"> </w:t>
      </w:r>
      <w:proofErr w:type="spellStart"/>
      <w:r>
        <w:rPr>
          <w:rStyle w:val="ffline"/>
        </w:rPr>
        <w:t>cacatattga</w:t>
      </w:r>
      <w:proofErr w:type="spellEnd"/>
      <w:r>
        <w:rPr>
          <w:rStyle w:val="ffline"/>
        </w:rPr>
        <w:t xml:space="preserve"> </w:t>
      </w:r>
      <w:proofErr w:type="spellStart"/>
      <w:r>
        <w:rPr>
          <w:rStyle w:val="ffline"/>
        </w:rPr>
        <w:t>tttgataaaa</w:t>
      </w:r>
      <w:proofErr w:type="spellEnd"/>
    </w:p>
    <w:p w14:paraId="159C21CB" w14:textId="7999D277" w:rsidR="00F5628C" w:rsidRDefault="00F5628C" w:rsidP="00F5628C">
      <w:pPr>
        <w:pStyle w:val="HTMLPreformatted"/>
      </w:pPr>
      <w:proofErr w:type="spellStart"/>
      <w:r>
        <w:rPr>
          <w:rStyle w:val="ffline"/>
        </w:rPr>
        <w:t>cctggaatgt</w:t>
      </w:r>
      <w:proofErr w:type="spellEnd"/>
      <w:r>
        <w:rPr>
          <w:rStyle w:val="ffline"/>
        </w:rPr>
        <w:t xml:space="preserve"> </w:t>
      </w:r>
      <w:proofErr w:type="spellStart"/>
      <w:r>
        <w:rPr>
          <w:rStyle w:val="ffline"/>
        </w:rPr>
        <w:t>cggtgagcgc</w:t>
      </w:r>
      <w:proofErr w:type="spellEnd"/>
      <w:r>
        <w:rPr>
          <w:rStyle w:val="ffline"/>
        </w:rPr>
        <w:t xml:space="preserve"> </w:t>
      </w:r>
      <w:proofErr w:type="spellStart"/>
      <w:r>
        <w:rPr>
          <w:rStyle w:val="ffline"/>
        </w:rPr>
        <w:t>caccgttgac</w:t>
      </w:r>
      <w:proofErr w:type="spellEnd"/>
      <w:r>
        <w:rPr>
          <w:rStyle w:val="ffline"/>
        </w:rPr>
        <w:t xml:space="preserve"> </w:t>
      </w:r>
      <w:proofErr w:type="spellStart"/>
      <w:r>
        <w:rPr>
          <w:rStyle w:val="ffline"/>
        </w:rPr>
        <w:t>ctaagaactt</w:t>
      </w:r>
      <w:proofErr w:type="spellEnd"/>
      <w:r>
        <w:rPr>
          <w:rStyle w:val="ffline"/>
        </w:rPr>
        <w:t xml:space="preserve"> aa</w:t>
      </w:r>
    </w:p>
    <w:p w14:paraId="2421A377" w14:textId="77777777" w:rsidR="00F5628C" w:rsidRDefault="00F5628C" w:rsidP="00F5628C"/>
    <w:p w14:paraId="0B599105" w14:textId="1D49D7EA" w:rsidR="004803B9" w:rsidRDefault="004803B9" w:rsidP="004803B9">
      <w:r>
        <w:rPr>
          <w:sz w:val="24"/>
          <w:szCs w:val="24"/>
        </w:rPr>
        <w:t>&gt;</w:t>
      </w:r>
      <w:r>
        <w:t>A1S_177</w:t>
      </w:r>
      <w:r w:rsidR="00832EB7">
        <w:t>2</w:t>
      </w:r>
      <w:r>
        <w:t xml:space="preserve"> (</w:t>
      </w:r>
      <w:proofErr w:type="spellStart"/>
      <w:r w:rsidRPr="004803B9">
        <w:rPr>
          <w:i/>
          <w:iCs/>
        </w:rPr>
        <w:t>amfA</w:t>
      </w:r>
      <w:proofErr w:type="spellEnd"/>
      <w:r>
        <w:t>)</w:t>
      </w:r>
      <w:r w:rsidR="00832EB7">
        <w:t xml:space="preserve"> GenBank: CP000521.1</w:t>
      </w:r>
    </w:p>
    <w:p w14:paraId="62C6DFBD" w14:textId="3E0601BC" w:rsidR="004803B9" w:rsidRDefault="004803B9" w:rsidP="004803B9">
      <w:pPr>
        <w:pStyle w:val="HTMLPreformatted"/>
      </w:pPr>
      <w:proofErr w:type="spellStart"/>
      <w:r>
        <w:rPr>
          <w:rStyle w:val="ffline"/>
        </w:rPr>
        <w:t>tcatttcttc</w:t>
      </w:r>
      <w:proofErr w:type="spellEnd"/>
      <w:r>
        <w:rPr>
          <w:rStyle w:val="ffline"/>
        </w:rPr>
        <w:t xml:space="preserve"> </w:t>
      </w:r>
      <w:proofErr w:type="spellStart"/>
      <w:r>
        <w:rPr>
          <w:rStyle w:val="ffline"/>
        </w:rPr>
        <w:t>ccccgatcca</w:t>
      </w:r>
      <w:proofErr w:type="spellEnd"/>
      <w:r>
        <w:rPr>
          <w:rStyle w:val="ffline"/>
        </w:rPr>
        <w:t xml:space="preserve"> </w:t>
      </w:r>
      <w:proofErr w:type="spellStart"/>
      <w:r>
        <w:rPr>
          <w:rStyle w:val="ffline"/>
        </w:rPr>
        <w:t>taaatatggt</w:t>
      </w:r>
      <w:proofErr w:type="spellEnd"/>
      <w:r>
        <w:rPr>
          <w:rStyle w:val="ffline"/>
        </w:rPr>
        <w:t xml:space="preserve"> </w:t>
      </w:r>
      <w:proofErr w:type="spellStart"/>
      <w:r>
        <w:rPr>
          <w:rStyle w:val="ffline"/>
        </w:rPr>
        <w:t>taaaaaggcg</w:t>
      </w:r>
      <w:proofErr w:type="spellEnd"/>
      <w:r>
        <w:rPr>
          <w:rStyle w:val="ffline"/>
        </w:rPr>
        <w:t xml:space="preserve"> </w:t>
      </w:r>
      <w:proofErr w:type="spellStart"/>
      <w:r>
        <w:rPr>
          <w:rStyle w:val="ffline"/>
        </w:rPr>
        <w:t>gtcacaaaca</w:t>
      </w:r>
      <w:proofErr w:type="spellEnd"/>
      <w:r>
        <w:rPr>
          <w:rStyle w:val="ffline"/>
        </w:rPr>
        <w:t xml:space="preserve"> </w:t>
      </w:r>
      <w:proofErr w:type="spellStart"/>
      <w:r>
        <w:rPr>
          <w:rStyle w:val="ffline"/>
        </w:rPr>
        <w:t>taatgattgc</w:t>
      </w:r>
      <w:proofErr w:type="spellEnd"/>
    </w:p>
    <w:p w14:paraId="02822E87" w14:textId="077D586D" w:rsidR="004803B9" w:rsidRDefault="004803B9" w:rsidP="004803B9">
      <w:pPr>
        <w:pStyle w:val="HTMLPreformatted"/>
      </w:pPr>
      <w:proofErr w:type="spellStart"/>
      <w:r>
        <w:rPr>
          <w:rStyle w:val="ffline"/>
        </w:rPr>
        <w:t>gagcatgcgt</w:t>
      </w:r>
      <w:proofErr w:type="spellEnd"/>
      <w:r>
        <w:rPr>
          <w:rStyle w:val="ffline"/>
        </w:rPr>
        <w:t xml:space="preserve"> </w:t>
      </w:r>
      <w:proofErr w:type="spellStart"/>
      <w:r>
        <w:rPr>
          <w:rStyle w:val="ffline"/>
        </w:rPr>
        <w:t>aataagtcat</w:t>
      </w:r>
      <w:proofErr w:type="spellEnd"/>
      <w:r>
        <w:rPr>
          <w:rStyle w:val="ffline"/>
        </w:rPr>
        <w:t xml:space="preserve"> </w:t>
      </w:r>
      <w:proofErr w:type="spellStart"/>
      <w:r>
        <w:rPr>
          <w:rStyle w:val="ffline"/>
        </w:rPr>
        <w:t>tgaaactcga</w:t>
      </w:r>
      <w:proofErr w:type="spellEnd"/>
      <w:r>
        <w:rPr>
          <w:rStyle w:val="ffline"/>
        </w:rPr>
        <w:t xml:space="preserve"> </w:t>
      </w:r>
      <w:proofErr w:type="spellStart"/>
      <w:r>
        <w:rPr>
          <w:rStyle w:val="ffline"/>
        </w:rPr>
        <w:t>tgtcagtgct</w:t>
      </w:r>
      <w:proofErr w:type="spellEnd"/>
      <w:r>
        <w:rPr>
          <w:rStyle w:val="ffline"/>
        </w:rPr>
        <w:t xml:space="preserve"> </w:t>
      </w:r>
      <w:proofErr w:type="spellStart"/>
      <w:r>
        <w:rPr>
          <w:rStyle w:val="ffline"/>
        </w:rPr>
        <w:t>tgaaagtgaa</w:t>
      </w:r>
      <w:proofErr w:type="spellEnd"/>
      <w:r>
        <w:rPr>
          <w:rStyle w:val="ffline"/>
        </w:rPr>
        <w:t xml:space="preserve"> </w:t>
      </w:r>
      <w:proofErr w:type="spellStart"/>
      <w:r>
        <w:rPr>
          <w:rStyle w:val="ffline"/>
        </w:rPr>
        <w:t>tgtcacgata</w:t>
      </w:r>
      <w:proofErr w:type="spellEnd"/>
    </w:p>
    <w:p w14:paraId="573FB4DA" w14:textId="6EB5F9E1" w:rsidR="004803B9" w:rsidRDefault="004803B9" w:rsidP="004803B9">
      <w:pPr>
        <w:pStyle w:val="HTMLPreformatted"/>
      </w:pPr>
      <w:proofErr w:type="spellStart"/>
      <w:r>
        <w:rPr>
          <w:rStyle w:val="ffline"/>
        </w:rPr>
        <w:t>aatcacactc</w:t>
      </w:r>
      <w:proofErr w:type="spellEnd"/>
      <w:r>
        <w:rPr>
          <w:rStyle w:val="ffline"/>
        </w:rPr>
        <w:t xml:space="preserve"> </w:t>
      </w:r>
      <w:proofErr w:type="spellStart"/>
      <w:r>
        <w:rPr>
          <w:rStyle w:val="ffline"/>
        </w:rPr>
        <w:t>agtgcgattt</w:t>
      </w:r>
      <w:proofErr w:type="spellEnd"/>
      <w:r>
        <w:rPr>
          <w:rStyle w:val="ffline"/>
        </w:rPr>
        <w:t xml:space="preserve"> </w:t>
      </w:r>
      <w:proofErr w:type="spellStart"/>
      <w:r>
        <w:rPr>
          <w:rStyle w:val="ffline"/>
        </w:rPr>
        <w:t>gctgagcatt</w:t>
      </w:r>
      <w:proofErr w:type="spellEnd"/>
      <w:r>
        <w:rPr>
          <w:rStyle w:val="ffline"/>
        </w:rPr>
        <w:t xml:space="preserve"> </w:t>
      </w:r>
      <w:proofErr w:type="spellStart"/>
      <w:r>
        <w:rPr>
          <w:rStyle w:val="ffline"/>
        </w:rPr>
        <w:t>tgtaccaact</w:t>
      </w:r>
      <w:proofErr w:type="spellEnd"/>
      <w:r>
        <w:rPr>
          <w:rStyle w:val="ffline"/>
        </w:rPr>
        <w:t xml:space="preserve"> </w:t>
      </w:r>
      <w:proofErr w:type="spellStart"/>
      <w:r>
        <w:rPr>
          <w:rStyle w:val="ffline"/>
        </w:rPr>
        <w:t>tcttgatatt</w:t>
      </w:r>
      <w:proofErr w:type="spellEnd"/>
      <w:r>
        <w:rPr>
          <w:rStyle w:val="ffline"/>
        </w:rPr>
        <w:t xml:space="preserve"> </w:t>
      </w:r>
      <w:proofErr w:type="spellStart"/>
      <w:r>
        <w:rPr>
          <w:rStyle w:val="ffline"/>
        </w:rPr>
        <w:t>gcgccgtaag</w:t>
      </w:r>
      <w:proofErr w:type="spellEnd"/>
    </w:p>
    <w:p w14:paraId="4209F7CC" w14:textId="564013FD" w:rsidR="004803B9" w:rsidRDefault="004803B9" w:rsidP="004803B9">
      <w:pPr>
        <w:pStyle w:val="HTMLPreformatted"/>
      </w:pPr>
      <w:proofErr w:type="spellStart"/>
      <w:r>
        <w:rPr>
          <w:rStyle w:val="ffline"/>
        </w:rPr>
        <w:t>ctggtcgagt</w:t>
      </w:r>
      <w:proofErr w:type="spellEnd"/>
      <w:r>
        <w:rPr>
          <w:rStyle w:val="ffline"/>
        </w:rPr>
        <w:t xml:space="preserve"> </w:t>
      </w:r>
      <w:proofErr w:type="spellStart"/>
      <w:r>
        <w:rPr>
          <w:rStyle w:val="ffline"/>
        </w:rPr>
        <w:t>ctttctgtaa</w:t>
      </w:r>
      <w:proofErr w:type="spellEnd"/>
      <w:r>
        <w:rPr>
          <w:rStyle w:val="ffline"/>
        </w:rPr>
        <w:t xml:space="preserve"> </w:t>
      </w:r>
      <w:proofErr w:type="spellStart"/>
      <w:r>
        <w:rPr>
          <w:rStyle w:val="ffline"/>
        </w:rPr>
        <w:t>atatccagtt</w:t>
      </w:r>
      <w:proofErr w:type="spellEnd"/>
      <w:r>
        <w:rPr>
          <w:rStyle w:val="ffline"/>
        </w:rPr>
        <w:t xml:space="preserve"> </w:t>
      </w:r>
      <w:proofErr w:type="spellStart"/>
      <w:r>
        <w:rPr>
          <w:rStyle w:val="ffline"/>
        </w:rPr>
        <w:t>ttgtggtgtc</w:t>
      </w:r>
      <w:proofErr w:type="spellEnd"/>
      <w:r>
        <w:rPr>
          <w:rStyle w:val="ffline"/>
        </w:rPr>
        <w:t xml:space="preserve"> </w:t>
      </w:r>
      <w:proofErr w:type="spellStart"/>
      <w:r>
        <w:rPr>
          <w:rStyle w:val="ffline"/>
        </w:rPr>
        <w:t>atcgactgat</w:t>
      </w:r>
      <w:proofErr w:type="spellEnd"/>
      <w:r>
        <w:rPr>
          <w:rStyle w:val="ffline"/>
        </w:rPr>
        <w:t xml:space="preserve"> </w:t>
      </w:r>
      <w:proofErr w:type="spellStart"/>
      <w:r>
        <w:rPr>
          <w:rStyle w:val="ffline"/>
        </w:rPr>
        <w:t>taatctgggt</w:t>
      </w:r>
      <w:proofErr w:type="spellEnd"/>
    </w:p>
    <w:p w14:paraId="13742D78" w14:textId="734BB66F" w:rsidR="004803B9" w:rsidRDefault="004803B9" w:rsidP="004803B9">
      <w:pPr>
        <w:pStyle w:val="HTMLPreformatted"/>
      </w:pPr>
      <w:proofErr w:type="spellStart"/>
      <w:r>
        <w:rPr>
          <w:rStyle w:val="ffline"/>
        </w:rPr>
        <w:t>aacatgcatg</w:t>
      </w:r>
      <w:proofErr w:type="spellEnd"/>
      <w:r>
        <w:rPr>
          <w:rStyle w:val="ffline"/>
        </w:rPr>
        <w:t xml:space="preserve"> </w:t>
      </w:r>
      <w:proofErr w:type="spellStart"/>
      <w:r>
        <w:rPr>
          <w:rStyle w:val="ffline"/>
        </w:rPr>
        <w:t>gcggttagcc</w:t>
      </w:r>
      <w:proofErr w:type="spellEnd"/>
      <w:r>
        <w:rPr>
          <w:rStyle w:val="ffline"/>
        </w:rPr>
        <w:t xml:space="preserve"> </w:t>
      </w:r>
      <w:proofErr w:type="spellStart"/>
      <w:r>
        <w:rPr>
          <w:rStyle w:val="ffline"/>
        </w:rPr>
        <w:t>aatctaagga</w:t>
      </w:r>
      <w:proofErr w:type="spellEnd"/>
      <w:r>
        <w:rPr>
          <w:rStyle w:val="ffline"/>
        </w:rPr>
        <w:t xml:space="preserve"> </w:t>
      </w:r>
      <w:proofErr w:type="spellStart"/>
      <w:r>
        <w:rPr>
          <w:rStyle w:val="ffline"/>
        </w:rPr>
        <w:t>cgagttaata</w:t>
      </w:r>
      <w:proofErr w:type="spellEnd"/>
      <w:r>
        <w:rPr>
          <w:rStyle w:val="ffline"/>
        </w:rPr>
        <w:t xml:space="preserve"> </w:t>
      </w:r>
      <w:proofErr w:type="spellStart"/>
      <w:r>
        <w:rPr>
          <w:rStyle w:val="ffline"/>
        </w:rPr>
        <w:t>agagccagtc</w:t>
      </w:r>
      <w:proofErr w:type="spellEnd"/>
      <w:r>
        <w:rPr>
          <w:rStyle w:val="ffline"/>
        </w:rPr>
        <w:t xml:space="preserve"> </w:t>
      </w:r>
      <w:proofErr w:type="spellStart"/>
      <w:r>
        <w:rPr>
          <w:rStyle w:val="ffline"/>
        </w:rPr>
        <w:t>caaccgcgcc</w:t>
      </w:r>
      <w:proofErr w:type="spellEnd"/>
    </w:p>
    <w:p w14:paraId="6B011EB2" w14:textId="3AA2C53F" w:rsidR="004803B9" w:rsidRDefault="004803B9" w:rsidP="004803B9">
      <w:pPr>
        <w:pStyle w:val="HTMLPreformatted"/>
      </w:pPr>
      <w:proofErr w:type="spellStart"/>
      <w:r>
        <w:rPr>
          <w:rStyle w:val="ffline"/>
        </w:rPr>
        <w:t>gccaatattg</w:t>
      </w:r>
      <w:proofErr w:type="spellEnd"/>
      <w:r>
        <w:rPr>
          <w:rStyle w:val="ffline"/>
        </w:rPr>
        <w:t xml:space="preserve"> </w:t>
      </w:r>
      <w:proofErr w:type="spellStart"/>
      <w:r>
        <w:rPr>
          <w:rStyle w:val="ffline"/>
        </w:rPr>
        <w:t>cgcatcaggt</w:t>
      </w:r>
      <w:proofErr w:type="spellEnd"/>
      <w:r>
        <w:rPr>
          <w:rStyle w:val="ffline"/>
        </w:rPr>
        <w:t xml:space="preserve"> </w:t>
      </w:r>
      <w:proofErr w:type="spellStart"/>
      <w:r>
        <w:rPr>
          <w:rStyle w:val="ffline"/>
        </w:rPr>
        <w:t>tataaatccc</w:t>
      </w:r>
      <w:proofErr w:type="spellEnd"/>
      <w:r>
        <w:rPr>
          <w:rStyle w:val="ffline"/>
        </w:rPr>
        <w:t xml:space="preserve"> </w:t>
      </w:r>
      <w:proofErr w:type="spellStart"/>
      <w:r>
        <w:rPr>
          <w:rStyle w:val="ffline"/>
        </w:rPr>
        <w:t>actggcatcg</w:t>
      </w:r>
      <w:proofErr w:type="spellEnd"/>
      <w:r>
        <w:rPr>
          <w:rStyle w:val="ffline"/>
        </w:rPr>
        <w:t xml:space="preserve"> </w:t>
      </w:r>
      <w:proofErr w:type="spellStart"/>
      <w:r>
        <w:rPr>
          <w:rStyle w:val="ffline"/>
        </w:rPr>
        <w:t>gcaactttac</w:t>
      </w:r>
      <w:proofErr w:type="spellEnd"/>
      <w:r>
        <w:rPr>
          <w:rStyle w:val="ffline"/>
        </w:rPr>
        <w:t xml:space="preserve"> </w:t>
      </w:r>
      <w:proofErr w:type="spellStart"/>
      <w:r>
        <w:rPr>
          <w:rStyle w:val="ffline"/>
        </w:rPr>
        <w:t>tgagtggcaa</w:t>
      </w:r>
      <w:proofErr w:type="spellEnd"/>
    </w:p>
    <w:p w14:paraId="25038528" w14:textId="1175E4B8" w:rsidR="004803B9" w:rsidRDefault="004803B9" w:rsidP="004803B9">
      <w:pPr>
        <w:pStyle w:val="HTMLPreformatted"/>
      </w:pPr>
      <w:proofErr w:type="spellStart"/>
      <w:r>
        <w:rPr>
          <w:rStyle w:val="ffline"/>
        </w:rPr>
        <w:t>tgtactcata</w:t>
      </w:r>
      <w:proofErr w:type="spellEnd"/>
      <w:r>
        <w:rPr>
          <w:rStyle w:val="ffline"/>
        </w:rPr>
        <w:t xml:space="preserve"> </w:t>
      </w:r>
      <w:proofErr w:type="spellStart"/>
      <w:r>
        <w:rPr>
          <w:rStyle w:val="ffline"/>
        </w:rPr>
        <w:t>gccaaatgcg</w:t>
      </w:r>
      <w:proofErr w:type="spellEnd"/>
      <w:r>
        <w:rPr>
          <w:rStyle w:val="ffline"/>
        </w:rPr>
        <w:t xml:space="preserve"> </w:t>
      </w:r>
      <w:proofErr w:type="spellStart"/>
      <w:r>
        <w:rPr>
          <w:rStyle w:val="ffline"/>
        </w:rPr>
        <w:t>agaccacaat</w:t>
      </w:r>
      <w:proofErr w:type="spellEnd"/>
      <w:r>
        <w:rPr>
          <w:rStyle w:val="ffline"/>
        </w:rPr>
        <w:t xml:space="preserve"> </w:t>
      </w:r>
      <w:proofErr w:type="spellStart"/>
      <w:r>
        <w:rPr>
          <w:rStyle w:val="ffline"/>
        </w:rPr>
        <w:t>caggcaaatc</w:t>
      </w:r>
      <w:proofErr w:type="spellEnd"/>
      <w:r>
        <w:rPr>
          <w:rStyle w:val="ffline"/>
        </w:rPr>
        <w:t xml:space="preserve"> </w:t>
      </w:r>
      <w:proofErr w:type="spellStart"/>
      <w:r>
        <w:rPr>
          <w:rStyle w:val="ffline"/>
        </w:rPr>
        <w:t>atgaggccga</w:t>
      </w:r>
      <w:proofErr w:type="spellEnd"/>
      <w:r>
        <w:rPr>
          <w:rStyle w:val="ffline"/>
        </w:rPr>
        <w:t xml:space="preserve"> </w:t>
      </w:r>
      <w:proofErr w:type="spellStart"/>
      <w:r>
        <w:rPr>
          <w:rStyle w:val="ffline"/>
        </w:rPr>
        <w:t>taccacggta</w:t>
      </w:r>
      <w:proofErr w:type="spellEnd"/>
    </w:p>
    <w:p w14:paraId="131817FD" w14:textId="72D430B8" w:rsidR="004803B9" w:rsidRDefault="004803B9" w:rsidP="004803B9">
      <w:pPr>
        <w:pStyle w:val="HTMLPreformatted"/>
      </w:pPr>
      <w:proofErr w:type="spellStart"/>
      <w:r>
        <w:rPr>
          <w:rStyle w:val="ffline"/>
        </w:rPr>
        <w:t>aatttgtggc</w:t>
      </w:r>
      <w:proofErr w:type="spellEnd"/>
      <w:r>
        <w:rPr>
          <w:rStyle w:val="ffline"/>
        </w:rPr>
        <w:t xml:space="preserve"> </w:t>
      </w:r>
      <w:proofErr w:type="spellStart"/>
      <w:r>
        <w:rPr>
          <w:rStyle w:val="ffline"/>
        </w:rPr>
        <w:t>caaaacataa</w:t>
      </w:r>
      <w:proofErr w:type="spellEnd"/>
      <w:r>
        <w:rPr>
          <w:rStyle w:val="ffline"/>
        </w:rPr>
        <w:t xml:space="preserve"> </w:t>
      </w:r>
      <w:proofErr w:type="spellStart"/>
      <w:r>
        <w:rPr>
          <w:rStyle w:val="ffline"/>
        </w:rPr>
        <w:t>agtcataatc</w:t>
      </w:r>
      <w:proofErr w:type="spellEnd"/>
      <w:r>
        <w:rPr>
          <w:rStyle w:val="ffline"/>
        </w:rPr>
        <w:t xml:space="preserve"> </w:t>
      </w:r>
      <w:proofErr w:type="spellStart"/>
      <w:r>
        <w:rPr>
          <w:rStyle w:val="ffline"/>
        </w:rPr>
        <w:t>actatgaatg</w:t>
      </w:r>
      <w:proofErr w:type="spellEnd"/>
      <w:r>
        <w:rPr>
          <w:rStyle w:val="ffline"/>
        </w:rPr>
        <w:t xml:space="preserve"> </w:t>
      </w:r>
      <w:proofErr w:type="spellStart"/>
      <w:r>
        <w:rPr>
          <w:rStyle w:val="ffline"/>
        </w:rPr>
        <w:t>ctcaaatgtg</w:t>
      </w:r>
      <w:proofErr w:type="spellEnd"/>
      <w:r>
        <w:rPr>
          <w:rStyle w:val="ffline"/>
        </w:rPr>
        <w:t xml:space="preserve"> </w:t>
      </w:r>
      <w:proofErr w:type="spellStart"/>
      <w:r>
        <w:rPr>
          <w:rStyle w:val="ffline"/>
        </w:rPr>
        <w:t>aattgagcca</w:t>
      </w:r>
      <w:proofErr w:type="spellEnd"/>
    </w:p>
    <w:p w14:paraId="1E5D1131" w14:textId="515E06CB" w:rsidR="004803B9" w:rsidRDefault="004803B9" w:rsidP="004803B9">
      <w:pPr>
        <w:pStyle w:val="HTMLPreformatted"/>
      </w:pPr>
      <w:proofErr w:type="spellStart"/>
      <w:r>
        <w:rPr>
          <w:rStyle w:val="ffline"/>
        </w:rPr>
        <w:t>gacaccaaag</w:t>
      </w:r>
      <w:proofErr w:type="spellEnd"/>
      <w:r>
        <w:rPr>
          <w:rStyle w:val="ffline"/>
        </w:rPr>
        <w:t xml:space="preserve"> </w:t>
      </w:r>
      <w:proofErr w:type="spellStart"/>
      <w:r>
        <w:rPr>
          <w:rStyle w:val="ffline"/>
        </w:rPr>
        <w:t>cccgccagaa</w:t>
      </w:r>
      <w:proofErr w:type="spellEnd"/>
      <w:r>
        <w:rPr>
          <w:rStyle w:val="ffline"/>
        </w:rPr>
        <w:t xml:space="preserve"> </w:t>
      </w:r>
      <w:proofErr w:type="spellStart"/>
      <w:r>
        <w:rPr>
          <w:rStyle w:val="ffline"/>
        </w:rPr>
        <w:t>tcattccgac</w:t>
      </w:r>
      <w:proofErr w:type="spellEnd"/>
      <w:r>
        <w:rPr>
          <w:rStyle w:val="ffline"/>
        </w:rPr>
        <w:t xml:space="preserve"> </w:t>
      </w:r>
      <w:proofErr w:type="spellStart"/>
      <w:r>
        <w:rPr>
          <w:rStyle w:val="ffline"/>
        </w:rPr>
        <w:t>aaatacggtt</w:t>
      </w:r>
      <w:proofErr w:type="spellEnd"/>
      <w:r>
        <w:rPr>
          <w:rStyle w:val="ffline"/>
        </w:rPr>
        <w:t xml:space="preserve"> </w:t>
      </w:r>
      <w:proofErr w:type="spellStart"/>
      <w:r>
        <w:rPr>
          <w:rStyle w:val="ffline"/>
        </w:rPr>
        <w:t>tttcgggtat</w:t>
      </w:r>
      <w:proofErr w:type="spellEnd"/>
      <w:r>
        <w:rPr>
          <w:rStyle w:val="ffline"/>
        </w:rPr>
        <w:t xml:space="preserve"> </w:t>
      </w:r>
      <w:proofErr w:type="spellStart"/>
      <w:r>
        <w:rPr>
          <w:rStyle w:val="ffline"/>
        </w:rPr>
        <w:t>caaaattagg</w:t>
      </w:r>
      <w:proofErr w:type="spellEnd"/>
    </w:p>
    <w:p w14:paraId="736934D4" w14:textId="1F376EA4" w:rsidR="004803B9" w:rsidRDefault="004803B9" w:rsidP="004803B9">
      <w:pPr>
        <w:pStyle w:val="HTMLPreformatted"/>
      </w:pPr>
      <w:proofErr w:type="spellStart"/>
      <w:r>
        <w:rPr>
          <w:rStyle w:val="ffline"/>
        </w:rPr>
        <w:t>aatgagccac</w:t>
      </w:r>
      <w:proofErr w:type="spellEnd"/>
      <w:r>
        <w:rPr>
          <w:rStyle w:val="ffline"/>
        </w:rPr>
        <w:t xml:space="preserve"> </w:t>
      </w:r>
      <w:proofErr w:type="spellStart"/>
      <w:r>
        <w:rPr>
          <w:rStyle w:val="ffline"/>
        </w:rPr>
        <w:t>gcaagaaaag</w:t>
      </w:r>
      <w:proofErr w:type="spellEnd"/>
      <w:r>
        <w:rPr>
          <w:rStyle w:val="ffline"/>
        </w:rPr>
        <w:t xml:space="preserve"> </w:t>
      </w:r>
      <w:proofErr w:type="spellStart"/>
      <w:r>
        <w:rPr>
          <w:rStyle w:val="ffline"/>
        </w:rPr>
        <w:t>gcgcaaagca</w:t>
      </w:r>
      <w:proofErr w:type="spellEnd"/>
      <w:r>
        <w:rPr>
          <w:rStyle w:val="ffline"/>
        </w:rPr>
        <w:t xml:space="preserve"> </w:t>
      </w:r>
      <w:proofErr w:type="spellStart"/>
      <w:r>
        <w:rPr>
          <w:rStyle w:val="ffline"/>
        </w:rPr>
        <w:t>gaacatgaca</w:t>
      </w:r>
      <w:proofErr w:type="spellEnd"/>
      <w:r>
        <w:rPr>
          <w:rStyle w:val="ffline"/>
        </w:rPr>
        <w:t xml:space="preserve"> </w:t>
      </w:r>
      <w:proofErr w:type="spellStart"/>
      <w:r>
        <w:rPr>
          <w:rStyle w:val="ffline"/>
        </w:rPr>
        <w:t>atgcctgtca</w:t>
      </w:r>
      <w:proofErr w:type="spellEnd"/>
      <w:r>
        <w:rPr>
          <w:rStyle w:val="ffline"/>
        </w:rPr>
        <w:t xml:space="preserve"> </w:t>
      </w:r>
      <w:proofErr w:type="spellStart"/>
      <w:r>
        <w:rPr>
          <w:rStyle w:val="ffline"/>
        </w:rPr>
        <w:t>ccatcatgac</w:t>
      </w:r>
      <w:proofErr w:type="spellEnd"/>
    </w:p>
    <w:p w14:paraId="261C936A" w14:textId="2C9C5BB3" w:rsidR="004803B9" w:rsidRDefault="004803B9" w:rsidP="004803B9">
      <w:pPr>
        <w:pStyle w:val="HTMLPreformatted"/>
      </w:pPr>
      <w:proofErr w:type="spellStart"/>
      <w:r>
        <w:rPr>
          <w:rStyle w:val="ffline"/>
        </w:rPr>
        <w:t>gtgaccaatt</w:t>
      </w:r>
      <w:proofErr w:type="spellEnd"/>
      <w:r>
        <w:rPr>
          <w:rStyle w:val="ffline"/>
        </w:rPr>
        <w:t xml:space="preserve"> </w:t>
      </w:r>
      <w:proofErr w:type="spellStart"/>
      <w:r>
        <w:rPr>
          <w:rStyle w:val="ffline"/>
        </w:rPr>
        <w:t>tggctactgt</w:t>
      </w:r>
      <w:proofErr w:type="spellEnd"/>
      <w:r>
        <w:rPr>
          <w:rStyle w:val="ffline"/>
        </w:rPr>
        <w:t xml:space="preserve"> </w:t>
      </w:r>
      <w:proofErr w:type="spellStart"/>
      <w:r>
        <w:rPr>
          <w:rStyle w:val="ffline"/>
        </w:rPr>
        <w:t>tcatttcacg</w:t>
      </w:r>
      <w:proofErr w:type="spellEnd"/>
      <w:r>
        <w:rPr>
          <w:rStyle w:val="ffline"/>
        </w:rPr>
        <w:t xml:space="preserve"> </w:t>
      </w:r>
      <w:proofErr w:type="spellStart"/>
      <w:r>
        <w:rPr>
          <w:rStyle w:val="ffline"/>
        </w:rPr>
        <w:t>gacttgccca</w:t>
      </w:r>
      <w:proofErr w:type="spellEnd"/>
      <w:r>
        <w:rPr>
          <w:rStyle w:val="ffline"/>
        </w:rPr>
        <w:t xml:space="preserve"> </w:t>
      </w:r>
      <w:proofErr w:type="spellStart"/>
      <w:r>
        <w:rPr>
          <w:rStyle w:val="ffline"/>
        </w:rPr>
        <w:t>agaaagacag</w:t>
      </w:r>
      <w:proofErr w:type="spellEnd"/>
      <w:r>
        <w:rPr>
          <w:rStyle w:val="ffline"/>
        </w:rPr>
        <w:t xml:space="preserve"> </w:t>
      </w:r>
      <w:proofErr w:type="spellStart"/>
      <w:r>
        <w:rPr>
          <w:rStyle w:val="ffline"/>
        </w:rPr>
        <w:t>gaatcatgta</w:t>
      </w:r>
      <w:proofErr w:type="spellEnd"/>
    </w:p>
    <w:p w14:paraId="315020A7" w14:textId="0576BEDE" w:rsidR="004803B9" w:rsidRDefault="004803B9" w:rsidP="004803B9">
      <w:pPr>
        <w:pStyle w:val="HTMLPreformatted"/>
      </w:pPr>
      <w:proofErr w:type="spellStart"/>
      <w:r>
        <w:rPr>
          <w:rStyle w:val="ffline"/>
        </w:rPr>
        <w:t>acccaagcca</w:t>
      </w:r>
      <w:proofErr w:type="spellEnd"/>
      <w:r>
        <w:rPr>
          <w:rStyle w:val="ffline"/>
        </w:rPr>
        <w:t xml:space="preserve"> </w:t>
      </w:r>
      <w:proofErr w:type="spellStart"/>
      <w:r>
        <w:rPr>
          <w:rStyle w:val="ffline"/>
        </w:rPr>
        <w:t>tacagcgcca</w:t>
      </w:r>
      <w:proofErr w:type="spellEnd"/>
      <w:r>
        <w:rPr>
          <w:rStyle w:val="ffline"/>
        </w:rPr>
        <w:t xml:space="preserve"> </w:t>
      </w:r>
      <w:proofErr w:type="spellStart"/>
      <w:r>
        <w:rPr>
          <w:rStyle w:val="ffline"/>
        </w:rPr>
        <w:t>tgccaatcac</w:t>
      </w:r>
      <w:proofErr w:type="spellEnd"/>
      <w:r>
        <w:rPr>
          <w:rStyle w:val="ffline"/>
        </w:rPr>
        <w:t xml:space="preserve"> </w:t>
      </w:r>
      <w:proofErr w:type="spellStart"/>
      <w:r>
        <w:rPr>
          <w:rStyle w:val="ffline"/>
        </w:rPr>
        <w:t>aaatgttgtg</w:t>
      </w:r>
      <w:proofErr w:type="spellEnd"/>
      <w:r>
        <w:rPr>
          <w:rStyle w:val="ffline"/>
        </w:rPr>
        <w:t xml:space="preserve"> </w:t>
      </w:r>
      <w:proofErr w:type="spellStart"/>
      <w:r>
        <w:rPr>
          <w:rStyle w:val="ffline"/>
        </w:rPr>
        <w:t>atggcactta</w:t>
      </w:r>
      <w:proofErr w:type="spellEnd"/>
      <w:r>
        <w:rPr>
          <w:rStyle w:val="ffline"/>
        </w:rPr>
        <w:t xml:space="preserve"> </w:t>
      </w:r>
      <w:proofErr w:type="spellStart"/>
      <w:r>
        <w:rPr>
          <w:rStyle w:val="ffline"/>
        </w:rPr>
        <w:t>aagtaaagtt</w:t>
      </w:r>
      <w:proofErr w:type="spellEnd"/>
    </w:p>
    <w:p w14:paraId="6A0163A8" w14:textId="37850026" w:rsidR="004803B9" w:rsidRDefault="004803B9" w:rsidP="004803B9">
      <w:pPr>
        <w:pStyle w:val="HTMLPreformatted"/>
      </w:pPr>
      <w:proofErr w:type="spellStart"/>
      <w:r>
        <w:rPr>
          <w:rStyle w:val="ffline"/>
        </w:rPr>
        <w:t>tttattttta</w:t>
      </w:r>
      <w:proofErr w:type="spellEnd"/>
      <w:r>
        <w:rPr>
          <w:rStyle w:val="ffline"/>
        </w:rPr>
        <w:t xml:space="preserve"> </w:t>
      </w:r>
      <w:proofErr w:type="spellStart"/>
      <w:r>
        <w:rPr>
          <w:rStyle w:val="ffline"/>
        </w:rPr>
        <w:t>aataccgata</w:t>
      </w:r>
      <w:proofErr w:type="spellEnd"/>
      <w:r>
        <w:rPr>
          <w:rStyle w:val="ffline"/>
        </w:rPr>
        <w:t xml:space="preserve"> </w:t>
      </w:r>
      <w:proofErr w:type="spellStart"/>
      <w:r>
        <w:rPr>
          <w:rStyle w:val="ffline"/>
        </w:rPr>
        <w:t>aatcgagcaa</w:t>
      </w:r>
      <w:proofErr w:type="spellEnd"/>
      <w:r>
        <w:rPr>
          <w:rStyle w:val="ffline"/>
        </w:rPr>
        <w:t xml:space="preserve"> </w:t>
      </w:r>
      <w:proofErr w:type="spellStart"/>
      <w:r>
        <w:rPr>
          <w:rStyle w:val="ffline"/>
        </w:rPr>
        <w:t>aggcttaggc</w:t>
      </w:r>
      <w:proofErr w:type="spellEnd"/>
      <w:r>
        <w:rPr>
          <w:rStyle w:val="ffline"/>
        </w:rPr>
        <w:t xml:space="preserve"> </w:t>
      </w:r>
      <w:proofErr w:type="spellStart"/>
      <w:r>
        <w:rPr>
          <w:rStyle w:val="ffline"/>
        </w:rPr>
        <w:t>tgggtaaaac</w:t>
      </w:r>
      <w:proofErr w:type="spellEnd"/>
      <w:r>
        <w:rPr>
          <w:rStyle w:val="ffline"/>
        </w:rPr>
        <w:t xml:space="preserve"> </w:t>
      </w:r>
      <w:proofErr w:type="spellStart"/>
      <w:r>
        <w:rPr>
          <w:rStyle w:val="ffline"/>
        </w:rPr>
        <w:t>ttcgagagaa</w:t>
      </w:r>
      <w:proofErr w:type="spellEnd"/>
    </w:p>
    <w:p w14:paraId="52591EB0" w14:textId="04637FCF" w:rsidR="004803B9" w:rsidRDefault="004803B9" w:rsidP="004803B9">
      <w:pPr>
        <w:pStyle w:val="HTMLPreformatted"/>
      </w:pPr>
      <w:proofErr w:type="spellStart"/>
      <w:r>
        <w:rPr>
          <w:rStyle w:val="ffline"/>
        </w:rPr>
        <w:t>gaaaatcata</w:t>
      </w:r>
      <w:proofErr w:type="spellEnd"/>
      <w:r>
        <w:rPr>
          <w:rStyle w:val="ffline"/>
        </w:rPr>
        <w:t xml:space="preserve"> </w:t>
      </w:r>
      <w:proofErr w:type="spellStart"/>
      <w:r>
        <w:rPr>
          <w:rStyle w:val="ffline"/>
        </w:rPr>
        <w:t>ccgcctacaa</w:t>
      </w:r>
      <w:proofErr w:type="spellEnd"/>
      <w:r>
        <w:rPr>
          <w:rStyle w:val="ffline"/>
        </w:rPr>
        <w:t xml:space="preserve"> </w:t>
      </w:r>
      <w:proofErr w:type="spellStart"/>
      <w:r>
        <w:rPr>
          <w:rStyle w:val="ffline"/>
        </w:rPr>
        <w:t>cacagaccat</w:t>
      </w:r>
      <w:proofErr w:type="spellEnd"/>
      <w:r>
        <w:rPr>
          <w:rStyle w:val="ffline"/>
        </w:rPr>
        <w:t xml:space="preserve"> </w:t>
      </w:r>
      <w:proofErr w:type="spellStart"/>
      <w:r>
        <w:rPr>
          <w:rStyle w:val="ffline"/>
        </w:rPr>
        <w:t>aaaagcaatc</w:t>
      </w:r>
      <w:proofErr w:type="spellEnd"/>
      <w:r>
        <w:rPr>
          <w:rStyle w:val="ffline"/>
        </w:rPr>
        <w:t xml:space="preserve"> </w:t>
      </w:r>
      <w:proofErr w:type="spellStart"/>
      <w:r>
        <w:rPr>
          <w:rStyle w:val="ffline"/>
        </w:rPr>
        <w:t>cgaacgcctg</w:t>
      </w:r>
      <w:proofErr w:type="spellEnd"/>
      <w:r>
        <w:rPr>
          <w:rStyle w:val="ffline"/>
        </w:rPr>
        <w:t xml:space="preserve"> </w:t>
      </w:r>
      <w:proofErr w:type="spellStart"/>
      <w:r>
        <w:rPr>
          <w:rStyle w:val="ffline"/>
        </w:rPr>
        <w:t>tgtctgcaag</w:t>
      </w:r>
      <w:proofErr w:type="spellEnd"/>
    </w:p>
    <w:p w14:paraId="3FFB2D0A" w14:textId="782ADF0B" w:rsidR="004803B9" w:rsidRDefault="004803B9" w:rsidP="004803B9">
      <w:pPr>
        <w:pStyle w:val="HTMLPreformatted"/>
      </w:pPr>
      <w:proofErr w:type="spellStart"/>
      <w:r>
        <w:rPr>
          <w:rStyle w:val="ffline"/>
        </w:rPr>
        <w:t>ccagtcatgc</w:t>
      </w:r>
      <w:proofErr w:type="spellEnd"/>
      <w:r>
        <w:rPr>
          <w:rStyle w:val="ffline"/>
        </w:rPr>
        <w:t xml:space="preserve"> </w:t>
      </w:r>
      <w:proofErr w:type="spellStart"/>
      <w:r>
        <w:rPr>
          <w:rStyle w:val="ffline"/>
        </w:rPr>
        <w:t>cgtgcacctt</w:t>
      </w:r>
      <w:proofErr w:type="spellEnd"/>
      <w:r>
        <w:rPr>
          <w:rStyle w:val="ffline"/>
        </w:rPr>
        <w:t xml:space="preserve"> </w:t>
      </w:r>
      <w:proofErr w:type="spellStart"/>
      <w:r>
        <w:rPr>
          <w:rStyle w:val="ffline"/>
        </w:rPr>
        <w:t>catcaaggaa</w:t>
      </w:r>
      <w:proofErr w:type="spellEnd"/>
      <w:r>
        <w:rPr>
          <w:rStyle w:val="ffline"/>
        </w:rPr>
        <w:t xml:space="preserve"> </w:t>
      </w:r>
      <w:proofErr w:type="spellStart"/>
      <w:r>
        <w:rPr>
          <w:rStyle w:val="ffline"/>
        </w:rPr>
        <w:t>atattcaagc</w:t>
      </w:r>
      <w:proofErr w:type="spellEnd"/>
      <w:r>
        <w:rPr>
          <w:rStyle w:val="ffline"/>
        </w:rPr>
        <w:t xml:space="preserve"> </w:t>
      </w:r>
      <w:proofErr w:type="spellStart"/>
      <w:r>
        <w:rPr>
          <w:rStyle w:val="ffline"/>
        </w:rPr>
        <w:t>ccacccaaaa</w:t>
      </w:r>
      <w:proofErr w:type="spellEnd"/>
      <w:r>
        <w:rPr>
          <w:rStyle w:val="ffline"/>
        </w:rPr>
        <w:t xml:space="preserve"> </w:t>
      </w:r>
      <w:proofErr w:type="spellStart"/>
      <w:r>
        <w:rPr>
          <w:rStyle w:val="ffline"/>
        </w:rPr>
        <w:t>acatcgccat</w:t>
      </w:r>
      <w:proofErr w:type="spellEnd"/>
    </w:p>
    <w:p w14:paraId="21FBB014" w14:textId="1FBBA7B4" w:rsidR="004803B9" w:rsidRDefault="004803B9" w:rsidP="004803B9">
      <w:pPr>
        <w:pStyle w:val="HTMLPreformatted"/>
      </w:pPr>
      <w:proofErr w:type="spellStart"/>
      <w:r>
        <w:rPr>
          <w:rStyle w:val="ffline"/>
        </w:rPr>
        <w:t>acccaccaaa</w:t>
      </w:r>
      <w:proofErr w:type="spellEnd"/>
      <w:r>
        <w:rPr>
          <w:rStyle w:val="ffline"/>
        </w:rPr>
        <w:t xml:space="preserve"> </w:t>
      </w:r>
      <w:proofErr w:type="spellStart"/>
      <w:r>
        <w:rPr>
          <w:rStyle w:val="ffline"/>
        </w:rPr>
        <w:t>ctaaaccaat</w:t>
      </w:r>
      <w:proofErr w:type="spellEnd"/>
      <w:r>
        <w:rPr>
          <w:rStyle w:val="ffline"/>
        </w:rPr>
        <w:t xml:space="preserve"> </w:t>
      </w:r>
      <w:proofErr w:type="spellStart"/>
      <w:r>
        <w:rPr>
          <w:rStyle w:val="ffline"/>
        </w:rPr>
        <w:t>ccatgctttt</w:t>
      </w:r>
      <w:proofErr w:type="spellEnd"/>
      <w:r>
        <w:rPr>
          <w:rStyle w:val="ffline"/>
        </w:rPr>
        <w:t xml:space="preserve"> </w:t>
      </w:r>
      <w:proofErr w:type="spellStart"/>
      <w:r>
        <w:rPr>
          <w:rStyle w:val="ffline"/>
        </w:rPr>
        <w:t>gatgagtgaa</w:t>
      </w:r>
      <w:proofErr w:type="spellEnd"/>
      <w:r>
        <w:rPr>
          <w:rStyle w:val="ffline"/>
        </w:rPr>
        <w:t xml:space="preserve"> </w:t>
      </w:r>
      <w:proofErr w:type="spellStart"/>
      <w:r>
        <w:rPr>
          <w:rStyle w:val="ffline"/>
        </w:rPr>
        <w:t>tagttggcac</w:t>
      </w:r>
      <w:proofErr w:type="spellEnd"/>
      <w:r>
        <w:rPr>
          <w:rStyle w:val="ffline"/>
        </w:rPr>
        <w:t xml:space="preserve"> </w:t>
      </w:r>
      <w:proofErr w:type="spellStart"/>
      <w:r>
        <w:rPr>
          <w:rStyle w:val="ffline"/>
        </w:rPr>
        <w:t>ggtcaatatt</w:t>
      </w:r>
      <w:proofErr w:type="spellEnd"/>
    </w:p>
    <w:p w14:paraId="4F9EA1C4" w14:textId="7D1D5DDB" w:rsidR="004803B9" w:rsidRDefault="004803B9" w:rsidP="004803B9">
      <w:pPr>
        <w:pStyle w:val="HTMLPreformatted"/>
      </w:pPr>
      <w:proofErr w:type="spellStart"/>
      <w:r>
        <w:rPr>
          <w:rStyle w:val="ffline"/>
        </w:rPr>
        <w:t>tggacctgag</w:t>
      </w:r>
      <w:proofErr w:type="spellEnd"/>
      <w:r>
        <w:rPr>
          <w:rStyle w:val="ffline"/>
        </w:rPr>
        <w:t xml:space="preserve"> </w:t>
      </w:r>
      <w:proofErr w:type="spellStart"/>
      <w:r>
        <w:rPr>
          <w:rStyle w:val="ffline"/>
        </w:rPr>
        <w:t>tagatgaccg</w:t>
      </w:r>
      <w:proofErr w:type="spellEnd"/>
      <w:r>
        <w:rPr>
          <w:rStyle w:val="ffline"/>
        </w:rPr>
        <w:t xml:space="preserve"> </w:t>
      </w:r>
      <w:proofErr w:type="spellStart"/>
      <w:r>
        <w:rPr>
          <w:rStyle w:val="ffline"/>
        </w:rPr>
        <w:t>tagcaatgat</w:t>
      </w:r>
      <w:proofErr w:type="spellEnd"/>
      <w:r>
        <w:rPr>
          <w:rStyle w:val="ffline"/>
        </w:rPr>
        <w:t xml:space="preserve"> </w:t>
      </w:r>
      <w:proofErr w:type="spellStart"/>
      <w:r>
        <w:rPr>
          <w:rStyle w:val="ffline"/>
        </w:rPr>
        <w:t>aatgcccgga</w:t>
      </w:r>
      <w:proofErr w:type="spellEnd"/>
      <w:r>
        <w:rPr>
          <w:rStyle w:val="ffline"/>
        </w:rPr>
        <w:t xml:space="preserve"> </w:t>
      </w:r>
      <w:proofErr w:type="spellStart"/>
      <w:r>
        <w:rPr>
          <w:rStyle w:val="ffline"/>
        </w:rPr>
        <w:t>ataatattga</w:t>
      </w:r>
      <w:proofErr w:type="spellEnd"/>
      <w:r>
        <w:rPr>
          <w:rStyle w:val="ffline"/>
        </w:rPr>
        <w:t xml:space="preserve"> </w:t>
      </w:r>
      <w:proofErr w:type="spellStart"/>
      <w:r>
        <w:rPr>
          <w:rStyle w:val="ffline"/>
        </w:rPr>
        <w:t>tcaggaacat</w:t>
      </w:r>
      <w:proofErr w:type="spellEnd"/>
    </w:p>
    <w:p w14:paraId="13B0C661" w14:textId="6AA6A6F9" w:rsidR="004803B9" w:rsidRDefault="004803B9" w:rsidP="004803B9">
      <w:pPr>
        <w:pStyle w:val="HTMLPreformatted"/>
      </w:pPr>
      <w:proofErr w:type="spellStart"/>
      <w:r>
        <w:rPr>
          <w:rStyle w:val="ffline"/>
        </w:rPr>
        <w:t>ccagtgccat</w:t>
      </w:r>
      <w:proofErr w:type="spellEnd"/>
      <w:r>
        <w:rPr>
          <w:rStyle w:val="ffline"/>
        </w:rPr>
        <w:t xml:space="preserve"> </w:t>
      </w:r>
      <w:proofErr w:type="spellStart"/>
      <w:r>
        <w:rPr>
          <w:rStyle w:val="ffline"/>
        </w:rPr>
        <w:t>gagaagttat</w:t>
      </w:r>
      <w:proofErr w:type="spellEnd"/>
      <w:r>
        <w:rPr>
          <w:rStyle w:val="ffline"/>
        </w:rPr>
        <w:t xml:space="preserve"> </w:t>
      </w:r>
      <w:proofErr w:type="spellStart"/>
      <w:r>
        <w:rPr>
          <w:rStyle w:val="ffline"/>
        </w:rPr>
        <w:t>tggtaagcca</w:t>
      </w:r>
      <w:proofErr w:type="spellEnd"/>
      <w:r>
        <w:rPr>
          <w:rStyle w:val="ffline"/>
        </w:rPr>
        <w:t xml:space="preserve"> </w:t>
      </w:r>
      <w:proofErr w:type="spellStart"/>
      <w:r>
        <w:rPr>
          <w:rStyle w:val="ffline"/>
        </w:rPr>
        <w:t>accgccaatg</w:t>
      </w:r>
      <w:proofErr w:type="spellEnd"/>
      <w:r>
        <w:rPr>
          <w:rStyle w:val="ffline"/>
        </w:rPr>
        <w:t xml:space="preserve"> </w:t>
      </w:r>
      <w:proofErr w:type="spellStart"/>
      <w:r>
        <w:rPr>
          <w:rStyle w:val="ffline"/>
        </w:rPr>
        <w:t>gttgggccaa</w:t>
      </w:r>
      <w:proofErr w:type="spellEnd"/>
      <w:r>
        <w:rPr>
          <w:rStyle w:val="ffline"/>
        </w:rPr>
        <w:t xml:space="preserve"> </w:t>
      </w:r>
      <w:proofErr w:type="spellStart"/>
      <w:r>
        <w:rPr>
          <w:rStyle w:val="ffline"/>
        </w:rPr>
        <w:t>ttgctggacc</w:t>
      </w:r>
      <w:proofErr w:type="spellEnd"/>
    </w:p>
    <w:p w14:paraId="7FB73979" w14:textId="16608796" w:rsidR="004803B9" w:rsidRDefault="004803B9" w:rsidP="004803B9">
      <w:pPr>
        <w:pStyle w:val="HTMLPreformatted"/>
      </w:pPr>
      <w:proofErr w:type="spellStart"/>
      <w:r>
        <w:rPr>
          <w:rStyle w:val="ffline"/>
        </w:rPr>
        <w:t>taaagtactg</w:t>
      </w:r>
      <w:proofErr w:type="spellEnd"/>
      <w:r>
        <w:rPr>
          <w:rStyle w:val="ffline"/>
        </w:rPr>
        <w:t xml:space="preserve"> </w:t>
      </w:r>
      <w:proofErr w:type="spellStart"/>
      <w:r>
        <w:rPr>
          <w:rStyle w:val="ffline"/>
        </w:rPr>
        <w:t>atcatgccaa</w:t>
      </w:r>
      <w:proofErr w:type="spellEnd"/>
      <w:r>
        <w:rPr>
          <w:rStyle w:val="ffline"/>
        </w:rPr>
        <w:t xml:space="preserve"> </w:t>
      </w:r>
      <w:proofErr w:type="spellStart"/>
      <w:r>
        <w:rPr>
          <w:rStyle w:val="ffline"/>
        </w:rPr>
        <w:t>acatgaccaa</w:t>
      </w:r>
      <w:proofErr w:type="spellEnd"/>
      <w:r>
        <w:rPr>
          <w:rStyle w:val="ffline"/>
        </w:rPr>
        <w:t xml:space="preserve"> </w:t>
      </w:r>
      <w:proofErr w:type="spellStart"/>
      <w:r>
        <w:rPr>
          <w:rStyle w:val="ffline"/>
        </w:rPr>
        <w:t>aggtaatgag</w:t>
      </w:r>
      <w:proofErr w:type="spellEnd"/>
      <w:r>
        <w:rPr>
          <w:rStyle w:val="ffline"/>
        </w:rPr>
        <w:t xml:space="preserve"> </w:t>
      </w:r>
      <w:proofErr w:type="spellStart"/>
      <w:r>
        <w:rPr>
          <w:rStyle w:val="ffline"/>
        </w:rPr>
        <w:t>cgttttggtt</w:t>
      </w:r>
      <w:proofErr w:type="spellEnd"/>
      <w:r>
        <w:rPr>
          <w:rStyle w:val="ffline"/>
        </w:rPr>
        <w:t xml:space="preserve"> </w:t>
      </w:r>
      <w:proofErr w:type="spellStart"/>
      <w:r>
        <w:rPr>
          <w:rStyle w:val="ffline"/>
        </w:rPr>
        <w:t>ctggaaacag</w:t>
      </w:r>
      <w:proofErr w:type="spellEnd"/>
    </w:p>
    <w:p w14:paraId="3324C6AD" w14:textId="103E32E7" w:rsidR="004803B9" w:rsidRDefault="004803B9" w:rsidP="004803B9">
      <w:pPr>
        <w:pStyle w:val="HTMLPreformatted"/>
      </w:pPr>
      <w:proofErr w:type="spellStart"/>
      <w:r>
        <w:rPr>
          <w:rStyle w:val="ffline"/>
        </w:rPr>
        <w:t>taaatacaac</w:t>
      </w:r>
      <w:proofErr w:type="spellEnd"/>
      <w:r>
        <w:rPr>
          <w:rStyle w:val="ffline"/>
        </w:rPr>
        <w:t xml:space="preserve"> </w:t>
      </w:r>
      <w:proofErr w:type="spellStart"/>
      <w:r>
        <w:rPr>
          <w:rStyle w:val="ffline"/>
        </w:rPr>
        <w:t>gccgtcatgg</w:t>
      </w:r>
      <w:proofErr w:type="spellEnd"/>
      <w:r>
        <w:rPr>
          <w:rStyle w:val="ffline"/>
        </w:rPr>
        <w:t xml:space="preserve"> </w:t>
      </w:r>
      <w:proofErr w:type="spellStart"/>
      <w:r>
        <w:rPr>
          <w:rStyle w:val="ffline"/>
        </w:rPr>
        <w:t>aagtcggaat</w:t>
      </w:r>
      <w:proofErr w:type="spellEnd"/>
      <w:r>
        <w:rPr>
          <w:rStyle w:val="ffline"/>
        </w:rPr>
        <w:t xml:space="preserve"> </w:t>
      </w:r>
      <w:proofErr w:type="spellStart"/>
      <w:r>
        <w:rPr>
          <w:rStyle w:val="ffline"/>
        </w:rPr>
        <w:t>catcccgcca</w:t>
      </w:r>
      <w:proofErr w:type="spellEnd"/>
      <w:r>
        <w:rPr>
          <w:rStyle w:val="ffline"/>
        </w:rPr>
        <w:t xml:space="preserve"> </w:t>
      </w:r>
      <w:proofErr w:type="spellStart"/>
      <w:r>
        <w:rPr>
          <w:rStyle w:val="ffline"/>
        </w:rPr>
        <w:t>cccataaagc</w:t>
      </w:r>
      <w:proofErr w:type="spellEnd"/>
      <w:r>
        <w:rPr>
          <w:rStyle w:val="ffline"/>
        </w:rPr>
        <w:t xml:space="preserve"> </w:t>
      </w:r>
      <w:proofErr w:type="spellStart"/>
      <w:r>
        <w:rPr>
          <w:rStyle w:val="ffline"/>
        </w:rPr>
        <w:t>cttgaatgcc</w:t>
      </w:r>
      <w:proofErr w:type="spellEnd"/>
    </w:p>
    <w:p w14:paraId="24E6AE18" w14:textId="6104870C" w:rsidR="004803B9" w:rsidRDefault="004803B9" w:rsidP="004803B9">
      <w:pPr>
        <w:pStyle w:val="HTMLPreformatted"/>
      </w:pPr>
      <w:proofErr w:type="spellStart"/>
      <w:r>
        <w:rPr>
          <w:rStyle w:val="ffline"/>
        </w:rPr>
        <w:t>acggaacacc</w:t>
      </w:r>
      <w:proofErr w:type="spellEnd"/>
      <w:r>
        <w:rPr>
          <w:rStyle w:val="ffline"/>
        </w:rPr>
        <w:t xml:space="preserve"> </w:t>
      </w:r>
      <w:proofErr w:type="spellStart"/>
      <w:r>
        <w:rPr>
          <w:rStyle w:val="ffline"/>
        </w:rPr>
        <w:t>agtaaacttt</w:t>
      </w:r>
      <w:proofErr w:type="spellEnd"/>
      <w:r>
        <w:rPr>
          <w:rStyle w:val="ffline"/>
        </w:rPr>
        <w:t xml:space="preserve"> </w:t>
      </w:r>
      <w:proofErr w:type="spellStart"/>
      <w:r>
        <w:rPr>
          <w:rStyle w:val="ffline"/>
        </w:rPr>
        <w:t>ccaagttcca</w:t>
      </w:r>
      <w:proofErr w:type="spellEnd"/>
      <w:r>
        <w:rPr>
          <w:rStyle w:val="ffline"/>
        </w:rPr>
        <w:t xml:space="preserve"> </w:t>
      </w:r>
      <w:proofErr w:type="spellStart"/>
      <w:r>
        <w:rPr>
          <w:rStyle w:val="ffline"/>
        </w:rPr>
        <w:t>tgacaaagca</w:t>
      </w:r>
      <w:proofErr w:type="spellEnd"/>
      <w:r>
        <w:rPr>
          <w:rStyle w:val="ffline"/>
        </w:rPr>
        <w:t xml:space="preserve"> </w:t>
      </w:r>
      <w:proofErr w:type="spellStart"/>
      <w:r>
        <w:rPr>
          <w:rStyle w:val="ffline"/>
        </w:rPr>
        <w:t>caaagtaaag</w:t>
      </w:r>
      <w:proofErr w:type="spellEnd"/>
      <w:r>
        <w:rPr>
          <w:rStyle w:val="ffline"/>
        </w:rPr>
        <w:t xml:space="preserve"> </w:t>
      </w:r>
      <w:proofErr w:type="spellStart"/>
      <w:r>
        <w:rPr>
          <w:rStyle w:val="ffline"/>
        </w:rPr>
        <w:t>aactgaccgt</w:t>
      </w:r>
      <w:proofErr w:type="spellEnd"/>
    </w:p>
    <w:p w14:paraId="40B1A0FE" w14:textId="05BDB5D9" w:rsidR="004803B9" w:rsidRDefault="004803B9" w:rsidP="004803B9">
      <w:pPr>
        <w:pStyle w:val="HTMLPreformatted"/>
      </w:pPr>
      <w:proofErr w:type="spellStart"/>
      <w:r>
        <w:rPr>
          <w:rStyle w:val="ffline"/>
        </w:rPr>
        <w:t>aaaacctatt</w:t>
      </w:r>
      <w:proofErr w:type="spellEnd"/>
      <w:r>
        <w:rPr>
          <w:rStyle w:val="ffline"/>
        </w:rPr>
        <w:t xml:space="preserve"> </w:t>
      </w:r>
      <w:proofErr w:type="spellStart"/>
      <w:r>
        <w:rPr>
          <w:rStyle w:val="ffline"/>
        </w:rPr>
        <w:t>gcacacatgg</w:t>
      </w:r>
      <w:proofErr w:type="spellEnd"/>
      <w:r>
        <w:rPr>
          <w:rStyle w:val="ffline"/>
        </w:rPr>
        <w:t xml:space="preserve"> </w:t>
      </w:r>
      <w:proofErr w:type="spellStart"/>
      <w:r>
        <w:rPr>
          <w:rStyle w:val="ffline"/>
        </w:rPr>
        <w:t>tgtaatacac</w:t>
      </w:r>
      <w:proofErr w:type="spellEnd"/>
      <w:r>
        <w:rPr>
          <w:rStyle w:val="ffline"/>
        </w:rPr>
        <w:t xml:space="preserve"> </w:t>
      </w:r>
      <w:proofErr w:type="spellStart"/>
      <w:r>
        <w:rPr>
          <w:rStyle w:val="ffline"/>
        </w:rPr>
        <w:t>ccgtgttgaa</w:t>
      </w:r>
      <w:proofErr w:type="spellEnd"/>
      <w:r>
        <w:rPr>
          <w:rStyle w:val="ffline"/>
        </w:rPr>
        <w:t xml:space="preserve"> </w:t>
      </w:r>
      <w:proofErr w:type="spellStart"/>
      <w:r>
        <w:rPr>
          <w:rStyle w:val="ffline"/>
        </w:rPr>
        <w:t>agcactcgcg</w:t>
      </w:r>
      <w:proofErr w:type="spellEnd"/>
      <w:r>
        <w:rPr>
          <w:rStyle w:val="ffline"/>
        </w:rPr>
        <w:t xml:space="preserve"> </w:t>
      </w:r>
      <w:proofErr w:type="spellStart"/>
      <w:r>
        <w:rPr>
          <w:rStyle w:val="ffline"/>
        </w:rPr>
        <w:t>agacaatact</w:t>
      </w:r>
      <w:proofErr w:type="spellEnd"/>
    </w:p>
    <w:p w14:paraId="7979F4AE" w14:textId="59F5FB2E" w:rsidR="004803B9" w:rsidRDefault="004803B9" w:rsidP="004803B9">
      <w:pPr>
        <w:pStyle w:val="HTMLPreformatted"/>
      </w:pPr>
      <w:proofErr w:type="spellStart"/>
      <w:r>
        <w:rPr>
          <w:rStyle w:val="ffline"/>
        </w:rPr>
        <w:t>cgacattgga</w:t>
      </w:r>
      <w:proofErr w:type="spellEnd"/>
      <w:r>
        <w:rPr>
          <w:rStyle w:val="ffline"/>
        </w:rPr>
        <w:t xml:space="preserve"> </w:t>
      </w:r>
      <w:proofErr w:type="spellStart"/>
      <w:r>
        <w:rPr>
          <w:rStyle w:val="ffline"/>
        </w:rPr>
        <w:t>attgcaataa</w:t>
      </w:r>
      <w:proofErr w:type="spellEnd"/>
      <w:r>
        <w:rPr>
          <w:rStyle w:val="ffline"/>
        </w:rPr>
        <w:t xml:space="preserve"> </w:t>
      </w:r>
      <w:proofErr w:type="spellStart"/>
      <w:r>
        <w:rPr>
          <w:rStyle w:val="ffline"/>
        </w:rPr>
        <w:t>tttcggcaat</w:t>
      </w:r>
      <w:proofErr w:type="spellEnd"/>
      <w:r>
        <w:rPr>
          <w:rStyle w:val="ffline"/>
        </w:rPr>
        <w:t xml:space="preserve"> </w:t>
      </w:r>
      <w:proofErr w:type="spellStart"/>
      <w:r>
        <w:rPr>
          <w:rStyle w:val="ffline"/>
        </w:rPr>
        <w:t>taaataaacc</w:t>
      </w:r>
      <w:proofErr w:type="spellEnd"/>
      <w:r>
        <w:rPr>
          <w:rStyle w:val="ffline"/>
        </w:rPr>
        <w:t xml:space="preserve"> </w:t>
      </w:r>
      <w:proofErr w:type="spellStart"/>
      <w:r>
        <w:rPr>
          <w:rStyle w:val="ffline"/>
        </w:rPr>
        <w:t>gtttgtaccc</w:t>
      </w:r>
      <w:proofErr w:type="spellEnd"/>
      <w:r>
        <w:rPr>
          <w:rStyle w:val="ffline"/>
        </w:rPr>
        <w:t xml:space="preserve"> </w:t>
      </w:r>
      <w:proofErr w:type="spellStart"/>
      <w:r>
        <w:rPr>
          <w:rStyle w:val="ffline"/>
        </w:rPr>
        <w:t>aagtgacttc</w:t>
      </w:r>
      <w:proofErr w:type="spellEnd"/>
    </w:p>
    <w:p w14:paraId="56ACB131" w14:textId="4CB1FA23" w:rsidR="004803B9" w:rsidRDefault="004803B9" w:rsidP="004803B9">
      <w:pPr>
        <w:pStyle w:val="HTMLPreformatted"/>
      </w:pPr>
      <w:proofErr w:type="spellStart"/>
      <w:r>
        <w:rPr>
          <w:rStyle w:val="ffline"/>
        </w:rPr>
        <w:t>ataacgactt</w:t>
      </w:r>
      <w:proofErr w:type="spellEnd"/>
      <w:r>
        <w:rPr>
          <w:rStyle w:val="ffline"/>
        </w:rPr>
        <w:t xml:space="preserve"> </w:t>
      </w:r>
      <w:proofErr w:type="spellStart"/>
      <w:r>
        <w:rPr>
          <w:rStyle w:val="ffline"/>
        </w:rPr>
        <w:t>gcactcatac</w:t>
      </w:r>
      <w:proofErr w:type="spellEnd"/>
      <w:r>
        <w:rPr>
          <w:rStyle w:val="ffline"/>
        </w:rPr>
        <w:t xml:space="preserve"> </w:t>
      </w:r>
      <w:proofErr w:type="spellStart"/>
      <w:r>
        <w:rPr>
          <w:rStyle w:val="ffline"/>
        </w:rPr>
        <w:t>cagcttgtac</w:t>
      </w:r>
      <w:proofErr w:type="spellEnd"/>
      <w:r>
        <w:rPr>
          <w:rStyle w:val="ffline"/>
        </w:rPr>
        <w:t xml:space="preserve"> </w:t>
      </w:r>
      <w:proofErr w:type="spellStart"/>
      <w:r>
        <w:rPr>
          <w:rStyle w:val="ffline"/>
        </w:rPr>
        <w:t>ttcgtttaaa</w:t>
      </w:r>
      <w:proofErr w:type="spellEnd"/>
      <w:r>
        <w:rPr>
          <w:rStyle w:val="ffline"/>
        </w:rPr>
        <w:t xml:space="preserve"> </w:t>
      </w:r>
      <w:proofErr w:type="spellStart"/>
      <w:r>
        <w:rPr>
          <w:rStyle w:val="ffline"/>
        </w:rPr>
        <w:t>gaactcgcca</w:t>
      </w:r>
      <w:proofErr w:type="spellEnd"/>
      <w:r>
        <w:rPr>
          <w:rStyle w:val="ffline"/>
        </w:rPr>
        <w:t xml:space="preserve"> </w:t>
      </w:r>
      <w:proofErr w:type="spellStart"/>
      <w:r>
        <w:rPr>
          <w:rStyle w:val="ffline"/>
        </w:rPr>
        <w:t>caatctgaat</w:t>
      </w:r>
      <w:proofErr w:type="spellEnd"/>
    </w:p>
    <w:p w14:paraId="3A1699EA" w14:textId="62D5F62A" w:rsidR="004803B9" w:rsidRDefault="004803B9" w:rsidP="004803B9">
      <w:pPr>
        <w:pStyle w:val="HTMLPreformatted"/>
      </w:pPr>
      <w:proofErr w:type="spellStart"/>
      <w:r>
        <w:rPr>
          <w:rStyle w:val="ffline"/>
        </w:rPr>
        <w:t>atcaagaatc</w:t>
      </w:r>
      <w:proofErr w:type="spellEnd"/>
      <w:r>
        <w:rPr>
          <w:rStyle w:val="ffline"/>
        </w:rPr>
        <w:t xml:space="preserve"> </w:t>
      </w:r>
      <w:proofErr w:type="spellStart"/>
      <w:r>
        <w:rPr>
          <w:rStyle w:val="ffline"/>
        </w:rPr>
        <w:t>gccatgaagt</w:t>
      </w:r>
      <w:proofErr w:type="spellEnd"/>
      <w:r>
        <w:rPr>
          <w:rStyle w:val="ffline"/>
        </w:rPr>
        <w:t xml:space="preserve"> </w:t>
      </w:r>
      <w:proofErr w:type="spellStart"/>
      <w:r>
        <w:rPr>
          <w:rStyle w:val="ffline"/>
        </w:rPr>
        <w:t>tgccaaaaat</w:t>
      </w:r>
      <w:proofErr w:type="spellEnd"/>
      <w:r>
        <w:rPr>
          <w:rStyle w:val="ffline"/>
        </w:rPr>
        <w:t xml:space="preserve"> </w:t>
      </w:r>
      <w:proofErr w:type="spellStart"/>
      <w:r>
        <w:rPr>
          <w:rStyle w:val="ffline"/>
        </w:rPr>
        <w:t>catggcagca</w:t>
      </w:r>
      <w:proofErr w:type="spellEnd"/>
      <w:r>
        <w:rPr>
          <w:rStyle w:val="ffline"/>
        </w:rPr>
        <w:t xml:space="preserve"> </w:t>
      </w:r>
      <w:proofErr w:type="spellStart"/>
      <w:r>
        <w:rPr>
          <w:rStyle w:val="ffline"/>
        </w:rPr>
        <w:t>aaaattgccc</w:t>
      </w:r>
      <w:proofErr w:type="spellEnd"/>
      <w:r>
        <w:rPr>
          <w:rStyle w:val="ffline"/>
        </w:rPr>
        <w:t xml:space="preserve"> </w:t>
      </w:r>
      <w:proofErr w:type="spellStart"/>
      <w:r>
        <w:rPr>
          <w:rStyle w:val="ffline"/>
        </w:rPr>
        <w:t>atgcagtttt</w:t>
      </w:r>
      <w:proofErr w:type="spellEnd"/>
    </w:p>
    <w:p w14:paraId="101B7C2E" w14:textId="4551A736" w:rsidR="004803B9" w:rsidRDefault="004803B9" w:rsidP="004803B9">
      <w:pPr>
        <w:pStyle w:val="HTMLPreformatted"/>
        <w:rPr>
          <w:rStyle w:val="ffline"/>
        </w:rPr>
      </w:pPr>
      <w:proofErr w:type="spellStart"/>
      <w:r>
        <w:rPr>
          <w:rStyle w:val="ffline"/>
        </w:rPr>
        <w:t>tgcgggaaac</w:t>
      </w:r>
      <w:proofErr w:type="spellEnd"/>
      <w:r>
        <w:rPr>
          <w:rStyle w:val="ffline"/>
        </w:rPr>
        <w:t xml:space="preserve"> </w:t>
      </w:r>
      <w:proofErr w:type="spellStart"/>
      <w:r>
        <w:rPr>
          <w:rStyle w:val="ffline"/>
        </w:rPr>
        <w:t>ctccactcag</w:t>
      </w:r>
      <w:proofErr w:type="spellEnd"/>
      <w:r>
        <w:rPr>
          <w:rStyle w:val="ffline"/>
        </w:rPr>
        <w:t xml:space="preserve"> </w:t>
      </w:r>
      <w:proofErr w:type="spellStart"/>
      <w:r>
        <w:rPr>
          <w:rStyle w:val="ffline"/>
        </w:rPr>
        <w:t>cttcaacatg</w:t>
      </w:r>
      <w:proofErr w:type="spellEnd"/>
      <w:r>
        <w:rPr>
          <w:rStyle w:val="ffline"/>
        </w:rPr>
        <w:t xml:space="preserve"> </w:t>
      </w:r>
      <w:proofErr w:type="spellStart"/>
      <w:r>
        <w:rPr>
          <w:rStyle w:val="ffline"/>
        </w:rPr>
        <w:t>cttattcat</w:t>
      </w:r>
      <w:proofErr w:type="spellEnd"/>
    </w:p>
    <w:p w14:paraId="4E7A54D2" w14:textId="77777777" w:rsidR="004803B9" w:rsidRDefault="004803B9" w:rsidP="004803B9">
      <w:pPr>
        <w:pStyle w:val="HTMLPreformatted"/>
        <w:rPr>
          <w:rStyle w:val="ffline"/>
        </w:rPr>
      </w:pPr>
    </w:p>
    <w:p w14:paraId="12183A65" w14:textId="517F9570" w:rsidR="004803B9" w:rsidRDefault="004803B9" w:rsidP="004803B9">
      <w:r>
        <w:rPr>
          <w:rStyle w:val="ffline"/>
        </w:rPr>
        <w:t>&gt;</w:t>
      </w:r>
      <w:r>
        <w:t>ABUW_1950 (</w:t>
      </w:r>
      <w:proofErr w:type="spellStart"/>
      <w:r w:rsidRPr="004803B9">
        <w:rPr>
          <w:i/>
          <w:iCs/>
        </w:rPr>
        <w:t>amfB</w:t>
      </w:r>
      <w:proofErr w:type="spellEnd"/>
      <w:r>
        <w:t>)</w:t>
      </w:r>
      <w:r w:rsidR="00832EB7">
        <w:t xml:space="preserve"> GenBank: CP008706.1</w:t>
      </w:r>
    </w:p>
    <w:p w14:paraId="32CABA0B" w14:textId="659AE1B9" w:rsidR="004803B9" w:rsidRDefault="004803B9" w:rsidP="004803B9">
      <w:pPr>
        <w:pStyle w:val="HTMLPreformatted"/>
      </w:pPr>
      <w:proofErr w:type="spellStart"/>
      <w:r>
        <w:rPr>
          <w:rStyle w:val="ffline"/>
        </w:rPr>
        <w:t>atgaataagc</w:t>
      </w:r>
      <w:proofErr w:type="spellEnd"/>
      <w:r>
        <w:rPr>
          <w:rStyle w:val="ffline"/>
        </w:rPr>
        <w:t xml:space="preserve"> </w:t>
      </w:r>
      <w:proofErr w:type="spellStart"/>
      <w:r>
        <w:rPr>
          <w:rStyle w:val="ffline"/>
        </w:rPr>
        <w:t>atgttgaagc</w:t>
      </w:r>
      <w:proofErr w:type="spellEnd"/>
      <w:r>
        <w:rPr>
          <w:rStyle w:val="ffline"/>
        </w:rPr>
        <w:t xml:space="preserve"> </w:t>
      </w:r>
      <w:proofErr w:type="spellStart"/>
      <w:r>
        <w:rPr>
          <w:rStyle w:val="ffline"/>
        </w:rPr>
        <w:t>cgagtggagg</w:t>
      </w:r>
      <w:proofErr w:type="spellEnd"/>
      <w:r>
        <w:rPr>
          <w:rStyle w:val="ffline"/>
        </w:rPr>
        <w:t xml:space="preserve"> </w:t>
      </w:r>
      <w:proofErr w:type="spellStart"/>
      <w:r>
        <w:rPr>
          <w:rStyle w:val="ffline"/>
        </w:rPr>
        <w:t>tttcccgcaa</w:t>
      </w:r>
      <w:proofErr w:type="spellEnd"/>
      <w:r>
        <w:rPr>
          <w:rStyle w:val="ffline"/>
        </w:rPr>
        <w:t xml:space="preserve"> </w:t>
      </w:r>
      <w:proofErr w:type="spellStart"/>
      <w:r>
        <w:rPr>
          <w:rStyle w:val="ffline"/>
        </w:rPr>
        <w:t>aaactgcatg</w:t>
      </w:r>
      <w:proofErr w:type="spellEnd"/>
      <w:r>
        <w:rPr>
          <w:rStyle w:val="ffline"/>
        </w:rPr>
        <w:t xml:space="preserve"> </w:t>
      </w:r>
      <w:proofErr w:type="spellStart"/>
      <w:r>
        <w:rPr>
          <w:rStyle w:val="ffline"/>
        </w:rPr>
        <w:t>ggcaattttt</w:t>
      </w:r>
      <w:proofErr w:type="spellEnd"/>
    </w:p>
    <w:p w14:paraId="26500C38" w14:textId="01D2530C" w:rsidR="004803B9" w:rsidRDefault="004803B9" w:rsidP="004803B9">
      <w:pPr>
        <w:pStyle w:val="HTMLPreformatted"/>
      </w:pPr>
      <w:proofErr w:type="spellStart"/>
      <w:r>
        <w:rPr>
          <w:rStyle w:val="ffline"/>
        </w:rPr>
        <w:t>gctgccatga</w:t>
      </w:r>
      <w:proofErr w:type="spellEnd"/>
      <w:r>
        <w:rPr>
          <w:rStyle w:val="ffline"/>
        </w:rPr>
        <w:t xml:space="preserve"> </w:t>
      </w:r>
      <w:proofErr w:type="spellStart"/>
      <w:r>
        <w:rPr>
          <w:rStyle w:val="ffline"/>
        </w:rPr>
        <w:t>tttttggcaa</w:t>
      </w:r>
      <w:proofErr w:type="spellEnd"/>
      <w:r>
        <w:rPr>
          <w:rStyle w:val="ffline"/>
        </w:rPr>
        <w:t xml:space="preserve"> </w:t>
      </w:r>
      <w:proofErr w:type="spellStart"/>
      <w:r>
        <w:rPr>
          <w:rStyle w:val="ffline"/>
        </w:rPr>
        <w:t>cttcatggcg</w:t>
      </w:r>
      <w:proofErr w:type="spellEnd"/>
      <w:r>
        <w:rPr>
          <w:rStyle w:val="ffline"/>
        </w:rPr>
        <w:t xml:space="preserve"> </w:t>
      </w:r>
      <w:proofErr w:type="spellStart"/>
      <w:r>
        <w:rPr>
          <w:rStyle w:val="ffline"/>
        </w:rPr>
        <w:t>attcttgata</w:t>
      </w:r>
      <w:proofErr w:type="spellEnd"/>
      <w:r>
        <w:rPr>
          <w:rStyle w:val="ffline"/>
        </w:rPr>
        <w:t xml:space="preserve"> </w:t>
      </w:r>
      <w:proofErr w:type="spellStart"/>
      <w:r>
        <w:rPr>
          <w:rStyle w:val="ffline"/>
        </w:rPr>
        <w:t>ttcagattgt</w:t>
      </w:r>
      <w:proofErr w:type="spellEnd"/>
      <w:r>
        <w:rPr>
          <w:rStyle w:val="ffline"/>
        </w:rPr>
        <w:t xml:space="preserve"> </w:t>
      </w:r>
      <w:proofErr w:type="spellStart"/>
      <w:r>
        <w:rPr>
          <w:rStyle w:val="ffline"/>
        </w:rPr>
        <w:t>ggcaagttct</w:t>
      </w:r>
      <w:proofErr w:type="spellEnd"/>
    </w:p>
    <w:p w14:paraId="67F17A1D" w14:textId="7CC8A8DB" w:rsidR="004803B9" w:rsidRDefault="004803B9" w:rsidP="004803B9">
      <w:pPr>
        <w:pStyle w:val="HTMLPreformatted"/>
      </w:pPr>
      <w:proofErr w:type="spellStart"/>
      <w:r>
        <w:rPr>
          <w:rStyle w:val="ffline"/>
        </w:rPr>
        <w:t>ctaaacgaag</w:t>
      </w:r>
      <w:proofErr w:type="spellEnd"/>
      <w:r>
        <w:rPr>
          <w:rStyle w:val="ffline"/>
        </w:rPr>
        <w:t xml:space="preserve"> </w:t>
      </w:r>
      <w:proofErr w:type="spellStart"/>
      <w:r>
        <w:rPr>
          <w:rStyle w:val="ffline"/>
        </w:rPr>
        <w:t>ttcaagctgg</w:t>
      </w:r>
      <w:proofErr w:type="spellEnd"/>
      <w:r>
        <w:rPr>
          <w:rStyle w:val="ffline"/>
        </w:rPr>
        <w:t xml:space="preserve"> </w:t>
      </w:r>
      <w:proofErr w:type="spellStart"/>
      <w:r>
        <w:rPr>
          <w:rStyle w:val="ffline"/>
        </w:rPr>
        <w:t>tatgagtgca</w:t>
      </w:r>
      <w:proofErr w:type="spellEnd"/>
      <w:r>
        <w:rPr>
          <w:rStyle w:val="ffline"/>
        </w:rPr>
        <w:t xml:space="preserve"> </w:t>
      </w:r>
      <w:proofErr w:type="spellStart"/>
      <w:r>
        <w:rPr>
          <w:rStyle w:val="ffline"/>
        </w:rPr>
        <w:t>agtcgttatg</w:t>
      </w:r>
      <w:proofErr w:type="spellEnd"/>
      <w:r>
        <w:rPr>
          <w:rStyle w:val="ffline"/>
        </w:rPr>
        <w:t xml:space="preserve"> </w:t>
      </w:r>
      <w:proofErr w:type="spellStart"/>
      <w:r>
        <w:rPr>
          <w:rStyle w:val="ffline"/>
        </w:rPr>
        <w:t>aagtcacttg</w:t>
      </w:r>
      <w:proofErr w:type="spellEnd"/>
      <w:r>
        <w:rPr>
          <w:rStyle w:val="ffline"/>
        </w:rPr>
        <w:t xml:space="preserve"> </w:t>
      </w:r>
      <w:proofErr w:type="spellStart"/>
      <w:r>
        <w:rPr>
          <w:rStyle w:val="ffline"/>
        </w:rPr>
        <w:t>ggtacaaacg</w:t>
      </w:r>
      <w:proofErr w:type="spellEnd"/>
    </w:p>
    <w:p w14:paraId="35E68619" w14:textId="3902CDED" w:rsidR="004803B9" w:rsidRDefault="004803B9" w:rsidP="004803B9">
      <w:pPr>
        <w:pStyle w:val="HTMLPreformatted"/>
      </w:pPr>
      <w:proofErr w:type="spellStart"/>
      <w:r>
        <w:rPr>
          <w:rStyle w:val="ffline"/>
        </w:rPr>
        <w:t>gtttatttaa</w:t>
      </w:r>
      <w:proofErr w:type="spellEnd"/>
      <w:r>
        <w:rPr>
          <w:rStyle w:val="ffline"/>
        </w:rPr>
        <w:t xml:space="preserve"> </w:t>
      </w:r>
      <w:proofErr w:type="spellStart"/>
      <w:r>
        <w:rPr>
          <w:rStyle w:val="ffline"/>
        </w:rPr>
        <w:t>ttgccgaaat</w:t>
      </w:r>
      <w:proofErr w:type="spellEnd"/>
      <w:r>
        <w:rPr>
          <w:rStyle w:val="ffline"/>
        </w:rPr>
        <w:t xml:space="preserve"> </w:t>
      </w:r>
      <w:proofErr w:type="spellStart"/>
      <w:r>
        <w:rPr>
          <w:rStyle w:val="ffline"/>
        </w:rPr>
        <w:t>tattgcaatt</w:t>
      </w:r>
      <w:proofErr w:type="spellEnd"/>
      <w:r>
        <w:rPr>
          <w:rStyle w:val="ffline"/>
        </w:rPr>
        <w:t xml:space="preserve"> </w:t>
      </w:r>
      <w:proofErr w:type="spellStart"/>
      <w:r>
        <w:rPr>
          <w:rStyle w:val="ffline"/>
        </w:rPr>
        <w:t>ccaatgtcga</w:t>
      </w:r>
      <w:proofErr w:type="spellEnd"/>
      <w:r>
        <w:rPr>
          <w:rStyle w:val="ffline"/>
        </w:rPr>
        <w:t xml:space="preserve"> </w:t>
      </w:r>
      <w:proofErr w:type="spellStart"/>
      <w:r>
        <w:rPr>
          <w:rStyle w:val="ffline"/>
        </w:rPr>
        <w:t>gtattgtctc</w:t>
      </w:r>
      <w:proofErr w:type="spellEnd"/>
      <w:r>
        <w:rPr>
          <w:rStyle w:val="ffline"/>
        </w:rPr>
        <w:t xml:space="preserve"> </w:t>
      </w:r>
      <w:proofErr w:type="spellStart"/>
      <w:r>
        <w:rPr>
          <w:rStyle w:val="ffline"/>
        </w:rPr>
        <w:t>gcgagtgctt</w:t>
      </w:r>
      <w:proofErr w:type="spellEnd"/>
    </w:p>
    <w:p w14:paraId="67B34592" w14:textId="3BA2CAF3" w:rsidR="004803B9" w:rsidRDefault="004803B9" w:rsidP="004803B9">
      <w:pPr>
        <w:pStyle w:val="HTMLPreformatted"/>
      </w:pPr>
      <w:proofErr w:type="spellStart"/>
      <w:r>
        <w:rPr>
          <w:rStyle w:val="ffline"/>
        </w:rPr>
        <w:t>tcaacacggg</w:t>
      </w:r>
      <w:proofErr w:type="spellEnd"/>
      <w:r>
        <w:rPr>
          <w:rStyle w:val="ffline"/>
        </w:rPr>
        <w:t xml:space="preserve"> </w:t>
      </w:r>
      <w:proofErr w:type="spellStart"/>
      <w:r>
        <w:rPr>
          <w:rStyle w:val="ffline"/>
        </w:rPr>
        <w:t>tgtattacac</w:t>
      </w:r>
      <w:proofErr w:type="spellEnd"/>
      <w:r>
        <w:rPr>
          <w:rStyle w:val="ffline"/>
        </w:rPr>
        <w:t xml:space="preserve"> </w:t>
      </w:r>
      <w:proofErr w:type="spellStart"/>
      <w:r>
        <w:rPr>
          <w:rStyle w:val="ffline"/>
        </w:rPr>
        <w:t>catgtgtgca</w:t>
      </w:r>
      <w:proofErr w:type="spellEnd"/>
      <w:r>
        <w:rPr>
          <w:rStyle w:val="ffline"/>
        </w:rPr>
        <w:t xml:space="preserve"> </w:t>
      </w:r>
      <w:proofErr w:type="spellStart"/>
      <w:r>
        <w:rPr>
          <w:rStyle w:val="ffline"/>
        </w:rPr>
        <w:t>atcggcttta</w:t>
      </w:r>
      <w:proofErr w:type="spellEnd"/>
      <w:r>
        <w:rPr>
          <w:rStyle w:val="ffline"/>
        </w:rPr>
        <w:t xml:space="preserve"> </w:t>
      </w:r>
      <w:proofErr w:type="spellStart"/>
      <w:r>
        <w:rPr>
          <w:rStyle w:val="ffline"/>
        </w:rPr>
        <w:t>cggtgagttc</w:t>
      </w:r>
      <w:proofErr w:type="spellEnd"/>
      <w:r>
        <w:rPr>
          <w:rStyle w:val="ffline"/>
        </w:rPr>
        <w:t xml:space="preserve"> </w:t>
      </w:r>
      <w:proofErr w:type="spellStart"/>
      <w:r>
        <w:rPr>
          <w:rStyle w:val="ffline"/>
        </w:rPr>
        <w:t>tttactttgt</w:t>
      </w:r>
      <w:proofErr w:type="spellEnd"/>
    </w:p>
    <w:p w14:paraId="6380DFBB" w14:textId="6F509B8D" w:rsidR="004803B9" w:rsidRDefault="004803B9" w:rsidP="004803B9">
      <w:pPr>
        <w:pStyle w:val="HTMLPreformatted"/>
      </w:pPr>
      <w:proofErr w:type="spellStart"/>
      <w:r>
        <w:rPr>
          <w:rStyle w:val="ffline"/>
        </w:rPr>
        <w:t>gctttgtcat</w:t>
      </w:r>
      <w:proofErr w:type="spellEnd"/>
      <w:r>
        <w:rPr>
          <w:rStyle w:val="ffline"/>
        </w:rPr>
        <w:t xml:space="preserve"> </w:t>
      </w:r>
      <w:proofErr w:type="spellStart"/>
      <w:r>
        <w:rPr>
          <w:rStyle w:val="ffline"/>
        </w:rPr>
        <w:t>ggaacttaga</w:t>
      </w:r>
      <w:proofErr w:type="spellEnd"/>
      <w:r>
        <w:rPr>
          <w:rStyle w:val="ffline"/>
        </w:rPr>
        <w:t xml:space="preserve"> </w:t>
      </w:r>
      <w:proofErr w:type="spellStart"/>
      <w:r>
        <w:rPr>
          <w:rStyle w:val="ffline"/>
        </w:rPr>
        <w:t>aagtttactg</w:t>
      </w:r>
      <w:proofErr w:type="spellEnd"/>
      <w:r>
        <w:rPr>
          <w:rStyle w:val="ffline"/>
        </w:rPr>
        <w:t xml:space="preserve"> </w:t>
      </w:r>
      <w:proofErr w:type="spellStart"/>
      <w:r>
        <w:rPr>
          <w:rStyle w:val="ffline"/>
        </w:rPr>
        <w:t>gttttccgtg</w:t>
      </w:r>
      <w:proofErr w:type="spellEnd"/>
      <w:r>
        <w:rPr>
          <w:rStyle w:val="ffline"/>
        </w:rPr>
        <w:t xml:space="preserve"> </w:t>
      </w:r>
      <w:proofErr w:type="spellStart"/>
      <w:r>
        <w:rPr>
          <w:rStyle w:val="ffline"/>
        </w:rPr>
        <w:t>gcatacaagg</w:t>
      </w:r>
      <w:proofErr w:type="spellEnd"/>
      <w:r>
        <w:rPr>
          <w:rStyle w:val="ffline"/>
        </w:rPr>
        <w:t xml:space="preserve"> </w:t>
      </w:r>
      <w:proofErr w:type="spellStart"/>
      <w:r>
        <w:rPr>
          <w:rStyle w:val="ffline"/>
        </w:rPr>
        <w:t>gtttatgggc</w:t>
      </w:r>
      <w:proofErr w:type="spellEnd"/>
    </w:p>
    <w:p w14:paraId="62140623" w14:textId="026C50CF" w:rsidR="004803B9" w:rsidRDefault="004803B9" w:rsidP="004803B9">
      <w:pPr>
        <w:pStyle w:val="HTMLPreformatted"/>
      </w:pPr>
      <w:proofErr w:type="spellStart"/>
      <w:r>
        <w:rPr>
          <w:rStyle w:val="ffline"/>
        </w:rPr>
        <w:t>ggcgggatga</w:t>
      </w:r>
      <w:proofErr w:type="spellEnd"/>
      <w:r>
        <w:rPr>
          <w:rStyle w:val="ffline"/>
        </w:rPr>
        <w:t xml:space="preserve"> </w:t>
      </w:r>
      <w:proofErr w:type="spellStart"/>
      <w:r>
        <w:rPr>
          <w:rStyle w:val="ffline"/>
        </w:rPr>
        <w:t>ttccgacttc</w:t>
      </w:r>
      <w:proofErr w:type="spellEnd"/>
      <w:r>
        <w:rPr>
          <w:rStyle w:val="ffline"/>
        </w:rPr>
        <w:t xml:space="preserve"> </w:t>
      </w:r>
      <w:proofErr w:type="spellStart"/>
      <w:r>
        <w:rPr>
          <w:rStyle w:val="ffline"/>
        </w:rPr>
        <w:t>catgacggcg</w:t>
      </w:r>
      <w:proofErr w:type="spellEnd"/>
      <w:r>
        <w:rPr>
          <w:rStyle w:val="ffline"/>
        </w:rPr>
        <w:t xml:space="preserve"> </w:t>
      </w:r>
      <w:proofErr w:type="spellStart"/>
      <w:r>
        <w:rPr>
          <w:rStyle w:val="ffline"/>
        </w:rPr>
        <w:t>ttgtacttac</w:t>
      </w:r>
      <w:proofErr w:type="spellEnd"/>
      <w:r>
        <w:rPr>
          <w:rStyle w:val="ffline"/>
        </w:rPr>
        <w:t xml:space="preserve"> </w:t>
      </w:r>
      <w:proofErr w:type="spellStart"/>
      <w:r>
        <w:rPr>
          <w:rStyle w:val="ffline"/>
        </w:rPr>
        <w:t>tttttccaga</w:t>
      </w:r>
      <w:proofErr w:type="spellEnd"/>
      <w:r>
        <w:rPr>
          <w:rStyle w:val="ffline"/>
        </w:rPr>
        <w:t xml:space="preserve"> </w:t>
      </w:r>
      <w:proofErr w:type="spellStart"/>
      <w:r>
        <w:rPr>
          <w:rStyle w:val="ffline"/>
        </w:rPr>
        <w:t>agcaaaacgc</w:t>
      </w:r>
      <w:proofErr w:type="spellEnd"/>
    </w:p>
    <w:p w14:paraId="353C5A90" w14:textId="1064CDEC" w:rsidR="004803B9" w:rsidRDefault="004803B9" w:rsidP="004803B9">
      <w:pPr>
        <w:pStyle w:val="HTMLPreformatted"/>
      </w:pPr>
      <w:proofErr w:type="spellStart"/>
      <w:r>
        <w:rPr>
          <w:rStyle w:val="ffline"/>
        </w:rPr>
        <w:t>tcattgcctt</w:t>
      </w:r>
      <w:proofErr w:type="spellEnd"/>
      <w:r>
        <w:rPr>
          <w:rStyle w:val="ffline"/>
        </w:rPr>
        <w:t xml:space="preserve"> </w:t>
      </w:r>
      <w:proofErr w:type="spellStart"/>
      <w:r>
        <w:rPr>
          <w:rStyle w:val="ffline"/>
        </w:rPr>
        <w:t>tggtcatgtt</w:t>
      </w:r>
      <w:proofErr w:type="spellEnd"/>
      <w:r>
        <w:rPr>
          <w:rStyle w:val="ffline"/>
        </w:rPr>
        <w:t xml:space="preserve"> </w:t>
      </w:r>
      <w:proofErr w:type="spellStart"/>
      <w:r>
        <w:rPr>
          <w:rStyle w:val="ffline"/>
        </w:rPr>
        <w:t>tggcatgatc</w:t>
      </w:r>
      <w:proofErr w:type="spellEnd"/>
      <w:r>
        <w:rPr>
          <w:rStyle w:val="ffline"/>
        </w:rPr>
        <w:t xml:space="preserve"> </w:t>
      </w:r>
      <w:proofErr w:type="spellStart"/>
      <w:r>
        <w:rPr>
          <w:rStyle w:val="ffline"/>
        </w:rPr>
        <w:t>agtacattag</w:t>
      </w:r>
      <w:proofErr w:type="spellEnd"/>
      <w:r>
        <w:rPr>
          <w:rStyle w:val="ffline"/>
        </w:rPr>
        <w:t xml:space="preserve"> </w:t>
      </w:r>
      <w:proofErr w:type="spellStart"/>
      <w:r>
        <w:rPr>
          <w:rStyle w:val="ffline"/>
        </w:rPr>
        <w:t>gcccagcgat</w:t>
      </w:r>
      <w:proofErr w:type="spellEnd"/>
      <w:r>
        <w:rPr>
          <w:rStyle w:val="ffline"/>
        </w:rPr>
        <w:t xml:space="preserve"> </w:t>
      </w:r>
      <w:proofErr w:type="spellStart"/>
      <w:r>
        <w:rPr>
          <w:rStyle w:val="ffline"/>
        </w:rPr>
        <w:t>tggccccacc</w:t>
      </w:r>
      <w:proofErr w:type="spellEnd"/>
    </w:p>
    <w:p w14:paraId="676B04BA" w14:textId="063C9D79" w:rsidR="004803B9" w:rsidRDefault="004803B9" w:rsidP="004803B9">
      <w:pPr>
        <w:pStyle w:val="HTMLPreformatted"/>
      </w:pPr>
      <w:proofErr w:type="spellStart"/>
      <w:r>
        <w:rPr>
          <w:rStyle w:val="ffline"/>
        </w:rPr>
        <w:t>attggtggtt</w:t>
      </w:r>
      <w:proofErr w:type="spellEnd"/>
      <w:r>
        <w:rPr>
          <w:rStyle w:val="ffline"/>
        </w:rPr>
        <w:t xml:space="preserve"> </w:t>
      </w:r>
      <w:proofErr w:type="spellStart"/>
      <w:r>
        <w:rPr>
          <w:rStyle w:val="ffline"/>
        </w:rPr>
        <w:t>ggctcaccaa</w:t>
      </w:r>
      <w:proofErr w:type="spellEnd"/>
      <w:r>
        <w:rPr>
          <w:rStyle w:val="ffline"/>
        </w:rPr>
        <w:t xml:space="preserve"> </w:t>
      </w:r>
      <w:proofErr w:type="spellStart"/>
      <w:r>
        <w:rPr>
          <w:rStyle w:val="ffline"/>
        </w:rPr>
        <w:t>taatttctca</w:t>
      </w:r>
      <w:proofErr w:type="spellEnd"/>
      <w:r>
        <w:rPr>
          <w:rStyle w:val="ffline"/>
        </w:rPr>
        <w:t xml:space="preserve"> </w:t>
      </w:r>
      <w:proofErr w:type="spellStart"/>
      <w:r>
        <w:rPr>
          <w:rStyle w:val="ffline"/>
        </w:rPr>
        <w:t>tggcactgga</w:t>
      </w:r>
      <w:proofErr w:type="spellEnd"/>
      <w:r>
        <w:rPr>
          <w:rStyle w:val="ffline"/>
        </w:rPr>
        <w:t xml:space="preserve"> </w:t>
      </w:r>
      <w:proofErr w:type="spellStart"/>
      <w:r>
        <w:rPr>
          <w:rStyle w:val="ffline"/>
        </w:rPr>
        <w:t>tgttcctgat</w:t>
      </w:r>
      <w:proofErr w:type="spellEnd"/>
      <w:r>
        <w:rPr>
          <w:rStyle w:val="ffline"/>
        </w:rPr>
        <w:t xml:space="preserve"> </w:t>
      </w:r>
      <w:proofErr w:type="spellStart"/>
      <w:r>
        <w:rPr>
          <w:rStyle w:val="ffline"/>
        </w:rPr>
        <w:t>caatattatt</w:t>
      </w:r>
      <w:proofErr w:type="spellEnd"/>
    </w:p>
    <w:p w14:paraId="0FA1392D" w14:textId="5E71E10E" w:rsidR="004803B9" w:rsidRDefault="004803B9" w:rsidP="004803B9">
      <w:pPr>
        <w:pStyle w:val="HTMLPreformatted"/>
      </w:pPr>
      <w:proofErr w:type="spellStart"/>
      <w:r>
        <w:rPr>
          <w:rStyle w:val="ffline"/>
        </w:rPr>
        <w:t>ccgggcatta</w:t>
      </w:r>
      <w:proofErr w:type="spellEnd"/>
      <w:r>
        <w:rPr>
          <w:rStyle w:val="ffline"/>
        </w:rPr>
        <w:t xml:space="preserve"> </w:t>
      </w:r>
      <w:proofErr w:type="spellStart"/>
      <w:r>
        <w:rPr>
          <w:rStyle w:val="ffline"/>
        </w:rPr>
        <w:t>tcattgctac</w:t>
      </w:r>
      <w:proofErr w:type="spellEnd"/>
      <w:r>
        <w:rPr>
          <w:rStyle w:val="ffline"/>
        </w:rPr>
        <w:t xml:space="preserve"> </w:t>
      </w:r>
      <w:proofErr w:type="spellStart"/>
      <w:r>
        <w:rPr>
          <w:rStyle w:val="ffline"/>
        </w:rPr>
        <w:t>ggtcatctac</w:t>
      </w:r>
      <w:proofErr w:type="spellEnd"/>
      <w:r>
        <w:rPr>
          <w:rStyle w:val="ffline"/>
        </w:rPr>
        <w:t xml:space="preserve"> </w:t>
      </w:r>
      <w:proofErr w:type="spellStart"/>
      <w:r>
        <w:rPr>
          <w:rStyle w:val="ffline"/>
        </w:rPr>
        <w:t>tcaggtccaa</w:t>
      </w:r>
      <w:proofErr w:type="spellEnd"/>
      <w:r>
        <w:rPr>
          <w:rStyle w:val="ffline"/>
        </w:rPr>
        <w:t xml:space="preserve"> </w:t>
      </w:r>
      <w:proofErr w:type="spellStart"/>
      <w:r>
        <w:rPr>
          <w:rStyle w:val="ffline"/>
        </w:rPr>
        <w:t>atattgaccg</w:t>
      </w:r>
      <w:proofErr w:type="spellEnd"/>
      <w:r>
        <w:rPr>
          <w:rStyle w:val="ffline"/>
        </w:rPr>
        <w:t xml:space="preserve"> </w:t>
      </w:r>
      <w:proofErr w:type="spellStart"/>
      <w:r>
        <w:rPr>
          <w:rStyle w:val="ffline"/>
        </w:rPr>
        <w:t>tgccaactat</w:t>
      </w:r>
      <w:proofErr w:type="spellEnd"/>
    </w:p>
    <w:p w14:paraId="371B3283" w14:textId="51D3B578" w:rsidR="004803B9" w:rsidRDefault="004803B9" w:rsidP="004803B9">
      <w:pPr>
        <w:pStyle w:val="HTMLPreformatted"/>
      </w:pPr>
      <w:proofErr w:type="spellStart"/>
      <w:r>
        <w:rPr>
          <w:rStyle w:val="ffline"/>
        </w:rPr>
        <w:t>tcactcatca</w:t>
      </w:r>
      <w:proofErr w:type="spellEnd"/>
      <w:r>
        <w:rPr>
          <w:rStyle w:val="ffline"/>
        </w:rPr>
        <w:t xml:space="preserve"> </w:t>
      </w:r>
      <w:proofErr w:type="spellStart"/>
      <w:r>
        <w:rPr>
          <w:rStyle w:val="ffline"/>
        </w:rPr>
        <w:t>aaagcatgga</w:t>
      </w:r>
      <w:proofErr w:type="spellEnd"/>
      <w:r>
        <w:rPr>
          <w:rStyle w:val="ffline"/>
        </w:rPr>
        <w:t xml:space="preserve"> </w:t>
      </w:r>
      <w:proofErr w:type="spellStart"/>
      <w:r>
        <w:rPr>
          <w:rStyle w:val="ffline"/>
        </w:rPr>
        <w:t>ttggtttagt</w:t>
      </w:r>
      <w:proofErr w:type="spellEnd"/>
      <w:r>
        <w:rPr>
          <w:rStyle w:val="ffline"/>
        </w:rPr>
        <w:t xml:space="preserve"> </w:t>
      </w:r>
      <w:proofErr w:type="spellStart"/>
      <w:r>
        <w:rPr>
          <w:rStyle w:val="ffline"/>
        </w:rPr>
        <w:t>ttggtgggta</w:t>
      </w:r>
      <w:proofErr w:type="spellEnd"/>
      <w:r>
        <w:rPr>
          <w:rStyle w:val="ffline"/>
        </w:rPr>
        <w:t xml:space="preserve"> </w:t>
      </w:r>
      <w:proofErr w:type="spellStart"/>
      <w:r>
        <w:rPr>
          <w:rStyle w:val="ffline"/>
        </w:rPr>
        <w:t>tggcgatgtt</w:t>
      </w:r>
      <w:proofErr w:type="spellEnd"/>
      <w:r>
        <w:rPr>
          <w:rStyle w:val="ffline"/>
        </w:rPr>
        <w:t xml:space="preserve"> </w:t>
      </w:r>
      <w:proofErr w:type="spellStart"/>
      <w:r>
        <w:rPr>
          <w:rStyle w:val="ffline"/>
        </w:rPr>
        <w:t>tttgggtggg</w:t>
      </w:r>
      <w:proofErr w:type="spellEnd"/>
    </w:p>
    <w:p w14:paraId="296DAA27" w14:textId="41E59F33" w:rsidR="004803B9" w:rsidRDefault="004803B9" w:rsidP="004803B9">
      <w:pPr>
        <w:pStyle w:val="HTMLPreformatted"/>
      </w:pPr>
      <w:proofErr w:type="spellStart"/>
      <w:r>
        <w:rPr>
          <w:rStyle w:val="ffline"/>
        </w:rPr>
        <w:t>cttgaatatt</w:t>
      </w:r>
      <w:proofErr w:type="spellEnd"/>
      <w:r>
        <w:rPr>
          <w:rStyle w:val="ffline"/>
        </w:rPr>
        <w:t xml:space="preserve"> </w:t>
      </w:r>
      <w:proofErr w:type="spellStart"/>
      <w:r>
        <w:rPr>
          <w:rStyle w:val="ffline"/>
        </w:rPr>
        <w:t>tccttgatga</w:t>
      </w:r>
      <w:proofErr w:type="spellEnd"/>
      <w:r>
        <w:rPr>
          <w:rStyle w:val="ffline"/>
        </w:rPr>
        <w:t xml:space="preserve"> </w:t>
      </w:r>
      <w:proofErr w:type="spellStart"/>
      <w:r>
        <w:rPr>
          <w:rStyle w:val="ffline"/>
        </w:rPr>
        <w:t>aggtgcacgg</w:t>
      </w:r>
      <w:proofErr w:type="spellEnd"/>
      <w:r>
        <w:rPr>
          <w:rStyle w:val="ffline"/>
        </w:rPr>
        <w:t xml:space="preserve"> </w:t>
      </w:r>
      <w:proofErr w:type="spellStart"/>
      <w:r>
        <w:rPr>
          <w:rStyle w:val="ffline"/>
        </w:rPr>
        <w:t>catgactggc</w:t>
      </w:r>
      <w:proofErr w:type="spellEnd"/>
      <w:r>
        <w:rPr>
          <w:rStyle w:val="ffline"/>
        </w:rPr>
        <w:t xml:space="preserve"> </w:t>
      </w:r>
      <w:proofErr w:type="spellStart"/>
      <w:r>
        <w:rPr>
          <w:rStyle w:val="ffline"/>
        </w:rPr>
        <w:t>ttgcagacac</w:t>
      </w:r>
      <w:proofErr w:type="spellEnd"/>
      <w:r>
        <w:rPr>
          <w:rStyle w:val="ffline"/>
        </w:rPr>
        <w:t xml:space="preserve"> </w:t>
      </w:r>
      <w:proofErr w:type="spellStart"/>
      <w:r>
        <w:rPr>
          <w:rStyle w:val="ffline"/>
        </w:rPr>
        <w:t>aggcgttcgt</w:t>
      </w:r>
      <w:proofErr w:type="spellEnd"/>
    </w:p>
    <w:p w14:paraId="6F25567C" w14:textId="211942DE" w:rsidR="004803B9" w:rsidRDefault="004803B9" w:rsidP="004803B9">
      <w:pPr>
        <w:pStyle w:val="HTMLPreformatted"/>
      </w:pPr>
      <w:proofErr w:type="spellStart"/>
      <w:r>
        <w:rPr>
          <w:rStyle w:val="ffline"/>
        </w:rPr>
        <w:t>attgctttta</w:t>
      </w:r>
      <w:proofErr w:type="spellEnd"/>
      <w:r>
        <w:rPr>
          <w:rStyle w:val="ffline"/>
        </w:rPr>
        <w:t xml:space="preserve"> </w:t>
      </w:r>
      <w:proofErr w:type="spellStart"/>
      <w:r>
        <w:rPr>
          <w:rStyle w:val="ffline"/>
        </w:rPr>
        <w:t>tggtctgtgt</w:t>
      </w:r>
      <w:proofErr w:type="spellEnd"/>
      <w:r>
        <w:rPr>
          <w:rStyle w:val="ffline"/>
        </w:rPr>
        <w:t xml:space="preserve"> </w:t>
      </w:r>
      <w:proofErr w:type="spellStart"/>
      <w:r>
        <w:rPr>
          <w:rStyle w:val="ffline"/>
        </w:rPr>
        <w:t>tgtgggcggc</w:t>
      </w:r>
      <w:proofErr w:type="spellEnd"/>
      <w:r>
        <w:rPr>
          <w:rStyle w:val="ffline"/>
        </w:rPr>
        <w:t xml:space="preserve"> </w:t>
      </w:r>
      <w:proofErr w:type="spellStart"/>
      <w:r>
        <w:rPr>
          <w:rStyle w:val="ffline"/>
        </w:rPr>
        <w:t>atgattttct</w:t>
      </w:r>
      <w:proofErr w:type="spellEnd"/>
      <w:r>
        <w:rPr>
          <w:rStyle w:val="ffline"/>
        </w:rPr>
        <w:t xml:space="preserve"> </w:t>
      </w:r>
      <w:proofErr w:type="spellStart"/>
      <w:r>
        <w:rPr>
          <w:rStyle w:val="ffline"/>
        </w:rPr>
        <w:t>tctctagaag</w:t>
      </w:r>
      <w:proofErr w:type="spellEnd"/>
      <w:r>
        <w:rPr>
          <w:rStyle w:val="ffline"/>
        </w:rPr>
        <w:t xml:space="preserve"> </w:t>
      </w:r>
      <w:proofErr w:type="spellStart"/>
      <w:r>
        <w:rPr>
          <w:rStyle w:val="ffline"/>
        </w:rPr>
        <w:t>ttttactcag</w:t>
      </w:r>
      <w:proofErr w:type="spellEnd"/>
    </w:p>
    <w:p w14:paraId="0673B55B" w14:textId="6127023B" w:rsidR="004803B9" w:rsidRDefault="004803B9" w:rsidP="004803B9">
      <w:pPr>
        <w:pStyle w:val="HTMLPreformatted"/>
      </w:pPr>
      <w:proofErr w:type="spellStart"/>
      <w:r>
        <w:rPr>
          <w:rStyle w:val="ffline"/>
        </w:rPr>
        <w:t>cctaaacctt</w:t>
      </w:r>
      <w:proofErr w:type="spellEnd"/>
      <w:r>
        <w:rPr>
          <w:rStyle w:val="ffline"/>
        </w:rPr>
        <w:t xml:space="preserve"> </w:t>
      </w:r>
      <w:proofErr w:type="spellStart"/>
      <w:r>
        <w:rPr>
          <w:rStyle w:val="ffline"/>
        </w:rPr>
        <w:t>tgctcgattt</w:t>
      </w:r>
      <w:proofErr w:type="spellEnd"/>
      <w:r>
        <w:rPr>
          <w:rStyle w:val="ffline"/>
        </w:rPr>
        <w:t xml:space="preserve"> </w:t>
      </w:r>
      <w:proofErr w:type="spellStart"/>
      <w:r>
        <w:rPr>
          <w:rStyle w:val="ffline"/>
        </w:rPr>
        <w:t>gtccgtattt</w:t>
      </w:r>
      <w:proofErr w:type="spellEnd"/>
      <w:r>
        <w:rPr>
          <w:rStyle w:val="ffline"/>
        </w:rPr>
        <w:t xml:space="preserve"> </w:t>
      </w:r>
      <w:proofErr w:type="spellStart"/>
      <w:r>
        <w:rPr>
          <w:rStyle w:val="ffline"/>
        </w:rPr>
        <w:t>aaaaataaaa</w:t>
      </w:r>
      <w:proofErr w:type="spellEnd"/>
      <w:r>
        <w:rPr>
          <w:rStyle w:val="ffline"/>
        </w:rPr>
        <w:t xml:space="preserve"> </w:t>
      </w:r>
      <w:proofErr w:type="spellStart"/>
      <w:r>
        <w:rPr>
          <w:rStyle w:val="ffline"/>
        </w:rPr>
        <w:t>actttacctt</w:t>
      </w:r>
      <w:proofErr w:type="spellEnd"/>
      <w:r>
        <w:rPr>
          <w:rStyle w:val="ffline"/>
        </w:rPr>
        <w:t xml:space="preserve"> </w:t>
      </w:r>
      <w:proofErr w:type="spellStart"/>
      <w:r>
        <w:rPr>
          <w:rStyle w:val="ffline"/>
        </w:rPr>
        <w:t>aagtgccatt</w:t>
      </w:r>
      <w:proofErr w:type="spellEnd"/>
    </w:p>
    <w:p w14:paraId="20012386" w14:textId="308D8B7E" w:rsidR="004803B9" w:rsidRDefault="004803B9" w:rsidP="004803B9">
      <w:pPr>
        <w:pStyle w:val="HTMLPreformatted"/>
      </w:pPr>
      <w:proofErr w:type="spellStart"/>
      <w:r>
        <w:rPr>
          <w:rStyle w:val="ffline"/>
        </w:rPr>
        <w:t>acaacgtttg</w:t>
      </w:r>
      <w:proofErr w:type="spellEnd"/>
      <w:r>
        <w:rPr>
          <w:rStyle w:val="ffline"/>
        </w:rPr>
        <w:t xml:space="preserve"> </w:t>
      </w:r>
      <w:proofErr w:type="spellStart"/>
      <w:r>
        <w:rPr>
          <w:rStyle w:val="ffline"/>
        </w:rPr>
        <w:t>tgattggtat</w:t>
      </w:r>
      <w:proofErr w:type="spellEnd"/>
      <w:r>
        <w:rPr>
          <w:rStyle w:val="ffline"/>
        </w:rPr>
        <w:t xml:space="preserve"> </w:t>
      </w:r>
      <w:proofErr w:type="spellStart"/>
      <w:r>
        <w:rPr>
          <w:rStyle w:val="ffline"/>
        </w:rPr>
        <w:t>ggcgctgtat</w:t>
      </w:r>
      <w:proofErr w:type="spellEnd"/>
      <w:r>
        <w:rPr>
          <w:rStyle w:val="ffline"/>
        </w:rPr>
        <w:t xml:space="preserve"> </w:t>
      </w:r>
      <w:proofErr w:type="spellStart"/>
      <w:r>
        <w:rPr>
          <w:rStyle w:val="ffline"/>
        </w:rPr>
        <w:t>ggcttgggtt</w:t>
      </w:r>
      <w:proofErr w:type="spellEnd"/>
      <w:r>
        <w:rPr>
          <w:rStyle w:val="ffline"/>
        </w:rPr>
        <w:t xml:space="preserve"> </w:t>
      </w:r>
      <w:proofErr w:type="spellStart"/>
      <w:r>
        <w:rPr>
          <w:rStyle w:val="ffline"/>
        </w:rPr>
        <w:t>acatgattcc</w:t>
      </w:r>
      <w:proofErr w:type="spellEnd"/>
      <w:r>
        <w:rPr>
          <w:rStyle w:val="ffline"/>
        </w:rPr>
        <w:t xml:space="preserve"> </w:t>
      </w:r>
      <w:proofErr w:type="spellStart"/>
      <w:r>
        <w:rPr>
          <w:rStyle w:val="ffline"/>
        </w:rPr>
        <w:t>cgtgttcctt</w:t>
      </w:r>
      <w:proofErr w:type="spellEnd"/>
    </w:p>
    <w:p w14:paraId="66BC9FBF" w14:textId="412D367E" w:rsidR="004803B9" w:rsidRDefault="004803B9" w:rsidP="004803B9">
      <w:pPr>
        <w:pStyle w:val="HTMLPreformatted"/>
      </w:pPr>
      <w:proofErr w:type="spellStart"/>
      <w:r>
        <w:rPr>
          <w:rStyle w:val="ffline"/>
        </w:rPr>
        <w:t>gggcaagtcc</w:t>
      </w:r>
      <w:proofErr w:type="spellEnd"/>
      <w:r>
        <w:rPr>
          <w:rStyle w:val="ffline"/>
        </w:rPr>
        <w:t xml:space="preserve"> </w:t>
      </w:r>
      <w:proofErr w:type="spellStart"/>
      <w:r>
        <w:rPr>
          <w:rStyle w:val="ffline"/>
        </w:rPr>
        <w:t>gtgaaatgaa</w:t>
      </w:r>
      <w:proofErr w:type="spellEnd"/>
      <w:r>
        <w:rPr>
          <w:rStyle w:val="ffline"/>
        </w:rPr>
        <w:t xml:space="preserve"> </w:t>
      </w:r>
      <w:proofErr w:type="spellStart"/>
      <w:r>
        <w:rPr>
          <w:rStyle w:val="ffline"/>
        </w:rPr>
        <w:t>cagtagccaa</w:t>
      </w:r>
      <w:proofErr w:type="spellEnd"/>
      <w:r>
        <w:rPr>
          <w:rStyle w:val="ffline"/>
        </w:rPr>
        <w:t xml:space="preserve"> </w:t>
      </w:r>
      <w:proofErr w:type="spellStart"/>
      <w:r>
        <w:rPr>
          <w:rStyle w:val="ffline"/>
        </w:rPr>
        <w:t>attggtcacg</w:t>
      </w:r>
      <w:proofErr w:type="spellEnd"/>
      <w:r>
        <w:rPr>
          <w:rStyle w:val="ffline"/>
        </w:rPr>
        <w:t xml:space="preserve"> </w:t>
      </w:r>
      <w:proofErr w:type="spellStart"/>
      <w:r>
        <w:rPr>
          <w:rStyle w:val="ffline"/>
        </w:rPr>
        <w:t>tcatgatggt</w:t>
      </w:r>
      <w:proofErr w:type="spellEnd"/>
      <w:r>
        <w:rPr>
          <w:rStyle w:val="ffline"/>
        </w:rPr>
        <w:t xml:space="preserve"> </w:t>
      </w:r>
      <w:proofErr w:type="spellStart"/>
      <w:r>
        <w:rPr>
          <w:rStyle w:val="ffline"/>
        </w:rPr>
        <w:t>gacaggcatt</w:t>
      </w:r>
      <w:proofErr w:type="spellEnd"/>
    </w:p>
    <w:p w14:paraId="6D495AF2" w14:textId="7E9051D1" w:rsidR="004803B9" w:rsidRDefault="004803B9" w:rsidP="004803B9">
      <w:pPr>
        <w:pStyle w:val="HTMLPreformatted"/>
      </w:pPr>
      <w:proofErr w:type="spellStart"/>
      <w:r>
        <w:rPr>
          <w:rStyle w:val="ffline"/>
        </w:rPr>
        <w:t>gtcatgttct</w:t>
      </w:r>
      <w:proofErr w:type="spellEnd"/>
      <w:r>
        <w:rPr>
          <w:rStyle w:val="ffline"/>
        </w:rPr>
        <w:t xml:space="preserve"> </w:t>
      </w:r>
      <w:proofErr w:type="spellStart"/>
      <w:r>
        <w:rPr>
          <w:rStyle w:val="ffline"/>
        </w:rPr>
        <w:t>gctttgcgcc</w:t>
      </w:r>
      <w:proofErr w:type="spellEnd"/>
      <w:r>
        <w:rPr>
          <w:rStyle w:val="ffline"/>
        </w:rPr>
        <w:t xml:space="preserve"> </w:t>
      </w:r>
      <w:proofErr w:type="spellStart"/>
      <w:r>
        <w:rPr>
          <w:rStyle w:val="ffline"/>
        </w:rPr>
        <w:t>gttcctggcg</w:t>
      </w:r>
      <w:proofErr w:type="spellEnd"/>
      <w:r>
        <w:rPr>
          <w:rStyle w:val="ffline"/>
        </w:rPr>
        <w:t xml:space="preserve"> </w:t>
      </w:r>
      <w:proofErr w:type="spellStart"/>
      <w:r>
        <w:rPr>
          <w:rStyle w:val="ffline"/>
        </w:rPr>
        <w:t>tggctcattc</w:t>
      </w:r>
      <w:proofErr w:type="spellEnd"/>
      <w:r>
        <w:rPr>
          <w:rStyle w:val="ffline"/>
        </w:rPr>
        <w:t xml:space="preserve"> </w:t>
      </w:r>
      <w:proofErr w:type="spellStart"/>
      <w:r>
        <w:rPr>
          <w:rStyle w:val="ffline"/>
        </w:rPr>
        <w:t>ctaattttga</w:t>
      </w:r>
      <w:proofErr w:type="spellEnd"/>
      <w:r>
        <w:rPr>
          <w:rStyle w:val="ffline"/>
        </w:rPr>
        <w:t xml:space="preserve"> </w:t>
      </w:r>
      <w:proofErr w:type="spellStart"/>
      <w:r>
        <w:rPr>
          <w:rStyle w:val="ffline"/>
        </w:rPr>
        <w:t>tacccgaaaa</w:t>
      </w:r>
      <w:proofErr w:type="spellEnd"/>
    </w:p>
    <w:p w14:paraId="3232D9B8" w14:textId="019FBB29" w:rsidR="004803B9" w:rsidRDefault="004803B9" w:rsidP="004803B9">
      <w:pPr>
        <w:pStyle w:val="HTMLPreformatted"/>
      </w:pPr>
      <w:proofErr w:type="spellStart"/>
      <w:r>
        <w:rPr>
          <w:rStyle w:val="ffline"/>
        </w:rPr>
        <w:t>accgtatttg</w:t>
      </w:r>
      <w:proofErr w:type="spellEnd"/>
      <w:r>
        <w:rPr>
          <w:rStyle w:val="ffline"/>
        </w:rPr>
        <w:t xml:space="preserve"> </w:t>
      </w:r>
      <w:proofErr w:type="spellStart"/>
      <w:r>
        <w:rPr>
          <w:rStyle w:val="ffline"/>
        </w:rPr>
        <w:t>tcggaatgat</w:t>
      </w:r>
      <w:proofErr w:type="spellEnd"/>
      <w:r>
        <w:rPr>
          <w:rStyle w:val="ffline"/>
        </w:rPr>
        <w:t xml:space="preserve"> </w:t>
      </w:r>
      <w:proofErr w:type="spellStart"/>
      <w:r>
        <w:rPr>
          <w:rStyle w:val="ffline"/>
        </w:rPr>
        <w:t>tctggcgggc</w:t>
      </w:r>
      <w:proofErr w:type="spellEnd"/>
      <w:r>
        <w:rPr>
          <w:rStyle w:val="ffline"/>
        </w:rPr>
        <w:t xml:space="preserve"> </w:t>
      </w:r>
      <w:proofErr w:type="spellStart"/>
      <w:r>
        <w:rPr>
          <w:rStyle w:val="ffline"/>
        </w:rPr>
        <w:t>tttggtgtct</w:t>
      </w:r>
      <w:proofErr w:type="spellEnd"/>
      <w:r>
        <w:rPr>
          <w:rStyle w:val="ffline"/>
        </w:rPr>
        <w:t xml:space="preserve"> </w:t>
      </w:r>
      <w:proofErr w:type="spellStart"/>
      <w:r>
        <w:rPr>
          <w:rStyle w:val="ffline"/>
        </w:rPr>
        <w:t>ggctcaattc</w:t>
      </w:r>
      <w:proofErr w:type="spellEnd"/>
      <w:r>
        <w:rPr>
          <w:rStyle w:val="ffline"/>
        </w:rPr>
        <w:t xml:space="preserve"> </w:t>
      </w:r>
      <w:proofErr w:type="spellStart"/>
      <w:r>
        <w:rPr>
          <w:rStyle w:val="ffline"/>
        </w:rPr>
        <w:t>acatttgagc</w:t>
      </w:r>
      <w:proofErr w:type="spellEnd"/>
    </w:p>
    <w:p w14:paraId="63D73F95" w14:textId="67DBCDAA" w:rsidR="004803B9" w:rsidRDefault="004803B9" w:rsidP="004803B9">
      <w:pPr>
        <w:pStyle w:val="HTMLPreformatted"/>
      </w:pPr>
      <w:proofErr w:type="spellStart"/>
      <w:r>
        <w:rPr>
          <w:rStyle w:val="ffline"/>
        </w:rPr>
        <w:t>attcatagcg</w:t>
      </w:r>
      <w:proofErr w:type="spellEnd"/>
      <w:r>
        <w:rPr>
          <w:rStyle w:val="ffline"/>
        </w:rPr>
        <w:t xml:space="preserve"> </w:t>
      </w:r>
      <w:proofErr w:type="spellStart"/>
      <w:r>
        <w:rPr>
          <w:rStyle w:val="ffline"/>
        </w:rPr>
        <w:t>attatgactt</w:t>
      </w:r>
      <w:proofErr w:type="spellEnd"/>
      <w:r>
        <w:rPr>
          <w:rStyle w:val="ffline"/>
        </w:rPr>
        <w:t xml:space="preserve"> </w:t>
      </w:r>
      <w:proofErr w:type="spellStart"/>
      <w:r>
        <w:rPr>
          <w:rStyle w:val="ffline"/>
        </w:rPr>
        <w:t>tatgttttgg</w:t>
      </w:r>
      <w:proofErr w:type="spellEnd"/>
      <w:r>
        <w:rPr>
          <w:rStyle w:val="ffline"/>
        </w:rPr>
        <w:t xml:space="preserve"> </w:t>
      </w:r>
      <w:proofErr w:type="spellStart"/>
      <w:r>
        <w:rPr>
          <w:rStyle w:val="ffline"/>
        </w:rPr>
        <w:t>ccgcaaattt</w:t>
      </w:r>
      <w:proofErr w:type="spellEnd"/>
      <w:r>
        <w:rPr>
          <w:rStyle w:val="ffline"/>
        </w:rPr>
        <w:t xml:space="preserve"> </w:t>
      </w:r>
      <w:proofErr w:type="spellStart"/>
      <w:r>
        <w:rPr>
          <w:rStyle w:val="ffline"/>
        </w:rPr>
        <w:t>accgtggtat</w:t>
      </w:r>
      <w:proofErr w:type="spellEnd"/>
      <w:r>
        <w:rPr>
          <w:rStyle w:val="ffline"/>
        </w:rPr>
        <w:t xml:space="preserve"> </w:t>
      </w:r>
      <w:proofErr w:type="spellStart"/>
      <w:r>
        <w:rPr>
          <w:rStyle w:val="ffline"/>
        </w:rPr>
        <w:t>tggcctcatg</w:t>
      </w:r>
      <w:proofErr w:type="spellEnd"/>
    </w:p>
    <w:p w14:paraId="53AF2BDE" w14:textId="766DCE51" w:rsidR="004803B9" w:rsidRDefault="004803B9" w:rsidP="004803B9">
      <w:pPr>
        <w:pStyle w:val="HTMLPreformatted"/>
      </w:pPr>
      <w:proofErr w:type="spellStart"/>
      <w:r>
        <w:rPr>
          <w:rStyle w:val="ffline"/>
        </w:rPr>
        <w:t>atttgcctga</w:t>
      </w:r>
      <w:proofErr w:type="spellEnd"/>
      <w:r>
        <w:rPr>
          <w:rStyle w:val="ffline"/>
        </w:rPr>
        <w:t xml:space="preserve"> </w:t>
      </w:r>
      <w:proofErr w:type="spellStart"/>
      <w:r>
        <w:rPr>
          <w:rStyle w:val="ffline"/>
        </w:rPr>
        <w:t>ttgtggtgtc</w:t>
      </w:r>
      <w:proofErr w:type="spellEnd"/>
      <w:r>
        <w:rPr>
          <w:rStyle w:val="ffline"/>
        </w:rPr>
        <w:t xml:space="preserve"> </w:t>
      </w:r>
      <w:proofErr w:type="spellStart"/>
      <w:r>
        <w:rPr>
          <w:rStyle w:val="ffline"/>
        </w:rPr>
        <w:t>acatttggct</w:t>
      </w:r>
      <w:proofErr w:type="spellEnd"/>
      <w:r>
        <w:rPr>
          <w:rStyle w:val="ffline"/>
        </w:rPr>
        <w:t xml:space="preserve"> </w:t>
      </w:r>
      <w:proofErr w:type="spellStart"/>
      <w:r>
        <w:rPr>
          <w:rStyle w:val="ffline"/>
        </w:rPr>
        <w:t>atgagtactt</w:t>
      </w:r>
      <w:proofErr w:type="spellEnd"/>
      <w:r>
        <w:rPr>
          <w:rStyle w:val="ffline"/>
        </w:rPr>
        <w:t xml:space="preserve"> </w:t>
      </w:r>
      <w:proofErr w:type="spellStart"/>
      <w:r>
        <w:rPr>
          <w:rStyle w:val="ffline"/>
        </w:rPr>
        <w:t>tgccactgag</w:t>
      </w:r>
      <w:proofErr w:type="spellEnd"/>
      <w:r>
        <w:rPr>
          <w:rStyle w:val="ffline"/>
        </w:rPr>
        <w:t xml:space="preserve"> </w:t>
      </w:r>
      <w:proofErr w:type="spellStart"/>
      <w:r>
        <w:rPr>
          <w:rStyle w:val="ffline"/>
        </w:rPr>
        <w:t>taaagttgcc</w:t>
      </w:r>
      <w:proofErr w:type="spellEnd"/>
    </w:p>
    <w:p w14:paraId="0232BD57" w14:textId="6D9103BE" w:rsidR="004803B9" w:rsidRDefault="004803B9" w:rsidP="004803B9">
      <w:pPr>
        <w:pStyle w:val="HTMLPreformatted"/>
      </w:pPr>
      <w:proofErr w:type="spellStart"/>
      <w:r>
        <w:rPr>
          <w:rStyle w:val="ffline"/>
        </w:rPr>
        <w:t>gatgccagcg</w:t>
      </w:r>
      <w:proofErr w:type="spellEnd"/>
      <w:r>
        <w:rPr>
          <w:rStyle w:val="ffline"/>
        </w:rPr>
        <w:t xml:space="preserve"> </w:t>
      </w:r>
      <w:proofErr w:type="spellStart"/>
      <w:r>
        <w:rPr>
          <w:rStyle w:val="ffline"/>
        </w:rPr>
        <w:t>gtatttataa</w:t>
      </w:r>
      <w:proofErr w:type="spellEnd"/>
      <w:r>
        <w:rPr>
          <w:rStyle w:val="ffline"/>
        </w:rPr>
        <w:t xml:space="preserve"> </w:t>
      </w:r>
      <w:proofErr w:type="spellStart"/>
      <w:r>
        <w:rPr>
          <w:rStyle w:val="ffline"/>
        </w:rPr>
        <w:t>cctgatgcgt</w:t>
      </w:r>
      <w:proofErr w:type="spellEnd"/>
      <w:r>
        <w:rPr>
          <w:rStyle w:val="ffline"/>
        </w:rPr>
        <w:t xml:space="preserve"> </w:t>
      </w:r>
      <w:proofErr w:type="spellStart"/>
      <w:r>
        <w:rPr>
          <w:rStyle w:val="ffline"/>
        </w:rPr>
        <w:t>aatattggcg</w:t>
      </w:r>
      <w:proofErr w:type="spellEnd"/>
      <w:r>
        <w:rPr>
          <w:rStyle w:val="ffline"/>
        </w:rPr>
        <w:t xml:space="preserve"> </w:t>
      </w:r>
      <w:proofErr w:type="spellStart"/>
      <w:r>
        <w:rPr>
          <w:rStyle w:val="ffline"/>
        </w:rPr>
        <w:t>gcgcggttgg</w:t>
      </w:r>
      <w:proofErr w:type="spellEnd"/>
      <w:r>
        <w:rPr>
          <w:rStyle w:val="ffline"/>
        </w:rPr>
        <w:t xml:space="preserve"> </w:t>
      </w:r>
      <w:proofErr w:type="spellStart"/>
      <w:r>
        <w:rPr>
          <w:rStyle w:val="ffline"/>
        </w:rPr>
        <w:t>actggctctt</w:t>
      </w:r>
      <w:proofErr w:type="spellEnd"/>
    </w:p>
    <w:p w14:paraId="6F967657" w14:textId="6F4975D9" w:rsidR="004803B9" w:rsidRDefault="004803B9" w:rsidP="004803B9">
      <w:pPr>
        <w:pStyle w:val="HTMLPreformatted"/>
      </w:pPr>
      <w:proofErr w:type="spellStart"/>
      <w:r>
        <w:rPr>
          <w:rStyle w:val="ffline"/>
        </w:rPr>
        <w:lastRenderedPageBreak/>
        <w:t>attaactcat</w:t>
      </w:r>
      <w:proofErr w:type="spellEnd"/>
      <w:r>
        <w:rPr>
          <w:rStyle w:val="ffline"/>
        </w:rPr>
        <w:t xml:space="preserve"> </w:t>
      </w:r>
      <w:proofErr w:type="spellStart"/>
      <w:r>
        <w:rPr>
          <w:rStyle w:val="ffline"/>
        </w:rPr>
        <w:t>ccttagattg</w:t>
      </w:r>
      <w:proofErr w:type="spellEnd"/>
      <w:r>
        <w:rPr>
          <w:rStyle w:val="ffline"/>
        </w:rPr>
        <w:t xml:space="preserve"> </w:t>
      </w:r>
      <w:proofErr w:type="spellStart"/>
      <w:r>
        <w:rPr>
          <w:rStyle w:val="ffline"/>
        </w:rPr>
        <w:t>gctgaccgcc</w:t>
      </w:r>
      <w:proofErr w:type="spellEnd"/>
      <w:r>
        <w:rPr>
          <w:rStyle w:val="ffline"/>
        </w:rPr>
        <w:t xml:space="preserve"> </w:t>
      </w:r>
      <w:proofErr w:type="spellStart"/>
      <w:r>
        <w:rPr>
          <w:rStyle w:val="ffline"/>
        </w:rPr>
        <w:t>atgcatgtca</w:t>
      </w:r>
      <w:proofErr w:type="spellEnd"/>
      <w:r>
        <w:rPr>
          <w:rStyle w:val="ffline"/>
        </w:rPr>
        <w:t xml:space="preserve"> </w:t>
      </w:r>
      <w:proofErr w:type="spellStart"/>
      <w:r>
        <w:rPr>
          <w:rStyle w:val="ffline"/>
        </w:rPr>
        <w:t>cccagattaa</w:t>
      </w:r>
      <w:proofErr w:type="spellEnd"/>
      <w:r>
        <w:rPr>
          <w:rStyle w:val="ffline"/>
        </w:rPr>
        <w:t xml:space="preserve"> </w:t>
      </w:r>
      <w:proofErr w:type="spellStart"/>
      <w:r>
        <w:rPr>
          <w:rStyle w:val="ffline"/>
        </w:rPr>
        <w:t>tcagtcgatg</w:t>
      </w:r>
      <w:proofErr w:type="spellEnd"/>
    </w:p>
    <w:p w14:paraId="7A46C93C" w14:textId="703B0056" w:rsidR="004803B9" w:rsidRDefault="004803B9" w:rsidP="004803B9">
      <w:pPr>
        <w:pStyle w:val="HTMLPreformatted"/>
      </w:pPr>
      <w:proofErr w:type="spellStart"/>
      <w:r>
        <w:rPr>
          <w:rStyle w:val="ffline"/>
        </w:rPr>
        <w:t>acaccgcaaa</w:t>
      </w:r>
      <w:proofErr w:type="spellEnd"/>
      <w:r>
        <w:rPr>
          <w:rStyle w:val="ffline"/>
        </w:rPr>
        <w:t xml:space="preserve"> </w:t>
      </w:r>
      <w:proofErr w:type="spellStart"/>
      <w:r>
        <w:rPr>
          <w:rStyle w:val="ffline"/>
        </w:rPr>
        <w:t>actggatatt</w:t>
      </w:r>
      <w:proofErr w:type="spellEnd"/>
      <w:r>
        <w:rPr>
          <w:rStyle w:val="ffline"/>
        </w:rPr>
        <w:t xml:space="preserve"> </w:t>
      </w:r>
      <w:proofErr w:type="spellStart"/>
      <w:r>
        <w:rPr>
          <w:rStyle w:val="ffline"/>
        </w:rPr>
        <w:t>tacagaacgg</w:t>
      </w:r>
      <w:proofErr w:type="spellEnd"/>
      <w:r>
        <w:rPr>
          <w:rStyle w:val="ffline"/>
        </w:rPr>
        <w:t xml:space="preserve"> </w:t>
      </w:r>
      <w:proofErr w:type="spellStart"/>
      <w:r>
        <w:rPr>
          <w:rStyle w:val="ffline"/>
        </w:rPr>
        <w:t>cttgatcagc</w:t>
      </w:r>
      <w:proofErr w:type="spellEnd"/>
      <w:r>
        <w:rPr>
          <w:rStyle w:val="ffline"/>
        </w:rPr>
        <w:t xml:space="preserve"> </w:t>
      </w:r>
      <w:proofErr w:type="spellStart"/>
      <w:r>
        <w:rPr>
          <w:rStyle w:val="ffline"/>
        </w:rPr>
        <w:t>ttacggcgca</w:t>
      </w:r>
      <w:proofErr w:type="spellEnd"/>
      <w:r>
        <w:rPr>
          <w:rStyle w:val="ffline"/>
        </w:rPr>
        <w:t xml:space="preserve"> </w:t>
      </w:r>
      <w:proofErr w:type="spellStart"/>
      <w:r>
        <w:rPr>
          <w:rStyle w:val="ffline"/>
        </w:rPr>
        <w:t>atatcaagaa</w:t>
      </w:r>
      <w:proofErr w:type="spellEnd"/>
    </w:p>
    <w:p w14:paraId="08A30DA5" w14:textId="2288E2D9" w:rsidR="004803B9" w:rsidRDefault="004803B9" w:rsidP="004803B9">
      <w:pPr>
        <w:pStyle w:val="HTMLPreformatted"/>
      </w:pPr>
      <w:proofErr w:type="spellStart"/>
      <w:r>
        <w:rPr>
          <w:rStyle w:val="ffline"/>
        </w:rPr>
        <w:t>gtcggtgcaa</w:t>
      </w:r>
      <w:proofErr w:type="spellEnd"/>
      <w:r>
        <w:rPr>
          <w:rStyle w:val="ffline"/>
        </w:rPr>
        <w:t xml:space="preserve"> </w:t>
      </w:r>
      <w:proofErr w:type="spellStart"/>
      <w:r>
        <w:rPr>
          <w:rStyle w:val="ffline"/>
        </w:rPr>
        <w:t>atgcccagca</w:t>
      </w:r>
      <w:proofErr w:type="spellEnd"/>
      <w:r>
        <w:rPr>
          <w:rStyle w:val="ffline"/>
        </w:rPr>
        <w:t xml:space="preserve"> </w:t>
      </w:r>
      <w:proofErr w:type="spellStart"/>
      <w:r>
        <w:rPr>
          <w:rStyle w:val="ffline"/>
        </w:rPr>
        <w:t>aatcgcactc</w:t>
      </w:r>
      <w:proofErr w:type="spellEnd"/>
      <w:r>
        <w:rPr>
          <w:rStyle w:val="ffline"/>
        </w:rPr>
        <w:t xml:space="preserve"> </w:t>
      </w:r>
      <w:proofErr w:type="spellStart"/>
      <w:r>
        <w:rPr>
          <w:rStyle w:val="ffline"/>
        </w:rPr>
        <w:t>agcgtgatct</w:t>
      </w:r>
      <w:proofErr w:type="spellEnd"/>
      <w:r>
        <w:rPr>
          <w:rStyle w:val="ffline"/>
        </w:rPr>
        <w:t xml:space="preserve"> </w:t>
      </w:r>
      <w:proofErr w:type="spellStart"/>
      <w:r>
        <w:rPr>
          <w:rStyle w:val="ffline"/>
        </w:rPr>
        <w:t>atcgcgatat</w:t>
      </w:r>
      <w:proofErr w:type="spellEnd"/>
      <w:r>
        <w:rPr>
          <w:rStyle w:val="ffline"/>
        </w:rPr>
        <w:t xml:space="preserve"> </w:t>
      </w:r>
      <w:proofErr w:type="spellStart"/>
      <w:r>
        <w:rPr>
          <w:rStyle w:val="ffline"/>
        </w:rPr>
        <w:t>tcactttcaa</w:t>
      </w:r>
      <w:proofErr w:type="spellEnd"/>
    </w:p>
    <w:p w14:paraId="724F1661" w14:textId="78735F31" w:rsidR="004803B9" w:rsidRDefault="004803B9" w:rsidP="004803B9">
      <w:pPr>
        <w:pStyle w:val="HTMLPreformatted"/>
      </w:pPr>
      <w:proofErr w:type="spellStart"/>
      <w:r>
        <w:rPr>
          <w:rStyle w:val="ffline"/>
        </w:rPr>
        <w:t>gcactgacat</w:t>
      </w:r>
      <w:proofErr w:type="spellEnd"/>
      <w:r>
        <w:rPr>
          <w:rStyle w:val="ffline"/>
        </w:rPr>
        <w:t xml:space="preserve"> </w:t>
      </w:r>
      <w:proofErr w:type="spellStart"/>
      <w:r>
        <w:rPr>
          <w:rStyle w:val="ffline"/>
        </w:rPr>
        <w:t>cgagtttcaa</w:t>
      </w:r>
      <w:proofErr w:type="spellEnd"/>
      <w:r>
        <w:rPr>
          <w:rStyle w:val="ffline"/>
        </w:rPr>
        <w:t xml:space="preserve"> </w:t>
      </w:r>
      <w:proofErr w:type="spellStart"/>
      <w:r>
        <w:rPr>
          <w:rStyle w:val="ffline"/>
        </w:rPr>
        <w:t>tgacttatta</w:t>
      </w:r>
      <w:proofErr w:type="spellEnd"/>
      <w:r>
        <w:rPr>
          <w:rStyle w:val="ffline"/>
        </w:rPr>
        <w:t xml:space="preserve"> </w:t>
      </w:r>
      <w:proofErr w:type="spellStart"/>
      <w:r>
        <w:rPr>
          <w:rStyle w:val="ffline"/>
        </w:rPr>
        <w:t>cgcatgctcg</w:t>
      </w:r>
      <w:proofErr w:type="spellEnd"/>
      <w:r>
        <w:rPr>
          <w:rStyle w:val="ffline"/>
        </w:rPr>
        <w:t xml:space="preserve"> </w:t>
      </w:r>
      <w:proofErr w:type="spellStart"/>
      <w:r>
        <w:rPr>
          <w:rStyle w:val="ffline"/>
        </w:rPr>
        <w:t>caatcatcat</w:t>
      </w:r>
      <w:proofErr w:type="spellEnd"/>
      <w:r>
        <w:rPr>
          <w:rStyle w:val="ffline"/>
        </w:rPr>
        <w:t xml:space="preserve"> </w:t>
      </w:r>
      <w:proofErr w:type="spellStart"/>
      <w:r>
        <w:rPr>
          <w:rStyle w:val="ffline"/>
        </w:rPr>
        <w:t>gtttgtgacc</w:t>
      </w:r>
      <w:proofErr w:type="spellEnd"/>
    </w:p>
    <w:p w14:paraId="5F1A8438" w14:textId="7D17DC20" w:rsidR="004803B9" w:rsidRDefault="004803B9" w:rsidP="004803B9">
      <w:pPr>
        <w:pStyle w:val="HTMLPreformatted"/>
      </w:pPr>
      <w:proofErr w:type="spellStart"/>
      <w:r>
        <w:rPr>
          <w:rStyle w:val="ffline"/>
        </w:rPr>
        <w:t>gcctttttaa</w:t>
      </w:r>
      <w:proofErr w:type="spellEnd"/>
      <w:r>
        <w:rPr>
          <w:rStyle w:val="ffline"/>
        </w:rPr>
        <w:t xml:space="preserve"> </w:t>
      </w:r>
      <w:proofErr w:type="spellStart"/>
      <w:r>
        <w:rPr>
          <w:rStyle w:val="ffline"/>
        </w:rPr>
        <w:t>ccatatttat</w:t>
      </w:r>
      <w:proofErr w:type="spellEnd"/>
      <w:r>
        <w:rPr>
          <w:rStyle w:val="ffline"/>
        </w:rPr>
        <w:t xml:space="preserve"> </w:t>
      </w:r>
      <w:proofErr w:type="spellStart"/>
      <w:r>
        <w:rPr>
          <w:rStyle w:val="ffline"/>
        </w:rPr>
        <w:t>ggatcggggg</w:t>
      </w:r>
      <w:proofErr w:type="spellEnd"/>
      <w:r>
        <w:rPr>
          <w:rStyle w:val="ffline"/>
        </w:rPr>
        <w:t xml:space="preserve"> </w:t>
      </w:r>
      <w:proofErr w:type="spellStart"/>
      <w:r>
        <w:rPr>
          <w:rStyle w:val="ffline"/>
        </w:rPr>
        <w:t>aagaaaatga</w:t>
      </w:r>
      <w:proofErr w:type="spellEnd"/>
      <w:r>
        <w:rPr>
          <w:rStyle w:val="ffline"/>
        </w:rPr>
        <w:t xml:space="preserve"> </w:t>
      </w:r>
      <w:proofErr w:type="spellStart"/>
      <w:r>
        <w:rPr>
          <w:rStyle w:val="ffline"/>
        </w:rPr>
        <w:t>atatgtag</w:t>
      </w:r>
      <w:proofErr w:type="spellEnd"/>
    </w:p>
    <w:p w14:paraId="388A7581" w14:textId="77777777" w:rsidR="004803B9" w:rsidRDefault="004803B9" w:rsidP="004803B9"/>
    <w:p w14:paraId="1B805B78" w14:textId="3A527FAE" w:rsidR="004803B9" w:rsidRDefault="004803B9" w:rsidP="004803B9">
      <w:r>
        <w:t>&gt;A1S_177</w:t>
      </w:r>
      <w:r w:rsidR="00832EB7">
        <w:t>3</w:t>
      </w:r>
      <w:r>
        <w:t xml:space="preserve"> (</w:t>
      </w:r>
      <w:proofErr w:type="spellStart"/>
      <w:r w:rsidRPr="004803B9">
        <w:rPr>
          <w:i/>
          <w:iCs/>
        </w:rPr>
        <w:t>amfB</w:t>
      </w:r>
      <w:proofErr w:type="spellEnd"/>
      <w:r>
        <w:t>)</w:t>
      </w:r>
      <w:r w:rsidR="00832EB7">
        <w:t xml:space="preserve"> GenBank: CP000521.1</w:t>
      </w:r>
    </w:p>
    <w:p w14:paraId="4C36909D" w14:textId="6C8F1881" w:rsidR="004803B9" w:rsidRDefault="004803B9" w:rsidP="004803B9">
      <w:pPr>
        <w:pStyle w:val="HTMLPreformatted"/>
      </w:pPr>
      <w:proofErr w:type="spellStart"/>
      <w:r>
        <w:rPr>
          <w:rStyle w:val="ffline"/>
        </w:rPr>
        <w:t>ttaagttctt</w:t>
      </w:r>
      <w:proofErr w:type="spellEnd"/>
      <w:r>
        <w:rPr>
          <w:rStyle w:val="ffline"/>
        </w:rPr>
        <w:t xml:space="preserve"> </w:t>
      </w:r>
      <w:proofErr w:type="spellStart"/>
      <w:r>
        <w:rPr>
          <w:rStyle w:val="ffline"/>
        </w:rPr>
        <w:t>aggtcaacgg</w:t>
      </w:r>
      <w:proofErr w:type="spellEnd"/>
      <w:r>
        <w:rPr>
          <w:rStyle w:val="ffline"/>
        </w:rPr>
        <w:t xml:space="preserve"> </w:t>
      </w:r>
      <w:proofErr w:type="spellStart"/>
      <w:r>
        <w:rPr>
          <w:rStyle w:val="ffline"/>
        </w:rPr>
        <w:t>tggcgctcac</w:t>
      </w:r>
      <w:proofErr w:type="spellEnd"/>
      <w:r>
        <w:rPr>
          <w:rStyle w:val="ffline"/>
        </w:rPr>
        <w:t xml:space="preserve"> </w:t>
      </w:r>
      <w:proofErr w:type="spellStart"/>
      <w:r>
        <w:rPr>
          <w:rStyle w:val="ffline"/>
        </w:rPr>
        <w:t>cgacattcca</w:t>
      </w:r>
      <w:proofErr w:type="spellEnd"/>
      <w:r>
        <w:rPr>
          <w:rStyle w:val="ffline"/>
        </w:rPr>
        <w:t xml:space="preserve"> </w:t>
      </w:r>
      <w:proofErr w:type="spellStart"/>
      <w:r>
        <w:rPr>
          <w:rStyle w:val="ffline"/>
        </w:rPr>
        <w:t>ggttttacca</w:t>
      </w:r>
      <w:proofErr w:type="spellEnd"/>
      <w:r>
        <w:rPr>
          <w:rStyle w:val="ffline"/>
        </w:rPr>
        <w:t xml:space="preserve"> </w:t>
      </w:r>
      <w:proofErr w:type="spellStart"/>
      <w:r>
        <w:rPr>
          <w:rStyle w:val="ffline"/>
        </w:rPr>
        <w:t>aatcaatatg</w:t>
      </w:r>
      <w:proofErr w:type="spellEnd"/>
    </w:p>
    <w:p w14:paraId="6456AE53" w14:textId="48AC0A85" w:rsidR="004803B9" w:rsidRDefault="004803B9" w:rsidP="004803B9">
      <w:pPr>
        <w:pStyle w:val="HTMLPreformatted"/>
      </w:pPr>
      <w:proofErr w:type="spellStart"/>
      <w:r>
        <w:rPr>
          <w:rStyle w:val="ffline"/>
        </w:rPr>
        <w:t>tgggcttgaa</w:t>
      </w:r>
      <w:proofErr w:type="spellEnd"/>
      <w:r>
        <w:rPr>
          <w:rStyle w:val="ffline"/>
        </w:rPr>
        <w:t xml:space="preserve"> </w:t>
      </w:r>
      <w:proofErr w:type="spellStart"/>
      <w:r>
        <w:rPr>
          <w:rStyle w:val="ffline"/>
        </w:rPr>
        <w:t>tctatggcga</w:t>
      </w:r>
      <w:proofErr w:type="spellEnd"/>
      <w:r>
        <w:rPr>
          <w:rStyle w:val="ffline"/>
        </w:rPr>
        <w:t xml:space="preserve"> </w:t>
      </w:r>
      <w:proofErr w:type="spellStart"/>
      <w:r>
        <w:rPr>
          <w:rStyle w:val="ffline"/>
        </w:rPr>
        <w:t>tacgtacagg</w:t>
      </w:r>
      <w:proofErr w:type="spellEnd"/>
      <w:r>
        <w:rPr>
          <w:rStyle w:val="ffline"/>
        </w:rPr>
        <w:t xml:space="preserve"> </w:t>
      </w:r>
      <w:proofErr w:type="spellStart"/>
      <w:r>
        <w:rPr>
          <w:rStyle w:val="ffline"/>
        </w:rPr>
        <w:t>aatacgctgt</w:t>
      </w:r>
      <w:proofErr w:type="spellEnd"/>
      <w:r>
        <w:rPr>
          <w:rStyle w:val="ffline"/>
        </w:rPr>
        <w:t xml:space="preserve"> </w:t>
      </w:r>
      <w:proofErr w:type="spellStart"/>
      <w:r>
        <w:rPr>
          <w:rStyle w:val="ffline"/>
        </w:rPr>
        <w:t>acaaccttgt</w:t>
      </w:r>
      <w:proofErr w:type="spellEnd"/>
      <w:r>
        <w:rPr>
          <w:rStyle w:val="ffline"/>
        </w:rPr>
        <w:t xml:space="preserve"> </w:t>
      </w:r>
      <w:proofErr w:type="spellStart"/>
      <w:r>
        <w:rPr>
          <w:rStyle w:val="ffline"/>
        </w:rPr>
        <w:t>taaagttgcc</w:t>
      </w:r>
      <w:proofErr w:type="spellEnd"/>
    </w:p>
    <w:p w14:paraId="6C6A9771" w14:textId="0B1C5B53" w:rsidR="004803B9" w:rsidRDefault="004803B9" w:rsidP="004803B9">
      <w:pPr>
        <w:pStyle w:val="HTMLPreformatted"/>
      </w:pPr>
      <w:proofErr w:type="spellStart"/>
      <w:r>
        <w:rPr>
          <w:rStyle w:val="ffline"/>
        </w:rPr>
        <w:t>tgtggcattg</w:t>
      </w:r>
      <w:proofErr w:type="spellEnd"/>
      <w:r>
        <w:rPr>
          <w:rStyle w:val="ffline"/>
        </w:rPr>
        <w:t xml:space="preserve"> </w:t>
      </w:r>
      <w:proofErr w:type="spellStart"/>
      <w:r>
        <w:rPr>
          <w:rStyle w:val="ffline"/>
        </w:rPr>
        <w:t>tctggtggca</w:t>
      </w:r>
      <w:proofErr w:type="spellEnd"/>
      <w:r>
        <w:rPr>
          <w:rStyle w:val="ffline"/>
        </w:rPr>
        <w:t xml:space="preserve"> </w:t>
      </w:r>
      <w:proofErr w:type="spellStart"/>
      <w:r>
        <w:rPr>
          <w:rStyle w:val="ffline"/>
        </w:rPr>
        <w:t>taagtgagaa</w:t>
      </w:r>
      <w:proofErr w:type="spellEnd"/>
      <w:r>
        <w:rPr>
          <w:rStyle w:val="ffline"/>
        </w:rPr>
        <w:t xml:space="preserve"> </w:t>
      </w:r>
      <w:proofErr w:type="spellStart"/>
      <w:r>
        <w:rPr>
          <w:rStyle w:val="ffline"/>
        </w:rPr>
        <w:t>agtcgcacct</w:t>
      </w:r>
      <w:proofErr w:type="spellEnd"/>
      <w:r>
        <w:rPr>
          <w:rStyle w:val="ffline"/>
        </w:rPr>
        <w:t xml:space="preserve"> </w:t>
      </w:r>
      <w:proofErr w:type="spellStart"/>
      <w:r>
        <w:rPr>
          <w:rStyle w:val="ffline"/>
        </w:rPr>
        <w:t>gaagcgggag</w:t>
      </w:r>
      <w:proofErr w:type="spellEnd"/>
      <w:r>
        <w:rPr>
          <w:rStyle w:val="ffline"/>
        </w:rPr>
        <w:t xml:space="preserve"> </w:t>
      </w:r>
      <w:proofErr w:type="spellStart"/>
      <w:r>
        <w:rPr>
          <w:rStyle w:val="ffline"/>
        </w:rPr>
        <w:t>aaaagctctc</w:t>
      </w:r>
      <w:proofErr w:type="spellEnd"/>
    </w:p>
    <w:p w14:paraId="5040BC77" w14:textId="59E82BCF" w:rsidR="004803B9" w:rsidRDefault="004803B9" w:rsidP="004803B9">
      <w:pPr>
        <w:pStyle w:val="HTMLPreformatted"/>
      </w:pPr>
      <w:proofErr w:type="spellStart"/>
      <w:r>
        <w:rPr>
          <w:rStyle w:val="ffline"/>
        </w:rPr>
        <w:t>aatttttccg</w:t>
      </w:r>
      <w:proofErr w:type="spellEnd"/>
      <w:r>
        <w:rPr>
          <w:rStyle w:val="ffline"/>
        </w:rPr>
        <w:t xml:space="preserve"> </w:t>
      </w:r>
      <w:proofErr w:type="spellStart"/>
      <w:r>
        <w:rPr>
          <w:rStyle w:val="ffline"/>
        </w:rPr>
        <w:t>gtaaagttga</w:t>
      </w:r>
      <w:proofErr w:type="spellEnd"/>
      <w:r>
        <w:rPr>
          <w:rStyle w:val="ffline"/>
        </w:rPr>
        <w:t xml:space="preserve"> </w:t>
      </w:r>
      <w:proofErr w:type="spellStart"/>
      <w:r>
        <w:rPr>
          <w:rStyle w:val="ffline"/>
        </w:rPr>
        <w:t>ggctcggata</w:t>
      </w:r>
      <w:proofErr w:type="spellEnd"/>
      <w:r>
        <w:rPr>
          <w:rStyle w:val="ffline"/>
        </w:rPr>
        <w:t xml:space="preserve"> </w:t>
      </w:r>
      <w:proofErr w:type="spellStart"/>
      <w:r>
        <w:rPr>
          <w:rStyle w:val="ffline"/>
        </w:rPr>
        <w:t>ggcatcaagt</w:t>
      </w:r>
      <w:proofErr w:type="spellEnd"/>
      <w:r>
        <w:rPr>
          <w:rStyle w:val="ffline"/>
        </w:rPr>
        <w:t xml:space="preserve"> </w:t>
      </w:r>
      <w:proofErr w:type="spellStart"/>
      <w:r>
        <w:rPr>
          <w:rStyle w:val="ffline"/>
        </w:rPr>
        <w:t>tttaatttaa</w:t>
      </w:r>
      <w:proofErr w:type="spellEnd"/>
      <w:r>
        <w:rPr>
          <w:rStyle w:val="ffline"/>
        </w:rPr>
        <w:t xml:space="preserve"> </w:t>
      </w:r>
      <w:proofErr w:type="spellStart"/>
      <w:r>
        <w:rPr>
          <w:rStyle w:val="ffline"/>
        </w:rPr>
        <w:t>ctttctgacc</w:t>
      </w:r>
      <w:proofErr w:type="spellEnd"/>
    </w:p>
    <w:p w14:paraId="5E8B0928" w14:textId="3AE587EE" w:rsidR="004803B9" w:rsidRDefault="004803B9" w:rsidP="004803B9">
      <w:pPr>
        <w:pStyle w:val="HTMLPreformatted"/>
      </w:pPr>
      <w:proofErr w:type="spellStart"/>
      <w:r>
        <w:rPr>
          <w:rStyle w:val="ffline"/>
        </w:rPr>
        <w:t>aatatgcatt</w:t>
      </w:r>
      <w:proofErr w:type="spellEnd"/>
      <w:r>
        <w:rPr>
          <w:rStyle w:val="ffline"/>
        </w:rPr>
        <w:t xml:space="preserve"> </w:t>
      </w:r>
      <w:proofErr w:type="spellStart"/>
      <w:r>
        <w:rPr>
          <w:rStyle w:val="ffline"/>
        </w:rPr>
        <w:t>ttttcaattt</w:t>
      </w:r>
      <w:proofErr w:type="spellEnd"/>
      <w:r>
        <w:rPr>
          <w:rStyle w:val="ffline"/>
        </w:rPr>
        <w:t xml:space="preserve"> </w:t>
      </w:r>
      <w:proofErr w:type="spellStart"/>
      <w:r>
        <w:rPr>
          <w:rStyle w:val="ffline"/>
        </w:rPr>
        <w:t>gagtttcttt</w:t>
      </w:r>
      <w:proofErr w:type="spellEnd"/>
      <w:r>
        <w:rPr>
          <w:rStyle w:val="ffline"/>
        </w:rPr>
        <w:t xml:space="preserve"> </w:t>
      </w:r>
      <w:proofErr w:type="spellStart"/>
      <w:r>
        <w:rPr>
          <w:rStyle w:val="ffline"/>
        </w:rPr>
        <w:t>gaagttcgcc</w:t>
      </w:r>
      <w:proofErr w:type="spellEnd"/>
      <w:r>
        <w:rPr>
          <w:rStyle w:val="ffline"/>
        </w:rPr>
        <w:t xml:space="preserve"> </w:t>
      </w:r>
      <w:proofErr w:type="spellStart"/>
      <w:r>
        <w:rPr>
          <w:rStyle w:val="ffline"/>
        </w:rPr>
        <w:t>tgtacataca</w:t>
      </w:r>
      <w:proofErr w:type="spellEnd"/>
      <w:r>
        <w:rPr>
          <w:rStyle w:val="ffline"/>
        </w:rPr>
        <w:t xml:space="preserve"> </w:t>
      </w:r>
      <w:proofErr w:type="spellStart"/>
      <w:r>
        <w:rPr>
          <w:rStyle w:val="ffline"/>
        </w:rPr>
        <w:t>aactattttc</w:t>
      </w:r>
      <w:proofErr w:type="spellEnd"/>
    </w:p>
    <w:p w14:paraId="16EB1AE7" w14:textId="129C863D" w:rsidR="004803B9" w:rsidRDefault="004803B9" w:rsidP="004803B9">
      <w:pPr>
        <w:pStyle w:val="HTMLPreformatted"/>
      </w:pPr>
      <w:proofErr w:type="spellStart"/>
      <w:r>
        <w:rPr>
          <w:rStyle w:val="ffline"/>
        </w:rPr>
        <w:t>aggaatgatc</w:t>
      </w:r>
      <w:proofErr w:type="spellEnd"/>
      <w:r>
        <w:rPr>
          <w:rStyle w:val="ffline"/>
        </w:rPr>
        <w:t xml:space="preserve"> </w:t>
      </w:r>
      <w:proofErr w:type="spellStart"/>
      <w:r>
        <w:rPr>
          <w:rStyle w:val="ffline"/>
        </w:rPr>
        <w:t>gccattaaac</w:t>
      </w:r>
      <w:proofErr w:type="spellEnd"/>
      <w:r>
        <w:rPr>
          <w:rStyle w:val="ffline"/>
        </w:rPr>
        <w:t xml:space="preserve"> </w:t>
      </w:r>
      <w:proofErr w:type="spellStart"/>
      <w:r>
        <w:rPr>
          <w:rStyle w:val="ffline"/>
        </w:rPr>
        <w:t>gggtttgtgg</w:t>
      </w:r>
      <w:proofErr w:type="spellEnd"/>
      <w:r>
        <w:rPr>
          <w:rStyle w:val="ffline"/>
        </w:rPr>
        <w:t xml:space="preserve"> </w:t>
      </w:r>
      <w:proofErr w:type="spellStart"/>
      <w:r>
        <w:rPr>
          <w:rStyle w:val="ffline"/>
        </w:rPr>
        <w:t>agaaacacgt</w:t>
      </w:r>
      <w:proofErr w:type="spellEnd"/>
      <w:r>
        <w:rPr>
          <w:rStyle w:val="ffline"/>
        </w:rPr>
        <w:t xml:space="preserve"> </w:t>
      </w:r>
      <w:proofErr w:type="spellStart"/>
      <w:r>
        <w:rPr>
          <w:rStyle w:val="ffline"/>
        </w:rPr>
        <w:t>gagccttttt</w:t>
      </w:r>
      <w:proofErr w:type="spellEnd"/>
      <w:r>
        <w:rPr>
          <w:rStyle w:val="ffline"/>
        </w:rPr>
        <w:t xml:space="preserve"> </w:t>
      </w:r>
      <w:proofErr w:type="spellStart"/>
      <w:r>
        <w:rPr>
          <w:rStyle w:val="ffline"/>
        </w:rPr>
        <w:t>gaattgccag</w:t>
      </w:r>
      <w:proofErr w:type="spellEnd"/>
    </w:p>
    <w:p w14:paraId="5473BB73" w14:textId="19D67E4C" w:rsidR="004803B9" w:rsidRDefault="004803B9" w:rsidP="004803B9">
      <w:pPr>
        <w:pStyle w:val="HTMLPreformatted"/>
      </w:pPr>
      <w:proofErr w:type="spellStart"/>
      <w:r>
        <w:rPr>
          <w:rStyle w:val="ffline"/>
        </w:rPr>
        <w:t>actaccgatt</w:t>
      </w:r>
      <w:proofErr w:type="spellEnd"/>
      <w:r>
        <w:rPr>
          <w:rStyle w:val="ffline"/>
        </w:rPr>
        <w:t xml:space="preserve"> </w:t>
      </w:r>
      <w:proofErr w:type="spellStart"/>
      <w:r>
        <w:rPr>
          <w:rStyle w:val="ffline"/>
        </w:rPr>
        <w:t>ttaccgctta</w:t>
      </w:r>
      <w:proofErr w:type="spellEnd"/>
      <w:r>
        <w:rPr>
          <w:rStyle w:val="ffline"/>
        </w:rPr>
        <w:t xml:space="preserve"> </w:t>
      </w:r>
      <w:proofErr w:type="spellStart"/>
      <w:r>
        <w:rPr>
          <w:rStyle w:val="ffline"/>
        </w:rPr>
        <w:t>caggactaac</w:t>
      </w:r>
      <w:proofErr w:type="spellEnd"/>
      <w:r>
        <w:rPr>
          <w:rStyle w:val="ffline"/>
        </w:rPr>
        <w:t xml:space="preserve"> </w:t>
      </w:r>
      <w:proofErr w:type="spellStart"/>
      <w:r>
        <w:rPr>
          <w:rStyle w:val="ffline"/>
        </w:rPr>
        <w:t>cacttttgat</w:t>
      </w:r>
      <w:proofErr w:type="spellEnd"/>
      <w:r>
        <w:rPr>
          <w:rStyle w:val="ffline"/>
        </w:rPr>
        <w:t xml:space="preserve"> </w:t>
      </w:r>
      <w:proofErr w:type="spellStart"/>
      <w:r>
        <w:rPr>
          <w:rStyle w:val="ffline"/>
        </w:rPr>
        <w:t>gaagccaaat</w:t>
      </w:r>
      <w:proofErr w:type="spellEnd"/>
      <w:r>
        <w:rPr>
          <w:rStyle w:val="ffline"/>
        </w:rPr>
        <w:t xml:space="preserve"> </w:t>
      </w:r>
      <w:proofErr w:type="spellStart"/>
      <w:r>
        <w:rPr>
          <w:rStyle w:val="ffline"/>
        </w:rPr>
        <w:t>cgacttgata</w:t>
      </w:r>
      <w:proofErr w:type="spellEnd"/>
    </w:p>
    <w:p w14:paraId="76EB1912" w14:textId="54B7DC8F" w:rsidR="004803B9" w:rsidRDefault="004803B9" w:rsidP="004803B9">
      <w:pPr>
        <w:pStyle w:val="HTMLPreformatted"/>
      </w:pPr>
      <w:proofErr w:type="spellStart"/>
      <w:r>
        <w:rPr>
          <w:rStyle w:val="ffline"/>
        </w:rPr>
        <w:t>caggtttaaa</w:t>
      </w:r>
      <w:proofErr w:type="spellEnd"/>
      <w:r>
        <w:rPr>
          <w:rStyle w:val="ffline"/>
        </w:rPr>
        <w:t xml:space="preserve"> </w:t>
      </w:r>
      <w:proofErr w:type="spellStart"/>
      <w:r>
        <w:rPr>
          <w:rStyle w:val="ffline"/>
        </w:rPr>
        <w:t>tttgcatggg</w:t>
      </w:r>
      <w:proofErr w:type="spellEnd"/>
      <w:r>
        <w:rPr>
          <w:rStyle w:val="ffline"/>
        </w:rPr>
        <w:t xml:space="preserve"> </w:t>
      </w:r>
      <w:proofErr w:type="spellStart"/>
      <w:r>
        <w:rPr>
          <w:rStyle w:val="ffline"/>
        </w:rPr>
        <w:t>aactttgaat</w:t>
      </w:r>
      <w:proofErr w:type="spellEnd"/>
      <w:r>
        <w:rPr>
          <w:rStyle w:val="ffline"/>
        </w:rPr>
        <w:t xml:space="preserve"> </w:t>
      </w:r>
      <w:proofErr w:type="spellStart"/>
      <w:r>
        <w:rPr>
          <w:rStyle w:val="ffline"/>
        </w:rPr>
        <w:t>atctgctaaa</w:t>
      </w:r>
      <w:proofErr w:type="spellEnd"/>
      <w:r>
        <w:rPr>
          <w:rStyle w:val="ffline"/>
        </w:rPr>
        <w:t xml:space="preserve"> </w:t>
      </w:r>
      <w:proofErr w:type="spellStart"/>
      <w:r>
        <w:rPr>
          <w:rStyle w:val="ffline"/>
        </w:rPr>
        <w:t>agctgcgctc</w:t>
      </w:r>
      <w:proofErr w:type="spellEnd"/>
      <w:r>
        <w:rPr>
          <w:rStyle w:val="ffline"/>
        </w:rPr>
        <w:t xml:space="preserve"> </w:t>
      </w:r>
      <w:proofErr w:type="spellStart"/>
      <w:r>
        <w:rPr>
          <w:rStyle w:val="ffline"/>
        </w:rPr>
        <w:t>gactcgcttg</w:t>
      </w:r>
      <w:proofErr w:type="spellEnd"/>
    </w:p>
    <w:p w14:paraId="342DAFC4" w14:textId="2C954792" w:rsidR="004803B9" w:rsidRDefault="004803B9" w:rsidP="004803B9">
      <w:pPr>
        <w:pStyle w:val="HTMLPreformatted"/>
      </w:pPr>
      <w:proofErr w:type="spellStart"/>
      <w:r>
        <w:rPr>
          <w:rStyle w:val="ffline"/>
        </w:rPr>
        <w:t>taaactcccc</w:t>
      </w:r>
      <w:proofErr w:type="spellEnd"/>
      <w:r>
        <w:rPr>
          <w:rStyle w:val="ffline"/>
        </w:rPr>
        <w:t xml:space="preserve"> </w:t>
      </w:r>
      <w:proofErr w:type="spellStart"/>
      <w:r>
        <w:rPr>
          <w:rStyle w:val="ffline"/>
        </w:rPr>
        <w:t>aactgagctt</w:t>
      </w:r>
      <w:proofErr w:type="spellEnd"/>
      <w:r>
        <w:rPr>
          <w:rStyle w:val="ffline"/>
        </w:rPr>
        <w:t xml:space="preserve"> </w:t>
      </w:r>
      <w:proofErr w:type="spellStart"/>
      <w:r>
        <w:rPr>
          <w:rStyle w:val="ffline"/>
        </w:rPr>
        <w:t>ctgctgcatt</w:t>
      </w:r>
      <w:proofErr w:type="spellEnd"/>
      <w:r>
        <w:rPr>
          <w:rStyle w:val="ffline"/>
        </w:rPr>
        <w:t xml:space="preserve"> </w:t>
      </w:r>
      <w:proofErr w:type="spellStart"/>
      <w:r>
        <w:rPr>
          <w:rStyle w:val="ffline"/>
        </w:rPr>
        <w:t>tacggcggct</w:t>
      </w:r>
      <w:proofErr w:type="spellEnd"/>
      <w:r>
        <w:rPr>
          <w:rStyle w:val="ffline"/>
        </w:rPr>
        <w:t xml:space="preserve"> </w:t>
      </w:r>
      <w:proofErr w:type="spellStart"/>
      <w:r>
        <w:rPr>
          <w:rStyle w:val="ffline"/>
        </w:rPr>
        <w:t>tgcgctttgc</w:t>
      </w:r>
      <w:proofErr w:type="spellEnd"/>
      <w:r>
        <w:rPr>
          <w:rStyle w:val="ffline"/>
        </w:rPr>
        <w:t xml:space="preserve"> </w:t>
      </w:r>
      <w:proofErr w:type="spellStart"/>
      <w:r>
        <w:rPr>
          <w:rStyle w:val="ffline"/>
        </w:rPr>
        <w:t>tgagctgtgc</w:t>
      </w:r>
      <w:proofErr w:type="spellEnd"/>
    </w:p>
    <w:p w14:paraId="57BCBF27" w14:textId="75E77BE9" w:rsidR="004803B9" w:rsidRDefault="004803B9" w:rsidP="004803B9">
      <w:pPr>
        <w:pStyle w:val="HTMLPreformatted"/>
      </w:pPr>
      <w:proofErr w:type="spellStart"/>
      <w:r>
        <w:rPr>
          <w:rStyle w:val="ffline"/>
        </w:rPr>
        <w:t>ctgagccgtt</w:t>
      </w:r>
      <w:proofErr w:type="spellEnd"/>
      <w:r>
        <w:rPr>
          <w:rStyle w:val="ffline"/>
        </w:rPr>
        <w:t xml:space="preserve"> </w:t>
      </w:r>
      <w:proofErr w:type="spellStart"/>
      <w:r>
        <w:rPr>
          <w:rStyle w:val="ffline"/>
        </w:rPr>
        <w:t>aaatattgag</w:t>
      </w:r>
      <w:proofErr w:type="spellEnd"/>
      <w:r>
        <w:rPr>
          <w:rStyle w:val="ffline"/>
        </w:rPr>
        <w:t xml:space="preserve"> </w:t>
      </w:r>
      <w:proofErr w:type="spellStart"/>
      <w:r>
        <w:rPr>
          <w:rStyle w:val="ffline"/>
        </w:rPr>
        <w:t>actgaatccc</w:t>
      </w:r>
      <w:proofErr w:type="spellEnd"/>
      <w:r>
        <w:rPr>
          <w:rStyle w:val="ffline"/>
        </w:rPr>
        <w:t xml:space="preserve"> </w:t>
      </w:r>
      <w:proofErr w:type="spellStart"/>
      <w:r>
        <w:rPr>
          <w:rStyle w:val="ffline"/>
        </w:rPr>
        <w:t>ttcaaaattt</w:t>
      </w:r>
      <w:proofErr w:type="spellEnd"/>
      <w:r>
        <w:rPr>
          <w:rStyle w:val="ffline"/>
        </w:rPr>
        <w:t xml:space="preserve"> </w:t>
      </w:r>
      <w:proofErr w:type="spellStart"/>
      <w:r>
        <w:rPr>
          <w:rStyle w:val="ffline"/>
        </w:rPr>
        <w:t>tgtcgggtaa</w:t>
      </w:r>
      <w:proofErr w:type="spellEnd"/>
      <w:r>
        <w:rPr>
          <w:rStyle w:val="ffline"/>
        </w:rPr>
        <w:t xml:space="preserve"> </w:t>
      </w:r>
      <w:proofErr w:type="spellStart"/>
      <w:r>
        <w:rPr>
          <w:rStyle w:val="ffline"/>
        </w:rPr>
        <w:t>ttacgccatc</w:t>
      </w:r>
      <w:proofErr w:type="spellEnd"/>
    </w:p>
    <w:p w14:paraId="7EFE29E9" w14:textId="4C898B9C" w:rsidR="004803B9" w:rsidRDefault="004803B9" w:rsidP="004803B9">
      <w:pPr>
        <w:pStyle w:val="HTMLPreformatted"/>
      </w:pPr>
      <w:proofErr w:type="spellStart"/>
      <w:r>
        <w:rPr>
          <w:rStyle w:val="ffline"/>
        </w:rPr>
        <w:t>ttttaataga</w:t>
      </w:r>
      <w:proofErr w:type="spellEnd"/>
      <w:r>
        <w:rPr>
          <w:rStyle w:val="ffline"/>
        </w:rPr>
        <w:t xml:space="preserve"> </w:t>
      </w:r>
      <w:proofErr w:type="spellStart"/>
      <w:r>
        <w:rPr>
          <w:rStyle w:val="ffline"/>
        </w:rPr>
        <w:t>tcttgataac</w:t>
      </w:r>
      <w:proofErr w:type="spellEnd"/>
      <w:r>
        <w:rPr>
          <w:rStyle w:val="ffline"/>
        </w:rPr>
        <w:t xml:space="preserve"> </w:t>
      </w:r>
      <w:proofErr w:type="spellStart"/>
      <w:r>
        <w:rPr>
          <w:rStyle w:val="ffline"/>
        </w:rPr>
        <w:t>gctcgaactc</w:t>
      </w:r>
      <w:proofErr w:type="spellEnd"/>
      <w:r>
        <w:rPr>
          <w:rStyle w:val="ffline"/>
        </w:rPr>
        <w:t xml:space="preserve"> </w:t>
      </w:r>
      <w:proofErr w:type="spellStart"/>
      <w:r>
        <w:rPr>
          <w:rStyle w:val="ffline"/>
        </w:rPr>
        <w:t>ttttttcaaa</w:t>
      </w:r>
      <w:proofErr w:type="spellEnd"/>
      <w:r>
        <w:rPr>
          <w:rStyle w:val="ffline"/>
        </w:rPr>
        <w:t xml:space="preserve"> </w:t>
      </w:r>
      <w:proofErr w:type="spellStart"/>
      <w:r>
        <w:rPr>
          <w:rStyle w:val="ffline"/>
        </w:rPr>
        <w:t>cgcgctaggt</w:t>
      </w:r>
      <w:proofErr w:type="spellEnd"/>
      <w:r>
        <w:rPr>
          <w:rStyle w:val="ffline"/>
        </w:rPr>
        <w:t xml:space="preserve"> </w:t>
      </w:r>
      <w:proofErr w:type="spellStart"/>
      <w:r>
        <w:rPr>
          <w:rStyle w:val="ffline"/>
        </w:rPr>
        <w:t>ctgcttgcgc</w:t>
      </w:r>
      <w:proofErr w:type="spellEnd"/>
    </w:p>
    <w:p w14:paraId="779ABB50" w14:textId="53BDC426" w:rsidR="004803B9" w:rsidRDefault="004803B9" w:rsidP="004803B9">
      <w:pPr>
        <w:pStyle w:val="HTMLPreformatted"/>
      </w:pPr>
      <w:proofErr w:type="spellStart"/>
      <w:r>
        <w:rPr>
          <w:rStyle w:val="ffline"/>
        </w:rPr>
        <w:t>tgccactaca</w:t>
      </w:r>
      <w:proofErr w:type="spellEnd"/>
      <w:r>
        <w:rPr>
          <w:rStyle w:val="ffline"/>
        </w:rPr>
        <w:t xml:space="preserve"> </w:t>
      </w:r>
      <w:proofErr w:type="spellStart"/>
      <w:r>
        <w:rPr>
          <w:rStyle w:val="ffline"/>
        </w:rPr>
        <w:t>ccactatttg</w:t>
      </w:r>
      <w:proofErr w:type="spellEnd"/>
      <w:r>
        <w:rPr>
          <w:rStyle w:val="ffline"/>
        </w:rPr>
        <w:t xml:space="preserve"> </w:t>
      </w:r>
      <w:proofErr w:type="spellStart"/>
      <w:r>
        <w:rPr>
          <w:rStyle w:val="ffline"/>
        </w:rPr>
        <w:t>cttcaataat</w:t>
      </w:r>
      <w:proofErr w:type="spellEnd"/>
      <w:r>
        <w:rPr>
          <w:rStyle w:val="ffline"/>
        </w:rPr>
        <w:t xml:space="preserve"> </w:t>
      </w:r>
      <w:proofErr w:type="spellStart"/>
      <w:r>
        <w:rPr>
          <w:rStyle w:val="ffline"/>
        </w:rPr>
        <w:t>tgacgaccgt</w:t>
      </w:r>
      <w:proofErr w:type="spellEnd"/>
      <w:r>
        <w:rPr>
          <w:rStyle w:val="ffline"/>
        </w:rPr>
        <w:t xml:space="preserve"> </w:t>
      </w:r>
      <w:proofErr w:type="spellStart"/>
      <w:r>
        <w:rPr>
          <w:rStyle w:val="ffline"/>
        </w:rPr>
        <w:t>gcagactttt</w:t>
      </w:r>
      <w:proofErr w:type="spellEnd"/>
      <w:r>
        <w:rPr>
          <w:rStyle w:val="ffline"/>
        </w:rPr>
        <w:t xml:space="preserve"> </w:t>
      </w:r>
      <w:proofErr w:type="spellStart"/>
      <w:r>
        <w:rPr>
          <w:rStyle w:val="ffline"/>
        </w:rPr>
        <w:t>cattttgttg</w:t>
      </w:r>
      <w:proofErr w:type="spellEnd"/>
    </w:p>
    <w:p w14:paraId="0610ED05" w14:textId="321AD5E6" w:rsidR="004803B9" w:rsidRDefault="004803B9" w:rsidP="004803B9">
      <w:pPr>
        <w:pStyle w:val="HTMLPreformatted"/>
      </w:pPr>
      <w:proofErr w:type="spellStart"/>
      <w:r>
        <w:rPr>
          <w:rStyle w:val="ffline"/>
        </w:rPr>
        <w:t>ttgtacaccc</w:t>
      </w:r>
      <w:proofErr w:type="spellEnd"/>
      <w:r>
        <w:rPr>
          <w:rStyle w:val="ffline"/>
        </w:rPr>
        <w:t xml:space="preserve"> </w:t>
      </w:r>
      <w:proofErr w:type="spellStart"/>
      <w:r>
        <w:rPr>
          <w:rStyle w:val="ffline"/>
        </w:rPr>
        <w:t>agtgcagctt</w:t>
      </w:r>
      <w:proofErr w:type="spellEnd"/>
      <w:r>
        <w:rPr>
          <w:rStyle w:val="ffline"/>
        </w:rPr>
        <w:t xml:space="preserve"> </w:t>
      </w:r>
      <w:proofErr w:type="spellStart"/>
      <w:r>
        <w:rPr>
          <w:rStyle w:val="ffline"/>
        </w:rPr>
        <w:t>cttttaggct</w:t>
      </w:r>
      <w:proofErr w:type="spellEnd"/>
      <w:r>
        <w:rPr>
          <w:rStyle w:val="ffline"/>
        </w:rPr>
        <w:t xml:space="preserve"> </w:t>
      </w:r>
      <w:proofErr w:type="spellStart"/>
      <w:r>
        <w:rPr>
          <w:rStyle w:val="ffline"/>
        </w:rPr>
        <w:t>gaccacagaa</w:t>
      </w:r>
      <w:proofErr w:type="spellEnd"/>
      <w:r>
        <w:rPr>
          <w:rStyle w:val="ffline"/>
        </w:rPr>
        <w:t xml:space="preserve"> </w:t>
      </w:r>
      <w:proofErr w:type="spellStart"/>
      <w:r>
        <w:rPr>
          <w:rStyle w:val="ffline"/>
        </w:rPr>
        <w:t>cgggcttggt</w:t>
      </w:r>
      <w:proofErr w:type="spellEnd"/>
      <w:r>
        <w:rPr>
          <w:rStyle w:val="ffline"/>
        </w:rPr>
        <w:t xml:space="preserve"> </w:t>
      </w:r>
      <w:proofErr w:type="spellStart"/>
      <w:r>
        <w:rPr>
          <w:rStyle w:val="ffline"/>
        </w:rPr>
        <w:t>cataacgagc</w:t>
      </w:r>
      <w:proofErr w:type="spellEnd"/>
    </w:p>
    <w:p w14:paraId="52617D28" w14:textId="4A8CA834" w:rsidR="004803B9" w:rsidRDefault="004803B9" w:rsidP="004803B9">
      <w:pPr>
        <w:pStyle w:val="HTMLPreformatted"/>
      </w:pPr>
      <w:proofErr w:type="spellStart"/>
      <w:r>
        <w:rPr>
          <w:rStyle w:val="ffline"/>
        </w:rPr>
        <w:t>ttggtagtca</w:t>
      </w:r>
      <w:proofErr w:type="spellEnd"/>
      <w:r>
        <w:rPr>
          <w:rStyle w:val="ffline"/>
        </w:rPr>
        <w:t xml:space="preserve"> </w:t>
      </w:r>
      <w:proofErr w:type="spellStart"/>
      <w:r>
        <w:rPr>
          <w:rStyle w:val="ffline"/>
        </w:rPr>
        <w:t>cgatggtcta</w:t>
      </w:r>
      <w:proofErr w:type="spellEnd"/>
      <w:r>
        <w:rPr>
          <w:rStyle w:val="ffline"/>
        </w:rPr>
        <w:t xml:space="preserve"> </w:t>
      </w:r>
      <w:proofErr w:type="spellStart"/>
      <w:r>
        <w:rPr>
          <w:rStyle w:val="ffline"/>
        </w:rPr>
        <w:t>ataccgctaa</w:t>
      </w:r>
      <w:proofErr w:type="spellEnd"/>
      <w:r>
        <w:rPr>
          <w:rStyle w:val="ffline"/>
        </w:rPr>
        <w:t xml:space="preserve"> </w:t>
      </w:r>
      <w:proofErr w:type="spellStart"/>
      <w:r>
        <w:rPr>
          <w:rStyle w:val="ffline"/>
        </w:rPr>
        <w:t>agtttcccct</w:t>
      </w:r>
      <w:proofErr w:type="spellEnd"/>
      <w:r>
        <w:rPr>
          <w:rStyle w:val="ffline"/>
        </w:rPr>
        <w:t xml:space="preserve"> </w:t>
      </w:r>
      <w:proofErr w:type="spellStart"/>
      <w:r>
        <w:rPr>
          <w:rStyle w:val="ffline"/>
        </w:rPr>
        <w:t>ttttttacca</w:t>
      </w:r>
      <w:proofErr w:type="spellEnd"/>
      <w:r>
        <w:rPr>
          <w:rStyle w:val="ffline"/>
        </w:rPr>
        <w:t xml:space="preserve"> </w:t>
      </w:r>
      <w:proofErr w:type="spellStart"/>
      <w:r>
        <w:rPr>
          <w:rStyle w:val="ffline"/>
        </w:rPr>
        <w:t>cctgattatc</w:t>
      </w:r>
      <w:proofErr w:type="spellEnd"/>
    </w:p>
    <w:p w14:paraId="010B450C" w14:textId="111DAFF4" w:rsidR="004803B9" w:rsidRDefault="004803B9" w:rsidP="004803B9">
      <w:pPr>
        <w:pStyle w:val="HTMLPreformatted"/>
      </w:pPr>
      <w:proofErr w:type="spellStart"/>
      <w:r>
        <w:rPr>
          <w:rStyle w:val="ffline"/>
        </w:rPr>
        <w:t>gttaattaat</w:t>
      </w:r>
      <w:proofErr w:type="spellEnd"/>
      <w:r>
        <w:rPr>
          <w:rStyle w:val="ffline"/>
        </w:rPr>
        <w:t xml:space="preserve"> </w:t>
      </w:r>
      <w:proofErr w:type="spellStart"/>
      <w:r>
        <w:rPr>
          <w:rStyle w:val="ffline"/>
        </w:rPr>
        <w:t>aactccatca</w:t>
      </w:r>
      <w:proofErr w:type="spellEnd"/>
      <w:r>
        <w:rPr>
          <w:rStyle w:val="ffline"/>
        </w:rPr>
        <w:t xml:space="preserve"> </w:t>
      </w:r>
      <w:proofErr w:type="spellStart"/>
      <w:r>
        <w:rPr>
          <w:rStyle w:val="ffline"/>
        </w:rPr>
        <w:t>cttcgcctga</w:t>
      </w:r>
      <w:proofErr w:type="spellEnd"/>
      <w:r>
        <w:rPr>
          <w:rStyle w:val="ffline"/>
        </w:rPr>
        <w:t xml:space="preserve"> </w:t>
      </w:r>
      <w:proofErr w:type="spellStart"/>
      <w:r>
        <w:rPr>
          <w:rStyle w:val="ffline"/>
        </w:rPr>
        <w:t>aatctttggc</w:t>
      </w:r>
      <w:proofErr w:type="spellEnd"/>
      <w:r>
        <w:rPr>
          <w:rStyle w:val="ffline"/>
        </w:rPr>
        <w:t xml:space="preserve"> at</w:t>
      </w:r>
    </w:p>
    <w:p w14:paraId="33046F82" w14:textId="77777777" w:rsidR="004803B9" w:rsidRDefault="004803B9" w:rsidP="004803B9"/>
    <w:p w14:paraId="0BF56F1B" w14:textId="75497581" w:rsidR="004803B9" w:rsidRDefault="004803B9" w:rsidP="004803B9">
      <w:r>
        <w:t>&gt;ABUW_1930 (</w:t>
      </w:r>
      <w:proofErr w:type="spellStart"/>
      <w:r w:rsidRPr="004803B9">
        <w:rPr>
          <w:i/>
          <w:iCs/>
        </w:rPr>
        <w:t>amfC</w:t>
      </w:r>
      <w:proofErr w:type="spellEnd"/>
      <w:r>
        <w:t>)</w:t>
      </w:r>
      <w:r w:rsidR="00832EB7">
        <w:t xml:space="preserve"> GenBank: CP008706.1</w:t>
      </w:r>
    </w:p>
    <w:p w14:paraId="403E6A1A" w14:textId="423F2E20" w:rsidR="004803B9" w:rsidRDefault="004803B9" w:rsidP="004803B9">
      <w:pPr>
        <w:pStyle w:val="HTMLPreformatted"/>
      </w:pPr>
      <w:proofErr w:type="spellStart"/>
      <w:r>
        <w:rPr>
          <w:rStyle w:val="ffline"/>
        </w:rPr>
        <w:t>ttatttggtc</w:t>
      </w:r>
      <w:proofErr w:type="spellEnd"/>
      <w:r>
        <w:rPr>
          <w:rStyle w:val="ffline"/>
        </w:rPr>
        <w:t xml:space="preserve"> </w:t>
      </w:r>
      <w:proofErr w:type="spellStart"/>
      <w:r>
        <w:rPr>
          <w:rStyle w:val="ffline"/>
        </w:rPr>
        <w:t>gtatccacag</w:t>
      </w:r>
      <w:proofErr w:type="spellEnd"/>
      <w:r>
        <w:rPr>
          <w:rStyle w:val="ffline"/>
        </w:rPr>
        <w:t xml:space="preserve"> </w:t>
      </w:r>
      <w:proofErr w:type="spellStart"/>
      <w:r>
        <w:rPr>
          <w:rStyle w:val="ffline"/>
        </w:rPr>
        <w:t>aaaccacaac</w:t>
      </w:r>
      <w:proofErr w:type="spellEnd"/>
      <w:r>
        <w:rPr>
          <w:rStyle w:val="ffline"/>
        </w:rPr>
        <w:t xml:space="preserve"> </w:t>
      </w:r>
      <w:proofErr w:type="spellStart"/>
      <w:r>
        <w:rPr>
          <w:rStyle w:val="ffline"/>
        </w:rPr>
        <w:t>agatagacca</w:t>
      </w:r>
      <w:proofErr w:type="spellEnd"/>
      <w:r>
        <w:rPr>
          <w:rStyle w:val="ffline"/>
        </w:rPr>
        <w:t xml:space="preserve"> </w:t>
      </w:r>
      <w:proofErr w:type="spellStart"/>
      <w:r>
        <w:rPr>
          <w:rStyle w:val="ffline"/>
        </w:rPr>
        <w:t>ggacgcaaca</w:t>
      </w:r>
      <w:proofErr w:type="spellEnd"/>
      <w:r>
        <w:rPr>
          <w:rStyle w:val="ffline"/>
        </w:rPr>
        <w:t xml:space="preserve"> </w:t>
      </w:r>
      <w:proofErr w:type="spellStart"/>
      <w:r>
        <w:rPr>
          <w:rStyle w:val="ffline"/>
        </w:rPr>
        <w:t>atttaatatc</w:t>
      </w:r>
      <w:proofErr w:type="spellEnd"/>
    </w:p>
    <w:p w14:paraId="35794BDA" w14:textId="0CD96BE0" w:rsidR="004803B9" w:rsidRDefault="004803B9" w:rsidP="004803B9">
      <w:pPr>
        <w:pStyle w:val="HTMLPreformatted"/>
      </w:pPr>
      <w:proofErr w:type="spellStart"/>
      <w:r>
        <w:rPr>
          <w:rStyle w:val="ffline"/>
        </w:rPr>
        <w:t>aggttggttc</w:t>
      </w:r>
      <w:proofErr w:type="spellEnd"/>
      <w:r>
        <w:rPr>
          <w:rStyle w:val="ffline"/>
        </w:rPr>
        <w:t xml:space="preserve"> </w:t>
      </w:r>
      <w:proofErr w:type="spellStart"/>
      <w:r>
        <w:rPr>
          <w:rStyle w:val="ffline"/>
        </w:rPr>
        <w:t>tcaaggagtt</w:t>
      </w:r>
      <w:proofErr w:type="spellEnd"/>
      <w:r>
        <w:rPr>
          <w:rStyle w:val="ffline"/>
        </w:rPr>
        <w:t xml:space="preserve"> </w:t>
      </w:r>
      <w:proofErr w:type="spellStart"/>
      <w:r>
        <w:rPr>
          <w:rStyle w:val="ffline"/>
        </w:rPr>
        <w:t>tgatgcgtaa</w:t>
      </w:r>
      <w:proofErr w:type="spellEnd"/>
      <w:r>
        <w:rPr>
          <w:rStyle w:val="ffline"/>
        </w:rPr>
        <w:t xml:space="preserve"> </w:t>
      </w:r>
      <w:proofErr w:type="spellStart"/>
      <w:r>
        <w:rPr>
          <w:rStyle w:val="ffline"/>
        </w:rPr>
        <w:t>aggtaaacgc</w:t>
      </w:r>
      <w:proofErr w:type="spellEnd"/>
      <w:r>
        <w:rPr>
          <w:rStyle w:val="ffline"/>
        </w:rPr>
        <w:t xml:space="preserve"> </w:t>
      </w:r>
      <w:proofErr w:type="spellStart"/>
      <w:r>
        <w:rPr>
          <w:rStyle w:val="ffline"/>
        </w:rPr>
        <w:t>tgaacaattt</w:t>
      </w:r>
      <w:proofErr w:type="spellEnd"/>
      <w:r>
        <w:rPr>
          <w:rStyle w:val="ffline"/>
        </w:rPr>
        <w:t xml:space="preserve"> </w:t>
      </w:r>
      <w:proofErr w:type="spellStart"/>
      <w:r>
        <w:rPr>
          <w:rStyle w:val="ffline"/>
        </w:rPr>
        <w:t>tagtaaagtt</w:t>
      </w:r>
      <w:proofErr w:type="spellEnd"/>
    </w:p>
    <w:p w14:paraId="095FACF6" w14:textId="0C0C3995" w:rsidR="004803B9" w:rsidRDefault="004803B9" w:rsidP="004803B9">
      <w:pPr>
        <w:pStyle w:val="HTMLPreformatted"/>
      </w:pPr>
      <w:proofErr w:type="spellStart"/>
      <w:r>
        <w:rPr>
          <w:rStyle w:val="ffline"/>
        </w:rPr>
        <w:t>acccgtcgca</w:t>
      </w:r>
      <w:proofErr w:type="spellEnd"/>
      <w:r>
        <w:rPr>
          <w:rStyle w:val="ffline"/>
        </w:rPr>
        <w:t xml:space="preserve"> </w:t>
      </w:r>
      <w:proofErr w:type="spellStart"/>
      <w:r>
        <w:rPr>
          <w:rStyle w:val="ffline"/>
        </w:rPr>
        <w:t>tttgttgctg</w:t>
      </w:r>
      <w:proofErr w:type="spellEnd"/>
      <w:r>
        <w:rPr>
          <w:rStyle w:val="ffline"/>
        </w:rPr>
        <w:t xml:space="preserve"> </w:t>
      </w:r>
      <w:proofErr w:type="spellStart"/>
      <w:r>
        <w:rPr>
          <w:rStyle w:val="ffline"/>
        </w:rPr>
        <w:t>aaattggcga</w:t>
      </w:r>
      <w:proofErr w:type="spellEnd"/>
      <w:r>
        <w:rPr>
          <w:rStyle w:val="ffline"/>
        </w:rPr>
        <w:t xml:space="preserve"> </w:t>
      </w:r>
      <w:proofErr w:type="spellStart"/>
      <w:r>
        <w:rPr>
          <w:rStyle w:val="ffline"/>
        </w:rPr>
        <w:t>gaagaatgca</w:t>
      </w:r>
      <w:proofErr w:type="spellEnd"/>
      <w:r>
        <w:rPr>
          <w:rStyle w:val="ffline"/>
        </w:rPr>
        <w:t xml:space="preserve"> </w:t>
      </w:r>
      <w:proofErr w:type="spellStart"/>
      <w:r>
        <w:rPr>
          <w:rStyle w:val="ffline"/>
        </w:rPr>
        <w:t>ccagtcgatg</w:t>
      </w:r>
      <w:proofErr w:type="spellEnd"/>
      <w:r>
        <w:rPr>
          <w:rStyle w:val="ffline"/>
        </w:rPr>
        <w:t xml:space="preserve"> </w:t>
      </w:r>
      <w:proofErr w:type="spellStart"/>
      <w:r>
        <w:rPr>
          <w:rStyle w:val="ffline"/>
        </w:rPr>
        <w:t>gtgaaaaact</w:t>
      </w:r>
      <w:proofErr w:type="spellEnd"/>
    </w:p>
    <w:p w14:paraId="367B06C6" w14:textId="4C09CE5D" w:rsidR="004803B9" w:rsidRDefault="004803B9" w:rsidP="004803B9">
      <w:pPr>
        <w:pStyle w:val="HTMLPreformatted"/>
      </w:pPr>
      <w:proofErr w:type="spellStart"/>
      <w:r>
        <w:rPr>
          <w:rStyle w:val="ffline"/>
        </w:rPr>
        <w:t>atctaccaca</w:t>
      </w:r>
      <w:proofErr w:type="spellEnd"/>
      <w:r>
        <w:rPr>
          <w:rStyle w:val="ffline"/>
        </w:rPr>
        <w:t xml:space="preserve"> </w:t>
      </w:r>
      <w:proofErr w:type="spellStart"/>
      <w:r>
        <w:rPr>
          <w:rStyle w:val="ffline"/>
        </w:rPr>
        <w:t>ccttttaact</w:t>
      </w:r>
      <w:proofErr w:type="spellEnd"/>
      <w:r>
        <w:rPr>
          <w:rStyle w:val="ffline"/>
        </w:rPr>
        <w:t xml:space="preserve"> </w:t>
      </w:r>
      <w:proofErr w:type="spellStart"/>
      <w:r>
        <w:rPr>
          <w:rStyle w:val="ffline"/>
        </w:rPr>
        <w:t>caacgttata</w:t>
      </w:r>
      <w:proofErr w:type="spellEnd"/>
      <w:r>
        <w:rPr>
          <w:rStyle w:val="ffline"/>
        </w:rPr>
        <w:t xml:space="preserve"> </w:t>
      </w:r>
      <w:proofErr w:type="spellStart"/>
      <w:r>
        <w:rPr>
          <w:rStyle w:val="ffline"/>
        </w:rPr>
        <w:t>agcatcgaca</w:t>
      </w:r>
      <w:proofErr w:type="spellEnd"/>
      <w:r>
        <w:rPr>
          <w:rStyle w:val="ffline"/>
        </w:rPr>
        <w:t xml:space="preserve"> </w:t>
      </w:r>
      <w:proofErr w:type="spellStart"/>
      <w:r>
        <w:rPr>
          <w:rStyle w:val="ffline"/>
        </w:rPr>
        <w:t>taaacagtga</w:t>
      </w:r>
      <w:proofErr w:type="spellEnd"/>
      <w:r>
        <w:rPr>
          <w:rStyle w:val="ffline"/>
        </w:rPr>
        <w:t xml:space="preserve"> </w:t>
      </w:r>
      <w:proofErr w:type="spellStart"/>
      <w:r>
        <w:rPr>
          <w:rStyle w:val="ffline"/>
        </w:rPr>
        <w:t>caggctggcc</w:t>
      </w:r>
      <w:proofErr w:type="spellEnd"/>
    </w:p>
    <w:p w14:paraId="28BFB69E" w14:textId="2F3E9955" w:rsidR="004803B9" w:rsidRDefault="004803B9" w:rsidP="004803B9">
      <w:pPr>
        <w:pStyle w:val="HTMLPreformatted"/>
      </w:pPr>
      <w:proofErr w:type="spellStart"/>
      <w:r>
        <w:rPr>
          <w:rStyle w:val="ffline"/>
        </w:rPr>
        <w:t>gattttaatt</w:t>
      </w:r>
      <w:proofErr w:type="spellEnd"/>
      <w:r>
        <w:rPr>
          <w:rStyle w:val="ffline"/>
        </w:rPr>
        <w:t xml:space="preserve"> </w:t>
      </w:r>
      <w:proofErr w:type="spellStart"/>
      <w:r>
        <w:rPr>
          <w:rStyle w:val="ffline"/>
        </w:rPr>
        <w:t>tgttttagct</w:t>
      </w:r>
      <w:proofErr w:type="spellEnd"/>
      <w:r>
        <w:rPr>
          <w:rStyle w:val="ffline"/>
        </w:rPr>
        <w:t xml:space="preserve"> </w:t>
      </w:r>
      <w:proofErr w:type="spellStart"/>
      <w:r>
        <w:rPr>
          <w:rStyle w:val="ffline"/>
        </w:rPr>
        <w:t>caatttcacg</w:t>
      </w:r>
      <w:proofErr w:type="spellEnd"/>
      <w:r>
        <w:rPr>
          <w:rStyle w:val="ffline"/>
        </w:rPr>
        <w:t xml:space="preserve"> </w:t>
      </w:r>
      <w:proofErr w:type="spellStart"/>
      <w:r>
        <w:rPr>
          <w:rStyle w:val="ffline"/>
        </w:rPr>
        <w:t>gaagtttgct</w:t>
      </w:r>
      <w:proofErr w:type="spellEnd"/>
      <w:r>
        <w:rPr>
          <w:rStyle w:val="ffline"/>
        </w:rPr>
        <w:t xml:space="preserve"> </w:t>
      </w:r>
      <w:proofErr w:type="spellStart"/>
      <w:r>
        <w:rPr>
          <w:rStyle w:val="ffline"/>
        </w:rPr>
        <w:t>tctacataca</w:t>
      </w:r>
      <w:proofErr w:type="spellEnd"/>
      <w:r>
        <w:rPr>
          <w:rStyle w:val="ffline"/>
        </w:rPr>
        <w:t xml:space="preserve"> </w:t>
      </w:r>
      <w:proofErr w:type="spellStart"/>
      <w:r>
        <w:rPr>
          <w:rStyle w:val="ffline"/>
        </w:rPr>
        <w:t>cttgatctaa</w:t>
      </w:r>
      <w:proofErr w:type="spellEnd"/>
    </w:p>
    <w:p w14:paraId="5DCD9953" w14:textId="0F8D19AA" w:rsidR="004803B9" w:rsidRDefault="004803B9" w:rsidP="004803B9">
      <w:pPr>
        <w:pStyle w:val="HTMLPreformatted"/>
      </w:pPr>
      <w:proofErr w:type="spellStart"/>
      <w:r>
        <w:rPr>
          <w:rStyle w:val="ffline"/>
        </w:rPr>
        <w:t>aggcacaact</w:t>
      </w:r>
      <w:proofErr w:type="spellEnd"/>
      <w:r>
        <w:rPr>
          <w:rStyle w:val="ffline"/>
        </w:rPr>
        <w:t xml:space="preserve"> </w:t>
      </w:r>
      <w:proofErr w:type="spellStart"/>
      <w:r>
        <w:rPr>
          <w:rStyle w:val="ffline"/>
        </w:rPr>
        <w:t>accatgagtg</w:t>
      </w:r>
      <w:proofErr w:type="spellEnd"/>
      <w:r>
        <w:rPr>
          <w:rStyle w:val="ffline"/>
        </w:rPr>
        <w:t xml:space="preserve"> </w:t>
      </w:r>
      <w:proofErr w:type="spellStart"/>
      <w:r>
        <w:rPr>
          <w:rStyle w:val="ffline"/>
        </w:rPr>
        <w:t>gattacctgc</w:t>
      </w:r>
      <w:proofErr w:type="spellEnd"/>
      <w:r>
        <w:rPr>
          <w:rStyle w:val="ffline"/>
        </w:rPr>
        <w:t xml:space="preserve"> </w:t>
      </w:r>
      <w:proofErr w:type="spellStart"/>
      <w:r>
        <w:rPr>
          <w:rStyle w:val="ffline"/>
        </w:rPr>
        <w:t>gccaacaaag</w:t>
      </w:r>
      <w:proofErr w:type="spellEnd"/>
      <w:r>
        <w:rPr>
          <w:rStyle w:val="ffline"/>
        </w:rPr>
        <w:t xml:space="preserve"> </w:t>
      </w:r>
      <w:proofErr w:type="spellStart"/>
      <w:r>
        <w:rPr>
          <w:rStyle w:val="ffline"/>
        </w:rPr>
        <w:t>ttgcccacat</w:t>
      </w:r>
      <w:proofErr w:type="spellEnd"/>
      <w:r>
        <w:rPr>
          <w:rStyle w:val="ffline"/>
        </w:rPr>
        <w:t xml:space="preserve"> </w:t>
      </w:r>
      <w:proofErr w:type="spellStart"/>
      <w:r>
        <w:rPr>
          <w:rStyle w:val="ffline"/>
        </w:rPr>
        <w:t>ttgcagactt</w:t>
      </w:r>
      <w:proofErr w:type="spellEnd"/>
    </w:p>
    <w:p w14:paraId="337FDB65" w14:textId="331E42AF" w:rsidR="004803B9" w:rsidRDefault="004803B9" w:rsidP="004803B9">
      <w:pPr>
        <w:pStyle w:val="HTMLPreformatted"/>
      </w:pPr>
      <w:proofErr w:type="spellStart"/>
      <w:r>
        <w:rPr>
          <w:rStyle w:val="ffline"/>
        </w:rPr>
        <w:t>ctgcccaatc</w:t>
      </w:r>
      <w:proofErr w:type="spellEnd"/>
      <w:r>
        <w:rPr>
          <w:rStyle w:val="ffline"/>
        </w:rPr>
        <w:t xml:space="preserve"> </w:t>
      </w:r>
      <w:proofErr w:type="spellStart"/>
      <w:r>
        <w:rPr>
          <w:rStyle w:val="ffline"/>
        </w:rPr>
        <w:t>ataccatcaa</w:t>
      </w:r>
      <w:proofErr w:type="spellEnd"/>
      <w:r>
        <w:rPr>
          <w:rStyle w:val="ffline"/>
        </w:rPr>
        <w:t xml:space="preserve"> </w:t>
      </w:r>
      <w:proofErr w:type="spellStart"/>
      <w:r>
        <w:rPr>
          <w:rStyle w:val="ffline"/>
        </w:rPr>
        <w:t>taggcgctcg</w:t>
      </w:r>
      <w:proofErr w:type="spellEnd"/>
      <w:r>
        <w:rPr>
          <w:rStyle w:val="ffline"/>
        </w:rPr>
        <w:t xml:space="preserve"> </w:t>
      </w:r>
      <w:proofErr w:type="spellStart"/>
      <w:r>
        <w:rPr>
          <w:rStyle w:val="ffline"/>
        </w:rPr>
        <w:t>aatttctgta</w:t>
      </w:r>
      <w:proofErr w:type="spellEnd"/>
      <w:r>
        <w:rPr>
          <w:rStyle w:val="ffline"/>
        </w:rPr>
        <w:t xml:space="preserve"> </w:t>
      </w:r>
      <w:proofErr w:type="spellStart"/>
      <w:r>
        <w:rPr>
          <w:rStyle w:val="ffline"/>
        </w:rPr>
        <w:t>tagctcagat</w:t>
      </w:r>
      <w:proofErr w:type="spellEnd"/>
      <w:r>
        <w:rPr>
          <w:rStyle w:val="ffline"/>
        </w:rPr>
        <w:t xml:space="preserve"> </w:t>
      </w:r>
      <w:proofErr w:type="spellStart"/>
      <w:r>
        <w:rPr>
          <w:rStyle w:val="ffline"/>
        </w:rPr>
        <w:t>tcagttttgc</w:t>
      </w:r>
      <w:proofErr w:type="spellEnd"/>
    </w:p>
    <w:p w14:paraId="4B108E27" w14:textId="2AF108B2" w:rsidR="004803B9" w:rsidRDefault="004803B9" w:rsidP="004803B9">
      <w:pPr>
        <w:pStyle w:val="HTMLPreformatted"/>
      </w:pPr>
      <w:proofErr w:type="spellStart"/>
      <w:r>
        <w:rPr>
          <w:rStyle w:val="ffline"/>
        </w:rPr>
        <w:t>tttatcaagc</w:t>
      </w:r>
      <w:proofErr w:type="spellEnd"/>
      <w:r>
        <w:rPr>
          <w:rStyle w:val="ffline"/>
        </w:rPr>
        <w:t xml:space="preserve"> </w:t>
      </w:r>
      <w:proofErr w:type="spellStart"/>
      <w:r>
        <w:rPr>
          <w:rStyle w:val="ffline"/>
        </w:rPr>
        <w:t>gcagcttggg</w:t>
      </w:r>
      <w:proofErr w:type="spellEnd"/>
      <w:r>
        <w:rPr>
          <w:rStyle w:val="ffline"/>
        </w:rPr>
        <w:t xml:space="preserve"> </w:t>
      </w:r>
      <w:proofErr w:type="spellStart"/>
      <w:r>
        <w:rPr>
          <w:rStyle w:val="ffline"/>
        </w:rPr>
        <w:t>cttgtttcaa</w:t>
      </w:r>
      <w:proofErr w:type="spellEnd"/>
      <w:r>
        <w:rPr>
          <w:rStyle w:val="ffline"/>
        </w:rPr>
        <w:t xml:space="preserve"> </w:t>
      </w:r>
      <w:proofErr w:type="spellStart"/>
      <w:r>
        <w:rPr>
          <w:rStyle w:val="ffline"/>
        </w:rPr>
        <w:t>agccgcttgt</w:t>
      </w:r>
      <w:proofErr w:type="spellEnd"/>
      <w:r>
        <w:rPr>
          <w:rStyle w:val="ffline"/>
        </w:rPr>
        <w:t xml:space="preserve"> </w:t>
      </w:r>
      <w:proofErr w:type="spellStart"/>
      <w:r>
        <w:rPr>
          <w:rStyle w:val="ffline"/>
        </w:rPr>
        <w:t>ttagcttgaa</w:t>
      </w:r>
      <w:proofErr w:type="spellEnd"/>
      <w:r>
        <w:rPr>
          <w:rStyle w:val="ffline"/>
        </w:rPr>
        <w:t xml:space="preserve"> </w:t>
      </w:r>
      <w:proofErr w:type="spellStart"/>
      <w:r>
        <w:rPr>
          <w:rStyle w:val="ffline"/>
        </w:rPr>
        <w:t>cctgaatctt</w:t>
      </w:r>
      <w:proofErr w:type="spellEnd"/>
    </w:p>
    <w:p w14:paraId="552A4D8D" w14:textId="7BE75553" w:rsidR="004803B9" w:rsidRDefault="004803B9" w:rsidP="004803B9">
      <w:pPr>
        <w:pStyle w:val="HTMLPreformatted"/>
      </w:pPr>
      <w:proofErr w:type="spellStart"/>
      <w:r>
        <w:rPr>
          <w:rStyle w:val="ffline"/>
        </w:rPr>
        <w:t>atattggttg</w:t>
      </w:r>
      <w:proofErr w:type="spellEnd"/>
      <w:r>
        <w:rPr>
          <w:rStyle w:val="ffline"/>
        </w:rPr>
        <w:t xml:space="preserve"> </w:t>
      </w:r>
      <w:proofErr w:type="spellStart"/>
      <w:r>
        <w:rPr>
          <w:rStyle w:val="ffline"/>
        </w:rPr>
        <w:t>agctgatact</w:t>
      </w:r>
      <w:proofErr w:type="spellEnd"/>
      <w:r>
        <w:rPr>
          <w:rStyle w:val="ffline"/>
        </w:rPr>
        <w:t xml:space="preserve"> </w:t>
      </w:r>
      <w:proofErr w:type="spellStart"/>
      <w:r>
        <w:rPr>
          <w:rStyle w:val="ffline"/>
        </w:rPr>
        <w:t>gtgcatcaat</w:t>
      </w:r>
      <w:proofErr w:type="spellEnd"/>
      <w:r>
        <w:rPr>
          <w:rStyle w:val="ffline"/>
        </w:rPr>
        <w:t xml:space="preserve"> </w:t>
      </w:r>
      <w:proofErr w:type="spellStart"/>
      <w:r>
        <w:rPr>
          <w:rStyle w:val="ffline"/>
        </w:rPr>
        <w:t>gactttttct</w:t>
      </w:r>
      <w:proofErr w:type="spellEnd"/>
      <w:r>
        <w:rPr>
          <w:rStyle w:val="ffline"/>
        </w:rPr>
        <w:t xml:space="preserve"> </w:t>
      </w:r>
      <w:proofErr w:type="spellStart"/>
      <w:r>
        <w:rPr>
          <w:rStyle w:val="ffline"/>
        </w:rPr>
        <w:t>ttactgctgt</w:t>
      </w:r>
      <w:proofErr w:type="spellEnd"/>
      <w:r>
        <w:rPr>
          <w:rStyle w:val="ffline"/>
        </w:rPr>
        <w:t xml:space="preserve"> </w:t>
      </w:r>
      <w:proofErr w:type="spellStart"/>
      <w:r>
        <w:rPr>
          <w:rStyle w:val="ffline"/>
        </w:rPr>
        <w:t>ccaagtcggc</w:t>
      </w:r>
      <w:proofErr w:type="spellEnd"/>
    </w:p>
    <w:p w14:paraId="52EDFCD4" w14:textId="74C147FC" w:rsidR="004803B9" w:rsidRDefault="004803B9" w:rsidP="004803B9">
      <w:pPr>
        <w:pStyle w:val="HTMLPreformatted"/>
      </w:pPr>
      <w:proofErr w:type="spellStart"/>
      <w:r>
        <w:rPr>
          <w:rStyle w:val="ffline"/>
        </w:rPr>
        <w:t>atattgctcg</w:t>
      </w:r>
      <w:proofErr w:type="spellEnd"/>
      <w:r>
        <w:rPr>
          <w:rStyle w:val="ffline"/>
        </w:rPr>
        <w:t xml:space="preserve"> </w:t>
      </w:r>
      <w:proofErr w:type="spellStart"/>
      <w:r>
        <w:rPr>
          <w:rStyle w:val="ffline"/>
        </w:rPr>
        <w:t>gttagtgtgg</w:t>
      </w:r>
      <w:proofErr w:type="spellEnd"/>
      <w:r>
        <w:rPr>
          <w:rStyle w:val="ffline"/>
        </w:rPr>
        <w:t xml:space="preserve"> </w:t>
      </w:r>
      <w:proofErr w:type="spellStart"/>
      <w:r>
        <w:rPr>
          <w:rStyle w:val="ffline"/>
        </w:rPr>
        <w:t>tttttgactg</w:t>
      </w:r>
      <w:proofErr w:type="spellEnd"/>
      <w:r>
        <w:rPr>
          <w:rStyle w:val="ffline"/>
        </w:rPr>
        <w:t xml:space="preserve"> </w:t>
      </w:r>
      <w:proofErr w:type="spellStart"/>
      <w:r>
        <w:rPr>
          <w:rStyle w:val="ffline"/>
        </w:rPr>
        <w:t>ttgtgtaatc</w:t>
      </w:r>
      <w:proofErr w:type="spellEnd"/>
      <w:r>
        <w:rPr>
          <w:rStyle w:val="ffline"/>
        </w:rPr>
        <w:t xml:space="preserve"> </w:t>
      </w:r>
      <w:proofErr w:type="spellStart"/>
      <w:r>
        <w:rPr>
          <w:rStyle w:val="ffline"/>
        </w:rPr>
        <w:t>aatctagatt</w:t>
      </w:r>
      <w:proofErr w:type="spellEnd"/>
      <w:r>
        <w:rPr>
          <w:rStyle w:val="ffline"/>
        </w:rPr>
        <w:t xml:space="preserve"> </w:t>
      </w:r>
      <w:proofErr w:type="spellStart"/>
      <w:r>
        <w:rPr>
          <w:rStyle w:val="ffline"/>
        </w:rPr>
        <w:t>cagcgccaag</w:t>
      </w:r>
      <w:proofErr w:type="spellEnd"/>
    </w:p>
    <w:p w14:paraId="0F092C5B" w14:textId="35F3920C" w:rsidR="004803B9" w:rsidRDefault="004803B9" w:rsidP="004803B9">
      <w:pPr>
        <w:pStyle w:val="HTMLPreformatted"/>
      </w:pPr>
      <w:proofErr w:type="spellStart"/>
      <w:r>
        <w:rPr>
          <w:rStyle w:val="ffline"/>
        </w:rPr>
        <w:t>tgcctgtaat</w:t>
      </w:r>
      <w:proofErr w:type="spellEnd"/>
      <w:r>
        <w:rPr>
          <w:rStyle w:val="ffline"/>
        </w:rPr>
        <w:t xml:space="preserve"> </w:t>
      </w:r>
      <w:proofErr w:type="spellStart"/>
      <w:r>
        <w:rPr>
          <w:rStyle w:val="ffline"/>
        </w:rPr>
        <w:t>tgctcatagc</w:t>
      </w:r>
      <w:proofErr w:type="spellEnd"/>
      <w:r>
        <w:rPr>
          <w:rStyle w:val="ffline"/>
        </w:rPr>
        <w:t xml:space="preserve"> </w:t>
      </w:r>
      <w:proofErr w:type="spellStart"/>
      <w:r>
        <w:rPr>
          <w:rStyle w:val="ffline"/>
        </w:rPr>
        <w:t>gtgcggtatt</w:t>
      </w:r>
      <w:proofErr w:type="spellEnd"/>
      <w:r>
        <w:rPr>
          <w:rStyle w:val="ffline"/>
        </w:rPr>
        <w:t xml:space="preserve"> </w:t>
      </w:r>
      <w:proofErr w:type="spellStart"/>
      <w:r>
        <w:rPr>
          <w:rStyle w:val="ffline"/>
        </w:rPr>
        <w:t>atctttagtg</w:t>
      </w:r>
      <w:proofErr w:type="spellEnd"/>
      <w:r>
        <w:rPr>
          <w:rStyle w:val="ffline"/>
        </w:rPr>
        <w:t xml:space="preserve"> </w:t>
      </w:r>
      <w:proofErr w:type="spellStart"/>
      <w:r>
        <w:rPr>
          <w:rStyle w:val="ffline"/>
        </w:rPr>
        <w:t>agtttaatgc</w:t>
      </w:r>
      <w:proofErr w:type="spellEnd"/>
      <w:r>
        <w:rPr>
          <w:rStyle w:val="ffline"/>
        </w:rPr>
        <w:t xml:space="preserve"> </w:t>
      </w:r>
      <w:proofErr w:type="spellStart"/>
      <w:r>
        <w:rPr>
          <w:rStyle w:val="ffline"/>
        </w:rPr>
        <w:t>cggcttctac</w:t>
      </w:r>
      <w:proofErr w:type="spellEnd"/>
    </w:p>
    <w:p w14:paraId="6DF762A4" w14:textId="5C36A7CE" w:rsidR="004803B9" w:rsidRDefault="004803B9" w:rsidP="004803B9">
      <w:pPr>
        <w:pStyle w:val="HTMLPreformatted"/>
      </w:pPr>
      <w:proofErr w:type="spellStart"/>
      <w:r>
        <w:rPr>
          <w:rStyle w:val="ffline"/>
        </w:rPr>
        <w:t>ttttctaagc</w:t>
      </w:r>
      <w:proofErr w:type="spellEnd"/>
      <w:r>
        <w:rPr>
          <w:rStyle w:val="ffline"/>
        </w:rPr>
        <w:t xml:space="preserve"> </w:t>
      </w:r>
      <w:proofErr w:type="spellStart"/>
      <w:r>
        <w:rPr>
          <w:rStyle w:val="ffline"/>
        </w:rPr>
        <w:t>tgggcctctg</w:t>
      </w:r>
      <w:proofErr w:type="spellEnd"/>
      <w:r>
        <w:rPr>
          <w:rStyle w:val="ffline"/>
        </w:rPr>
        <w:t xml:space="preserve"> </w:t>
      </w:r>
      <w:proofErr w:type="spellStart"/>
      <w:r>
        <w:rPr>
          <w:rStyle w:val="ffline"/>
        </w:rPr>
        <w:t>tttctcgaat</w:t>
      </w:r>
      <w:proofErr w:type="spellEnd"/>
      <w:r>
        <w:rPr>
          <w:rStyle w:val="ffline"/>
        </w:rPr>
        <w:t xml:space="preserve"> </w:t>
      </w:r>
      <w:proofErr w:type="spellStart"/>
      <w:r>
        <w:rPr>
          <w:rStyle w:val="ffline"/>
        </w:rPr>
        <w:t>aacagttggt</w:t>
      </w:r>
      <w:proofErr w:type="spellEnd"/>
      <w:r>
        <w:rPr>
          <w:rStyle w:val="ffline"/>
        </w:rPr>
        <w:t xml:space="preserve"> </w:t>
      </w:r>
      <w:proofErr w:type="spellStart"/>
      <w:r>
        <w:rPr>
          <w:rStyle w:val="ffline"/>
        </w:rPr>
        <w:t>tgtctttcta</w:t>
      </w:r>
      <w:proofErr w:type="spellEnd"/>
      <w:r>
        <w:rPr>
          <w:rStyle w:val="ffline"/>
        </w:rPr>
        <w:t xml:space="preserve"> </w:t>
      </w:r>
      <w:proofErr w:type="spellStart"/>
      <w:r>
        <w:rPr>
          <w:rStyle w:val="ffline"/>
        </w:rPr>
        <w:t>ctgccagcat</w:t>
      </w:r>
      <w:proofErr w:type="spellEnd"/>
    </w:p>
    <w:p w14:paraId="469027A3" w14:textId="37D074AF" w:rsidR="004803B9" w:rsidRDefault="004803B9" w:rsidP="004803B9">
      <w:pPr>
        <w:pStyle w:val="HTMLPreformatted"/>
      </w:pPr>
      <w:proofErr w:type="spellStart"/>
      <w:r>
        <w:rPr>
          <w:rStyle w:val="ffline"/>
        </w:rPr>
        <w:t>tgcttcattt</w:t>
      </w:r>
      <w:proofErr w:type="spellEnd"/>
      <w:r>
        <w:rPr>
          <w:rStyle w:val="ffline"/>
        </w:rPr>
        <w:t xml:space="preserve"> </w:t>
      </w:r>
      <w:proofErr w:type="spellStart"/>
      <w:r>
        <w:rPr>
          <w:rStyle w:val="ffline"/>
        </w:rPr>
        <w:t>aagtcagctt</w:t>
      </w:r>
      <w:proofErr w:type="spellEnd"/>
      <w:r>
        <w:rPr>
          <w:rStyle w:val="ffline"/>
        </w:rPr>
        <w:t xml:space="preserve"> </w:t>
      </w:r>
      <w:proofErr w:type="spellStart"/>
      <w:r>
        <w:rPr>
          <w:rStyle w:val="ffline"/>
        </w:rPr>
        <w:t>gtgctttggc</w:t>
      </w:r>
      <w:proofErr w:type="spellEnd"/>
      <w:r>
        <w:rPr>
          <w:rStyle w:val="ffline"/>
        </w:rPr>
        <w:t xml:space="preserve"> </w:t>
      </w:r>
      <w:proofErr w:type="spellStart"/>
      <w:r>
        <w:rPr>
          <w:rStyle w:val="ffline"/>
        </w:rPr>
        <w:t>ataattagat</w:t>
      </w:r>
      <w:proofErr w:type="spellEnd"/>
      <w:r>
        <w:rPr>
          <w:rStyle w:val="ffline"/>
        </w:rPr>
        <w:t xml:space="preserve"> </w:t>
      </w:r>
      <w:proofErr w:type="spellStart"/>
      <w:r>
        <w:rPr>
          <w:rStyle w:val="ffline"/>
        </w:rPr>
        <w:t>tcagcttcag</w:t>
      </w:r>
      <w:proofErr w:type="spellEnd"/>
      <w:r>
        <w:rPr>
          <w:rStyle w:val="ffline"/>
        </w:rPr>
        <w:t xml:space="preserve"> </w:t>
      </w:r>
      <w:proofErr w:type="spellStart"/>
      <w:r>
        <w:rPr>
          <w:rStyle w:val="ffline"/>
        </w:rPr>
        <w:t>ctaaagccgc</w:t>
      </w:r>
      <w:proofErr w:type="spellEnd"/>
    </w:p>
    <w:p w14:paraId="234D6E03" w14:textId="53193829" w:rsidR="004803B9" w:rsidRDefault="004803B9" w:rsidP="004803B9">
      <w:pPr>
        <w:pStyle w:val="HTMLPreformatted"/>
      </w:pPr>
      <w:proofErr w:type="spellStart"/>
      <w:r>
        <w:rPr>
          <w:rStyle w:val="ffline"/>
        </w:rPr>
        <w:t>ctgataatca</w:t>
      </w:r>
      <w:proofErr w:type="spellEnd"/>
      <w:r>
        <w:rPr>
          <w:rStyle w:val="ffline"/>
        </w:rPr>
        <w:t xml:space="preserve"> </w:t>
      </w:r>
      <w:proofErr w:type="spellStart"/>
      <w:r>
        <w:rPr>
          <w:rStyle w:val="ffline"/>
        </w:rPr>
        <w:t>cgtgcatcaa</w:t>
      </w:r>
      <w:proofErr w:type="spellEnd"/>
      <w:r>
        <w:rPr>
          <w:rStyle w:val="ffline"/>
        </w:rPr>
        <w:t xml:space="preserve"> </w:t>
      </w:r>
      <w:proofErr w:type="spellStart"/>
      <w:r>
        <w:rPr>
          <w:rStyle w:val="ffline"/>
        </w:rPr>
        <w:t>ttcgtgccaa</w:t>
      </w:r>
      <w:proofErr w:type="spellEnd"/>
      <w:r>
        <w:rPr>
          <w:rStyle w:val="ffline"/>
        </w:rPr>
        <w:t xml:space="preserve"> </w:t>
      </w:r>
      <w:proofErr w:type="spellStart"/>
      <w:r>
        <w:rPr>
          <w:rStyle w:val="ffline"/>
        </w:rPr>
        <w:t>aagctggcct</w:t>
      </w:r>
      <w:proofErr w:type="spellEnd"/>
      <w:r>
        <w:rPr>
          <w:rStyle w:val="ffline"/>
        </w:rPr>
        <w:t xml:space="preserve"> </w:t>
      </w:r>
      <w:proofErr w:type="spellStart"/>
      <w:r>
        <w:rPr>
          <w:rStyle w:val="ffline"/>
        </w:rPr>
        <w:t>ttttttacgg</w:t>
      </w:r>
      <w:proofErr w:type="spellEnd"/>
      <w:r>
        <w:rPr>
          <w:rStyle w:val="ffline"/>
        </w:rPr>
        <w:t xml:space="preserve"> </w:t>
      </w:r>
      <w:proofErr w:type="spellStart"/>
      <w:r>
        <w:rPr>
          <w:rStyle w:val="ffline"/>
        </w:rPr>
        <w:t>tctggtgatc</w:t>
      </w:r>
      <w:proofErr w:type="spellEnd"/>
    </w:p>
    <w:p w14:paraId="6C821BBD" w14:textId="098C6DE4" w:rsidR="004803B9" w:rsidRDefault="004803B9" w:rsidP="004803B9">
      <w:pPr>
        <w:pStyle w:val="HTMLPreformatted"/>
      </w:pPr>
      <w:proofErr w:type="spellStart"/>
      <w:r>
        <w:rPr>
          <w:rStyle w:val="ffline"/>
        </w:rPr>
        <w:t>tttaatataa</w:t>
      </w:r>
      <w:proofErr w:type="spellEnd"/>
      <w:r>
        <w:rPr>
          <w:rStyle w:val="ffline"/>
        </w:rPr>
        <w:t xml:space="preserve"> </w:t>
      </w:r>
      <w:proofErr w:type="spellStart"/>
      <w:r>
        <w:rPr>
          <w:rStyle w:val="ffline"/>
        </w:rPr>
        <w:t>atttcttcaa</w:t>
      </w:r>
      <w:proofErr w:type="spellEnd"/>
      <w:r>
        <w:rPr>
          <w:rStyle w:val="ffline"/>
        </w:rPr>
        <w:t xml:space="preserve"> </w:t>
      </w:r>
      <w:proofErr w:type="spellStart"/>
      <w:r>
        <w:rPr>
          <w:rStyle w:val="ffline"/>
        </w:rPr>
        <w:t>tattacctga</w:t>
      </w:r>
      <w:proofErr w:type="spellEnd"/>
      <w:r>
        <w:rPr>
          <w:rStyle w:val="ffline"/>
        </w:rPr>
        <w:t xml:space="preserve"> </w:t>
      </w:r>
      <w:proofErr w:type="spellStart"/>
      <w:r>
        <w:rPr>
          <w:rStyle w:val="ffline"/>
        </w:rPr>
        <w:t>cacttttgga</w:t>
      </w:r>
      <w:proofErr w:type="spellEnd"/>
      <w:r>
        <w:rPr>
          <w:rStyle w:val="ffline"/>
        </w:rPr>
        <w:t xml:space="preserve"> </w:t>
      </w:r>
      <w:proofErr w:type="spellStart"/>
      <w:r>
        <w:rPr>
          <w:rStyle w:val="ffline"/>
        </w:rPr>
        <w:t>gcaatggttg</w:t>
      </w:r>
      <w:proofErr w:type="spellEnd"/>
      <w:r>
        <w:rPr>
          <w:rStyle w:val="ffline"/>
        </w:rPr>
        <w:t xml:space="preserve"> </w:t>
      </w:r>
      <w:proofErr w:type="spellStart"/>
      <w:r>
        <w:rPr>
          <w:rStyle w:val="ffline"/>
        </w:rPr>
        <w:t>agtactcgac</w:t>
      </w:r>
      <w:proofErr w:type="spellEnd"/>
    </w:p>
    <w:p w14:paraId="566F19C5" w14:textId="6B607401" w:rsidR="004803B9" w:rsidRDefault="004803B9" w:rsidP="004803B9">
      <w:pPr>
        <w:pStyle w:val="HTMLPreformatted"/>
      </w:pPr>
      <w:proofErr w:type="spellStart"/>
      <w:r>
        <w:rPr>
          <w:rStyle w:val="ffline"/>
        </w:rPr>
        <w:t>gtctacccgc</w:t>
      </w:r>
      <w:proofErr w:type="spellEnd"/>
      <w:r>
        <w:rPr>
          <w:rStyle w:val="ffline"/>
        </w:rPr>
        <w:t xml:space="preserve"> </w:t>
      </w:r>
      <w:proofErr w:type="spellStart"/>
      <w:r>
        <w:rPr>
          <w:rStyle w:val="ffline"/>
        </w:rPr>
        <w:t>gcatcgtcag</w:t>
      </w:r>
      <w:proofErr w:type="spellEnd"/>
      <w:r>
        <w:rPr>
          <w:rStyle w:val="ffline"/>
        </w:rPr>
        <w:t xml:space="preserve"> </w:t>
      </w:r>
      <w:proofErr w:type="spellStart"/>
      <w:r>
        <w:rPr>
          <w:rStyle w:val="ffline"/>
        </w:rPr>
        <w:t>ttttaacaat</w:t>
      </w:r>
      <w:proofErr w:type="spellEnd"/>
      <w:r>
        <w:rPr>
          <w:rStyle w:val="ffline"/>
        </w:rPr>
        <w:t xml:space="preserve"> </w:t>
      </w:r>
      <w:proofErr w:type="spellStart"/>
      <w:r>
        <w:rPr>
          <w:rStyle w:val="ffline"/>
        </w:rPr>
        <w:t>ggaagaaggt</w:t>
      </w:r>
      <w:proofErr w:type="spellEnd"/>
      <w:r>
        <w:rPr>
          <w:rStyle w:val="ffline"/>
        </w:rPr>
        <w:t xml:space="preserve"> </w:t>
      </w:r>
      <w:proofErr w:type="spellStart"/>
      <w:r>
        <w:rPr>
          <w:rStyle w:val="ffline"/>
        </w:rPr>
        <w:t>aaaaatataa</w:t>
      </w:r>
      <w:proofErr w:type="spellEnd"/>
      <w:r>
        <w:rPr>
          <w:rStyle w:val="ffline"/>
        </w:rPr>
        <w:t xml:space="preserve"> </w:t>
      </w:r>
      <w:proofErr w:type="spellStart"/>
      <w:r>
        <w:rPr>
          <w:rStyle w:val="ffline"/>
        </w:rPr>
        <w:t>cttttaaaat</w:t>
      </w:r>
      <w:proofErr w:type="spellEnd"/>
    </w:p>
    <w:p w14:paraId="7F3C7AFF" w14:textId="6E4F42B2" w:rsidR="004803B9" w:rsidRDefault="004803B9" w:rsidP="004803B9">
      <w:pPr>
        <w:pStyle w:val="HTMLPreformatted"/>
      </w:pPr>
      <w:proofErr w:type="spellStart"/>
      <w:r>
        <w:rPr>
          <w:rStyle w:val="ffline"/>
        </w:rPr>
        <w:t>ccataaaatg</w:t>
      </w:r>
      <w:proofErr w:type="spellEnd"/>
      <w:r>
        <w:rPr>
          <w:rStyle w:val="ffline"/>
        </w:rPr>
        <w:t xml:space="preserve"> </w:t>
      </w:r>
      <w:proofErr w:type="spellStart"/>
      <w:r>
        <w:rPr>
          <w:rStyle w:val="ffline"/>
        </w:rPr>
        <w:t>gaaactagaa</w:t>
      </w:r>
      <w:proofErr w:type="spellEnd"/>
      <w:r>
        <w:rPr>
          <w:rStyle w:val="ffline"/>
        </w:rPr>
        <w:t xml:space="preserve"> </w:t>
      </w:r>
      <w:proofErr w:type="spellStart"/>
      <w:r>
        <w:rPr>
          <w:rStyle w:val="ffline"/>
        </w:rPr>
        <w:t>cgataataaa</w:t>
      </w:r>
      <w:proofErr w:type="spellEnd"/>
      <w:r>
        <w:rPr>
          <w:rStyle w:val="ffline"/>
        </w:rPr>
        <w:t xml:space="preserve"> </w:t>
      </w:r>
      <w:proofErr w:type="spellStart"/>
      <w:r>
        <w:rPr>
          <w:rStyle w:val="ffline"/>
        </w:rPr>
        <w:t>tgcaataacc</w:t>
      </w:r>
      <w:proofErr w:type="spellEnd"/>
      <w:r>
        <w:rPr>
          <w:rStyle w:val="ffline"/>
        </w:rPr>
        <w:t xml:space="preserve"> </w:t>
      </w:r>
      <w:proofErr w:type="spellStart"/>
      <w:r>
        <w:rPr>
          <w:rStyle w:val="ffline"/>
        </w:rPr>
        <w:t>ataacccagt</w:t>
      </w:r>
      <w:proofErr w:type="spellEnd"/>
      <w:r>
        <w:rPr>
          <w:rStyle w:val="ffline"/>
        </w:rPr>
        <w:t xml:space="preserve"> </w:t>
      </w:r>
      <w:proofErr w:type="spellStart"/>
      <w:r>
        <w:rPr>
          <w:rStyle w:val="ffline"/>
        </w:rPr>
        <w:t>gtttcttaag</w:t>
      </w:r>
      <w:proofErr w:type="spellEnd"/>
    </w:p>
    <w:p w14:paraId="4E478012" w14:textId="71BE9C13" w:rsidR="004803B9" w:rsidRDefault="004803B9" w:rsidP="004803B9">
      <w:pPr>
        <w:pStyle w:val="HTMLPreformatted"/>
      </w:pPr>
      <w:proofErr w:type="spellStart"/>
      <w:r>
        <w:rPr>
          <w:rStyle w:val="ffline"/>
        </w:rPr>
        <w:t>atattgcatc</w:t>
      </w:r>
      <w:proofErr w:type="spellEnd"/>
      <w:r>
        <w:rPr>
          <w:rStyle w:val="ffline"/>
        </w:rPr>
        <w:t xml:space="preserve"> </w:t>
      </w:r>
      <w:proofErr w:type="spellStart"/>
      <w:r>
        <w:rPr>
          <w:rStyle w:val="ffline"/>
        </w:rPr>
        <w:t>tttgttaact</w:t>
      </w:r>
      <w:proofErr w:type="spellEnd"/>
      <w:r>
        <w:rPr>
          <w:rStyle w:val="ffline"/>
        </w:rPr>
        <w:t xml:space="preserve"> </w:t>
      </w:r>
      <w:proofErr w:type="spellStart"/>
      <w:r>
        <w:rPr>
          <w:rStyle w:val="ffline"/>
        </w:rPr>
        <w:t>tgggtgactc</w:t>
      </w:r>
      <w:proofErr w:type="spellEnd"/>
      <w:r>
        <w:rPr>
          <w:rStyle w:val="ffline"/>
        </w:rPr>
        <w:t xml:space="preserve"> </w:t>
      </w:r>
      <w:proofErr w:type="spellStart"/>
      <w:r>
        <w:rPr>
          <w:rStyle w:val="ffline"/>
        </w:rPr>
        <w:t>ggtcatggag</w:t>
      </w:r>
      <w:proofErr w:type="spellEnd"/>
      <w:r>
        <w:rPr>
          <w:rStyle w:val="ffline"/>
        </w:rPr>
        <w:t xml:space="preserve"> </w:t>
      </w:r>
      <w:proofErr w:type="spellStart"/>
      <w:r>
        <w:rPr>
          <w:rStyle w:val="ffline"/>
        </w:rPr>
        <w:t>tgatcttggg</w:t>
      </w:r>
      <w:proofErr w:type="spellEnd"/>
      <w:r>
        <w:rPr>
          <w:rStyle w:val="ffline"/>
        </w:rPr>
        <w:t xml:space="preserve"> </w:t>
      </w:r>
      <w:proofErr w:type="spellStart"/>
      <w:r>
        <w:rPr>
          <w:rStyle w:val="ffline"/>
        </w:rPr>
        <w:t>cttcgagagt</w:t>
      </w:r>
      <w:proofErr w:type="spellEnd"/>
    </w:p>
    <w:p w14:paraId="2809210F" w14:textId="38767705" w:rsidR="004803B9" w:rsidRDefault="004803B9" w:rsidP="004803B9">
      <w:pPr>
        <w:pStyle w:val="HTMLPreformatted"/>
        <w:rPr>
          <w:rStyle w:val="ffline"/>
        </w:rPr>
      </w:pPr>
      <w:proofErr w:type="spellStart"/>
      <w:r>
        <w:rPr>
          <w:rStyle w:val="ffline"/>
        </w:rPr>
        <w:t>actcat</w:t>
      </w:r>
      <w:proofErr w:type="spellEnd"/>
    </w:p>
    <w:p w14:paraId="03F770E7" w14:textId="77777777" w:rsidR="004803B9" w:rsidRDefault="004803B9" w:rsidP="004803B9">
      <w:pPr>
        <w:pStyle w:val="HTMLPreformatted"/>
        <w:rPr>
          <w:rStyle w:val="ffline"/>
        </w:rPr>
      </w:pPr>
    </w:p>
    <w:p w14:paraId="71611747" w14:textId="0B9F5B39" w:rsidR="004803B9" w:rsidRDefault="004803B9" w:rsidP="004803B9">
      <w:r>
        <w:rPr>
          <w:rStyle w:val="ffline"/>
        </w:rPr>
        <w:t>&gt;</w:t>
      </w:r>
      <w:r>
        <w:t>A1S_1799 (</w:t>
      </w:r>
      <w:proofErr w:type="spellStart"/>
      <w:r w:rsidRPr="004803B9">
        <w:rPr>
          <w:i/>
          <w:iCs/>
        </w:rPr>
        <w:t>amfC</w:t>
      </w:r>
      <w:proofErr w:type="spellEnd"/>
      <w:r>
        <w:t>)</w:t>
      </w:r>
      <w:r w:rsidR="00533253">
        <w:t xml:space="preserve"> GenBank: CP000521.1</w:t>
      </w:r>
    </w:p>
    <w:p w14:paraId="5110DCF7" w14:textId="18D8E27C" w:rsidR="004803B9" w:rsidRDefault="004803B9" w:rsidP="004803B9">
      <w:pPr>
        <w:pStyle w:val="HTMLPreformatted"/>
      </w:pPr>
      <w:proofErr w:type="spellStart"/>
      <w:r>
        <w:rPr>
          <w:rStyle w:val="ffline"/>
        </w:rPr>
        <w:t>atgaatatac</w:t>
      </w:r>
      <w:proofErr w:type="spellEnd"/>
      <w:r>
        <w:rPr>
          <w:rStyle w:val="ffline"/>
        </w:rPr>
        <w:t xml:space="preserve"> </w:t>
      </w:r>
      <w:proofErr w:type="spellStart"/>
      <w:r>
        <w:rPr>
          <w:rStyle w:val="ffline"/>
        </w:rPr>
        <w:t>gaccactcat</w:t>
      </w:r>
      <w:proofErr w:type="spellEnd"/>
      <w:r>
        <w:rPr>
          <w:rStyle w:val="ffline"/>
        </w:rPr>
        <w:t xml:space="preserve"> </w:t>
      </w:r>
      <w:proofErr w:type="spellStart"/>
      <w:r>
        <w:rPr>
          <w:rStyle w:val="ffline"/>
        </w:rPr>
        <w:t>cggtttggca</w:t>
      </w:r>
      <w:proofErr w:type="spellEnd"/>
      <w:r>
        <w:rPr>
          <w:rStyle w:val="ffline"/>
        </w:rPr>
        <w:t xml:space="preserve"> </w:t>
      </w:r>
      <w:proofErr w:type="spellStart"/>
      <w:r>
        <w:rPr>
          <w:rStyle w:val="ffline"/>
        </w:rPr>
        <w:t>ggtgcaattt</w:t>
      </w:r>
      <w:proofErr w:type="spellEnd"/>
      <w:r>
        <w:rPr>
          <w:rStyle w:val="ffline"/>
        </w:rPr>
        <w:t xml:space="preserve"> </w:t>
      </w:r>
      <w:proofErr w:type="spellStart"/>
      <w:r>
        <w:rPr>
          <w:rStyle w:val="ffline"/>
        </w:rPr>
        <w:t>ttgcagccat</w:t>
      </w:r>
      <w:proofErr w:type="spellEnd"/>
      <w:r>
        <w:rPr>
          <w:rStyle w:val="ffline"/>
        </w:rPr>
        <w:t xml:space="preserve"> </w:t>
      </w:r>
      <w:proofErr w:type="spellStart"/>
      <w:r>
        <w:rPr>
          <w:rStyle w:val="ffline"/>
        </w:rPr>
        <w:t>gactgtcgaa</w:t>
      </w:r>
      <w:proofErr w:type="spellEnd"/>
    </w:p>
    <w:p w14:paraId="0EF9D75C" w14:textId="53755FF9" w:rsidR="004803B9" w:rsidRDefault="004803B9" w:rsidP="004803B9">
      <w:pPr>
        <w:pStyle w:val="HTMLPreformatted"/>
      </w:pPr>
      <w:proofErr w:type="spellStart"/>
      <w:r>
        <w:rPr>
          <w:rStyle w:val="ffline"/>
        </w:rPr>
        <w:t>tttaataacc</w:t>
      </w:r>
      <w:proofErr w:type="spellEnd"/>
      <w:r>
        <w:rPr>
          <w:rStyle w:val="ffline"/>
        </w:rPr>
        <w:t xml:space="preserve"> </w:t>
      </w:r>
      <w:proofErr w:type="spellStart"/>
      <w:r>
        <w:rPr>
          <w:rStyle w:val="ffline"/>
        </w:rPr>
        <w:t>gaattagcag</w:t>
      </w:r>
      <w:proofErr w:type="spellEnd"/>
      <w:r>
        <w:rPr>
          <w:rStyle w:val="ffline"/>
        </w:rPr>
        <w:t xml:space="preserve"> </w:t>
      </w:r>
      <w:proofErr w:type="spellStart"/>
      <w:r>
        <w:rPr>
          <w:rStyle w:val="ffline"/>
        </w:rPr>
        <w:t>cattaccttg</w:t>
      </w:r>
      <w:proofErr w:type="spellEnd"/>
      <w:r>
        <w:rPr>
          <w:rStyle w:val="ffline"/>
        </w:rPr>
        <w:t xml:space="preserve"> </w:t>
      </w:r>
      <w:proofErr w:type="spellStart"/>
      <w:r>
        <w:rPr>
          <w:rStyle w:val="ffline"/>
        </w:rPr>
        <w:t>gtcgatattc</w:t>
      </w:r>
      <w:proofErr w:type="spellEnd"/>
      <w:r>
        <w:rPr>
          <w:rStyle w:val="ffline"/>
        </w:rPr>
        <w:t xml:space="preserve"> </w:t>
      </w:r>
      <w:proofErr w:type="spellStart"/>
      <w:r>
        <w:rPr>
          <w:rStyle w:val="ffline"/>
        </w:rPr>
        <w:t>gcggtgagat</w:t>
      </w:r>
      <w:proofErr w:type="spellEnd"/>
      <w:r>
        <w:rPr>
          <w:rStyle w:val="ffline"/>
        </w:rPr>
        <w:t xml:space="preserve"> </w:t>
      </w:r>
      <w:proofErr w:type="spellStart"/>
      <w:r>
        <w:rPr>
          <w:rStyle w:val="ffline"/>
        </w:rPr>
        <w:t>gggtattagt</w:t>
      </w:r>
      <w:proofErr w:type="spellEnd"/>
    </w:p>
    <w:p w14:paraId="21C79FEB" w14:textId="58EFC4BF" w:rsidR="004803B9" w:rsidRDefault="004803B9" w:rsidP="004803B9">
      <w:pPr>
        <w:pStyle w:val="HTMLPreformatted"/>
      </w:pPr>
      <w:proofErr w:type="spellStart"/>
      <w:r>
        <w:rPr>
          <w:rStyle w:val="ffline"/>
        </w:rPr>
        <w:t>gtcgactctg</w:t>
      </w:r>
      <w:proofErr w:type="spellEnd"/>
      <w:r>
        <w:rPr>
          <w:rStyle w:val="ffline"/>
        </w:rPr>
        <w:t xml:space="preserve"> </w:t>
      </w:r>
      <w:proofErr w:type="spellStart"/>
      <w:r>
        <w:rPr>
          <w:rStyle w:val="ffline"/>
        </w:rPr>
        <w:t>gttattgggt</w:t>
      </w:r>
      <w:proofErr w:type="spellEnd"/>
      <w:r>
        <w:rPr>
          <w:rStyle w:val="ffline"/>
        </w:rPr>
        <w:t xml:space="preserve"> </w:t>
      </w:r>
      <w:proofErr w:type="spellStart"/>
      <w:r>
        <w:rPr>
          <w:rStyle w:val="ffline"/>
        </w:rPr>
        <w:t>cagcagtatt</w:t>
      </w:r>
      <w:proofErr w:type="spellEnd"/>
      <w:r>
        <w:rPr>
          <w:rStyle w:val="ffline"/>
        </w:rPr>
        <w:t xml:space="preserve"> </w:t>
      </w:r>
      <w:proofErr w:type="spellStart"/>
      <w:r>
        <w:rPr>
          <w:rStyle w:val="ffline"/>
        </w:rPr>
        <w:t>tatgccagtg</w:t>
      </w:r>
      <w:proofErr w:type="spellEnd"/>
      <w:r>
        <w:rPr>
          <w:rStyle w:val="ffline"/>
        </w:rPr>
        <w:t xml:space="preserve"> </w:t>
      </w:r>
      <w:proofErr w:type="spellStart"/>
      <w:r>
        <w:rPr>
          <w:rStyle w:val="ffline"/>
        </w:rPr>
        <w:t>ccatgattat</w:t>
      </w:r>
      <w:proofErr w:type="spellEnd"/>
      <w:r>
        <w:rPr>
          <w:rStyle w:val="ffline"/>
        </w:rPr>
        <w:t xml:space="preserve"> </w:t>
      </w:r>
      <w:proofErr w:type="spellStart"/>
      <w:r>
        <w:rPr>
          <w:rStyle w:val="ffline"/>
        </w:rPr>
        <w:t>tgggatgatc</w:t>
      </w:r>
      <w:proofErr w:type="spellEnd"/>
    </w:p>
    <w:p w14:paraId="024EB665" w14:textId="015BC5CE" w:rsidR="004803B9" w:rsidRDefault="004803B9" w:rsidP="004803B9">
      <w:pPr>
        <w:pStyle w:val="HTMLPreformatted"/>
      </w:pPr>
      <w:proofErr w:type="spellStart"/>
      <w:r>
        <w:rPr>
          <w:rStyle w:val="ffline"/>
        </w:rPr>
        <w:t>ctgtccacca</w:t>
      </w:r>
      <w:proofErr w:type="spellEnd"/>
      <w:r>
        <w:rPr>
          <w:rStyle w:val="ffline"/>
        </w:rPr>
        <w:t xml:space="preserve"> </w:t>
      </w:r>
      <w:proofErr w:type="spellStart"/>
      <w:r>
        <w:rPr>
          <w:rStyle w:val="ffline"/>
        </w:rPr>
        <w:t>gttgggcggt</w:t>
      </w:r>
      <w:proofErr w:type="spellEnd"/>
      <w:r>
        <w:rPr>
          <w:rStyle w:val="ffline"/>
        </w:rPr>
        <w:t xml:space="preserve"> </w:t>
      </w:r>
      <w:proofErr w:type="spellStart"/>
      <w:r>
        <w:rPr>
          <w:rStyle w:val="ffline"/>
        </w:rPr>
        <w:t>tattttttct</w:t>
      </w:r>
      <w:proofErr w:type="spellEnd"/>
      <w:r>
        <w:rPr>
          <w:rStyle w:val="ffline"/>
        </w:rPr>
        <w:t xml:space="preserve"> </w:t>
      </w:r>
      <w:proofErr w:type="spellStart"/>
      <w:r>
        <w:rPr>
          <w:rStyle w:val="ffline"/>
        </w:rPr>
        <w:t>atgcgtcggg</w:t>
      </w:r>
      <w:proofErr w:type="spellEnd"/>
      <w:r>
        <w:rPr>
          <w:rStyle w:val="ffline"/>
        </w:rPr>
        <w:t xml:space="preserve"> </w:t>
      </w:r>
      <w:proofErr w:type="spellStart"/>
      <w:r>
        <w:rPr>
          <w:rStyle w:val="ffline"/>
        </w:rPr>
        <w:t>ttcttctttt</w:t>
      </w:r>
      <w:proofErr w:type="spellEnd"/>
      <w:r>
        <w:rPr>
          <w:rStyle w:val="ffline"/>
        </w:rPr>
        <w:t xml:space="preserve"> </w:t>
      </w:r>
      <w:proofErr w:type="spellStart"/>
      <w:r>
        <w:rPr>
          <w:rStyle w:val="ffline"/>
        </w:rPr>
        <w:t>tgcgatagga</w:t>
      </w:r>
      <w:proofErr w:type="spellEnd"/>
    </w:p>
    <w:p w14:paraId="20B7E0C3" w14:textId="38C03153" w:rsidR="004803B9" w:rsidRDefault="004803B9" w:rsidP="004803B9">
      <w:pPr>
        <w:pStyle w:val="HTMLPreformatted"/>
      </w:pPr>
      <w:proofErr w:type="spellStart"/>
      <w:r>
        <w:rPr>
          <w:rStyle w:val="ffline"/>
        </w:rPr>
        <w:t>ctttgcctct</w:t>
      </w:r>
      <w:proofErr w:type="spellEnd"/>
      <w:r>
        <w:rPr>
          <w:rStyle w:val="ffline"/>
        </w:rPr>
        <w:t xml:space="preserve"> </w:t>
      </w:r>
      <w:proofErr w:type="spellStart"/>
      <w:r>
        <w:rPr>
          <w:rStyle w:val="ffline"/>
        </w:rPr>
        <w:t>tctctagcgt</w:t>
      </w:r>
      <w:proofErr w:type="spellEnd"/>
      <w:r>
        <w:rPr>
          <w:rStyle w:val="ffline"/>
        </w:rPr>
        <w:t xml:space="preserve"> </w:t>
      </w:r>
      <w:proofErr w:type="spellStart"/>
      <w:r>
        <w:rPr>
          <w:rStyle w:val="ffline"/>
        </w:rPr>
        <w:t>tttaattcct</w:t>
      </w:r>
      <w:proofErr w:type="spellEnd"/>
      <w:r>
        <w:rPr>
          <w:rStyle w:val="ffline"/>
        </w:rPr>
        <w:t xml:space="preserve"> </w:t>
      </w:r>
      <w:proofErr w:type="spellStart"/>
      <w:r>
        <w:rPr>
          <w:rStyle w:val="ffline"/>
        </w:rPr>
        <w:t>tttagcccaa</w:t>
      </w:r>
      <w:proofErr w:type="spellEnd"/>
      <w:r>
        <w:rPr>
          <w:rStyle w:val="ffline"/>
        </w:rPr>
        <w:t xml:space="preserve"> </w:t>
      </w:r>
      <w:proofErr w:type="spellStart"/>
      <w:r>
        <w:rPr>
          <w:rStyle w:val="ffline"/>
        </w:rPr>
        <w:t>atatcgaaat</w:t>
      </w:r>
      <w:proofErr w:type="spellEnd"/>
      <w:r>
        <w:rPr>
          <w:rStyle w:val="ffline"/>
        </w:rPr>
        <w:t xml:space="preserve"> </w:t>
      </w:r>
      <w:proofErr w:type="spellStart"/>
      <w:r>
        <w:rPr>
          <w:rStyle w:val="ffline"/>
        </w:rPr>
        <w:t>attttattta</w:t>
      </w:r>
      <w:proofErr w:type="spellEnd"/>
    </w:p>
    <w:p w14:paraId="493668CA" w14:textId="40310D8D" w:rsidR="004803B9" w:rsidRDefault="004803B9" w:rsidP="004803B9">
      <w:pPr>
        <w:pStyle w:val="HTMLPreformatted"/>
      </w:pPr>
      <w:proofErr w:type="spellStart"/>
      <w:r>
        <w:rPr>
          <w:rStyle w:val="ffline"/>
        </w:rPr>
        <w:t>ttacggggct</w:t>
      </w:r>
      <w:proofErr w:type="spellEnd"/>
      <w:r>
        <w:rPr>
          <w:rStyle w:val="ffline"/>
        </w:rPr>
        <w:t xml:space="preserve"> </w:t>
      </w:r>
      <w:proofErr w:type="spellStart"/>
      <w:r>
        <w:rPr>
          <w:rStyle w:val="ffline"/>
        </w:rPr>
        <w:t>tacaaggact</w:t>
      </w:r>
      <w:proofErr w:type="spellEnd"/>
      <w:r>
        <w:rPr>
          <w:rStyle w:val="ffline"/>
        </w:rPr>
        <w:t xml:space="preserve"> </w:t>
      </w:r>
      <w:proofErr w:type="spellStart"/>
      <w:r>
        <w:rPr>
          <w:rStyle w:val="ffline"/>
        </w:rPr>
        <w:t>cgccaatggt</w:t>
      </w:r>
      <w:proofErr w:type="spellEnd"/>
      <w:r>
        <w:rPr>
          <w:rStyle w:val="ffline"/>
        </w:rPr>
        <w:t xml:space="preserve"> </w:t>
      </w:r>
      <w:proofErr w:type="spellStart"/>
      <w:r>
        <w:rPr>
          <w:rStyle w:val="ffline"/>
        </w:rPr>
        <w:t>ttaactattc</w:t>
      </w:r>
      <w:proofErr w:type="spellEnd"/>
      <w:r>
        <w:rPr>
          <w:rStyle w:val="ffline"/>
        </w:rPr>
        <w:t xml:space="preserve"> </w:t>
      </w:r>
      <w:proofErr w:type="spellStart"/>
      <w:r>
        <w:rPr>
          <w:rStyle w:val="ffline"/>
        </w:rPr>
        <w:t>ctttattaat</w:t>
      </w:r>
      <w:proofErr w:type="spellEnd"/>
      <w:r>
        <w:rPr>
          <w:rStyle w:val="ffline"/>
        </w:rPr>
        <w:t xml:space="preserve"> </w:t>
      </w:r>
      <w:proofErr w:type="spellStart"/>
      <w:r>
        <w:rPr>
          <w:rStyle w:val="ffline"/>
        </w:rPr>
        <w:t>ggcatgtgca</w:t>
      </w:r>
      <w:proofErr w:type="spellEnd"/>
    </w:p>
    <w:p w14:paraId="475EF6F5" w14:textId="34E1BBB5" w:rsidR="004803B9" w:rsidRDefault="004803B9" w:rsidP="004803B9">
      <w:pPr>
        <w:pStyle w:val="HTMLPreformatted"/>
      </w:pPr>
      <w:proofErr w:type="spellStart"/>
      <w:r>
        <w:rPr>
          <w:rStyle w:val="ffline"/>
        </w:rPr>
        <w:t>cttagattcc</w:t>
      </w:r>
      <w:proofErr w:type="spellEnd"/>
      <w:r>
        <w:rPr>
          <w:rStyle w:val="ffline"/>
        </w:rPr>
        <w:t xml:space="preserve"> </w:t>
      </w:r>
      <w:proofErr w:type="spellStart"/>
      <w:r>
        <w:rPr>
          <w:rStyle w:val="ffline"/>
        </w:rPr>
        <w:t>taggacctga</w:t>
      </w:r>
      <w:proofErr w:type="spellEnd"/>
      <w:r>
        <w:rPr>
          <w:rStyle w:val="ffline"/>
        </w:rPr>
        <w:t xml:space="preserve"> </w:t>
      </w:r>
      <w:proofErr w:type="spellStart"/>
      <w:r>
        <w:rPr>
          <w:rStyle w:val="ffline"/>
        </w:rPr>
        <w:t>aattcgtcta</w:t>
      </w:r>
      <w:proofErr w:type="spellEnd"/>
      <w:r>
        <w:rPr>
          <w:rStyle w:val="ffline"/>
        </w:rPr>
        <w:t xml:space="preserve"> </w:t>
      </w:r>
      <w:proofErr w:type="spellStart"/>
      <w:r>
        <w:rPr>
          <w:rStyle w:val="ffline"/>
        </w:rPr>
        <w:t>tggggcttgg</w:t>
      </w:r>
      <w:proofErr w:type="spellEnd"/>
      <w:r>
        <w:rPr>
          <w:rStyle w:val="ffline"/>
        </w:rPr>
        <w:t xml:space="preserve"> </w:t>
      </w:r>
      <w:proofErr w:type="spellStart"/>
      <w:r>
        <w:rPr>
          <w:rStyle w:val="ffline"/>
        </w:rPr>
        <w:t>cctgctatgc</w:t>
      </w:r>
      <w:proofErr w:type="spellEnd"/>
      <w:r>
        <w:rPr>
          <w:rStyle w:val="ffline"/>
        </w:rPr>
        <w:t xml:space="preserve"> </w:t>
      </w:r>
      <w:proofErr w:type="spellStart"/>
      <w:r>
        <w:rPr>
          <w:rStyle w:val="ffline"/>
        </w:rPr>
        <w:t>attgacagca</w:t>
      </w:r>
      <w:proofErr w:type="spellEnd"/>
    </w:p>
    <w:p w14:paraId="2134EC39" w14:textId="52EACE4B" w:rsidR="004803B9" w:rsidRDefault="004803B9" w:rsidP="004803B9">
      <w:pPr>
        <w:pStyle w:val="HTMLPreformatted"/>
      </w:pPr>
      <w:proofErr w:type="spellStart"/>
      <w:r>
        <w:rPr>
          <w:rStyle w:val="ffline"/>
        </w:rPr>
        <w:lastRenderedPageBreak/>
        <w:t>acttttttcc</w:t>
      </w:r>
      <w:proofErr w:type="spellEnd"/>
      <w:r>
        <w:rPr>
          <w:rStyle w:val="ffline"/>
        </w:rPr>
        <w:t xml:space="preserve"> </w:t>
      </w:r>
      <w:proofErr w:type="spellStart"/>
      <w:r>
        <w:rPr>
          <w:rStyle w:val="ffline"/>
        </w:rPr>
        <w:t>caaacttaag</w:t>
      </w:r>
      <w:proofErr w:type="spellEnd"/>
      <w:r>
        <w:rPr>
          <w:rStyle w:val="ffline"/>
        </w:rPr>
        <w:t xml:space="preserve"> </w:t>
      </w:r>
      <w:proofErr w:type="spellStart"/>
      <w:r>
        <w:rPr>
          <w:rStyle w:val="ffline"/>
        </w:rPr>
        <w:t>cgctgcgctt</w:t>
      </w:r>
      <w:proofErr w:type="spellEnd"/>
      <w:r>
        <w:rPr>
          <w:rStyle w:val="ffline"/>
        </w:rPr>
        <w:t xml:space="preserve"> </w:t>
      </w:r>
      <w:proofErr w:type="spellStart"/>
      <w:r>
        <w:rPr>
          <w:rStyle w:val="ffline"/>
        </w:rPr>
        <w:t>gctgcctttt</w:t>
      </w:r>
      <w:proofErr w:type="spellEnd"/>
      <w:r>
        <w:rPr>
          <w:rStyle w:val="ffline"/>
        </w:rPr>
        <w:t xml:space="preserve"> </w:t>
      </w:r>
      <w:proofErr w:type="spellStart"/>
      <w:r>
        <w:rPr>
          <w:rStyle w:val="ffline"/>
        </w:rPr>
        <w:t>atttagatgt</w:t>
      </w:r>
      <w:proofErr w:type="spellEnd"/>
      <w:r>
        <w:rPr>
          <w:rStyle w:val="ffline"/>
        </w:rPr>
        <w:t xml:space="preserve"> </w:t>
      </w:r>
      <w:proofErr w:type="spellStart"/>
      <w:r>
        <w:rPr>
          <w:rStyle w:val="ffline"/>
        </w:rPr>
        <w:t>gattggttgg</w:t>
      </w:r>
      <w:proofErr w:type="spellEnd"/>
    </w:p>
    <w:p w14:paraId="06570AAC" w14:textId="14F8EE49" w:rsidR="004803B9" w:rsidRDefault="004803B9" w:rsidP="004803B9">
      <w:pPr>
        <w:pStyle w:val="HTMLPreformatted"/>
      </w:pPr>
      <w:proofErr w:type="spellStart"/>
      <w:r>
        <w:rPr>
          <w:rStyle w:val="ffline"/>
        </w:rPr>
        <w:t>aagatgatat</w:t>
      </w:r>
      <w:proofErr w:type="spellEnd"/>
      <w:r>
        <w:rPr>
          <w:rStyle w:val="ffline"/>
        </w:rPr>
        <w:t xml:space="preserve"> </w:t>
      </w:r>
      <w:proofErr w:type="spellStart"/>
      <w:r>
        <w:rPr>
          <w:rStyle w:val="ffline"/>
        </w:rPr>
        <w:t>ttttccaaac</w:t>
      </w:r>
      <w:proofErr w:type="spellEnd"/>
      <w:r>
        <w:rPr>
          <w:rStyle w:val="ffline"/>
        </w:rPr>
        <w:t xml:space="preserve"> </w:t>
      </w:r>
      <w:proofErr w:type="spellStart"/>
      <w:r>
        <w:rPr>
          <w:rStyle w:val="ffline"/>
        </w:rPr>
        <w:t>cattcctttt</w:t>
      </w:r>
      <w:proofErr w:type="spellEnd"/>
      <w:r>
        <w:rPr>
          <w:rStyle w:val="ffline"/>
        </w:rPr>
        <w:t xml:space="preserve"> </w:t>
      </w:r>
      <w:proofErr w:type="spellStart"/>
      <w:r>
        <w:rPr>
          <w:rStyle w:val="ffline"/>
        </w:rPr>
        <w:t>tgtgctttaa</w:t>
      </w:r>
      <w:proofErr w:type="spellEnd"/>
      <w:r>
        <w:rPr>
          <w:rStyle w:val="ffline"/>
        </w:rPr>
        <w:t xml:space="preserve"> </w:t>
      </w:r>
      <w:proofErr w:type="spellStart"/>
      <w:r>
        <w:rPr>
          <w:rStyle w:val="ffline"/>
        </w:rPr>
        <w:t>gtgctgcgtt</w:t>
      </w:r>
      <w:proofErr w:type="spellEnd"/>
      <w:r>
        <w:rPr>
          <w:rStyle w:val="ffline"/>
        </w:rPr>
        <w:t xml:space="preserve"> </w:t>
      </w:r>
      <w:proofErr w:type="spellStart"/>
      <w:r>
        <w:rPr>
          <w:rStyle w:val="ffline"/>
        </w:rPr>
        <w:t>agtttacttc</w:t>
      </w:r>
      <w:proofErr w:type="spellEnd"/>
    </w:p>
    <w:p w14:paraId="5441124B" w14:textId="2CDA3499" w:rsidR="004803B9" w:rsidRDefault="004803B9" w:rsidP="004803B9">
      <w:pPr>
        <w:pStyle w:val="HTMLPreformatted"/>
      </w:pPr>
      <w:proofErr w:type="spellStart"/>
      <w:r>
        <w:rPr>
          <w:rStyle w:val="ffline"/>
        </w:rPr>
        <w:t>ggtattccgc</w:t>
      </w:r>
      <w:proofErr w:type="spellEnd"/>
      <w:r>
        <w:rPr>
          <w:rStyle w:val="ffline"/>
        </w:rPr>
        <w:t xml:space="preserve"> </w:t>
      </w:r>
      <w:proofErr w:type="spellStart"/>
      <w:r>
        <w:rPr>
          <w:rStyle w:val="ffline"/>
        </w:rPr>
        <w:t>aagatccgtt</w:t>
      </w:r>
      <w:proofErr w:type="spellEnd"/>
      <w:r>
        <w:rPr>
          <w:rStyle w:val="ffline"/>
        </w:rPr>
        <w:t xml:space="preserve"> </w:t>
      </w:r>
      <w:proofErr w:type="spellStart"/>
      <w:r>
        <w:rPr>
          <w:rStyle w:val="ffline"/>
        </w:rPr>
        <w:t>aaattactca</w:t>
      </w:r>
      <w:proofErr w:type="spellEnd"/>
      <w:r>
        <w:rPr>
          <w:rStyle w:val="ffline"/>
        </w:rPr>
        <w:t xml:space="preserve"> </w:t>
      </w:r>
      <w:proofErr w:type="spellStart"/>
      <w:r>
        <w:rPr>
          <w:rStyle w:val="ffline"/>
        </w:rPr>
        <w:t>agaataaaaa</w:t>
      </w:r>
      <w:proofErr w:type="spellEnd"/>
      <w:r>
        <w:rPr>
          <w:rStyle w:val="ffline"/>
        </w:rPr>
        <w:t xml:space="preserve"> </w:t>
      </w:r>
      <w:proofErr w:type="spellStart"/>
      <w:r>
        <w:rPr>
          <w:rStyle w:val="ffline"/>
        </w:rPr>
        <w:t>cttacgattg</w:t>
      </w:r>
      <w:proofErr w:type="spellEnd"/>
      <w:r>
        <w:rPr>
          <w:rStyle w:val="ffline"/>
        </w:rPr>
        <w:t xml:space="preserve"> </w:t>
      </w:r>
      <w:proofErr w:type="spellStart"/>
      <w:r>
        <w:rPr>
          <w:rStyle w:val="ffline"/>
        </w:rPr>
        <w:t>gactggcgcg</w:t>
      </w:r>
      <w:proofErr w:type="spellEnd"/>
    </w:p>
    <w:p w14:paraId="5F67AEB8" w14:textId="4A208F66" w:rsidR="004803B9" w:rsidRDefault="004803B9" w:rsidP="004803B9">
      <w:pPr>
        <w:pStyle w:val="HTMLPreformatted"/>
      </w:pPr>
      <w:proofErr w:type="spellStart"/>
      <w:r>
        <w:rPr>
          <w:rStyle w:val="ffline"/>
        </w:rPr>
        <w:t>attctagcca</w:t>
      </w:r>
      <w:proofErr w:type="spellEnd"/>
      <w:r>
        <w:rPr>
          <w:rStyle w:val="ffline"/>
        </w:rPr>
        <w:t xml:space="preserve"> </w:t>
      </w:r>
      <w:proofErr w:type="spellStart"/>
      <w:r>
        <w:rPr>
          <w:rStyle w:val="ffline"/>
        </w:rPr>
        <w:t>ttattggttt</w:t>
      </w:r>
      <w:proofErr w:type="spellEnd"/>
      <w:r>
        <w:rPr>
          <w:rStyle w:val="ffline"/>
        </w:rPr>
        <w:t xml:space="preserve"> </w:t>
      </w:r>
      <w:proofErr w:type="spellStart"/>
      <w:r>
        <w:rPr>
          <w:rStyle w:val="ffline"/>
        </w:rPr>
        <w:t>ggcaagcctt</w:t>
      </w:r>
      <w:proofErr w:type="spellEnd"/>
      <w:r>
        <w:rPr>
          <w:rStyle w:val="ffline"/>
        </w:rPr>
        <w:t xml:space="preserve"> </w:t>
      </w:r>
      <w:proofErr w:type="spellStart"/>
      <w:r>
        <w:rPr>
          <w:rStyle w:val="ffline"/>
        </w:rPr>
        <w:t>agtaccatgc</w:t>
      </w:r>
      <w:proofErr w:type="spellEnd"/>
      <w:r>
        <w:rPr>
          <w:rStyle w:val="ffline"/>
        </w:rPr>
        <w:t xml:space="preserve"> </w:t>
      </w:r>
      <w:proofErr w:type="spellStart"/>
      <w:r>
        <w:rPr>
          <w:rStyle w:val="ffline"/>
        </w:rPr>
        <w:t>ttttgcatgg</w:t>
      </w:r>
      <w:proofErr w:type="spellEnd"/>
      <w:r>
        <w:rPr>
          <w:rStyle w:val="ffline"/>
        </w:rPr>
        <w:t xml:space="preserve"> </w:t>
      </w:r>
      <w:proofErr w:type="spellStart"/>
      <w:r>
        <w:rPr>
          <w:rStyle w:val="ffline"/>
        </w:rPr>
        <w:t>caatcatttg</w:t>
      </w:r>
      <w:proofErr w:type="spellEnd"/>
    </w:p>
    <w:p w14:paraId="27A6C321" w14:textId="5E2A1046" w:rsidR="004803B9" w:rsidRDefault="004803B9" w:rsidP="004803B9">
      <w:pPr>
        <w:pStyle w:val="HTMLPreformatted"/>
      </w:pPr>
      <w:proofErr w:type="spellStart"/>
      <w:r>
        <w:rPr>
          <w:rStyle w:val="ffline"/>
        </w:rPr>
        <w:t>gactggttcc</w:t>
      </w:r>
      <w:proofErr w:type="spellEnd"/>
      <w:r>
        <w:rPr>
          <w:rStyle w:val="ffline"/>
        </w:rPr>
        <w:t xml:space="preserve"> </w:t>
      </w:r>
      <w:proofErr w:type="spellStart"/>
      <w:r>
        <w:rPr>
          <w:rStyle w:val="ffline"/>
        </w:rPr>
        <w:t>attcaaaatt</w:t>
      </w:r>
      <w:proofErr w:type="spellEnd"/>
      <w:r>
        <w:rPr>
          <w:rStyle w:val="ffline"/>
        </w:rPr>
        <w:t xml:space="preserve"> </w:t>
      </w:r>
      <w:proofErr w:type="spellStart"/>
      <w:r>
        <w:rPr>
          <w:rStyle w:val="ffline"/>
        </w:rPr>
        <w:t>gatttgtgtt</w:t>
      </w:r>
      <w:proofErr w:type="spellEnd"/>
      <w:r>
        <w:rPr>
          <w:rStyle w:val="ffline"/>
        </w:rPr>
        <w:t xml:space="preserve"> </w:t>
      </w:r>
      <w:proofErr w:type="spellStart"/>
      <w:r>
        <w:rPr>
          <w:rStyle w:val="ffline"/>
        </w:rPr>
        <w:t>ttggctttaa</w:t>
      </w:r>
      <w:proofErr w:type="spellEnd"/>
      <w:r>
        <w:rPr>
          <w:rStyle w:val="ffline"/>
        </w:rPr>
        <w:t xml:space="preserve"> </w:t>
      </w:r>
      <w:proofErr w:type="spellStart"/>
      <w:r>
        <w:rPr>
          <w:rStyle w:val="ffline"/>
        </w:rPr>
        <w:t>taagtgccat</w:t>
      </w:r>
      <w:proofErr w:type="spellEnd"/>
      <w:r>
        <w:rPr>
          <w:rStyle w:val="ffline"/>
        </w:rPr>
        <w:t xml:space="preserve"> </w:t>
      </w:r>
      <w:proofErr w:type="spellStart"/>
      <w:r>
        <w:rPr>
          <w:rStyle w:val="ffline"/>
        </w:rPr>
        <w:t>taccctacct</w:t>
      </w:r>
      <w:proofErr w:type="spellEnd"/>
    </w:p>
    <w:p w14:paraId="43988D40" w14:textId="0EBF2D91" w:rsidR="004803B9" w:rsidRDefault="004803B9" w:rsidP="004803B9">
      <w:pPr>
        <w:pStyle w:val="HTMLPreformatted"/>
      </w:pPr>
      <w:proofErr w:type="spellStart"/>
      <w:r>
        <w:rPr>
          <w:rStyle w:val="ffline"/>
        </w:rPr>
        <w:t>ttatttttaa</w:t>
      </w:r>
      <w:proofErr w:type="spellEnd"/>
      <w:r>
        <w:rPr>
          <w:rStyle w:val="ffline"/>
        </w:rPr>
        <w:t xml:space="preserve"> </w:t>
      </w:r>
      <w:proofErr w:type="spellStart"/>
      <w:r>
        <w:rPr>
          <w:rStyle w:val="ffline"/>
        </w:rPr>
        <w:t>tacatgaatg</w:t>
      </w:r>
      <w:proofErr w:type="spellEnd"/>
      <w:r>
        <w:rPr>
          <w:rStyle w:val="ffline"/>
        </w:rPr>
        <w:t xml:space="preserve"> </w:t>
      </w:r>
      <w:proofErr w:type="spellStart"/>
      <w:r>
        <w:rPr>
          <w:rStyle w:val="ffline"/>
        </w:rPr>
        <w:t>gcgctatcca</w:t>
      </w:r>
      <w:proofErr w:type="spellEnd"/>
      <w:r>
        <w:rPr>
          <w:rStyle w:val="ffline"/>
        </w:rPr>
        <w:t xml:space="preserve"> </w:t>
      </w:r>
      <w:proofErr w:type="spellStart"/>
      <w:r>
        <w:rPr>
          <w:rStyle w:val="ffline"/>
        </w:rPr>
        <w:t>acaccattaa</w:t>
      </w:r>
      <w:proofErr w:type="spellEnd"/>
      <w:r>
        <w:rPr>
          <w:rStyle w:val="ffline"/>
        </w:rPr>
        <w:t xml:space="preserve"> </w:t>
      </w:r>
      <w:proofErr w:type="spellStart"/>
      <w:r>
        <w:rPr>
          <w:rStyle w:val="ffline"/>
        </w:rPr>
        <w:t>ttaaaccgca</w:t>
      </w:r>
      <w:proofErr w:type="spellEnd"/>
      <w:r>
        <w:rPr>
          <w:rStyle w:val="ffline"/>
        </w:rPr>
        <w:t xml:space="preserve"> </w:t>
      </w:r>
      <w:proofErr w:type="spellStart"/>
      <w:r>
        <w:rPr>
          <w:rStyle w:val="ffline"/>
        </w:rPr>
        <w:t>aatgctcgaa</w:t>
      </w:r>
      <w:proofErr w:type="spellEnd"/>
    </w:p>
    <w:p w14:paraId="4E6F95EF" w14:textId="5743C8E0" w:rsidR="004803B9" w:rsidRDefault="004803B9" w:rsidP="004803B9">
      <w:pPr>
        <w:pStyle w:val="HTMLPreformatted"/>
      </w:pPr>
      <w:proofErr w:type="spellStart"/>
      <w:r>
        <w:rPr>
          <w:rStyle w:val="ffline"/>
        </w:rPr>
        <w:t>atacgaaatt</w:t>
      </w:r>
      <w:proofErr w:type="spellEnd"/>
      <w:r>
        <w:rPr>
          <w:rStyle w:val="ffline"/>
        </w:rPr>
        <w:t xml:space="preserve"> </w:t>
      </w:r>
      <w:proofErr w:type="spellStart"/>
      <w:r>
        <w:rPr>
          <w:rStyle w:val="ffline"/>
        </w:rPr>
        <w:t>ttggttatgc</w:t>
      </w:r>
      <w:proofErr w:type="spellEnd"/>
      <w:r>
        <w:rPr>
          <w:rStyle w:val="ffline"/>
        </w:rPr>
        <w:t xml:space="preserve"> </w:t>
      </w:r>
      <w:proofErr w:type="spellStart"/>
      <w:r>
        <w:rPr>
          <w:rStyle w:val="ffline"/>
        </w:rPr>
        <w:t>tgttattgcg</w:t>
      </w:r>
      <w:proofErr w:type="spellEnd"/>
      <w:r>
        <w:rPr>
          <w:rStyle w:val="ffline"/>
        </w:rPr>
        <w:t xml:space="preserve"> </w:t>
      </w:r>
      <w:proofErr w:type="spellStart"/>
      <w:r>
        <w:rPr>
          <w:rStyle w:val="ffline"/>
        </w:rPr>
        <w:t>ttgttctgct</w:t>
      </w:r>
      <w:proofErr w:type="spellEnd"/>
      <w:r>
        <w:rPr>
          <w:rStyle w:val="ffline"/>
        </w:rPr>
        <w:t xml:space="preserve"> </w:t>
      </w:r>
      <w:proofErr w:type="spellStart"/>
      <w:r>
        <w:rPr>
          <w:rStyle w:val="ffline"/>
        </w:rPr>
        <w:t>ttgtggttat</w:t>
      </w:r>
      <w:proofErr w:type="spellEnd"/>
      <w:r>
        <w:rPr>
          <w:rStyle w:val="ffline"/>
        </w:rPr>
        <w:t xml:space="preserve"> </w:t>
      </w:r>
      <w:proofErr w:type="spellStart"/>
      <w:r>
        <w:rPr>
          <w:rStyle w:val="ffline"/>
        </w:rPr>
        <w:t>tggtatgtca</w:t>
      </w:r>
      <w:proofErr w:type="spellEnd"/>
    </w:p>
    <w:p w14:paraId="29D7C8D1" w14:textId="5E7E11DD" w:rsidR="004803B9" w:rsidRDefault="004803B9" w:rsidP="004803B9">
      <w:pPr>
        <w:pStyle w:val="HTMLPreformatted"/>
      </w:pPr>
      <w:proofErr w:type="spellStart"/>
      <w:r>
        <w:rPr>
          <w:rStyle w:val="ffline"/>
        </w:rPr>
        <w:t>accagtacat</w:t>
      </w:r>
      <w:proofErr w:type="spellEnd"/>
      <w:r>
        <w:rPr>
          <w:rStyle w:val="ffline"/>
        </w:rPr>
        <w:t xml:space="preserve"> </w:t>
      </w:r>
      <w:proofErr w:type="spellStart"/>
      <w:r>
        <w:rPr>
          <w:rStyle w:val="ffline"/>
        </w:rPr>
        <w:t>taccccttaa</w:t>
      </w:r>
      <w:proofErr w:type="spellEnd"/>
      <w:r>
        <w:rPr>
          <w:rStyle w:val="ffline"/>
        </w:rPr>
        <w:t xml:space="preserve"> </w:t>
      </w:r>
      <w:proofErr w:type="spellStart"/>
      <w:r>
        <w:rPr>
          <w:rStyle w:val="ffline"/>
        </w:rPr>
        <w:t>ttacttaagc</w:t>
      </w:r>
      <w:proofErr w:type="spellEnd"/>
      <w:r>
        <w:rPr>
          <w:rStyle w:val="ffline"/>
        </w:rPr>
        <w:t xml:space="preserve"> </w:t>
      </w:r>
      <w:proofErr w:type="spellStart"/>
      <w:r>
        <w:rPr>
          <w:rStyle w:val="ffline"/>
        </w:rPr>
        <w:t>gctgtgcatg</w:t>
      </w:r>
      <w:proofErr w:type="spellEnd"/>
      <w:r>
        <w:rPr>
          <w:rStyle w:val="ffline"/>
        </w:rPr>
        <w:t xml:space="preserve"> </w:t>
      </w:r>
      <w:proofErr w:type="spellStart"/>
      <w:r>
        <w:rPr>
          <w:rStyle w:val="ffline"/>
        </w:rPr>
        <w:t>gttataagcc</w:t>
      </w:r>
      <w:proofErr w:type="spellEnd"/>
      <w:r>
        <w:rPr>
          <w:rStyle w:val="ffline"/>
        </w:rPr>
        <w:t xml:space="preserve"> </w:t>
      </w:r>
      <w:proofErr w:type="spellStart"/>
      <w:r>
        <w:rPr>
          <w:rStyle w:val="ffline"/>
        </w:rPr>
        <w:t>tactcaaacc</w:t>
      </w:r>
      <w:proofErr w:type="spellEnd"/>
    </w:p>
    <w:p w14:paraId="563FCF58" w14:textId="258038FB" w:rsidR="004803B9" w:rsidRDefault="004803B9" w:rsidP="004803B9">
      <w:pPr>
        <w:pStyle w:val="HTMLPreformatted"/>
      </w:pPr>
      <w:proofErr w:type="spellStart"/>
      <w:r>
        <w:rPr>
          <w:rStyle w:val="ffline"/>
        </w:rPr>
        <w:t>atgtggattg</w:t>
      </w:r>
      <w:proofErr w:type="spellEnd"/>
      <w:r>
        <w:rPr>
          <w:rStyle w:val="ffline"/>
        </w:rPr>
        <w:t xml:space="preserve"> </w:t>
      </w:r>
      <w:proofErr w:type="spellStart"/>
      <w:r>
        <w:rPr>
          <w:rStyle w:val="ffline"/>
        </w:rPr>
        <w:t>gcttacaaat</w:t>
      </w:r>
      <w:proofErr w:type="spellEnd"/>
      <w:r>
        <w:rPr>
          <w:rStyle w:val="ffline"/>
        </w:rPr>
        <w:t xml:space="preserve"> </w:t>
      </w:r>
      <w:proofErr w:type="spellStart"/>
      <w:r>
        <w:rPr>
          <w:rStyle w:val="ffline"/>
        </w:rPr>
        <w:t>tgccgcatta</w:t>
      </w:r>
      <w:proofErr w:type="spellEnd"/>
      <w:r>
        <w:rPr>
          <w:rStyle w:val="ffline"/>
        </w:rPr>
        <w:t xml:space="preserve"> </w:t>
      </w:r>
      <w:proofErr w:type="spellStart"/>
      <w:r>
        <w:rPr>
          <w:rStyle w:val="ffline"/>
        </w:rPr>
        <w:t>caatttatct</w:t>
      </w:r>
      <w:proofErr w:type="spellEnd"/>
      <w:r>
        <w:rPr>
          <w:rStyle w:val="ffline"/>
        </w:rPr>
        <w:t xml:space="preserve"> </w:t>
      </w:r>
      <w:proofErr w:type="spellStart"/>
      <w:r>
        <w:rPr>
          <w:rStyle w:val="ffline"/>
        </w:rPr>
        <w:t>atatcccgat</w:t>
      </w:r>
      <w:proofErr w:type="spellEnd"/>
      <w:r>
        <w:rPr>
          <w:rStyle w:val="ffline"/>
        </w:rPr>
        <w:t xml:space="preserve"> </w:t>
      </w:r>
      <w:proofErr w:type="spellStart"/>
      <w:r>
        <w:rPr>
          <w:rStyle w:val="ffline"/>
        </w:rPr>
        <w:t>tgttattaaa</w:t>
      </w:r>
      <w:proofErr w:type="spellEnd"/>
    </w:p>
    <w:p w14:paraId="69023F81" w14:textId="4316CC07" w:rsidR="004803B9" w:rsidRDefault="004803B9" w:rsidP="004803B9">
      <w:pPr>
        <w:pStyle w:val="HTMLPreformatted"/>
      </w:pPr>
      <w:proofErr w:type="spellStart"/>
      <w:r>
        <w:rPr>
          <w:rStyle w:val="ffline"/>
        </w:rPr>
        <w:t>gttttgaacc</w:t>
      </w:r>
      <w:proofErr w:type="spellEnd"/>
      <w:r>
        <w:rPr>
          <w:rStyle w:val="ffline"/>
        </w:rPr>
        <w:t xml:space="preserve"> </w:t>
      </w:r>
      <w:proofErr w:type="spellStart"/>
      <w:r>
        <w:rPr>
          <w:rStyle w:val="ffline"/>
        </w:rPr>
        <w:t>aagcttgggt</w:t>
      </w:r>
      <w:proofErr w:type="spellEnd"/>
      <w:r>
        <w:rPr>
          <w:rStyle w:val="ffline"/>
        </w:rPr>
        <w:t xml:space="preserve"> </w:t>
      </w:r>
      <w:proofErr w:type="spellStart"/>
      <w:r>
        <w:rPr>
          <w:rStyle w:val="ffline"/>
        </w:rPr>
        <w:t>tgatagccga</w:t>
      </w:r>
      <w:proofErr w:type="spellEnd"/>
      <w:r>
        <w:rPr>
          <w:rStyle w:val="ffline"/>
        </w:rPr>
        <w:t xml:space="preserve"> </w:t>
      </w:r>
      <w:proofErr w:type="spellStart"/>
      <w:r>
        <w:rPr>
          <w:rStyle w:val="ffline"/>
        </w:rPr>
        <w:t>tatgtacatg</w:t>
      </w:r>
      <w:proofErr w:type="spellEnd"/>
      <w:r>
        <w:rPr>
          <w:rStyle w:val="ffline"/>
        </w:rPr>
        <w:t xml:space="preserve"> </w:t>
      </w:r>
      <w:proofErr w:type="spellStart"/>
      <w:r>
        <w:rPr>
          <w:rStyle w:val="ffline"/>
        </w:rPr>
        <w:t>gatttggttt</w:t>
      </w:r>
      <w:proofErr w:type="spellEnd"/>
      <w:r>
        <w:rPr>
          <w:rStyle w:val="ffline"/>
        </w:rPr>
        <w:t xml:space="preserve"> </w:t>
      </w:r>
      <w:proofErr w:type="spellStart"/>
      <w:r>
        <w:rPr>
          <w:rStyle w:val="ffline"/>
        </w:rPr>
        <w:t>acttttggtt</w:t>
      </w:r>
      <w:proofErr w:type="spellEnd"/>
    </w:p>
    <w:p w14:paraId="164B1E38" w14:textId="5C9DF006" w:rsidR="004803B9" w:rsidRDefault="004803B9" w:rsidP="004803B9">
      <w:pPr>
        <w:pStyle w:val="HTMLPreformatted"/>
      </w:pPr>
      <w:proofErr w:type="spellStart"/>
      <w:r>
        <w:rPr>
          <w:rStyle w:val="ffline"/>
        </w:rPr>
        <w:t>atggttggct</w:t>
      </w:r>
      <w:proofErr w:type="spellEnd"/>
      <w:r>
        <w:rPr>
          <w:rStyle w:val="ffline"/>
        </w:rPr>
        <w:t xml:space="preserve"> </w:t>
      </w:r>
      <w:proofErr w:type="spellStart"/>
      <w:r>
        <w:rPr>
          <w:rStyle w:val="ffline"/>
        </w:rPr>
        <w:t>gcttaggtgc</w:t>
      </w:r>
      <w:proofErr w:type="spellEnd"/>
      <w:r>
        <w:rPr>
          <w:rStyle w:val="ffline"/>
        </w:rPr>
        <w:t xml:space="preserve"> </w:t>
      </w:r>
      <w:proofErr w:type="spellStart"/>
      <w:r>
        <w:rPr>
          <w:rStyle w:val="ffline"/>
        </w:rPr>
        <w:t>aagtcaactt</w:t>
      </w:r>
      <w:proofErr w:type="spellEnd"/>
      <w:r>
        <w:rPr>
          <w:rStyle w:val="ffline"/>
        </w:rPr>
        <w:t xml:space="preserve"> </w:t>
      </w:r>
      <w:proofErr w:type="spellStart"/>
      <w:r>
        <w:rPr>
          <w:rStyle w:val="ffline"/>
        </w:rPr>
        <w:t>gatacgactt</w:t>
      </w:r>
      <w:proofErr w:type="spellEnd"/>
      <w:r>
        <w:rPr>
          <w:rStyle w:val="ffline"/>
        </w:rPr>
        <w:t xml:space="preserve"> </w:t>
      </w:r>
      <w:proofErr w:type="spellStart"/>
      <w:r>
        <w:rPr>
          <w:rStyle w:val="ffline"/>
        </w:rPr>
        <w:t>ggaaccaaga</w:t>
      </w:r>
      <w:proofErr w:type="spellEnd"/>
      <w:r>
        <w:rPr>
          <w:rStyle w:val="ffline"/>
        </w:rPr>
        <w:t xml:space="preserve"> </w:t>
      </w:r>
      <w:proofErr w:type="spellStart"/>
      <w:r>
        <w:rPr>
          <w:rStyle w:val="ffline"/>
        </w:rPr>
        <w:t>ccaattctat</w:t>
      </w:r>
      <w:proofErr w:type="spellEnd"/>
    </w:p>
    <w:p w14:paraId="5AD30277" w14:textId="320DFAF6" w:rsidR="004803B9" w:rsidRDefault="004803B9" w:rsidP="004803B9">
      <w:pPr>
        <w:pStyle w:val="HTMLPreformatted"/>
      </w:pPr>
      <w:proofErr w:type="spellStart"/>
      <w:r>
        <w:rPr>
          <w:rStyle w:val="ffline"/>
        </w:rPr>
        <w:t>ttttggcatg</w:t>
      </w:r>
      <w:proofErr w:type="spellEnd"/>
      <w:r>
        <w:rPr>
          <w:rStyle w:val="ffline"/>
        </w:rPr>
        <w:t xml:space="preserve"> </w:t>
      </w:r>
      <w:proofErr w:type="spellStart"/>
      <w:r>
        <w:rPr>
          <w:rStyle w:val="ffline"/>
        </w:rPr>
        <w:t>caatctcatg</w:t>
      </w:r>
      <w:proofErr w:type="spellEnd"/>
      <w:r>
        <w:rPr>
          <w:rStyle w:val="ffline"/>
        </w:rPr>
        <w:t xml:space="preserve"> </w:t>
      </w:r>
      <w:proofErr w:type="spellStart"/>
      <w:r>
        <w:rPr>
          <w:rStyle w:val="ffline"/>
        </w:rPr>
        <w:t>tttaggacaa</w:t>
      </w:r>
      <w:proofErr w:type="spellEnd"/>
      <w:r>
        <w:rPr>
          <w:rStyle w:val="ffline"/>
        </w:rPr>
        <w:t xml:space="preserve"> </w:t>
      </w:r>
      <w:proofErr w:type="spellStart"/>
      <w:r>
        <w:rPr>
          <w:rStyle w:val="ffline"/>
        </w:rPr>
        <w:t>acctgtgtag</w:t>
      </w:r>
      <w:proofErr w:type="spellEnd"/>
      <w:r>
        <w:rPr>
          <w:rStyle w:val="ffline"/>
        </w:rPr>
        <w:t xml:space="preserve"> </w:t>
      </w:r>
      <w:proofErr w:type="spellStart"/>
      <w:r>
        <w:rPr>
          <w:rStyle w:val="ffline"/>
        </w:rPr>
        <w:t>tgctttcgct</w:t>
      </w:r>
      <w:proofErr w:type="spellEnd"/>
      <w:r>
        <w:rPr>
          <w:rStyle w:val="ffline"/>
        </w:rPr>
        <w:t xml:space="preserve"> </w:t>
      </w:r>
      <w:proofErr w:type="spellStart"/>
      <w:r>
        <w:rPr>
          <w:rStyle w:val="ffline"/>
        </w:rPr>
        <w:t>cctcatgatg</w:t>
      </w:r>
      <w:proofErr w:type="spellEnd"/>
    </w:p>
    <w:p w14:paraId="6C126AF1" w14:textId="5D616E9B" w:rsidR="004803B9" w:rsidRDefault="004803B9" w:rsidP="004803B9">
      <w:pPr>
        <w:pStyle w:val="HTMLPreformatted"/>
      </w:pPr>
      <w:proofErr w:type="spellStart"/>
      <w:r>
        <w:rPr>
          <w:rStyle w:val="ffline"/>
        </w:rPr>
        <w:t>ggtacaaata</w:t>
      </w:r>
      <w:proofErr w:type="spellEnd"/>
      <w:r>
        <w:rPr>
          <w:rStyle w:val="ffline"/>
        </w:rPr>
        <w:t xml:space="preserve"> </w:t>
      </w:r>
      <w:proofErr w:type="spellStart"/>
      <w:r>
        <w:rPr>
          <w:rStyle w:val="ffline"/>
        </w:rPr>
        <w:t>gtgtccaccc</w:t>
      </w:r>
      <w:proofErr w:type="spellEnd"/>
      <w:r>
        <w:rPr>
          <w:rStyle w:val="ffline"/>
        </w:rPr>
        <w:t xml:space="preserve"> </w:t>
      </w:r>
      <w:proofErr w:type="spellStart"/>
      <w:r>
        <w:rPr>
          <w:rStyle w:val="ffline"/>
        </w:rPr>
        <w:t>aactatggca</w:t>
      </w:r>
      <w:proofErr w:type="spellEnd"/>
      <w:r>
        <w:rPr>
          <w:rStyle w:val="ffline"/>
        </w:rPr>
        <w:t xml:space="preserve"> </w:t>
      </w:r>
      <w:proofErr w:type="spellStart"/>
      <w:r>
        <w:rPr>
          <w:rStyle w:val="ffline"/>
        </w:rPr>
        <w:t>atctatgctt</w:t>
      </w:r>
      <w:proofErr w:type="spellEnd"/>
      <w:r>
        <w:rPr>
          <w:rStyle w:val="ffline"/>
        </w:rPr>
        <w:t xml:space="preserve"> </w:t>
      </w:r>
      <w:proofErr w:type="spellStart"/>
      <w:r>
        <w:rPr>
          <w:rStyle w:val="ffline"/>
        </w:rPr>
        <w:t>ctcctatgat</w:t>
      </w:r>
      <w:proofErr w:type="spellEnd"/>
      <w:r>
        <w:rPr>
          <w:rStyle w:val="ffline"/>
        </w:rPr>
        <w:t xml:space="preserve"> </w:t>
      </w:r>
      <w:proofErr w:type="spellStart"/>
      <w:r>
        <w:rPr>
          <w:rStyle w:val="ffline"/>
        </w:rPr>
        <w:t>taacaccccg</w:t>
      </w:r>
      <w:proofErr w:type="spellEnd"/>
    </w:p>
    <w:p w14:paraId="199D85FB" w14:textId="7DDD15D5" w:rsidR="004803B9" w:rsidRDefault="004803B9" w:rsidP="004803B9">
      <w:pPr>
        <w:pStyle w:val="HTMLPreformatted"/>
      </w:pPr>
      <w:proofErr w:type="spellStart"/>
      <w:r>
        <w:rPr>
          <w:rStyle w:val="ffline"/>
        </w:rPr>
        <w:t>cgtgctatca</w:t>
      </w:r>
      <w:proofErr w:type="spellEnd"/>
      <w:r>
        <w:rPr>
          <w:rStyle w:val="ffline"/>
        </w:rPr>
        <w:t xml:space="preserve"> </w:t>
      </w:r>
      <w:proofErr w:type="spellStart"/>
      <w:r>
        <w:rPr>
          <w:rStyle w:val="ffline"/>
        </w:rPr>
        <w:t>gcggcgtact</w:t>
      </w:r>
      <w:proofErr w:type="spellEnd"/>
      <w:r>
        <w:rPr>
          <w:rStyle w:val="ffline"/>
        </w:rPr>
        <w:t xml:space="preserve"> </w:t>
      </w:r>
      <w:proofErr w:type="spellStart"/>
      <w:r>
        <w:rPr>
          <w:rStyle w:val="ffline"/>
        </w:rPr>
        <w:t>tggtgtgtgc</w:t>
      </w:r>
      <w:proofErr w:type="spellEnd"/>
      <w:r>
        <w:rPr>
          <w:rStyle w:val="ffline"/>
        </w:rPr>
        <w:t xml:space="preserve"> </w:t>
      </w:r>
      <w:proofErr w:type="spellStart"/>
      <w:r>
        <w:rPr>
          <w:rStyle w:val="ffline"/>
        </w:rPr>
        <w:t>cttttggact</w:t>
      </w:r>
      <w:proofErr w:type="spellEnd"/>
      <w:r>
        <w:rPr>
          <w:rStyle w:val="ffline"/>
        </w:rPr>
        <w:t xml:space="preserve"> </w:t>
      </w:r>
      <w:proofErr w:type="spellStart"/>
      <w:r>
        <w:rPr>
          <w:rStyle w:val="ffline"/>
        </w:rPr>
        <w:t>gggtcaatcg</w:t>
      </w:r>
      <w:proofErr w:type="spellEnd"/>
      <w:r>
        <w:rPr>
          <w:rStyle w:val="ffline"/>
        </w:rPr>
        <w:t xml:space="preserve"> </w:t>
      </w:r>
      <w:proofErr w:type="spellStart"/>
      <w:r>
        <w:rPr>
          <w:rStyle w:val="ffline"/>
        </w:rPr>
        <w:t>agtacgtggt</w:t>
      </w:r>
      <w:proofErr w:type="spellEnd"/>
    </w:p>
    <w:p w14:paraId="4B29AD59" w14:textId="259B914E" w:rsidR="004803B9" w:rsidRDefault="004803B9" w:rsidP="004803B9">
      <w:pPr>
        <w:pStyle w:val="HTMLPreformatted"/>
      </w:pPr>
      <w:proofErr w:type="spellStart"/>
      <w:r>
        <w:rPr>
          <w:rStyle w:val="ffline"/>
        </w:rPr>
        <w:t>gaataccatt</w:t>
      </w:r>
      <w:proofErr w:type="spellEnd"/>
      <w:r>
        <w:rPr>
          <w:rStyle w:val="ffline"/>
        </w:rPr>
        <w:t xml:space="preserve"> </w:t>
      </w:r>
      <w:proofErr w:type="spellStart"/>
      <w:r>
        <w:rPr>
          <w:rStyle w:val="ffline"/>
        </w:rPr>
        <w:t>caacacggct</w:t>
      </w:r>
      <w:proofErr w:type="spellEnd"/>
      <w:r>
        <w:rPr>
          <w:rStyle w:val="ffline"/>
        </w:rPr>
        <w:t xml:space="preserve"> </w:t>
      </w:r>
      <w:proofErr w:type="spellStart"/>
      <w:r>
        <w:rPr>
          <w:rStyle w:val="ffline"/>
        </w:rPr>
        <w:t>gattgaaaat</w:t>
      </w:r>
      <w:proofErr w:type="spellEnd"/>
      <w:r>
        <w:rPr>
          <w:rStyle w:val="ffline"/>
        </w:rPr>
        <w:t xml:space="preserve"> </w:t>
      </w:r>
      <w:proofErr w:type="spellStart"/>
      <w:r>
        <w:rPr>
          <w:rStyle w:val="ffline"/>
        </w:rPr>
        <w:t>accgcacaac</w:t>
      </w:r>
      <w:proofErr w:type="spellEnd"/>
      <w:r>
        <w:rPr>
          <w:rStyle w:val="ffline"/>
        </w:rPr>
        <w:t xml:space="preserve"> </w:t>
      </w:r>
      <w:proofErr w:type="spellStart"/>
      <w:r>
        <w:rPr>
          <w:rStyle w:val="ffline"/>
        </w:rPr>
        <w:t>atgtttttca</w:t>
      </w:r>
      <w:proofErr w:type="spellEnd"/>
      <w:r>
        <w:rPr>
          <w:rStyle w:val="ffline"/>
        </w:rPr>
        <w:t xml:space="preserve"> </w:t>
      </w:r>
      <w:proofErr w:type="spellStart"/>
      <w:r>
        <w:rPr>
          <w:rStyle w:val="ffline"/>
        </w:rPr>
        <w:t>aaatattcaa</w:t>
      </w:r>
      <w:proofErr w:type="spellEnd"/>
    </w:p>
    <w:p w14:paraId="18EC0DE5" w14:textId="5C2219CD" w:rsidR="004803B9" w:rsidRDefault="004803B9" w:rsidP="004803B9">
      <w:pPr>
        <w:pStyle w:val="HTMLPreformatted"/>
      </w:pPr>
      <w:proofErr w:type="spellStart"/>
      <w:r>
        <w:rPr>
          <w:rStyle w:val="ffline"/>
        </w:rPr>
        <w:t>ggtcctgtta</w:t>
      </w:r>
      <w:proofErr w:type="spellEnd"/>
      <w:r>
        <w:rPr>
          <w:rStyle w:val="ffline"/>
        </w:rPr>
        <w:t xml:space="preserve"> </w:t>
      </w:r>
      <w:proofErr w:type="spellStart"/>
      <w:r>
        <w:rPr>
          <w:rStyle w:val="ffline"/>
        </w:rPr>
        <w:t>ttaatcctct</w:t>
      </w:r>
      <w:proofErr w:type="spellEnd"/>
      <w:r>
        <w:rPr>
          <w:rStyle w:val="ffline"/>
        </w:rPr>
        <w:t xml:space="preserve"> </w:t>
      </w:r>
      <w:proofErr w:type="spellStart"/>
      <w:r>
        <w:rPr>
          <w:rStyle w:val="ffline"/>
        </w:rPr>
        <w:t>taccccgcct</w:t>
      </w:r>
      <w:proofErr w:type="spellEnd"/>
      <w:r>
        <w:rPr>
          <w:rStyle w:val="ffline"/>
        </w:rPr>
        <w:t xml:space="preserve"> </w:t>
      </w:r>
      <w:proofErr w:type="spellStart"/>
      <w:r>
        <w:rPr>
          <w:rStyle w:val="ffline"/>
        </w:rPr>
        <w:t>gtgctgagtg</w:t>
      </w:r>
      <w:proofErr w:type="spellEnd"/>
      <w:r>
        <w:rPr>
          <w:rStyle w:val="ffline"/>
        </w:rPr>
        <w:t xml:space="preserve"> </w:t>
      </w:r>
      <w:proofErr w:type="spellStart"/>
      <w:r>
        <w:rPr>
          <w:rStyle w:val="ffline"/>
        </w:rPr>
        <w:t>cagatggtac</w:t>
      </w:r>
      <w:proofErr w:type="spellEnd"/>
      <w:r>
        <w:rPr>
          <w:rStyle w:val="ffline"/>
        </w:rPr>
        <w:t xml:space="preserve"> </w:t>
      </w:r>
      <w:proofErr w:type="spellStart"/>
      <w:r>
        <w:rPr>
          <w:rStyle w:val="ffline"/>
        </w:rPr>
        <w:t>cgaacgtgtt</w:t>
      </w:r>
      <w:proofErr w:type="spellEnd"/>
    </w:p>
    <w:p w14:paraId="32DDC683" w14:textId="2344BDB8" w:rsidR="004803B9" w:rsidRDefault="004803B9" w:rsidP="004803B9">
      <w:pPr>
        <w:pStyle w:val="HTMLPreformatted"/>
      </w:pPr>
      <w:proofErr w:type="spellStart"/>
      <w:r>
        <w:rPr>
          <w:rStyle w:val="ffline"/>
        </w:rPr>
        <w:t>tccggtggtt</w:t>
      </w:r>
      <w:proofErr w:type="spellEnd"/>
      <w:r>
        <w:rPr>
          <w:rStyle w:val="ffline"/>
        </w:rPr>
        <w:t xml:space="preserve"> </w:t>
      </w:r>
      <w:proofErr w:type="spellStart"/>
      <w:r>
        <w:rPr>
          <w:rStyle w:val="ffline"/>
        </w:rPr>
        <w:t>tatctgcctt</w:t>
      </w:r>
      <w:proofErr w:type="spellEnd"/>
      <w:r>
        <w:rPr>
          <w:rStyle w:val="ffline"/>
        </w:rPr>
        <w:t xml:space="preserve"> </w:t>
      </w:r>
      <w:proofErr w:type="spellStart"/>
      <w:r>
        <w:rPr>
          <w:rStyle w:val="ffline"/>
        </w:rPr>
        <w:t>aaattctgcg</w:t>
      </w:r>
      <w:proofErr w:type="spellEnd"/>
      <w:r>
        <w:rPr>
          <w:rStyle w:val="ffline"/>
        </w:rPr>
        <w:t xml:space="preserve"> </w:t>
      </w:r>
      <w:proofErr w:type="spellStart"/>
      <w:r>
        <w:rPr>
          <w:rStyle w:val="ffline"/>
        </w:rPr>
        <w:t>attcaggcac</w:t>
      </w:r>
      <w:proofErr w:type="spellEnd"/>
      <w:r>
        <w:rPr>
          <w:rStyle w:val="ffline"/>
        </w:rPr>
        <w:t xml:space="preserve"> </w:t>
      </w:r>
      <w:proofErr w:type="spellStart"/>
      <w:r>
        <w:rPr>
          <w:rStyle w:val="ffline"/>
        </w:rPr>
        <w:t>agcaatcggt</w:t>
      </w:r>
      <w:proofErr w:type="spellEnd"/>
      <w:r>
        <w:rPr>
          <w:rStyle w:val="ffline"/>
        </w:rPr>
        <w:t xml:space="preserve"> </w:t>
      </w:r>
      <w:proofErr w:type="spellStart"/>
      <w:r>
        <w:rPr>
          <w:rStyle w:val="ffline"/>
        </w:rPr>
        <w:t>gttagtcatt</w:t>
      </w:r>
      <w:proofErr w:type="spellEnd"/>
    </w:p>
    <w:p w14:paraId="01154B89" w14:textId="1F2EF311" w:rsidR="004803B9" w:rsidRDefault="004803B9" w:rsidP="004803B9">
      <w:pPr>
        <w:pStyle w:val="HTMLPreformatted"/>
      </w:pPr>
      <w:proofErr w:type="spellStart"/>
      <w:r>
        <w:rPr>
          <w:rStyle w:val="ffline"/>
        </w:rPr>
        <w:t>agtgatcaat</w:t>
      </w:r>
      <w:proofErr w:type="spellEnd"/>
      <w:r>
        <w:rPr>
          <w:rStyle w:val="ffline"/>
        </w:rPr>
        <w:t xml:space="preserve"> </w:t>
      </w:r>
      <w:proofErr w:type="spellStart"/>
      <w:r>
        <w:rPr>
          <w:rStyle w:val="ffline"/>
        </w:rPr>
        <w:t>atctgatttt</w:t>
      </w:r>
      <w:proofErr w:type="spellEnd"/>
      <w:r>
        <w:rPr>
          <w:rStyle w:val="ffline"/>
        </w:rPr>
        <w:t xml:space="preserve"> </w:t>
      </w:r>
      <w:proofErr w:type="spellStart"/>
      <w:r>
        <w:rPr>
          <w:rStyle w:val="ffline"/>
        </w:rPr>
        <w:t>agcgggactt</w:t>
      </w:r>
      <w:proofErr w:type="spellEnd"/>
      <w:r>
        <w:rPr>
          <w:rStyle w:val="ffline"/>
        </w:rPr>
        <w:t xml:space="preserve"> </w:t>
      </w:r>
      <w:proofErr w:type="spellStart"/>
      <w:r>
        <w:rPr>
          <w:rStyle w:val="ffline"/>
        </w:rPr>
        <w:t>actgcaattt</w:t>
      </w:r>
      <w:proofErr w:type="spellEnd"/>
      <w:r>
        <w:rPr>
          <w:rStyle w:val="ffline"/>
        </w:rPr>
        <w:t xml:space="preserve"> </w:t>
      </w:r>
      <w:proofErr w:type="spellStart"/>
      <w:r>
        <w:rPr>
          <w:rStyle w:val="ffline"/>
        </w:rPr>
        <w:t>tatttatcgt</w:t>
      </w:r>
      <w:proofErr w:type="spellEnd"/>
      <w:r>
        <w:rPr>
          <w:rStyle w:val="ffline"/>
        </w:rPr>
        <w:t xml:space="preserve"> </w:t>
      </w:r>
      <w:proofErr w:type="spellStart"/>
      <w:r>
        <w:rPr>
          <w:rStyle w:val="ffline"/>
        </w:rPr>
        <w:t>tatgctgatt</w:t>
      </w:r>
      <w:proofErr w:type="spellEnd"/>
    </w:p>
    <w:p w14:paraId="28FF863C" w14:textId="672FA7FE" w:rsidR="004803B9" w:rsidRDefault="004803B9" w:rsidP="004803B9">
      <w:pPr>
        <w:pStyle w:val="HTMLPreformatted"/>
      </w:pPr>
      <w:proofErr w:type="spellStart"/>
      <w:r>
        <w:rPr>
          <w:rStyle w:val="ffline"/>
        </w:rPr>
        <w:t>ttgccagtta</w:t>
      </w:r>
      <w:proofErr w:type="spellEnd"/>
      <w:r>
        <w:rPr>
          <w:rStyle w:val="ffline"/>
        </w:rPr>
        <w:t xml:space="preserve"> </w:t>
      </w:r>
      <w:proofErr w:type="spellStart"/>
      <w:r>
        <w:rPr>
          <w:rStyle w:val="ffline"/>
        </w:rPr>
        <w:t>gaacttatcc</w:t>
      </w:r>
      <w:proofErr w:type="spellEnd"/>
      <w:r>
        <w:rPr>
          <w:rStyle w:val="ffline"/>
        </w:rPr>
        <w:t xml:space="preserve"> </w:t>
      </w:r>
      <w:proofErr w:type="spellStart"/>
      <w:r>
        <w:rPr>
          <w:rStyle w:val="ffline"/>
        </w:rPr>
        <w:t>accacgcatt</w:t>
      </w:r>
      <w:proofErr w:type="spellEnd"/>
      <w:r>
        <w:rPr>
          <w:rStyle w:val="ffline"/>
        </w:rPr>
        <w:t xml:space="preserve"> </w:t>
      </w:r>
      <w:proofErr w:type="spellStart"/>
      <w:r>
        <w:rPr>
          <w:rStyle w:val="ffline"/>
        </w:rPr>
        <w:t>gctctcatta</w:t>
      </w:r>
      <w:proofErr w:type="spellEnd"/>
      <w:r>
        <w:rPr>
          <w:rStyle w:val="ffline"/>
        </w:rPr>
        <w:t xml:space="preserve"> </w:t>
      </w:r>
      <w:proofErr w:type="spellStart"/>
      <w:r>
        <w:rPr>
          <w:rStyle w:val="ffline"/>
        </w:rPr>
        <w:t>agttaatgaa</w:t>
      </w:r>
      <w:proofErr w:type="spellEnd"/>
      <w:r>
        <w:rPr>
          <w:rStyle w:val="ffline"/>
        </w:rPr>
        <w:t xml:space="preserve"> </w:t>
      </w:r>
      <w:proofErr w:type="spellStart"/>
      <w:r>
        <w:rPr>
          <w:rStyle w:val="ffline"/>
        </w:rPr>
        <w:t>tagtcataac</w:t>
      </w:r>
      <w:proofErr w:type="spellEnd"/>
    </w:p>
    <w:p w14:paraId="6DCD7FDD" w14:textId="2A4CACCB" w:rsidR="004803B9" w:rsidRDefault="004803B9" w:rsidP="004803B9">
      <w:pPr>
        <w:pStyle w:val="HTMLPreformatted"/>
        <w:rPr>
          <w:rStyle w:val="ffline"/>
        </w:rPr>
      </w:pPr>
      <w:proofErr w:type="spellStart"/>
      <w:r>
        <w:rPr>
          <w:rStyle w:val="ffline"/>
        </w:rPr>
        <w:t>tcaggaaaat</w:t>
      </w:r>
      <w:proofErr w:type="spellEnd"/>
      <w:r>
        <w:rPr>
          <w:rStyle w:val="ffline"/>
        </w:rPr>
        <w:t xml:space="preserve"> </w:t>
      </w:r>
      <w:proofErr w:type="spellStart"/>
      <w:r>
        <w:rPr>
          <w:rStyle w:val="ffline"/>
        </w:rPr>
        <w:t>ctttatga</w:t>
      </w:r>
      <w:proofErr w:type="spellEnd"/>
    </w:p>
    <w:p w14:paraId="5344CD3D" w14:textId="77777777" w:rsidR="004803B9" w:rsidRDefault="004803B9" w:rsidP="004803B9">
      <w:pPr>
        <w:pStyle w:val="HTMLPreformatted"/>
        <w:rPr>
          <w:rStyle w:val="ffline"/>
        </w:rPr>
      </w:pPr>
    </w:p>
    <w:p w14:paraId="4F15CF7C" w14:textId="6A797883" w:rsidR="004803B9" w:rsidRDefault="004803B9" w:rsidP="004803B9">
      <w:r>
        <w:rPr>
          <w:rStyle w:val="ffline"/>
        </w:rPr>
        <w:t>&gt;</w:t>
      </w:r>
      <w:r>
        <w:t>ABUW_1931 (</w:t>
      </w:r>
      <w:proofErr w:type="spellStart"/>
      <w:r w:rsidRPr="004803B9">
        <w:rPr>
          <w:i/>
          <w:iCs/>
        </w:rPr>
        <w:t>amfD</w:t>
      </w:r>
      <w:proofErr w:type="spellEnd"/>
      <w:r>
        <w:t>)</w:t>
      </w:r>
      <w:r w:rsidR="00832EB7">
        <w:t xml:space="preserve"> GenBank: CP008706.1</w:t>
      </w:r>
    </w:p>
    <w:p w14:paraId="47F8C265" w14:textId="266416E1" w:rsidR="004803B9" w:rsidRDefault="004803B9" w:rsidP="004803B9">
      <w:pPr>
        <w:pStyle w:val="HTMLPreformatted"/>
      </w:pPr>
      <w:proofErr w:type="spellStart"/>
      <w:r>
        <w:rPr>
          <w:rStyle w:val="ffline"/>
        </w:rPr>
        <w:t>tcataaagat</w:t>
      </w:r>
      <w:proofErr w:type="spellEnd"/>
      <w:r>
        <w:rPr>
          <w:rStyle w:val="ffline"/>
        </w:rPr>
        <w:t xml:space="preserve"> </w:t>
      </w:r>
      <w:proofErr w:type="spellStart"/>
      <w:r>
        <w:rPr>
          <w:rStyle w:val="ffline"/>
        </w:rPr>
        <w:t>tttcctgagt</w:t>
      </w:r>
      <w:proofErr w:type="spellEnd"/>
      <w:r>
        <w:rPr>
          <w:rStyle w:val="ffline"/>
        </w:rPr>
        <w:t xml:space="preserve"> </w:t>
      </w:r>
      <w:proofErr w:type="spellStart"/>
      <w:r>
        <w:rPr>
          <w:rStyle w:val="ffline"/>
        </w:rPr>
        <w:t>tatgactatt</w:t>
      </w:r>
      <w:proofErr w:type="spellEnd"/>
      <w:r>
        <w:rPr>
          <w:rStyle w:val="ffline"/>
        </w:rPr>
        <w:t xml:space="preserve"> </w:t>
      </w:r>
      <w:proofErr w:type="spellStart"/>
      <w:r>
        <w:rPr>
          <w:rStyle w:val="ffline"/>
        </w:rPr>
        <w:t>cattaactta</w:t>
      </w:r>
      <w:proofErr w:type="spellEnd"/>
      <w:r>
        <w:rPr>
          <w:rStyle w:val="ffline"/>
        </w:rPr>
        <w:t xml:space="preserve"> </w:t>
      </w:r>
      <w:proofErr w:type="spellStart"/>
      <w:r>
        <w:rPr>
          <w:rStyle w:val="ffline"/>
        </w:rPr>
        <w:t>atgagagcaa</w:t>
      </w:r>
      <w:proofErr w:type="spellEnd"/>
      <w:r>
        <w:rPr>
          <w:rStyle w:val="ffline"/>
        </w:rPr>
        <w:t xml:space="preserve"> </w:t>
      </w:r>
      <w:proofErr w:type="spellStart"/>
      <w:r>
        <w:rPr>
          <w:rStyle w:val="ffline"/>
        </w:rPr>
        <w:t>tgcgtggtgg</w:t>
      </w:r>
      <w:proofErr w:type="spellEnd"/>
    </w:p>
    <w:p w14:paraId="2D466CDE" w14:textId="68CE750D" w:rsidR="004803B9" w:rsidRDefault="004803B9" w:rsidP="004803B9">
      <w:pPr>
        <w:pStyle w:val="HTMLPreformatted"/>
      </w:pPr>
      <w:proofErr w:type="spellStart"/>
      <w:r>
        <w:rPr>
          <w:rStyle w:val="ffline"/>
        </w:rPr>
        <w:t>ataagttcta</w:t>
      </w:r>
      <w:proofErr w:type="spellEnd"/>
      <w:r>
        <w:rPr>
          <w:rStyle w:val="ffline"/>
        </w:rPr>
        <w:t xml:space="preserve"> </w:t>
      </w:r>
      <w:proofErr w:type="spellStart"/>
      <w:r>
        <w:rPr>
          <w:rStyle w:val="ffline"/>
        </w:rPr>
        <w:t>actggcaaaa</w:t>
      </w:r>
      <w:proofErr w:type="spellEnd"/>
      <w:r>
        <w:rPr>
          <w:rStyle w:val="ffline"/>
        </w:rPr>
        <w:t xml:space="preserve"> </w:t>
      </w:r>
      <w:proofErr w:type="spellStart"/>
      <w:r>
        <w:rPr>
          <w:rStyle w:val="ffline"/>
        </w:rPr>
        <w:t>tcagcataac</w:t>
      </w:r>
      <w:proofErr w:type="spellEnd"/>
      <w:r>
        <w:rPr>
          <w:rStyle w:val="ffline"/>
        </w:rPr>
        <w:t xml:space="preserve"> </w:t>
      </w:r>
      <w:proofErr w:type="spellStart"/>
      <w:r>
        <w:rPr>
          <w:rStyle w:val="ffline"/>
        </w:rPr>
        <w:t>gataaataaa</w:t>
      </w:r>
      <w:proofErr w:type="spellEnd"/>
      <w:r>
        <w:rPr>
          <w:rStyle w:val="ffline"/>
        </w:rPr>
        <w:t xml:space="preserve"> </w:t>
      </w:r>
      <w:proofErr w:type="spellStart"/>
      <w:r>
        <w:rPr>
          <w:rStyle w:val="ffline"/>
        </w:rPr>
        <w:t>attgcagtaa</w:t>
      </w:r>
      <w:proofErr w:type="spellEnd"/>
      <w:r>
        <w:rPr>
          <w:rStyle w:val="ffline"/>
        </w:rPr>
        <w:t xml:space="preserve"> </w:t>
      </w:r>
      <w:proofErr w:type="spellStart"/>
      <w:r>
        <w:rPr>
          <w:rStyle w:val="ffline"/>
        </w:rPr>
        <w:t>gtcccgctaa</w:t>
      </w:r>
      <w:proofErr w:type="spellEnd"/>
    </w:p>
    <w:p w14:paraId="01CB41C4" w14:textId="536D6038" w:rsidR="004803B9" w:rsidRDefault="004803B9" w:rsidP="004803B9">
      <w:pPr>
        <w:pStyle w:val="HTMLPreformatted"/>
      </w:pPr>
      <w:proofErr w:type="spellStart"/>
      <w:r>
        <w:rPr>
          <w:rStyle w:val="ffline"/>
        </w:rPr>
        <w:t>aatcagatat</w:t>
      </w:r>
      <w:proofErr w:type="spellEnd"/>
      <w:r>
        <w:rPr>
          <w:rStyle w:val="ffline"/>
        </w:rPr>
        <w:t xml:space="preserve"> </w:t>
      </w:r>
      <w:proofErr w:type="spellStart"/>
      <w:r>
        <w:rPr>
          <w:rStyle w:val="ffline"/>
        </w:rPr>
        <w:t>tgatcactaa</w:t>
      </w:r>
      <w:proofErr w:type="spellEnd"/>
      <w:r>
        <w:rPr>
          <w:rStyle w:val="ffline"/>
        </w:rPr>
        <w:t xml:space="preserve"> </w:t>
      </w:r>
      <w:proofErr w:type="spellStart"/>
      <w:r>
        <w:rPr>
          <w:rStyle w:val="ffline"/>
        </w:rPr>
        <w:t>tgactaaaac</w:t>
      </w:r>
      <w:proofErr w:type="spellEnd"/>
      <w:r>
        <w:rPr>
          <w:rStyle w:val="ffline"/>
        </w:rPr>
        <w:t xml:space="preserve"> </w:t>
      </w:r>
      <w:proofErr w:type="spellStart"/>
      <w:r>
        <w:rPr>
          <w:rStyle w:val="ffline"/>
        </w:rPr>
        <w:t>tgattgctgt</w:t>
      </w:r>
      <w:proofErr w:type="spellEnd"/>
      <w:r>
        <w:rPr>
          <w:rStyle w:val="ffline"/>
        </w:rPr>
        <w:t xml:space="preserve"> </w:t>
      </w:r>
      <w:proofErr w:type="spellStart"/>
      <w:r>
        <w:rPr>
          <w:rStyle w:val="ffline"/>
        </w:rPr>
        <w:t>gcctgaatcg</w:t>
      </w:r>
      <w:proofErr w:type="spellEnd"/>
      <w:r>
        <w:rPr>
          <w:rStyle w:val="ffline"/>
        </w:rPr>
        <w:t xml:space="preserve"> </w:t>
      </w:r>
      <w:proofErr w:type="spellStart"/>
      <w:r>
        <w:rPr>
          <w:rStyle w:val="ffline"/>
        </w:rPr>
        <w:t>cagaatttaa</w:t>
      </w:r>
      <w:proofErr w:type="spellEnd"/>
    </w:p>
    <w:p w14:paraId="6DA6A9C2" w14:textId="26111EC9" w:rsidR="004803B9" w:rsidRDefault="004803B9" w:rsidP="004803B9">
      <w:pPr>
        <w:pStyle w:val="HTMLPreformatted"/>
      </w:pPr>
      <w:proofErr w:type="spellStart"/>
      <w:r>
        <w:rPr>
          <w:rStyle w:val="ffline"/>
        </w:rPr>
        <w:t>ggcagataaa</w:t>
      </w:r>
      <w:proofErr w:type="spellEnd"/>
      <w:r>
        <w:rPr>
          <w:rStyle w:val="ffline"/>
        </w:rPr>
        <w:t xml:space="preserve"> </w:t>
      </w:r>
      <w:proofErr w:type="spellStart"/>
      <w:r>
        <w:rPr>
          <w:rStyle w:val="ffline"/>
        </w:rPr>
        <w:t>ccaccggaaa</w:t>
      </w:r>
      <w:proofErr w:type="spellEnd"/>
      <w:r>
        <w:rPr>
          <w:rStyle w:val="ffline"/>
        </w:rPr>
        <w:t xml:space="preserve"> </w:t>
      </w:r>
      <w:proofErr w:type="spellStart"/>
      <w:r>
        <w:rPr>
          <w:rStyle w:val="ffline"/>
        </w:rPr>
        <w:t>cacgttcggt</w:t>
      </w:r>
      <w:proofErr w:type="spellEnd"/>
      <w:r>
        <w:rPr>
          <w:rStyle w:val="ffline"/>
        </w:rPr>
        <w:t xml:space="preserve"> </w:t>
      </w:r>
      <w:proofErr w:type="spellStart"/>
      <w:r>
        <w:rPr>
          <w:rStyle w:val="ffline"/>
        </w:rPr>
        <w:t>accatctgca</w:t>
      </w:r>
      <w:proofErr w:type="spellEnd"/>
      <w:r>
        <w:rPr>
          <w:rStyle w:val="ffline"/>
        </w:rPr>
        <w:t xml:space="preserve"> </w:t>
      </w:r>
      <w:proofErr w:type="spellStart"/>
      <w:r>
        <w:rPr>
          <w:rStyle w:val="ffline"/>
        </w:rPr>
        <w:t>ctcagcacag</w:t>
      </w:r>
      <w:proofErr w:type="spellEnd"/>
      <w:r>
        <w:rPr>
          <w:rStyle w:val="ffline"/>
        </w:rPr>
        <w:t xml:space="preserve"> </w:t>
      </w:r>
      <w:proofErr w:type="spellStart"/>
      <w:r>
        <w:rPr>
          <w:rStyle w:val="ffline"/>
        </w:rPr>
        <w:t>gcggggtaag</w:t>
      </w:r>
      <w:proofErr w:type="spellEnd"/>
    </w:p>
    <w:p w14:paraId="2DCB621A" w14:textId="79D6C1B5" w:rsidR="004803B9" w:rsidRDefault="004803B9" w:rsidP="004803B9">
      <w:pPr>
        <w:pStyle w:val="HTMLPreformatted"/>
      </w:pPr>
      <w:proofErr w:type="spellStart"/>
      <w:r>
        <w:rPr>
          <w:rStyle w:val="ffline"/>
        </w:rPr>
        <w:t>aggattaata</w:t>
      </w:r>
      <w:proofErr w:type="spellEnd"/>
      <w:r>
        <w:rPr>
          <w:rStyle w:val="ffline"/>
        </w:rPr>
        <w:t xml:space="preserve"> </w:t>
      </w:r>
      <w:proofErr w:type="spellStart"/>
      <w:r>
        <w:rPr>
          <w:rStyle w:val="ffline"/>
        </w:rPr>
        <w:t>acaggacctt</w:t>
      </w:r>
      <w:proofErr w:type="spellEnd"/>
      <w:r>
        <w:rPr>
          <w:rStyle w:val="ffline"/>
        </w:rPr>
        <w:t xml:space="preserve"> </w:t>
      </w:r>
      <w:proofErr w:type="spellStart"/>
      <w:r>
        <w:rPr>
          <w:rStyle w:val="ffline"/>
        </w:rPr>
        <w:t>gaatattttg</w:t>
      </w:r>
      <w:proofErr w:type="spellEnd"/>
      <w:r>
        <w:rPr>
          <w:rStyle w:val="ffline"/>
        </w:rPr>
        <w:t xml:space="preserve"> </w:t>
      </w:r>
      <w:proofErr w:type="spellStart"/>
      <w:r>
        <w:rPr>
          <w:rStyle w:val="ffline"/>
        </w:rPr>
        <w:t>aaaaacatgt</w:t>
      </w:r>
      <w:proofErr w:type="spellEnd"/>
      <w:r>
        <w:rPr>
          <w:rStyle w:val="ffline"/>
        </w:rPr>
        <w:t xml:space="preserve"> </w:t>
      </w:r>
      <w:proofErr w:type="spellStart"/>
      <w:r>
        <w:rPr>
          <w:rStyle w:val="ffline"/>
        </w:rPr>
        <w:t>tgtgcggtat</w:t>
      </w:r>
      <w:proofErr w:type="spellEnd"/>
      <w:r>
        <w:rPr>
          <w:rStyle w:val="ffline"/>
        </w:rPr>
        <w:t xml:space="preserve"> </w:t>
      </w:r>
      <w:proofErr w:type="spellStart"/>
      <w:r>
        <w:rPr>
          <w:rStyle w:val="ffline"/>
        </w:rPr>
        <w:t>tttcaatcag</w:t>
      </w:r>
      <w:proofErr w:type="spellEnd"/>
    </w:p>
    <w:p w14:paraId="6E7F5C21" w14:textId="3ED241E7" w:rsidR="004803B9" w:rsidRDefault="004803B9" w:rsidP="004803B9">
      <w:pPr>
        <w:pStyle w:val="HTMLPreformatted"/>
      </w:pPr>
      <w:proofErr w:type="spellStart"/>
      <w:r>
        <w:rPr>
          <w:rStyle w:val="ffline"/>
        </w:rPr>
        <w:t>ccgtgttgaa</w:t>
      </w:r>
      <w:proofErr w:type="spellEnd"/>
      <w:r>
        <w:rPr>
          <w:rStyle w:val="ffline"/>
        </w:rPr>
        <w:t xml:space="preserve"> </w:t>
      </w:r>
      <w:proofErr w:type="spellStart"/>
      <w:r>
        <w:rPr>
          <w:rStyle w:val="ffline"/>
        </w:rPr>
        <w:t>tggtattcac</w:t>
      </w:r>
      <w:proofErr w:type="spellEnd"/>
      <w:r>
        <w:rPr>
          <w:rStyle w:val="ffline"/>
        </w:rPr>
        <w:t xml:space="preserve"> </w:t>
      </w:r>
      <w:proofErr w:type="spellStart"/>
      <w:r>
        <w:rPr>
          <w:rStyle w:val="ffline"/>
        </w:rPr>
        <w:t>cacgtactcg</w:t>
      </w:r>
      <w:proofErr w:type="spellEnd"/>
      <w:r>
        <w:rPr>
          <w:rStyle w:val="ffline"/>
        </w:rPr>
        <w:t xml:space="preserve"> </w:t>
      </w:r>
      <w:proofErr w:type="spellStart"/>
      <w:r>
        <w:rPr>
          <w:rStyle w:val="ffline"/>
        </w:rPr>
        <w:t>attgacccag</w:t>
      </w:r>
      <w:proofErr w:type="spellEnd"/>
      <w:r>
        <w:rPr>
          <w:rStyle w:val="ffline"/>
        </w:rPr>
        <w:t xml:space="preserve"> </w:t>
      </w:r>
      <w:proofErr w:type="spellStart"/>
      <w:r>
        <w:rPr>
          <w:rStyle w:val="ffline"/>
        </w:rPr>
        <w:t>tccaaaaggc</w:t>
      </w:r>
      <w:proofErr w:type="spellEnd"/>
      <w:r>
        <w:rPr>
          <w:rStyle w:val="ffline"/>
        </w:rPr>
        <w:t xml:space="preserve"> </w:t>
      </w:r>
      <w:proofErr w:type="spellStart"/>
      <w:r>
        <w:rPr>
          <w:rStyle w:val="ffline"/>
        </w:rPr>
        <w:t>acacaccaag</w:t>
      </w:r>
      <w:proofErr w:type="spellEnd"/>
    </w:p>
    <w:p w14:paraId="26FE5247" w14:textId="23370C38" w:rsidR="004803B9" w:rsidRDefault="004803B9" w:rsidP="004803B9">
      <w:pPr>
        <w:pStyle w:val="HTMLPreformatted"/>
      </w:pPr>
      <w:proofErr w:type="spellStart"/>
      <w:r>
        <w:rPr>
          <w:rStyle w:val="ffline"/>
        </w:rPr>
        <w:t>tacgccacta</w:t>
      </w:r>
      <w:proofErr w:type="spellEnd"/>
      <w:r>
        <w:rPr>
          <w:rStyle w:val="ffline"/>
        </w:rPr>
        <w:t xml:space="preserve"> </w:t>
      </w:r>
      <w:proofErr w:type="spellStart"/>
      <w:r>
        <w:rPr>
          <w:rStyle w:val="ffline"/>
        </w:rPr>
        <w:t>atagcacgcg</w:t>
      </w:r>
      <w:proofErr w:type="spellEnd"/>
      <w:r>
        <w:rPr>
          <w:rStyle w:val="ffline"/>
        </w:rPr>
        <w:t xml:space="preserve"> </w:t>
      </w:r>
      <w:proofErr w:type="spellStart"/>
      <w:r>
        <w:rPr>
          <w:rStyle w:val="ffline"/>
        </w:rPr>
        <w:t>gggtgttaat</w:t>
      </w:r>
      <w:proofErr w:type="spellEnd"/>
      <w:r>
        <w:rPr>
          <w:rStyle w:val="ffline"/>
        </w:rPr>
        <w:t xml:space="preserve"> </w:t>
      </w:r>
      <w:proofErr w:type="spellStart"/>
      <w:r>
        <w:rPr>
          <w:rStyle w:val="ffline"/>
        </w:rPr>
        <w:t>cataggcgaa</w:t>
      </w:r>
      <w:proofErr w:type="spellEnd"/>
      <w:r>
        <w:rPr>
          <w:rStyle w:val="ffline"/>
        </w:rPr>
        <w:t xml:space="preserve"> </w:t>
      </w:r>
      <w:proofErr w:type="spellStart"/>
      <w:r>
        <w:rPr>
          <w:rStyle w:val="ffline"/>
        </w:rPr>
        <w:t>gcatagattg</w:t>
      </w:r>
      <w:proofErr w:type="spellEnd"/>
      <w:r>
        <w:rPr>
          <w:rStyle w:val="ffline"/>
        </w:rPr>
        <w:t xml:space="preserve"> </w:t>
      </w:r>
      <w:proofErr w:type="spellStart"/>
      <w:r>
        <w:rPr>
          <w:rStyle w:val="ffline"/>
        </w:rPr>
        <w:t>ccatagttgg</w:t>
      </w:r>
      <w:proofErr w:type="spellEnd"/>
    </w:p>
    <w:p w14:paraId="05A7440A" w14:textId="11DC76E5" w:rsidR="004803B9" w:rsidRDefault="004803B9" w:rsidP="004803B9">
      <w:pPr>
        <w:pStyle w:val="HTMLPreformatted"/>
      </w:pPr>
      <w:proofErr w:type="spellStart"/>
      <w:r>
        <w:rPr>
          <w:rStyle w:val="ffline"/>
        </w:rPr>
        <w:t>gtggacacta</w:t>
      </w:r>
      <w:proofErr w:type="spellEnd"/>
      <w:r>
        <w:rPr>
          <w:rStyle w:val="ffline"/>
        </w:rPr>
        <w:t xml:space="preserve"> </w:t>
      </w:r>
      <w:proofErr w:type="spellStart"/>
      <w:r>
        <w:rPr>
          <w:rStyle w:val="ffline"/>
        </w:rPr>
        <w:t>tttgtaccca</w:t>
      </w:r>
      <w:proofErr w:type="spellEnd"/>
      <w:r>
        <w:rPr>
          <w:rStyle w:val="ffline"/>
        </w:rPr>
        <w:t xml:space="preserve"> </w:t>
      </w:r>
      <w:proofErr w:type="spellStart"/>
      <w:r>
        <w:rPr>
          <w:rStyle w:val="ffline"/>
        </w:rPr>
        <w:t>tcatgaggag</w:t>
      </w:r>
      <w:proofErr w:type="spellEnd"/>
      <w:r>
        <w:rPr>
          <w:rStyle w:val="ffline"/>
        </w:rPr>
        <w:t xml:space="preserve"> </w:t>
      </w:r>
      <w:proofErr w:type="spellStart"/>
      <w:r>
        <w:rPr>
          <w:rStyle w:val="ffline"/>
        </w:rPr>
        <w:t>cgaaagcact</w:t>
      </w:r>
      <w:proofErr w:type="spellEnd"/>
      <w:r>
        <w:rPr>
          <w:rStyle w:val="ffline"/>
        </w:rPr>
        <w:t xml:space="preserve"> </w:t>
      </w:r>
      <w:proofErr w:type="spellStart"/>
      <w:r>
        <w:rPr>
          <w:rStyle w:val="ffline"/>
        </w:rPr>
        <w:t>acacaggttt</w:t>
      </w:r>
      <w:proofErr w:type="spellEnd"/>
      <w:r>
        <w:rPr>
          <w:rStyle w:val="ffline"/>
        </w:rPr>
        <w:t xml:space="preserve"> </w:t>
      </w:r>
      <w:proofErr w:type="spellStart"/>
      <w:r>
        <w:rPr>
          <w:rStyle w:val="ffline"/>
        </w:rPr>
        <w:t>gtcctaaaca</w:t>
      </w:r>
      <w:proofErr w:type="spellEnd"/>
    </w:p>
    <w:p w14:paraId="7CE9E9BA" w14:textId="51C9EBA8" w:rsidR="004803B9" w:rsidRDefault="004803B9" w:rsidP="004803B9">
      <w:pPr>
        <w:pStyle w:val="HTMLPreformatted"/>
      </w:pPr>
      <w:proofErr w:type="spellStart"/>
      <w:r>
        <w:rPr>
          <w:rStyle w:val="ffline"/>
        </w:rPr>
        <w:t>tgagattgca</w:t>
      </w:r>
      <w:proofErr w:type="spellEnd"/>
      <w:r>
        <w:rPr>
          <w:rStyle w:val="ffline"/>
        </w:rPr>
        <w:t xml:space="preserve"> </w:t>
      </w:r>
      <w:proofErr w:type="spellStart"/>
      <w:r>
        <w:rPr>
          <w:rStyle w:val="ffline"/>
        </w:rPr>
        <w:t>tgccaaaaat</w:t>
      </w:r>
      <w:proofErr w:type="spellEnd"/>
      <w:r>
        <w:rPr>
          <w:rStyle w:val="ffline"/>
        </w:rPr>
        <w:t xml:space="preserve"> </w:t>
      </w:r>
      <w:proofErr w:type="spellStart"/>
      <w:r>
        <w:rPr>
          <w:rStyle w:val="ffline"/>
        </w:rPr>
        <w:t>agaattggtc</w:t>
      </w:r>
      <w:proofErr w:type="spellEnd"/>
      <w:r>
        <w:rPr>
          <w:rStyle w:val="ffline"/>
        </w:rPr>
        <w:t xml:space="preserve"> </w:t>
      </w:r>
      <w:proofErr w:type="spellStart"/>
      <w:r>
        <w:rPr>
          <w:rStyle w:val="ffline"/>
        </w:rPr>
        <w:t>ttggttccaa</w:t>
      </w:r>
      <w:proofErr w:type="spellEnd"/>
      <w:r>
        <w:rPr>
          <w:rStyle w:val="ffline"/>
        </w:rPr>
        <w:t xml:space="preserve"> </w:t>
      </w:r>
      <w:proofErr w:type="spellStart"/>
      <w:r>
        <w:rPr>
          <w:rStyle w:val="ffline"/>
        </w:rPr>
        <w:t>gtcgtatcaa</w:t>
      </w:r>
      <w:proofErr w:type="spellEnd"/>
      <w:r>
        <w:rPr>
          <w:rStyle w:val="ffline"/>
        </w:rPr>
        <w:t xml:space="preserve"> </w:t>
      </w:r>
      <w:proofErr w:type="spellStart"/>
      <w:r>
        <w:rPr>
          <w:rStyle w:val="ffline"/>
        </w:rPr>
        <w:t>gttgacttgc</w:t>
      </w:r>
      <w:proofErr w:type="spellEnd"/>
    </w:p>
    <w:p w14:paraId="34B88A51" w14:textId="4A627C46" w:rsidR="004803B9" w:rsidRDefault="004803B9" w:rsidP="004803B9">
      <w:pPr>
        <w:pStyle w:val="HTMLPreformatted"/>
      </w:pPr>
      <w:proofErr w:type="spellStart"/>
      <w:r>
        <w:rPr>
          <w:rStyle w:val="ffline"/>
        </w:rPr>
        <w:t>acctaagcag</w:t>
      </w:r>
      <w:proofErr w:type="spellEnd"/>
      <w:r>
        <w:rPr>
          <w:rStyle w:val="ffline"/>
        </w:rPr>
        <w:t xml:space="preserve"> </w:t>
      </w:r>
      <w:proofErr w:type="spellStart"/>
      <w:r>
        <w:rPr>
          <w:rStyle w:val="ffline"/>
        </w:rPr>
        <w:t>ccaaccataa</w:t>
      </w:r>
      <w:proofErr w:type="spellEnd"/>
      <w:r>
        <w:rPr>
          <w:rStyle w:val="ffline"/>
        </w:rPr>
        <w:t xml:space="preserve"> </w:t>
      </w:r>
      <w:proofErr w:type="spellStart"/>
      <w:r>
        <w:rPr>
          <w:rStyle w:val="ffline"/>
        </w:rPr>
        <w:t>ccaaaagcaa</w:t>
      </w:r>
      <w:proofErr w:type="spellEnd"/>
      <w:r>
        <w:rPr>
          <w:rStyle w:val="ffline"/>
        </w:rPr>
        <w:t xml:space="preserve"> </w:t>
      </w:r>
      <w:proofErr w:type="spellStart"/>
      <w:r>
        <w:rPr>
          <w:rStyle w:val="ffline"/>
        </w:rPr>
        <w:t>accaaaccca</w:t>
      </w:r>
      <w:proofErr w:type="spellEnd"/>
      <w:r>
        <w:rPr>
          <w:rStyle w:val="ffline"/>
        </w:rPr>
        <w:t xml:space="preserve"> </w:t>
      </w:r>
      <w:proofErr w:type="spellStart"/>
      <w:r>
        <w:rPr>
          <w:rStyle w:val="ffline"/>
        </w:rPr>
        <w:t>tgtacatatc</w:t>
      </w:r>
      <w:proofErr w:type="spellEnd"/>
      <w:r>
        <w:rPr>
          <w:rStyle w:val="ffline"/>
        </w:rPr>
        <w:t xml:space="preserve"> </w:t>
      </w:r>
      <w:proofErr w:type="spellStart"/>
      <w:r>
        <w:rPr>
          <w:rStyle w:val="ffline"/>
        </w:rPr>
        <w:t>ggctatcaac</w:t>
      </w:r>
      <w:proofErr w:type="spellEnd"/>
    </w:p>
    <w:p w14:paraId="269F281C" w14:textId="3F466704" w:rsidR="004803B9" w:rsidRDefault="004803B9" w:rsidP="004803B9">
      <w:pPr>
        <w:pStyle w:val="HTMLPreformatted"/>
      </w:pPr>
      <w:proofErr w:type="spellStart"/>
      <w:r>
        <w:rPr>
          <w:rStyle w:val="ffline"/>
        </w:rPr>
        <w:t>ccaagcttgg</w:t>
      </w:r>
      <w:proofErr w:type="spellEnd"/>
      <w:r>
        <w:rPr>
          <w:rStyle w:val="ffline"/>
        </w:rPr>
        <w:t xml:space="preserve"> </w:t>
      </w:r>
      <w:proofErr w:type="spellStart"/>
      <w:r>
        <w:rPr>
          <w:rStyle w:val="ffline"/>
        </w:rPr>
        <w:t>ttcaaaactt</w:t>
      </w:r>
      <w:proofErr w:type="spellEnd"/>
      <w:r>
        <w:rPr>
          <w:rStyle w:val="ffline"/>
        </w:rPr>
        <w:t xml:space="preserve"> </w:t>
      </w:r>
      <w:proofErr w:type="spellStart"/>
      <w:r>
        <w:rPr>
          <w:rStyle w:val="ffline"/>
        </w:rPr>
        <w:t>taataacaat</w:t>
      </w:r>
      <w:proofErr w:type="spellEnd"/>
      <w:r>
        <w:rPr>
          <w:rStyle w:val="ffline"/>
        </w:rPr>
        <w:t xml:space="preserve"> </w:t>
      </w:r>
      <w:proofErr w:type="spellStart"/>
      <w:r>
        <w:rPr>
          <w:rStyle w:val="ffline"/>
        </w:rPr>
        <w:t>cgggatatag</w:t>
      </w:r>
      <w:proofErr w:type="spellEnd"/>
      <w:r>
        <w:rPr>
          <w:rStyle w:val="ffline"/>
        </w:rPr>
        <w:t xml:space="preserve"> </w:t>
      </w:r>
      <w:proofErr w:type="spellStart"/>
      <w:r>
        <w:rPr>
          <w:rStyle w:val="ffline"/>
        </w:rPr>
        <w:t>ataaattgta</w:t>
      </w:r>
      <w:proofErr w:type="spellEnd"/>
      <w:r>
        <w:rPr>
          <w:rStyle w:val="ffline"/>
        </w:rPr>
        <w:t xml:space="preserve"> </w:t>
      </w:r>
      <w:proofErr w:type="spellStart"/>
      <w:r>
        <w:rPr>
          <w:rStyle w:val="ffline"/>
        </w:rPr>
        <w:t>atgcggcaat</w:t>
      </w:r>
      <w:proofErr w:type="spellEnd"/>
    </w:p>
    <w:p w14:paraId="42D2761D" w14:textId="0AEAD947" w:rsidR="004803B9" w:rsidRDefault="004803B9" w:rsidP="004803B9">
      <w:pPr>
        <w:pStyle w:val="HTMLPreformatted"/>
      </w:pPr>
      <w:proofErr w:type="spellStart"/>
      <w:r>
        <w:rPr>
          <w:rStyle w:val="ffline"/>
        </w:rPr>
        <w:t>ttgtaagcca</w:t>
      </w:r>
      <w:proofErr w:type="spellEnd"/>
      <w:r>
        <w:rPr>
          <w:rStyle w:val="ffline"/>
        </w:rPr>
        <w:t xml:space="preserve"> </w:t>
      </w:r>
      <w:proofErr w:type="spellStart"/>
      <w:r>
        <w:rPr>
          <w:rStyle w:val="ffline"/>
        </w:rPr>
        <w:t>atccacatgg</w:t>
      </w:r>
      <w:proofErr w:type="spellEnd"/>
      <w:r>
        <w:rPr>
          <w:rStyle w:val="ffline"/>
        </w:rPr>
        <w:t xml:space="preserve"> </w:t>
      </w:r>
      <w:proofErr w:type="spellStart"/>
      <w:r>
        <w:rPr>
          <w:rStyle w:val="ffline"/>
        </w:rPr>
        <w:t>tttgagtagg</w:t>
      </w:r>
      <w:proofErr w:type="spellEnd"/>
      <w:r>
        <w:rPr>
          <w:rStyle w:val="ffline"/>
        </w:rPr>
        <w:t xml:space="preserve"> </w:t>
      </w:r>
      <w:proofErr w:type="spellStart"/>
      <w:r>
        <w:rPr>
          <w:rStyle w:val="ffline"/>
        </w:rPr>
        <w:t>cttataacca</w:t>
      </w:r>
      <w:proofErr w:type="spellEnd"/>
      <w:r>
        <w:rPr>
          <w:rStyle w:val="ffline"/>
        </w:rPr>
        <w:t xml:space="preserve"> </w:t>
      </w:r>
      <w:proofErr w:type="spellStart"/>
      <w:r>
        <w:rPr>
          <w:rStyle w:val="ffline"/>
        </w:rPr>
        <w:t>tgcacagcgc</w:t>
      </w:r>
      <w:proofErr w:type="spellEnd"/>
      <w:r>
        <w:rPr>
          <w:rStyle w:val="ffline"/>
        </w:rPr>
        <w:t xml:space="preserve"> </w:t>
      </w:r>
      <w:proofErr w:type="spellStart"/>
      <w:r>
        <w:rPr>
          <w:rStyle w:val="ffline"/>
        </w:rPr>
        <w:t>ttaagtaatt</w:t>
      </w:r>
      <w:proofErr w:type="spellEnd"/>
    </w:p>
    <w:p w14:paraId="1F0A1C5D" w14:textId="6E9E1D95" w:rsidR="004803B9" w:rsidRDefault="004803B9" w:rsidP="004803B9">
      <w:pPr>
        <w:pStyle w:val="HTMLPreformatted"/>
      </w:pPr>
      <w:proofErr w:type="spellStart"/>
      <w:r>
        <w:rPr>
          <w:rStyle w:val="ffline"/>
        </w:rPr>
        <w:t>aagaggtaat</w:t>
      </w:r>
      <w:proofErr w:type="spellEnd"/>
      <w:r>
        <w:rPr>
          <w:rStyle w:val="ffline"/>
        </w:rPr>
        <w:t xml:space="preserve"> </w:t>
      </w:r>
      <w:proofErr w:type="spellStart"/>
      <w:r>
        <w:rPr>
          <w:rStyle w:val="ffline"/>
        </w:rPr>
        <w:t>gtactggttg</w:t>
      </w:r>
      <w:proofErr w:type="spellEnd"/>
      <w:r>
        <w:rPr>
          <w:rStyle w:val="ffline"/>
        </w:rPr>
        <w:t xml:space="preserve"> </w:t>
      </w:r>
      <w:proofErr w:type="spellStart"/>
      <w:r>
        <w:rPr>
          <w:rStyle w:val="ffline"/>
        </w:rPr>
        <w:t>acataccaat</w:t>
      </w:r>
      <w:proofErr w:type="spellEnd"/>
      <w:r>
        <w:rPr>
          <w:rStyle w:val="ffline"/>
        </w:rPr>
        <w:t xml:space="preserve"> </w:t>
      </w:r>
      <w:proofErr w:type="spellStart"/>
      <w:r>
        <w:rPr>
          <w:rStyle w:val="ffline"/>
        </w:rPr>
        <w:t>aaccacaaag</w:t>
      </w:r>
      <w:proofErr w:type="spellEnd"/>
      <w:r>
        <w:rPr>
          <w:rStyle w:val="ffline"/>
        </w:rPr>
        <w:t xml:space="preserve"> </w:t>
      </w:r>
      <w:proofErr w:type="spellStart"/>
      <w:r>
        <w:rPr>
          <w:rStyle w:val="ffline"/>
        </w:rPr>
        <w:t>cagaacaatg</w:t>
      </w:r>
      <w:proofErr w:type="spellEnd"/>
      <w:r>
        <w:rPr>
          <w:rStyle w:val="ffline"/>
        </w:rPr>
        <w:t xml:space="preserve"> </w:t>
      </w:r>
      <w:proofErr w:type="spellStart"/>
      <w:r>
        <w:rPr>
          <w:rStyle w:val="ffline"/>
        </w:rPr>
        <w:t>caataacagc</w:t>
      </w:r>
      <w:proofErr w:type="spellEnd"/>
    </w:p>
    <w:p w14:paraId="61EEEFDA" w14:textId="42E1BE16" w:rsidR="004803B9" w:rsidRDefault="004803B9" w:rsidP="004803B9">
      <w:pPr>
        <w:pStyle w:val="HTMLPreformatted"/>
      </w:pPr>
      <w:proofErr w:type="spellStart"/>
      <w:r>
        <w:rPr>
          <w:rStyle w:val="ffline"/>
        </w:rPr>
        <w:t>ataaccaaaa</w:t>
      </w:r>
      <w:proofErr w:type="spellEnd"/>
      <w:r>
        <w:rPr>
          <w:rStyle w:val="ffline"/>
        </w:rPr>
        <w:t xml:space="preserve"> </w:t>
      </w:r>
      <w:proofErr w:type="spellStart"/>
      <w:r>
        <w:rPr>
          <w:rStyle w:val="ffline"/>
        </w:rPr>
        <w:t>tttcgtattt</w:t>
      </w:r>
      <w:proofErr w:type="spellEnd"/>
      <w:r>
        <w:rPr>
          <w:rStyle w:val="ffline"/>
        </w:rPr>
        <w:t xml:space="preserve"> </w:t>
      </w:r>
      <w:proofErr w:type="spellStart"/>
      <w:r>
        <w:rPr>
          <w:rStyle w:val="ffline"/>
        </w:rPr>
        <w:t>cgagcatttg</w:t>
      </w:r>
      <w:proofErr w:type="spellEnd"/>
      <w:r>
        <w:rPr>
          <w:rStyle w:val="ffline"/>
        </w:rPr>
        <w:t xml:space="preserve"> </w:t>
      </w:r>
      <w:proofErr w:type="spellStart"/>
      <w:r>
        <w:rPr>
          <w:rStyle w:val="ffline"/>
        </w:rPr>
        <w:t>cggtttaatt</w:t>
      </w:r>
      <w:proofErr w:type="spellEnd"/>
      <w:r>
        <w:rPr>
          <w:rStyle w:val="ffline"/>
        </w:rPr>
        <w:t xml:space="preserve"> </w:t>
      </w:r>
      <w:proofErr w:type="spellStart"/>
      <w:r>
        <w:rPr>
          <w:rStyle w:val="ffline"/>
        </w:rPr>
        <w:t>aatggtgttg</w:t>
      </w:r>
      <w:proofErr w:type="spellEnd"/>
      <w:r>
        <w:rPr>
          <w:rStyle w:val="ffline"/>
        </w:rPr>
        <w:t xml:space="preserve"> </w:t>
      </w:r>
      <w:proofErr w:type="spellStart"/>
      <w:r>
        <w:rPr>
          <w:rStyle w:val="ffline"/>
        </w:rPr>
        <w:t>gatagcgcca</w:t>
      </w:r>
      <w:proofErr w:type="spellEnd"/>
    </w:p>
    <w:p w14:paraId="267476C2" w14:textId="69462DA1" w:rsidR="004803B9" w:rsidRDefault="004803B9" w:rsidP="004803B9">
      <w:pPr>
        <w:pStyle w:val="HTMLPreformatted"/>
      </w:pPr>
      <w:proofErr w:type="spellStart"/>
      <w:r>
        <w:rPr>
          <w:rStyle w:val="ffline"/>
        </w:rPr>
        <w:t>ttcatgtatt</w:t>
      </w:r>
      <w:proofErr w:type="spellEnd"/>
      <w:r>
        <w:rPr>
          <w:rStyle w:val="ffline"/>
        </w:rPr>
        <w:t xml:space="preserve"> </w:t>
      </w:r>
      <w:proofErr w:type="spellStart"/>
      <w:r>
        <w:rPr>
          <w:rStyle w:val="ffline"/>
        </w:rPr>
        <w:t>aaaaataaag</w:t>
      </w:r>
      <w:proofErr w:type="spellEnd"/>
      <w:r>
        <w:rPr>
          <w:rStyle w:val="ffline"/>
        </w:rPr>
        <w:t xml:space="preserve"> </w:t>
      </w:r>
      <w:proofErr w:type="spellStart"/>
      <w:r>
        <w:rPr>
          <w:rStyle w:val="ffline"/>
        </w:rPr>
        <w:t>gtagggtaat</w:t>
      </w:r>
      <w:proofErr w:type="spellEnd"/>
      <w:r>
        <w:rPr>
          <w:rStyle w:val="ffline"/>
        </w:rPr>
        <w:t xml:space="preserve"> </w:t>
      </w:r>
      <w:proofErr w:type="spellStart"/>
      <w:r>
        <w:rPr>
          <w:rStyle w:val="ffline"/>
        </w:rPr>
        <w:t>ggcactcatt</w:t>
      </w:r>
      <w:proofErr w:type="spellEnd"/>
      <w:r>
        <w:rPr>
          <w:rStyle w:val="ffline"/>
        </w:rPr>
        <w:t xml:space="preserve"> </w:t>
      </w:r>
      <w:proofErr w:type="spellStart"/>
      <w:r>
        <w:rPr>
          <w:rStyle w:val="ffline"/>
        </w:rPr>
        <w:t>aaagccaaaa</w:t>
      </w:r>
      <w:proofErr w:type="spellEnd"/>
      <w:r>
        <w:rPr>
          <w:rStyle w:val="ffline"/>
        </w:rPr>
        <w:t xml:space="preserve"> </w:t>
      </w:r>
      <w:proofErr w:type="spellStart"/>
      <w:r>
        <w:rPr>
          <w:rStyle w:val="ffline"/>
        </w:rPr>
        <w:t>cacaaatcaa</w:t>
      </w:r>
      <w:proofErr w:type="spellEnd"/>
    </w:p>
    <w:p w14:paraId="5CFCADEB" w14:textId="445158F2" w:rsidR="004803B9" w:rsidRDefault="004803B9" w:rsidP="004803B9">
      <w:pPr>
        <w:pStyle w:val="HTMLPreformatted"/>
      </w:pPr>
      <w:proofErr w:type="spellStart"/>
      <w:r>
        <w:rPr>
          <w:rStyle w:val="ffline"/>
        </w:rPr>
        <w:t>ttttgaatgg</w:t>
      </w:r>
      <w:proofErr w:type="spellEnd"/>
      <w:r>
        <w:rPr>
          <w:rStyle w:val="ffline"/>
        </w:rPr>
        <w:t xml:space="preserve"> </w:t>
      </w:r>
      <w:proofErr w:type="spellStart"/>
      <w:r>
        <w:rPr>
          <w:rStyle w:val="ffline"/>
        </w:rPr>
        <w:t>aaccagtcca</w:t>
      </w:r>
      <w:proofErr w:type="spellEnd"/>
      <w:r>
        <w:rPr>
          <w:rStyle w:val="ffline"/>
        </w:rPr>
        <w:t xml:space="preserve"> </w:t>
      </w:r>
      <w:proofErr w:type="spellStart"/>
      <w:r>
        <w:rPr>
          <w:rStyle w:val="ffline"/>
        </w:rPr>
        <w:t>aatgattgcc</w:t>
      </w:r>
      <w:proofErr w:type="spellEnd"/>
      <w:r>
        <w:rPr>
          <w:rStyle w:val="ffline"/>
        </w:rPr>
        <w:t xml:space="preserve"> </w:t>
      </w:r>
      <w:proofErr w:type="spellStart"/>
      <w:r>
        <w:rPr>
          <w:rStyle w:val="ffline"/>
        </w:rPr>
        <w:t>atgcaaaagc</w:t>
      </w:r>
      <w:proofErr w:type="spellEnd"/>
      <w:r>
        <w:rPr>
          <w:rStyle w:val="ffline"/>
        </w:rPr>
        <w:t xml:space="preserve"> </w:t>
      </w:r>
      <w:proofErr w:type="spellStart"/>
      <w:r>
        <w:rPr>
          <w:rStyle w:val="ffline"/>
        </w:rPr>
        <w:t>atggtactaa</w:t>
      </w:r>
      <w:proofErr w:type="spellEnd"/>
      <w:r>
        <w:rPr>
          <w:rStyle w:val="ffline"/>
        </w:rPr>
        <w:t xml:space="preserve"> </w:t>
      </w:r>
      <w:proofErr w:type="spellStart"/>
      <w:r>
        <w:rPr>
          <w:rStyle w:val="ffline"/>
        </w:rPr>
        <w:t>ggcttgccaa</w:t>
      </w:r>
      <w:proofErr w:type="spellEnd"/>
    </w:p>
    <w:p w14:paraId="64A8E81C" w14:textId="7FCE257C" w:rsidR="004803B9" w:rsidRDefault="004803B9" w:rsidP="004803B9">
      <w:pPr>
        <w:pStyle w:val="HTMLPreformatted"/>
      </w:pPr>
      <w:proofErr w:type="spellStart"/>
      <w:r>
        <w:rPr>
          <w:rStyle w:val="ffline"/>
        </w:rPr>
        <w:t>accaataatg</w:t>
      </w:r>
      <w:proofErr w:type="spellEnd"/>
      <w:r>
        <w:rPr>
          <w:rStyle w:val="ffline"/>
        </w:rPr>
        <w:t xml:space="preserve"> </w:t>
      </w:r>
      <w:proofErr w:type="spellStart"/>
      <w:r>
        <w:rPr>
          <w:rStyle w:val="ffline"/>
        </w:rPr>
        <w:t>gctagaatcg</w:t>
      </w:r>
      <w:proofErr w:type="spellEnd"/>
      <w:r>
        <w:rPr>
          <w:rStyle w:val="ffline"/>
        </w:rPr>
        <w:t xml:space="preserve"> </w:t>
      </w:r>
      <w:proofErr w:type="spellStart"/>
      <w:r>
        <w:rPr>
          <w:rStyle w:val="ffline"/>
        </w:rPr>
        <w:t>cgccagtcca</w:t>
      </w:r>
      <w:proofErr w:type="spellEnd"/>
      <w:r>
        <w:rPr>
          <w:rStyle w:val="ffline"/>
        </w:rPr>
        <w:t xml:space="preserve"> </w:t>
      </w:r>
      <w:proofErr w:type="spellStart"/>
      <w:r>
        <w:rPr>
          <w:rStyle w:val="ffline"/>
        </w:rPr>
        <w:t>atcgtaagtt</w:t>
      </w:r>
      <w:proofErr w:type="spellEnd"/>
      <w:r>
        <w:rPr>
          <w:rStyle w:val="ffline"/>
        </w:rPr>
        <w:t xml:space="preserve"> </w:t>
      </w:r>
      <w:proofErr w:type="spellStart"/>
      <w:r>
        <w:rPr>
          <w:rStyle w:val="ffline"/>
        </w:rPr>
        <w:t>tttattcttg</w:t>
      </w:r>
      <w:proofErr w:type="spellEnd"/>
      <w:r>
        <w:rPr>
          <w:rStyle w:val="ffline"/>
        </w:rPr>
        <w:t xml:space="preserve"> </w:t>
      </w:r>
      <w:proofErr w:type="spellStart"/>
      <w:r>
        <w:rPr>
          <w:rStyle w:val="ffline"/>
        </w:rPr>
        <w:t>agtaatttaa</w:t>
      </w:r>
      <w:proofErr w:type="spellEnd"/>
    </w:p>
    <w:p w14:paraId="3EDD6EE9" w14:textId="228103A1" w:rsidR="004803B9" w:rsidRDefault="004803B9" w:rsidP="004803B9">
      <w:pPr>
        <w:pStyle w:val="HTMLPreformatted"/>
      </w:pPr>
      <w:proofErr w:type="spellStart"/>
      <w:r>
        <w:rPr>
          <w:rStyle w:val="ffline"/>
        </w:rPr>
        <w:t>cggatcttgc</w:t>
      </w:r>
      <w:proofErr w:type="spellEnd"/>
      <w:r>
        <w:rPr>
          <w:rStyle w:val="ffline"/>
        </w:rPr>
        <w:t xml:space="preserve"> </w:t>
      </w:r>
      <w:proofErr w:type="spellStart"/>
      <w:r>
        <w:rPr>
          <w:rStyle w:val="ffline"/>
        </w:rPr>
        <w:t>ggaataccga</w:t>
      </w:r>
      <w:proofErr w:type="spellEnd"/>
      <w:r>
        <w:rPr>
          <w:rStyle w:val="ffline"/>
        </w:rPr>
        <w:t xml:space="preserve"> </w:t>
      </w:r>
      <w:proofErr w:type="spellStart"/>
      <w:r>
        <w:rPr>
          <w:rStyle w:val="ffline"/>
        </w:rPr>
        <w:t>agtaaactaa</w:t>
      </w:r>
      <w:proofErr w:type="spellEnd"/>
      <w:r>
        <w:rPr>
          <w:rStyle w:val="ffline"/>
        </w:rPr>
        <w:t xml:space="preserve"> </w:t>
      </w:r>
      <w:proofErr w:type="spellStart"/>
      <w:r>
        <w:rPr>
          <w:rStyle w:val="ffline"/>
        </w:rPr>
        <w:t>cgcagcactt</w:t>
      </w:r>
      <w:proofErr w:type="spellEnd"/>
      <w:r>
        <w:rPr>
          <w:rStyle w:val="ffline"/>
        </w:rPr>
        <w:t xml:space="preserve"> </w:t>
      </w:r>
      <w:proofErr w:type="spellStart"/>
      <w:r>
        <w:rPr>
          <w:rStyle w:val="ffline"/>
        </w:rPr>
        <w:t>aaagcacaaa</w:t>
      </w:r>
      <w:proofErr w:type="spellEnd"/>
      <w:r>
        <w:rPr>
          <w:rStyle w:val="ffline"/>
        </w:rPr>
        <w:t xml:space="preserve"> </w:t>
      </w:r>
      <w:proofErr w:type="spellStart"/>
      <w:r>
        <w:rPr>
          <w:rStyle w:val="ffline"/>
        </w:rPr>
        <w:t>aaggaatggt</w:t>
      </w:r>
      <w:proofErr w:type="spellEnd"/>
    </w:p>
    <w:p w14:paraId="4FF4BA55" w14:textId="4A74FB73" w:rsidR="004803B9" w:rsidRDefault="004803B9" w:rsidP="004803B9">
      <w:pPr>
        <w:pStyle w:val="HTMLPreformatted"/>
      </w:pPr>
      <w:proofErr w:type="spellStart"/>
      <w:r>
        <w:rPr>
          <w:rStyle w:val="ffline"/>
        </w:rPr>
        <w:t>ttggaaaaat</w:t>
      </w:r>
      <w:proofErr w:type="spellEnd"/>
      <w:r>
        <w:rPr>
          <w:rStyle w:val="ffline"/>
        </w:rPr>
        <w:t xml:space="preserve"> </w:t>
      </w:r>
      <w:proofErr w:type="spellStart"/>
      <w:r>
        <w:rPr>
          <w:rStyle w:val="ffline"/>
        </w:rPr>
        <w:t>atcatcttcc</w:t>
      </w:r>
      <w:proofErr w:type="spellEnd"/>
      <w:r>
        <w:rPr>
          <w:rStyle w:val="ffline"/>
        </w:rPr>
        <w:t xml:space="preserve"> </w:t>
      </w:r>
      <w:proofErr w:type="spellStart"/>
      <w:r>
        <w:rPr>
          <w:rStyle w:val="ffline"/>
        </w:rPr>
        <w:t>aaccaatcac</w:t>
      </w:r>
      <w:proofErr w:type="spellEnd"/>
      <w:r>
        <w:rPr>
          <w:rStyle w:val="ffline"/>
        </w:rPr>
        <w:t xml:space="preserve"> </w:t>
      </w:r>
      <w:proofErr w:type="spellStart"/>
      <w:r>
        <w:rPr>
          <w:rStyle w:val="ffline"/>
        </w:rPr>
        <w:t>atctaaataa</w:t>
      </w:r>
      <w:proofErr w:type="spellEnd"/>
      <w:r>
        <w:rPr>
          <w:rStyle w:val="ffline"/>
        </w:rPr>
        <w:t xml:space="preserve"> </w:t>
      </w:r>
      <w:proofErr w:type="spellStart"/>
      <w:r>
        <w:rPr>
          <w:rStyle w:val="ffline"/>
        </w:rPr>
        <w:t>aaggcagcaa</w:t>
      </w:r>
      <w:proofErr w:type="spellEnd"/>
      <w:r>
        <w:rPr>
          <w:rStyle w:val="ffline"/>
        </w:rPr>
        <w:t xml:space="preserve"> </w:t>
      </w:r>
      <w:proofErr w:type="spellStart"/>
      <w:r>
        <w:rPr>
          <w:rStyle w:val="ffline"/>
        </w:rPr>
        <w:t>gcgcagcgct</w:t>
      </w:r>
      <w:proofErr w:type="spellEnd"/>
    </w:p>
    <w:p w14:paraId="7A9D38F9" w14:textId="04DF3AF4" w:rsidR="004803B9" w:rsidRDefault="004803B9" w:rsidP="004803B9">
      <w:pPr>
        <w:pStyle w:val="HTMLPreformatted"/>
      </w:pPr>
      <w:proofErr w:type="spellStart"/>
      <w:r>
        <w:rPr>
          <w:rStyle w:val="ffline"/>
        </w:rPr>
        <w:t>taagtttggg</w:t>
      </w:r>
      <w:proofErr w:type="spellEnd"/>
      <w:r>
        <w:rPr>
          <w:rStyle w:val="ffline"/>
        </w:rPr>
        <w:t xml:space="preserve"> </w:t>
      </w:r>
      <w:proofErr w:type="spellStart"/>
      <w:r>
        <w:rPr>
          <w:rStyle w:val="ffline"/>
        </w:rPr>
        <w:t>aaaaaagttg</w:t>
      </w:r>
      <w:proofErr w:type="spellEnd"/>
      <w:r>
        <w:rPr>
          <w:rStyle w:val="ffline"/>
        </w:rPr>
        <w:t xml:space="preserve"> </w:t>
      </w:r>
      <w:proofErr w:type="spellStart"/>
      <w:r>
        <w:rPr>
          <w:rStyle w:val="ffline"/>
        </w:rPr>
        <w:t>ctgtcaatgc</w:t>
      </w:r>
      <w:proofErr w:type="spellEnd"/>
      <w:r>
        <w:rPr>
          <w:rStyle w:val="ffline"/>
        </w:rPr>
        <w:t xml:space="preserve"> </w:t>
      </w:r>
      <w:proofErr w:type="spellStart"/>
      <w:r>
        <w:rPr>
          <w:rStyle w:val="ffline"/>
        </w:rPr>
        <w:t>atagcaggcc</w:t>
      </w:r>
      <w:proofErr w:type="spellEnd"/>
      <w:r>
        <w:rPr>
          <w:rStyle w:val="ffline"/>
        </w:rPr>
        <w:t xml:space="preserve"> </w:t>
      </w:r>
      <w:proofErr w:type="spellStart"/>
      <w:r>
        <w:rPr>
          <w:rStyle w:val="ffline"/>
        </w:rPr>
        <w:t>aagccccata</w:t>
      </w:r>
      <w:proofErr w:type="spellEnd"/>
      <w:r>
        <w:rPr>
          <w:rStyle w:val="ffline"/>
        </w:rPr>
        <w:t xml:space="preserve"> </w:t>
      </w:r>
      <w:proofErr w:type="spellStart"/>
      <w:r>
        <w:rPr>
          <w:rStyle w:val="ffline"/>
        </w:rPr>
        <w:t>gacgaatttc</w:t>
      </w:r>
      <w:proofErr w:type="spellEnd"/>
    </w:p>
    <w:p w14:paraId="7C9FB073" w14:textId="02E563C2" w:rsidR="004803B9" w:rsidRDefault="004803B9" w:rsidP="004803B9">
      <w:pPr>
        <w:pStyle w:val="HTMLPreformatted"/>
      </w:pPr>
      <w:proofErr w:type="spellStart"/>
      <w:r>
        <w:rPr>
          <w:rStyle w:val="ffline"/>
        </w:rPr>
        <w:t>aggccctagg</w:t>
      </w:r>
      <w:proofErr w:type="spellEnd"/>
      <w:r>
        <w:rPr>
          <w:rStyle w:val="ffline"/>
        </w:rPr>
        <w:t xml:space="preserve"> </w:t>
      </w:r>
      <w:proofErr w:type="spellStart"/>
      <w:r>
        <w:rPr>
          <w:rStyle w:val="ffline"/>
        </w:rPr>
        <w:t>aatctaagtg</w:t>
      </w:r>
      <w:proofErr w:type="spellEnd"/>
      <w:r>
        <w:rPr>
          <w:rStyle w:val="ffline"/>
        </w:rPr>
        <w:t xml:space="preserve"> </w:t>
      </w:r>
      <w:proofErr w:type="spellStart"/>
      <w:r>
        <w:rPr>
          <w:rStyle w:val="ffline"/>
        </w:rPr>
        <w:t>cacatgccat</w:t>
      </w:r>
      <w:proofErr w:type="spellEnd"/>
      <w:r>
        <w:rPr>
          <w:rStyle w:val="ffline"/>
        </w:rPr>
        <w:t xml:space="preserve"> </w:t>
      </w:r>
      <w:proofErr w:type="spellStart"/>
      <w:r>
        <w:rPr>
          <w:rStyle w:val="ffline"/>
        </w:rPr>
        <w:t>taataaagga</w:t>
      </w:r>
      <w:proofErr w:type="spellEnd"/>
      <w:r>
        <w:rPr>
          <w:rStyle w:val="ffline"/>
        </w:rPr>
        <w:t xml:space="preserve"> </w:t>
      </w:r>
      <w:proofErr w:type="spellStart"/>
      <w:r>
        <w:rPr>
          <w:rStyle w:val="ffline"/>
        </w:rPr>
        <w:t>atagttaagc</w:t>
      </w:r>
      <w:proofErr w:type="spellEnd"/>
      <w:r>
        <w:rPr>
          <w:rStyle w:val="ffline"/>
        </w:rPr>
        <w:t xml:space="preserve"> </w:t>
      </w:r>
      <w:proofErr w:type="spellStart"/>
      <w:r>
        <w:rPr>
          <w:rStyle w:val="ffline"/>
        </w:rPr>
        <w:t>cattggcgag</w:t>
      </w:r>
      <w:proofErr w:type="spellEnd"/>
    </w:p>
    <w:p w14:paraId="15411FB2" w14:textId="3530B709" w:rsidR="004803B9" w:rsidRDefault="004803B9" w:rsidP="004803B9">
      <w:pPr>
        <w:pStyle w:val="HTMLPreformatted"/>
      </w:pPr>
      <w:proofErr w:type="spellStart"/>
      <w:r>
        <w:rPr>
          <w:rStyle w:val="ffline"/>
        </w:rPr>
        <w:t>tccttgtaag</w:t>
      </w:r>
      <w:proofErr w:type="spellEnd"/>
      <w:r>
        <w:rPr>
          <w:rStyle w:val="ffline"/>
        </w:rPr>
        <w:t xml:space="preserve"> </w:t>
      </w:r>
      <w:proofErr w:type="spellStart"/>
      <w:r>
        <w:rPr>
          <w:rStyle w:val="ffline"/>
        </w:rPr>
        <w:t>ccccgtaata</w:t>
      </w:r>
      <w:proofErr w:type="spellEnd"/>
      <w:r>
        <w:rPr>
          <w:rStyle w:val="ffline"/>
        </w:rPr>
        <w:t xml:space="preserve"> </w:t>
      </w:r>
      <w:proofErr w:type="spellStart"/>
      <w:r>
        <w:rPr>
          <w:rStyle w:val="ffline"/>
        </w:rPr>
        <w:t>aataaaatat</w:t>
      </w:r>
      <w:proofErr w:type="spellEnd"/>
      <w:r>
        <w:rPr>
          <w:rStyle w:val="ffline"/>
        </w:rPr>
        <w:t xml:space="preserve"> </w:t>
      </w:r>
      <w:proofErr w:type="spellStart"/>
      <w:r>
        <w:rPr>
          <w:rStyle w:val="ffline"/>
        </w:rPr>
        <w:t>ttcgatattt</w:t>
      </w:r>
      <w:proofErr w:type="spellEnd"/>
      <w:r>
        <w:rPr>
          <w:rStyle w:val="ffline"/>
        </w:rPr>
        <w:t xml:space="preserve"> </w:t>
      </w:r>
      <w:proofErr w:type="spellStart"/>
      <w:r>
        <w:rPr>
          <w:rStyle w:val="ffline"/>
        </w:rPr>
        <w:t>gggctaaaag</w:t>
      </w:r>
      <w:proofErr w:type="spellEnd"/>
      <w:r>
        <w:rPr>
          <w:rStyle w:val="ffline"/>
        </w:rPr>
        <w:t xml:space="preserve"> </w:t>
      </w:r>
      <w:proofErr w:type="spellStart"/>
      <w:r>
        <w:rPr>
          <w:rStyle w:val="ffline"/>
        </w:rPr>
        <w:t>gaattaaaac</w:t>
      </w:r>
      <w:proofErr w:type="spellEnd"/>
    </w:p>
    <w:p w14:paraId="7E69A323" w14:textId="28EA9889" w:rsidR="004803B9" w:rsidRDefault="004803B9" w:rsidP="004803B9">
      <w:pPr>
        <w:pStyle w:val="HTMLPreformatted"/>
      </w:pPr>
      <w:proofErr w:type="spellStart"/>
      <w:r>
        <w:rPr>
          <w:rStyle w:val="ffline"/>
        </w:rPr>
        <w:t>gctagagaag</w:t>
      </w:r>
      <w:proofErr w:type="spellEnd"/>
      <w:r>
        <w:rPr>
          <w:rStyle w:val="ffline"/>
        </w:rPr>
        <w:t xml:space="preserve"> </w:t>
      </w:r>
      <w:proofErr w:type="spellStart"/>
      <w:r>
        <w:rPr>
          <w:rStyle w:val="ffline"/>
        </w:rPr>
        <w:t>aggcaaagtc</w:t>
      </w:r>
      <w:proofErr w:type="spellEnd"/>
      <w:r>
        <w:rPr>
          <w:rStyle w:val="ffline"/>
        </w:rPr>
        <w:t xml:space="preserve"> </w:t>
      </w:r>
      <w:proofErr w:type="spellStart"/>
      <w:r>
        <w:rPr>
          <w:rStyle w:val="ffline"/>
        </w:rPr>
        <w:t>ctatcgcaaa</w:t>
      </w:r>
      <w:proofErr w:type="spellEnd"/>
      <w:r>
        <w:rPr>
          <w:rStyle w:val="ffline"/>
        </w:rPr>
        <w:t xml:space="preserve"> </w:t>
      </w:r>
      <w:proofErr w:type="spellStart"/>
      <w:r>
        <w:rPr>
          <w:rStyle w:val="ffline"/>
        </w:rPr>
        <w:t>aagaagaacc</w:t>
      </w:r>
      <w:proofErr w:type="spellEnd"/>
      <w:r>
        <w:rPr>
          <w:rStyle w:val="ffline"/>
        </w:rPr>
        <w:t xml:space="preserve"> </w:t>
      </w:r>
      <w:proofErr w:type="spellStart"/>
      <w:r>
        <w:rPr>
          <w:rStyle w:val="ffline"/>
        </w:rPr>
        <w:t>cgacgcatag</w:t>
      </w:r>
      <w:proofErr w:type="spellEnd"/>
      <w:r>
        <w:rPr>
          <w:rStyle w:val="ffline"/>
        </w:rPr>
        <w:t xml:space="preserve"> </w:t>
      </w:r>
      <w:proofErr w:type="spellStart"/>
      <w:r>
        <w:rPr>
          <w:rStyle w:val="ffline"/>
        </w:rPr>
        <w:t>aaaaaataac</w:t>
      </w:r>
      <w:proofErr w:type="spellEnd"/>
    </w:p>
    <w:p w14:paraId="35A46DC0" w14:textId="4AEA7618" w:rsidR="004803B9" w:rsidRDefault="004803B9" w:rsidP="004803B9">
      <w:pPr>
        <w:pStyle w:val="HTMLPreformatted"/>
      </w:pPr>
      <w:proofErr w:type="spellStart"/>
      <w:r>
        <w:rPr>
          <w:rStyle w:val="ffline"/>
        </w:rPr>
        <w:t>cgcccaactg</w:t>
      </w:r>
      <w:proofErr w:type="spellEnd"/>
      <w:r>
        <w:rPr>
          <w:rStyle w:val="ffline"/>
        </w:rPr>
        <w:t xml:space="preserve"> </w:t>
      </w:r>
      <w:proofErr w:type="spellStart"/>
      <w:r>
        <w:rPr>
          <w:rStyle w:val="ffline"/>
        </w:rPr>
        <w:t>gtggacagga</w:t>
      </w:r>
      <w:proofErr w:type="spellEnd"/>
      <w:r>
        <w:rPr>
          <w:rStyle w:val="ffline"/>
        </w:rPr>
        <w:t xml:space="preserve"> </w:t>
      </w:r>
      <w:proofErr w:type="spellStart"/>
      <w:r>
        <w:rPr>
          <w:rStyle w:val="ffline"/>
        </w:rPr>
        <w:t>tcatcccaat</w:t>
      </w:r>
      <w:proofErr w:type="spellEnd"/>
      <w:r>
        <w:rPr>
          <w:rStyle w:val="ffline"/>
        </w:rPr>
        <w:t xml:space="preserve"> </w:t>
      </w:r>
      <w:proofErr w:type="spellStart"/>
      <w:r>
        <w:rPr>
          <w:rStyle w:val="ffline"/>
        </w:rPr>
        <w:t>aatcatggca</w:t>
      </w:r>
      <w:proofErr w:type="spellEnd"/>
      <w:r>
        <w:rPr>
          <w:rStyle w:val="ffline"/>
        </w:rPr>
        <w:t xml:space="preserve"> </w:t>
      </w:r>
      <w:proofErr w:type="spellStart"/>
      <w:r>
        <w:rPr>
          <w:rStyle w:val="ffline"/>
        </w:rPr>
        <w:t>ctggcataaa</w:t>
      </w:r>
      <w:proofErr w:type="spellEnd"/>
      <w:r>
        <w:rPr>
          <w:rStyle w:val="ffline"/>
        </w:rPr>
        <w:t xml:space="preserve"> </w:t>
      </w:r>
      <w:proofErr w:type="spellStart"/>
      <w:r>
        <w:rPr>
          <w:rStyle w:val="ffline"/>
        </w:rPr>
        <w:t>tactgctgac</w:t>
      </w:r>
      <w:proofErr w:type="spellEnd"/>
    </w:p>
    <w:p w14:paraId="0013384B" w14:textId="1FC144A5" w:rsidR="004803B9" w:rsidRDefault="004803B9" w:rsidP="004803B9">
      <w:pPr>
        <w:pStyle w:val="HTMLPreformatted"/>
      </w:pPr>
      <w:proofErr w:type="spellStart"/>
      <w:r>
        <w:rPr>
          <w:rStyle w:val="ffline"/>
        </w:rPr>
        <w:t>ccaataacca</w:t>
      </w:r>
      <w:proofErr w:type="spellEnd"/>
      <w:r>
        <w:rPr>
          <w:rStyle w:val="ffline"/>
        </w:rPr>
        <w:t xml:space="preserve"> </w:t>
      </w:r>
      <w:proofErr w:type="spellStart"/>
      <w:r>
        <w:rPr>
          <w:rStyle w:val="ffline"/>
        </w:rPr>
        <w:t>gagtcgacac</w:t>
      </w:r>
      <w:proofErr w:type="spellEnd"/>
      <w:r>
        <w:rPr>
          <w:rStyle w:val="ffline"/>
        </w:rPr>
        <w:t xml:space="preserve"> </w:t>
      </w:r>
      <w:proofErr w:type="spellStart"/>
      <w:r>
        <w:rPr>
          <w:rStyle w:val="ffline"/>
        </w:rPr>
        <w:t>taatacccat</w:t>
      </w:r>
      <w:proofErr w:type="spellEnd"/>
      <w:r>
        <w:rPr>
          <w:rStyle w:val="ffline"/>
        </w:rPr>
        <w:t xml:space="preserve"> </w:t>
      </w:r>
      <w:proofErr w:type="spellStart"/>
      <w:r>
        <w:rPr>
          <w:rStyle w:val="ffline"/>
        </w:rPr>
        <w:t>ctcaccgcga</w:t>
      </w:r>
      <w:proofErr w:type="spellEnd"/>
      <w:r>
        <w:rPr>
          <w:rStyle w:val="ffline"/>
        </w:rPr>
        <w:t xml:space="preserve"> </w:t>
      </w:r>
      <w:proofErr w:type="spellStart"/>
      <w:r>
        <w:rPr>
          <w:rStyle w:val="ffline"/>
        </w:rPr>
        <w:t>atatcgacca</w:t>
      </w:r>
      <w:proofErr w:type="spellEnd"/>
      <w:r>
        <w:rPr>
          <w:rStyle w:val="ffline"/>
        </w:rPr>
        <w:t xml:space="preserve"> </w:t>
      </w:r>
      <w:proofErr w:type="spellStart"/>
      <w:r>
        <w:rPr>
          <w:rStyle w:val="ffline"/>
        </w:rPr>
        <w:t>aggtaatgct</w:t>
      </w:r>
      <w:proofErr w:type="spellEnd"/>
    </w:p>
    <w:p w14:paraId="7C634B0B" w14:textId="5473442F" w:rsidR="004803B9" w:rsidRDefault="004803B9" w:rsidP="004803B9">
      <w:pPr>
        <w:pStyle w:val="HTMLPreformatted"/>
      </w:pPr>
      <w:proofErr w:type="spellStart"/>
      <w:r>
        <w:rPr>
          <w:rStyle w:val="ffline"/>
        </w:rPr>
        <w:t>gctaattcgg</w:t>
      </w:r>
      <w:proofErr w:type="spellEnd"/>
      <w:r>
        <w:rPr>
          <w:rStyle w:val="ffline"/>
        </w:rPr>
        <w:t xml:space="preserve"> </w:t>
      </w:r>
      <w:proofErr w:type="spellStart"/>
      <w:r>
        <w:rPr>
          <w:rStyle w:val="ffline"/>
        </w:rPr>
        <w:t>ttattaaatt</w:t>
      </w:r>
      <w:proofErr w:type="spellEnd"/>
      <w:r>
        <w:rPr>
          <w:rStyle w:val="ffline"/>
        </w:rPr>
        <w:t xml:space="preserve"> </w:t>
      </w:r>
      <w:proofErr w:type="spellStart"/>
      <w:r>
        <w:rPr>
          <w:rStyle w:val="ffline"/>
        </w:rPr>
        <w:t>cgacagtcat</w:t>
      </w:r>
      <w:proofErr w:type="spellEnd"/>
      <w:r>
        <w:rPr>
          <w:rStyle w:val="ffline"/>
        </w:rPr>
        <w:t xml:space="preserve"> </w:t>
      </w:r>
      <w:proofErr w:type="spellStart"/>
      <w:r>
        <w:rPr>
          <w:rStyle w:val="ffline"/>
        </w:rPr>
        <w:t>ggctgcaaaa</w:t>
      </w:r>
      <w:proofErr w:type="spellEnd"/>
      <w:r>
        <w:rPr>
          <w:rStyle w:val="ffline"/>
        </w:rPr>
        <w:t xml:space="preserve"> </w:t>
      </w:r>
      <w:proofErr w:type="spellStart"/>
      <w:r>
        <w:rPr>
          <w:rStyle w:val="ffline"/>
        </w:rPr>
        <w:t>attgcacctg</w:t>
      </w:r>
      <w:proofErr w:type="spellEnd"/>
      <w:r>
        <w:rPr>
          <w:rStyle w:val="ffline"/>
        </w:rPr>
        <w:t xml:space="preserve"> </w:t>
      </w:r>
      <w:proofErr w:type="spellStart"/>
      <w:r>
        <w:rPr>
          <w:rStyle w:val="ffline"/>
        </w:rPr>
        <w:t>ccaaaccgat</w:t>
      </w:r>
      <w:proofErr w:type="spellEnd"/>
    </w:p>
    <w:p w14:paraId="0842CEE0" w14:textId="650B9B89" w:rsidR="004803B9" w:rsidRDefault="004803B9" w:rsidP="004803B9">
      <w:pPr>
        <w:pStyle w:val="HTMLPreformatted"/>
      </w:pPr>
      <w:proofErr w:type="spellStart"/>
      <w:r>
        <w:rPr>
          <w:rStyle w:val="ffline"/>
        </w:rPr>
        <w:t>gagtggtcgt</w:t>
      </w:r>
      <w:proofErr w:type="spellEnd"/>
      <w:r>
        <w:rPr>
          <w:rStyle w:val="ffline"/>
        </w:rPr>
        <w:t xml:space="preserve"> </w:t>
      </w:r>
      <w:proofErr w:type="spellStart"/>
      <w:r>
        <w:rPr>
          <w:rStyle w:val="ffline"/>
        </w:rPr>
        <w:t>atattcat</w:t>
      </w:r>
      <w:proofErr w:type="spellEnd"/>
    </w:p>
    <w:p w14:paraId="06071B74" w14:textId="77777777" w:rsidR="004803B9" w:rsidRDefault="004803B9" w:rsidP="004803B9"/>
    <w:p w14:paraId="532AFF44" w14:textId="3DD857B2" w:rsidR="004803B9" w:rsidRDefault="004803B9" w:rsidP="004803B9">
      <w:r>
        <w:t>&gt;A1S_1800 (</w:t>
      </w:r>
      <w:proofErr w:type="spellStart"/>
      <w:r w:rsidRPr="004803B9">
        <w:rPr>
          <w:i/>
          <w:iCs/>
        </w:rPr>
        <w:t>amfD</w:t>
      </w:r>
      <w:proofErr w:type="spellEnd"/>
      <w:r>
        <w:t>)</w:t>
      </w:r>
      <w:r w:rsidR="00533253">
        <w:t xml:space="preserve"> GenBank: CP000521.1</w:t>
      </w:r>
    </w:p>
    <w:p w14:paraId="6B0951A1" w14:textId="0BCD6DF9" w:rsidR="004803B9" w:rsidRDefault="004803B9" w:rsidP="004803B9">
      <w:pPr>
        <w:pStyle w:val="HTMLPreformatted"/>
      </w:pPr>
      <w:proofErr w:type="spellStart"/>
      <w:r>
        <w:rPr>
          <w:rStyle w:val="ffline"/>
        </w:rPr>
        <w:t>atggttattg</w:t>
      </w:r>
      <w:proofErr w:type="spellEnd"/>
      <w:r>
        <w:rPr>
          <w:rStyle w:val="ffline"/>
        </w:rPr>
        <w:t xml:space="preserve"> </w:t>
      </w:r>
      <w:proofErr w:type="spellStart"/>
      <w:r>
        <w:rPr>
          <w:rStyle w:val="ffline"/>
        </w:rPr>
        <w:t>catttattat</w:t>
      </w:r>
      <w:proofErr w:type="spellEnd"/>
      <w:r>
        <w:rPr>
          <w:rStyle w:val="ffline"/>
        </w:rPr>
        <w:t xml:space="preserve"> </w:t>
      </w:r>
      <w:proofErr w:type="spellStart"/>
      <w:r>
        <w:rPr>
          <w:rStyle w:val="ffline"/>
        </w:rPr>
        <w:t>tgttctagtt</w:t>
      </w:r>
      <w:proofErr w:type="spellEnd"/>
      <w:r>
        <w:rPr>
          <w:rStyle w:val="ffline"/>
        </w:rPr>
        <w:t xml:space="preserve"> </w:t>
      </w:r>
      <w:proofErr w:type="spellStart"/>
      <w:r>
        <w:rPr>
          <w:rStyle w:val="ffline"/>
        </w:rPr>
        <w:t>tccattttat</w:t>
      </w:r>
      <w:proofErr w:type="spellEnd"/>
      <w:r>
        <w:rPr>
          <w:rStyle w:val="ffline"/>
        </w:rPr>
        <w:t xml:space="preserve"> </w:t>
      </w:r>
      <w:proofErr w:type="spellStart"/>
      <w:r>
        <w:rPr>
          <w:rStyle w:val="ffline"/>
        </w:rPr>
        <w:t>ggattttaaa</w:t>
      </w:r>
      <w:proofErr w:type="spellEnd"/>
      <w:r>
        <w:rPr>
          <w:rStyle w:val="ffline"/>
        </w:rPr>
        <w:t xml:space="preserve"> </w:t>
      </w:r>
      <w:proofErr w:type="spellStart"/>
      <w:r>
        <w:rPr>
          <w:rStyle w:val="ffline"/>
        </w:rPr>
        <w:t>agttatattt</w:t>
      </w:r>
      <w:proofErr w:type="spellEnd"/>
    </w:p>
    <w:p w14:paraId="5F8D8CF1" w14:textId="63009E34" w:rsidR="004803B9" w:rsidRDefault="004803B9" w:rsidP="004803B9">
      <w:pPr>
        <w:pStyle w:val="HTMLPreformatted"/>
      </w:pPr>
      <w:proofErr w:type="spellStart"/>
      <w:r>
        <w:rPr>
          <w:rStyle w:val="ffline"/>
        </w:rPr>
        <w:t>ttaccttctt</w:t>
      </w:r>
      <w:proofErr w:type="spellEnd"/>
      <w:r>
        <w:rPr>
          <w:rStyle w:val="ffline"/>
        </w:rPr>
        <w:t xml:space="preserve"> </w:t>
      </w:r>
      <w:proofErr w:type="spellStart"/>
      <w:r>
        <w:rPr>
          <w:rStyle w:val="ffline"/>
        </w:rPr>
        <w:t>ccgttgttaa</w:t>
      </w:r>
      <w:proofErr w:type="spellEnd"/>
      <w:r>
        <w:rPr>
          <w:rStyle w:val="ffline"/>
        </w:rPr>
        <w:t xml:space="preserve"> </w:t>
      </w:r>
      <w:proofErr w:type="spellStart"/>
      <w:r>
        <w:rPr>
          <w:rStyle w:val="ffline"/>
        </w:rPr>
        <w:t>aactgacgat</w:t>
      </w:r>
      <w:proofErr w:type="spellEnd"/>
      <w:r>
        <w:rPr>
          <w:rStyle w:val="ffline"/>
        </w:rPr>
        <w:t xml:space="preserve"> </w:t>
      </w:r>
      <w:proofErr w:type="spellStart"/>
      <w:r>
        <w:rPr>
          <w:rStyle w:val="ffline"/>
        </w:rPr>
        <w:t>gcgcgggtag</w:t>
      </w:r>
      <w:proofErr w:type="spellEnd"/>
      <w:r>
        <w:rPr>
          <w:rStyle w:val="ffline"/>
        </w:rPr>
        <w:t xml:space="preserve"> </w:t>
      </w:r>
      <w:proofErr w:type="spellStart"/>
      <w:r>
        <w:rPr>
          <w:rStyle w:val="ffline"/>
        </w:rPr>
        <w:t>acgtcgagta</w:t>
      </w:r>
      <w:proofErr w:type="spellEnd"/>
      <w:r>
        <w:rPr>
          <w:rStyle w:val="ffline"/>
        </w:rPr>
        <w:t xml:space="preserve"> </w:t>
      </w:r>
      <w:proofErr w:type="spellStart"/>
      <w:r>
        <w:rPr>
          <w:rStyle w:val="ffline"/>
        </w:rPr>
        <w:t>ctcaaccatt</w:t>
      </w:r>
      <w:proofErr w:type="spellEnd"/>
    </w:p>
    <w:p w14:paraId="5464D257" w14:textId="29C22C4D" w:rsidR="004803B9" w:rsidRDefault="004803B9" w:rsidP="004803B9">
      <w:pPr>
        <w:pStyle w:val="HTMLPreformatted"/>
      </w:pPr>
      <w:proofErr w:type="spellStart"/>
      <w:r>
        <w:rPr>
          <w:rStyle w:val="ffline"/>
        </w:rPr>
        <w:t>gctcccaaag</w:t>
      </w:r>
      <w:proofErr w:type="spellEnd"/>
      <w:r>
        <w:rPr>
          <w:rStyle w:val="ffline"/>
        </w:rPr>
        <w:t xml:space="preserve"> </w:t>
      </w:r>
      <w:proofErr w:type="spellStart"/>
      <w:r>
        <w:rPr>
          <w:rStyle w:val="ffline"/>
        </w:rPr>
        <w:t>tgtcaggtaa</w:t>
      </w:r>
      <w:proofErr w:type="spellEnd"/>
      <w:r>
        <w:rPr>
          <w:rStyle w:val="ffline"/>
        </w:rPr>
        <w:t xml:space="preserve"> </w:t>
      </w:r>
      <w:proofErr w:type="spellStart"/>
      <w:r>
        <w:rPr>
          <w:rStyle w:val="ffline"/>
        </w:rPr>
        <w:t>tatagaagaa</w:t>
      </w:r>
      <w:proofErr w:type="spellEnd"/>
      <w:r>
        <w:rPr>
          <w:rStyle w:val="ffline"/>
        </w:rPr>
        <w:t xml:space="preserve"> </w:t>
      </w:r>
      <w:proofErr w:type="spellStart"/>
      <w:r>
        <w:rPr>
          <w:rStyle w:val="ffline"/>
        </w:rPr>
        <w:t>atttatatta</w:t>
      </w:r>
      <w:proofErr w:type="spellEnd"/>
      <w:r>
        <w:rPr>
          <w:rStyle w:val="ffline"/>
        </w:rPr>
        <w:t xml:space="preserve"> </w:t>
      </w:r>
      <w:proofErr w:type="spellStart"/>
      <w:r>
        <w:rPr>
          <w:rStyle w:val="ffline"/>
        </w:rPr>
        <w:t>aagatcacca</w:t>
      </w:r>
      <w:proofErr w:type="spellEnd"/>
      <w:r>
        <w:rPr>
          <w:rStyle w:val="ffline"/>
        </w:rPr>
        <w:t xml:space="preserve"> </w:t>
      </w:r>
      <w:proofErr w:type="spellStart"/>
      <w:r>
        <w:rPr>
          <w:rStyle w:val="ffline"/>
        </w:rPr>
        <w:t>gaccgtaaaa</w:t>
      </w:r>
      <w:proofErr w:type="spellEnd"/>
    </w:p>
    <w:p w14:paraId="3AE636D0" w14:textId="192A3FAC" w:rsidR="004803B9" w:rsidRDefault="004803B9" w:rsidP="004803B9">
      <w:pPr>
        <w:pStyle w:val="HTMLPreformatted"/>
      </w:pPr>
      <w:proofErr w:type="spellStart"/>
      <w:r>
        <w:rPr>
          <w:rStyle w:val="ffline"/>
        </w:rPr>
        <w:lastRenderedPageBreak/>
        <w:t>aaaggccagc</w:t>
      </w:r>
      <w:proofErr w:type="spellEnd"/>
      <w:r>
        <w:rPr>
          <w:rStyle w:val="ffline"/>
        </w:rPr>
        <w:t xml:space="preserve"> </w:t>
      </w:r>
      <w:proofErr w:type="spellStart"/>
      <w:r>
        <w:rPr>
          <w:rStyle w:val="ffline"/>
        </w:rPr>
        <w:t>ttttggcacg</w:t>
      </w:r>
      <w:proofErr w:type="spellEnd"/>
      <w:r>
        <w:rPr>
          <w:rStyle w:val="ffline"/>
        </w:rPr>
        <w:t xml:space="preserve"> </w:t>
      </w:r>
      <w:proofErr w:type="spellStart"/>
      <w:r>
        <w:rPr>
          <w:rStyle w:val="ffline"/>
        </w:rPr>
        <w:t>gattgatgca</w:t>
      </w:r>
      <w:proofErr w:type="spellEnd"/>
      <w:r>
        <w:rPr>
          <w:rStyle w:val="ffline"/>
        </w:rPr>
        <w:t xml:space="preserve"> </w:t>
      </w:r>
      <w:proofErr w:type="spellStart"/>
      <w:r>
        <w:rPr>
          <w:rStyle w:val="ffline"/>
        </w:rPr>
        <w:t>cgtgattatc</w:t>
      </w:r>
      <w:proofErr w:type="spellEnd"/>
      <w:r>
        <w:rPr>
          <w:rStyle w:val="ffline"/>
        </w:rPr>
        <w:t xml:space="preserve"> </w:t>
      </w:r>
      <w:proofErr w:type="spellStart"/>
      <w:r>
        <w:rPr>
          <w:rStyle w:val="ffline"/>
        </w:rPr>
        <w:t>aggcggcttt</w:t>
      </w:r>
      <w:proofErr w:type="spellEnd"/>
      <w:r>
        <w:rPr>
          <w:rStyle w:val="ffline"/>
        </w:rPr>
        <w:t xml:space="preserve"> </w:t>
      </w:r>
      <w:proofErr w:type="spellStart"/>
      <w:r>
        <w:rPr>
          <w:rStyle w:val="ffline"/>
        </w:rPr>
        <w:t>agctgaagct</w:t>
      </w:r>
      <w:proofErr w:type="spellEnd"/>
    </w:p>
    <w:p w14:paraId="2CD18FEC" w14:textId="04D957B8" w:rsidR="004803B9" w:rsidRDefault="004803B9" w:rsidP="004803B9">
      <w:pPr>
        <w:pStyle w:val="HTMLPreformatted"/>
      </w:pPr>
      <w:proofErr w:type="spellStart"/>
      <w:r>
        <w:rPr>
          <w:rStyle w:val="ffline"/>
        </w:rPr>
        <w:t>gaatctaatt</w:t>
      </w:r>
      <w:proofErr w:type="spellEnd"/>
      <w:r>
        <w:rPr>
          <w:rStyle w:val="ffline"/>
        </w:rPr>
        <w:t xml:space="preserve"> </w:t>
      </w:r>
      <w:proofErr w:type="spellStart"/>
      <w:r>
        <w:rPr>
          <w:rStyle w:val="ffline"/>
        </w:rPr>
        <w:t>atgccaaagc</w:t>
      </w:r>
      <w:proofErr w:type="spellEnd"/>
      <w:r>
        <w:rPr>
          <w:rStyle w:val="ffline"/>
        </w:rPr>
        <w:t xml:space="preserve"> </w:t>
      </w:r>
      <w:proofErr w:type="spellStart"/>
      <w:r>
        <w:rPr>
          <w:rStyle w:val="ffline"/>
        </w:rPr>
        <w:t>acaagctgac</w:t>
      </w:r>
      <w:proofErr w:type="spellEnd"/>
      <w:r>
        <w:rPr>
          <w:rStyle w:val="ffline"/>
        </w:rPr>
        <w:t xml:space="preserve"> </w:t>
      </w:r>
      <w:proofErr w:type="spellStart"/>
      <w:r>
        <w:rPr>
          <w:rStyle w:val="ffline"/>
        </w:rPr>
        <w:t>ttaaatgaag</w:t>
      </w:r>
      <w:proofErr w:type="spellEnd"/>
      <w:r>
        <w:rPr>
          <w:rStyle w:val="ffline"/>
        </w:rPr>
        <w:t xml:space="preserve"> </w:t>
      </w:r>
      <w:proofErr w:type="spellStart"/>
      <w:r>
        <w:rPr>
          <w:rStyle w:val="ffline"/>
        </w:rPr>
        <w:t>caatgctggc</w:t>
      </w:r>
      <w:proofErr w:type="spellEnd"/>
      <w:r>
        <w:rPr>
          <w:rStyle w:val="ffline"/>
        </w:rPr>
        <w:t xml:space="preserve"> </w:t>
      </w:r>
      <w:proofErr w:type="spellStart"/>
      <w:r>
        <w:rPr>
          <w:rStyle w:val="ffline"/>
        </w:rPr>
        <w:t>agtagaaaga</w:t>
      </w:r>
      <w:proofErr w:type="spellEnd"/>
    </w:p>
    <w:p w14:paraId="7E8B19B6" w14:textId="2106E418" w:rsidR="004803B9" w:rsidRDefault="004803B9" w:rsidP="004803B9">
      <w:pPr>
        <w:pStyle w:val="HTMLPreformatted"/>
      </w:pPr>
      <w:proofErr w:type="spellStart"/>
      <w:r>
        <w:rPr>
          <w:rStyle w:val="ffline"/>
        </w:rPr>
        <w:t>caaccaactg</w:t>
      </w:r>
      <w:proofErr w:type="spellEnd"/>
      <w:r>
        <w:rPr>
          <w:rStyle w:val="ffline"/>
        </w:rPr>
        <w:t xml:space="preserve"> </w:t>
      </w:r>
      <w:proofErr w:type="spellStart"/>
      <w:r>
        <w:rPr>
          <w:rStyle w:val="ffline"/>
        </w:rPr>
        <w:t>ttattcgaga</w:t>
      </w:r>
      <w:proofErr w:type="spellEnd"/>
      <w:r>
        <w:rPr>
          <w:rStyle w:val="ffline"/>
        </w:rPr>
        <w:t xml:space="preserve"> </w:t>
      </w:r>
      <w:proofErr w:type="spellStart"/>
      <w:r>
        <w:rPr>
          <w:rStyle w:val="ffline"/>
        </w:rPr>
        <w:t>aacagaggcc</w:t>
      </w:r>
      <w:proofErr w:type="spellEnd"/>
      <w:r>
        <w:rPr>
          <w:rStyle w:val="ffline"/>
        </w:rPr>
        <w:t xml:space="preserve"> </w:t>
      </w:r>
      <w:proofErr w:type="spellStart"/>
      <w:r>
        <w:rPr>
          <w:rStyle w:val="ffline"/>
        </w:rPr>
        <w:t>cagcttagaa</w:t>
      </w:r>
      <w:proofErr w:type="spellEnd"/>
      <w:r>
        <w:rPr>
          <w:rStyle w:val="ffline"/>
        </w:rPr>
        <w:t xml:space="preserve"> </w:t>
      </w:r>
      <w:proofErr w:type="spellStart"/>
      <w:r>
        <w:rPr>
          <w:rStyle w:val="ffline"/>
        </w:rPr>
        <w:t>aagtagaagc</w:t>
      </w:r>
      <w:proofErr w:type="spellEnd"/>
      <w:r>
        <w:rPr>
          <w:rStyle w:val="ffline"/>
        </w:rPr>
        <w:t xml:space="preserve"> </w:t>
      </w:r>
      <w:proofErr w:type="spellStart"/>
      <w:r>
        <w:rPr>
          <w:rStyle w:val="ffline"/>
        </w:rPr>
        <w:t>cggcattaaa</w:t>
      </w:r>
      <w:proofErr w:type="spellEnd"/>
    </w:p>
    <w:p w14:paraId="3966582C" w14:textId="206933AE" w:rsidR="004803B9" w:rsidRDefault="004803B9" w:rsidP="004803B9">
      <w:pPr>
        <w:pStyle w:val="HTMLPreformatted"/>
      </w:pPr>
      <w:proofErr w:type="spellStart"/>
      <w:r>
        <w:rPr>
          <w:rStyle w:val="ffline"/>
        </w:rPr>
        <w:t>ctcactaaag</w:t>
      </w:r>
      <w:proofErr w:type="spellEnd"/>
      <w:r>
        <w:rPr>
          <w:rStyle w:val="ffline"/>
        </w:rPr>
        <w:t xml:space="preserve"> </w:t>
      </w:r>
      <w:proofErr w:type="spellStart"/>
      <w:r>
        <w:rPr>
          <w:rStyle w:val="ffline"/>
        </w:rPr>
        <w:t>ataataccgc</w:t>
      </w:r>
      <w:proofErr w:type="spellEnd"/>
      <w:r>
        <w:rPr>
          <w:rStyle w:val="ffline"/>
        </w:rPr>
        <w:t xml:space="preserve"> </w:t>
      </w:r>
      <w:proofErr w:type="spellStart"/>
      <w:r>
        <w:rPr>
          <w:rStyle w:val="ffline"/>
        </w:rPr>
        <w:t>acgctatgag</w:t>
      </w:r>
      <w:proofErr w:type="spellEnd"/>
      <w:r>
        <w:rPr>
          <w:rStyle w:val="ffline"/>
        </w:rPr>
        <w:t xml:space="preserve"> </w:t>
      </w:r>
      <w:proofErr w:type="spellStart"/>
      <w:r>
        <w:rPr>
          <w:rStyle w:val="ffline"/>
        </w:rPr>
        <w:t>caattacagg</w:t>
      </w:r>
      <w:proofErr w:type="spellEnd"/>
      <w:r>
        <w:rPr>
          <w:rStyle w:val="ffline"/>
        </w:rPr>
        <w:t xml:space="preserve"> </w:t>
      </w:r>
      <w:proofErr w:type="spellStart"/>
      <w:r>
        <w:rPr>
          <w:rStyle w:val="ffline"/>
        </w:rPr>
        <w:t>cacttggtgc</w:t>
      </w:r>
      <w:proofErr w:type="spellEnd"/>
      <w:r>
        <w:rPr>
          <w:rStyle w:val="ffline"/>
        </w:rPr>
        <w:t xml:space="preserve"> </w:t>
      </w:r>
      <w:proofErr w:type="spellStart"/>
      <w:r>
        <w:rPr>
          <w:rStyle w:val="ffline"/>
        </w:rPr>
        <w:t>tgagtctaga</w:t>
      </w:r>
      <w:proofErr w:type="spellEnd"/>
    </w:p>
    <w:p w14:paraId="26516FF8" w14:textId="7EF04E35" w:rsidR="004803B9" w:rsidRDefault="004803B9" w:rsidP="004803B9">
      <w:pPr>
        <w:pStyle w:val="HTMLPreformatted"/>
      </w:pPr>
      <w:proofErr w:type="spellStart"/>
      <w:r>
        <w:rPr>
          <w:rStyle w:val="ffline"/>
        </w:rPr>
        <w:t>ttgattacac</w:t>
      </w:r>
      <w:proofErr w:type="spellEnd"/>
      <w:r>
        <w:rPr>
          <w:rStyle w:val="ffline"/>
        </w:rPr>
        <w:t xml:space="preserve"> </w:t>
      </w:r>
      <w:proofErr w:type="spellStart"/>
      <w:r>
        <w:rPr>
          <w:rStyle w:val="ffline"/>
        </w:rPr>
        <w:t>aacagtcaaa</w:t>
      </w:r>
      <w:proofErr w:type="spellEnd"/>
      <w:r>
        <w:rPr>
          <w:rStyle w:val="ffline"/>
        </w:rPr>
        <w:t xml:space="preserve"> </w:t>
      </w:r>
      <w:proofErr w:type="spellStart"/>
      <w:r>
        <w:rPr>
          <w:rStyle w:val="ffline"/>
        </w:rPr>
        <w:t>aaccacattg</w:t>
      </w:r>
      <w:proofErr w:type="spellEnd"/>
      <w:r>
        <w:rPr>
          <w:rStyle w:val="ffline"/>
        </w:rPr>
        <w:t xml:space="preserve"> </w:t>
      </w:r>
      <w:proofErr w:type="spellStart"/>
      <w:r>
        <w:rPr>
          <w:rStyle w:val="ffline"/>
        </w:rPr>
        <w:t>accgagcaat</w:t>
      </w:r>
      <w:proofErr w:type="spellEnd"/>
      <w:r>
        <w:rPr>
          <w:rStyle w:val="ffline"/>
        </w:rPr>
        <w:t xml:space="preserve"> </w:t>
      </w:r>
      <w:proofErr w:type="spellStart"/>
      <w:r>
        <w:rPr>
          <w:rStyle w:val="ffline"/>
        </w:rPr>
        <w:t>atgccgactt</w:t>
      </w:r>
      <w:proofErr w:type="spellEnd"/>
      <w:r>
        <w:rPr>
          <w:rStyle w:val="ffline"/>
        </w:rPr>
        <w:t xml:space="preserve"> </w:t>
      </w:r>
      <w:proofErr w:type="spellStart"/>
      <w:r>
        <w:rPr>
          <w:rStyle w:val="ffline"/>
        </w:rPr>
        <w:t>ggacagcagt</w:t>
      </w:r>
      <w:proofErr w:type="spellEnd"/>
    </w:p>
    <w:p w14:paraId="1D414AB9" w14:textId="63F549B4" w:rsidR="004803B9" w:rsidRDefault="004803B9" w:rsidP="004803B9">
      <w:pPr>
        <w:pStyle w:val="HTMLPreformatted"/>
      </w:pPr>
      <w:proofErr w:type="spellStart"/>
      <w:r>
        <w:rPr>
          <w:rStyle w:val="ffline"/>
        </w:rPr>
        <w:t>aaagaaaaag</w:t>
      </w:r>
      <w:proofErr w:type="spellEnd"/>
      <w:r>
        <w:rPr>
          <w:rStyle w:val="ffline"/>
        </w:rPr>
        <w:t xml:space="preserve"> </w:t>
      </w:r>
      <w:proofErr w:type="spellStart"/>
      <w:r>
        <w:rPr>
          <w:rStyle w:val="ffline"/>
        </w:rPr>
        <w:t>tcattgatgc</w:t>
      </w:r>
      <w:proofErr w:type="spellEnd"/>
      <w:r>
        <w:rPr>
          <w:rStyle w:val="ffline"/>
        </w:rPr>
        <w:t xml:space="preserve"> </w:t>
      </w:r>
      <w:proofErr w:type="spellStart"/>
      <w:r>
        <w:rPr>
          <w:rStyle w:val="ffline"/>
        </w:rPr>
        <w:t>gcagtatcag</w:t>
      </w:r>
      <w:proofErr w:type="spellEnd"/>
      <w:r>
        <w:rPr>
          <w:rStyle w:val="ffline"/>
        </w:rPr>
        <w:t xml:space="preserve"> </w:t>
      </w:r>
      <w:proofErr w:type="spellStart"/>
      <w:r>
        <w:rPr>
          <w:rStyle w:val="ffline"/>
        </w:rPr>
        <w:t>ctcaaccaat</w:t>
      </w:r>
      <w:proofErr w:type="spellEnd"/>
      <w:r>
        <w:rPr>
          <w:rStyle w:val="ffline"/>
        </w:rPr>
        <w:t xml:space="preserve"> </w:t>
      </w:r>
      <w:proofErr w:type="spellStart"/>
      <w:r>
        <w:rPr>
          <w:rStyle w:val="ffline"/>
        </w:rPr>
        <w:t>ataagattca</w:t>
      </w:r>
      <w:proofErr w:type="spellEnd"/>
      <w:r>
        <w:rPr>
          <w:rStyle w:val="ffline"/>
        </w:rPr>
        <w:t xml:space="preserve"> </w:t>
      </w:r>
      <w:proofErr w:type="spellStart"/>
      <w:r>
        <w:rPr>
          <w:rStyle w:val="ffline"/>
        </w:rPr>
        <w:t>ggttcaagct</w:t>
      </w:r>
      <w:proofErr w:type="spellEnd"/>
    </w:p>
    <w:p w14:paraId="6CDC5593" w14:textId="5419615F" w:rsidR="004803B9" w:rsidRDefault="004803B9" w:rsidP="004803B9">
      <w:pPr>
        <w:pStyle w:val="HTMLPreformatted"/>
      </w:pPr>
      <w:proofErr w:type="spellStart"/>
      <w:r>
        <w:rPr>
          <w:rStyle w:val="ffline"/>
        </w:rPr>
        <w:t>aaacaagccg</w:t>
      </w:r>
      <w:proofErr w:type="spellEnd"/>
      <w:r>
        <w:rPr>
          <w:rStyle w:val="ffline"/>
        </w:rPr>
        <w:t xml:space="preserve"> </w:t>
      </w:r>
      <w:proofErr w:type="spellStart"/>
      <w:r>
        <w:rPr>
          <w:rStyle w:val="ffline"/>
        </w:rPr>
        <w:t>ctttaaaaca</w:t>
      </w:r>
      <w:proofErr w:type="spellEnd"/>
      <w:r>
        <w:rPr>
          <w:rStyle w:val="ffline"/>
        </w:rPr>
        <w:t xml:space="preserve"> </w:t>
      </w:r>
      <w:proofErr w:type="spellStart"/>
      <w:r>
        <w:rPr>
          <w:rStyle w:val="ffline"/>
        </w:rPr>
        <w:t>agcccaagct</w:t>
      </w:r>
      <w:proofErr w:type="spellEnd"/>
      <w:r>
        <w:rPr>
          <w:rStyle w:val="ffline"/>
        </w:rPr>
        <w:t xml:space="preserve"> </w:t>
      </w:r>
      <w:proofErr w:type="spellStart"/>
      <w:r>
        <w:rPr>
          <w:rStyle w:val="ffline"/>
        </w:rPr>
        <w:t>gcgcttgata</w:t>
      </w:r>
      <w:proofErr w:type="spellEnd"/>
      <w:r>
        <w:rPr>
          <w:rStyle w:val="ffline"/>
        </w:rPr>
        <w:t xml:space="preserve"> </w:t>
      </w:r>
      <w:proofErr w:type="spellStart"/>
      <w:r>
        <w:rPr>
          <w:rStyle w:val="ffline"/>
        </w:rPr>
        <w:t>aagcaaaact</w:t>
      </w:r>
      <w:proofErr w:type="spellEnd"/>
      <w:r>
        <w:rPr>
          <w:rStyle w:val="ffline"/>
        </w:rPr>
        <w:t xml:space="preserve"> </w:t>
      </w:r>
      <w:proofErr w:type="spellStart"/>
      <w:r>
        <w:rPr>
          <w:rStyle w:val="ffline"/>
        </w:rPr>
        <w:t>gaatctgagc</w:t>
      </w:r>
      <w:proofErr w:type="spellEnd"/>
    </w:p>
    <w:p w14:paraId="5BCBD559" w14:textId="6CB95153" w:rsidR="004803B9" w:rsidRDefault="004803B9" w:rsidP="004803B9">
      <w:pPr>
        <w:pStyle w:val="HTMLPreformatted"/>
      </w:pPr>
      <w:proofErr w:type="spellStart"/>
      <w:r>
        <w:rPr>
          <w:rStyle w:val="ffline"/>
        </w:rPr>
        <w:t>tatacagaaa</w:t>
      </w:r>
      <w:proofErr w:type="spellEnd"/>
      <w:r>
        <w:rPr>
          <w:rStyle w:val="ffline"/>
        </w:rPr>
        <w:t xml:space="preserve"> </w:t>
      </w:r>
      <w:proofErr w:type="spellStart"/>
      <w:r>
        <w:rPr>
          <w:rStyle w:val="ffline"/>
        </w:rPr>
        <w:t>ttcgagcacc</w:t>
      </w:r>
      <w:proofErr w:type="spellEnd"/>
      <w:r>
        <w:rPr>
          <w:rStyle w:val="ffline"/>
        </w:rPr>
        <w:t xml:space="preserve"> </w:t>
      </w:r>
      <w:proofErr w:type="spellStart"/>
      <w:r>
        <w:rPr>
          <w:rStyle w:val="ffline"/>
        </w:rPr>
        <w:t>tattgatggc</w:t>
      </w:r>
      <w:proofErr w:type="spellEnd"/>
      <w:r>
        <w:rPr>
          <w:rStyle w:val="ffline"/>
        </w:rPr>
        <w:t xml:space="preserve"> </w:t>
      </w:r>
      <w:proofErr w:type="spellStart"/>
      <w:r>
        <w:rPr>
          <w:rStyle w:val="ffline"/>
        </w:rPr>
        <w:t>atgattgggc</w:t>
      </w:r>
      <w:proofErr w:type="spellEnd"/>
      <w:r>
        <w:rPr>
          <w:rStyle w:val="ffline"/>
        </w:rPr>
        <w:t xml:space="preserve"> </w:t>
      </w:r>
      <w:proofErr w:type="spellStart"/>
      <w:r>
        <w:rPr>
          <w:rStyle w:val="ffline"/>
        </w:rPr>
        <w:t>aaaagtctgc</w:t>
      </w:r>
      <w:proofErr w:type="spellEnd"/>
      <w:r>
        <w:rPr>
          <w:rStyle w:val="ffline"/>
        </w:rPr>
        <w:t xml:space="preserve"> </w:t>
      </w:r>
      <w:proofErr w:type="spellStart"/>
      <w:r>
        <w:rPr>
          <w:rStyle w:val="ffline"/>
        </w:rPr>
        <w:t>aaatgtgggc</w:t>
      </w:r>
      <w:proofErr w:type="spellEnd"/>
    </w:p>
    <w:p w14:paraId="35C4955E" w14:textId="1C71D8DD" w:rsidR="004803B9" w:rsidRDefault="004803B9" w:rsidP="004803B9">
      <w:pPr>
        <w:pStyle w:val="HTMLPreformatted"/>
      </w:pPr>
      <w:proofErr w:type="spellStart"/>
      <w:r>
        <w:rPr>
          <w:rStyle w:val="ffline"/>
        </w:rPr>
        <w:t>aactttgttg</w:t>
      </w:r>
      <w:proofErr w:type="spellEnd"/>
      <w:r>
        <w:rPr>
          <w:rStyle w:val="ffline"/>
        </w:rPr>
        <w:t xml:space="preserve"> </w:t>
      </w:r>
      <w:proofErr w:type="spellStart"/>
      <w:r>
        <w:rPr>
          <w:rStyle w:val="ffline"/>
        </w:rPr>
        <w:t>gcgcaggtaa</w:t>
      </w:r>
      <w:proofErr w:type="spellEnd"/>
      <w:r>
        <w:rPr>
          <w:rStyle w:val="ffline"/>
        </w:rPr>
        <w:t xml:space="preserve"> </w:t>
      </w:r>
      <w:proofErr w:type="spellStart"/>
      <w:r>
        <w:rPr>
          <w:rStyle w:val="ffline"/>
        </w:rPr>
        <w:t>tccactcatg</w:t>
      </w:r>
      <w:proofErr w:type="spellEnd"/>
      <w:r>
        <w:rPr>
          <w:rStyle w:val="ffline"/>
        </w:rPr>
        <w:t xml:space="preserve"> </w:t>
      </w:r>
      <w:proofErr w:type="spellStart"/>
      <w:r>
        <w:rPr>
          <w:rStyle w:val="ffline"/>
        </w:rPr>
        <w:t>gtggttgtgc</w:t>
      </w:r>
      <w:proofErr w:type="spellEnd"/>
      <w:r>
        <w:rPr>
          <w:rStyle w:val="ffline"/>
        </w:rPr>
        <w:t xml:space="preserve"> </w:t>
      </w:r>
      <w:proofErr w:type="spellStart"/>
      <w:r>
        <w:rPr>
          <w:rStyle w:val="ffline"/>
        </w:rPr>
        <w:t>ctttagatca</w:t>
      </w:r>
      <w:proofErr w:type="spellEnd"/>
      <w:r>
        <w:rPr>
          <w:rStyle w:val="ffline"/>
        </w:rPr>
        <w:t xml:space="preserve"> </w:t>
      </w:r>
      <w:proofErr w:type="spellStart"/>
      <w:r>
        <w:rPr>
          <w:rStyle w:val="ffline"/>
        </w:rPr>
        <w:t>agtgtatgta</w:t>
      </w:r>
      <w:proofErr w:type="spellEnd"/>
    </w:p>
    <w:p w14:paraId="51A30F6A" w14:textId="56994590" w:rsidR="004803B9" w:rsidRDefault="004803B9" w:rsidP="004803B9">
      <w:pPr>
        <w:pStyle w:val="HTMLPreformatted"/>
      </w:pPr>
      <w:proofErr w:type="spellStart"/>
      <w:r>
        <w:rPr>
          <w:rStyle w:val="ffline"/>
        </w:rPr>
        <w:t>gaagcaaact</w:t>
      </w:r>
      <w:proofErr w:type="spellEnd"/>
      <w:r>
        <w:rPr>
          <w:rStyle w:val="ffline"/>
        </w:rPr>
        <w:t xml:space="preserve"> </w:t>
      </w:r>
      <w:proofErr w:type="spellStart"/>
      <w:r>
        <w:rPr>
          <w:rStyle w:val="ffline"/>
        </w:rPr>
        <w:t>tccgtgaaat</w:t>
      </w:r>
      <w:proofErr w:type="spellEnd"/>
      <w:r>
        <w:rPr>
          <w:rStyle w:val="ffline"/>
        </w:rPr>
        <w:t xml:space="preserve"> </w:t>
      </w:r>
      <w:proofErr w:type="spellStart"/>
      <w:r>
        <w:rPr>
          <w:rStyle w:val="ffline"/>
        </w:rPr>
        <w:t>tgagctaaaa</w:t>
      </w:r>
      <w:proofErr w:type="spellEnd"/>
      <w:r>
        <w:rPr>
          <w:rStyle w:val="ffline"/>
        </w:rPr>
        <w:t xml:space="preserve"> </w:t>
      </w:r>
      <w:proofErr w:type="spellStart"/>
      <w:r>
        <w:rPr>
          <w:rStyle w:val="ffline"/>
        </w:rPr>
        <w:t>caaattaaaa</w:t>
      </w:r>
      <w:proofErr w:type="spellEnd"/>
      <w:r>
        <w:rPr>
          <w:rStyle w:val="ffline"/>
        </w:rPr>
        <w:t xml:space="preserve"> </w:t>
      </w:r>
      <w:proofErr w:type="spellStart"/>
      <w:r>
        <w:rPr>
          <w:rStyle w:val="ffline"/>
        </w:rPr>
        <w:t>tcggccagcc</w:t>
      </w:r>
      <w:proofErr w:type="spellEnd"/>
      <w:r>
        <w:rPr>
          <w:rStyle w:val="ffline"/>
        </w:rPr>
        <w:t xml:space="preserve"> </w:t>
      </w:r>
      <w:proofErr w:type="spellStart"/>
      <w:r>
        <w:rPr>
          <w:rStyle w:val="ffline"/>
        </w:rPr>
        <w:t>tgtcactgtt</w:t>
      </w:r>
      <w:proofErr w:type="spellEnd"/>
    </w:p>
    <w:p w14:paraId="77932E4B" w14:textId="510E96C1" w:rsidR="004803B9" w:rsidRDefault="004803B9" w:rsidP="004803B9">
      <w:pPr>
        <w:pStyle w:val="HTMLPreformatted"/>
      </w:pPr>
      <w:proofErr w:type="spellStart"/>
      <w:r>
        <w:rPr>
          <w:rStyle w:val="ffline"/>
        </w:rPr>
        <w:t>tatgtcgacg</w:t>
      </w:r>
      <w:proofErr w:type="spellEnd"/>
      <w:r>
        <w:rPr>
          <w:rStyle w:val="ffline"/>
        </w:rPr>
        <w:t xml:space="preserve"> </w:t>
      </w:r>
      <w:proofErr w:type="spellStart"/>
      <w:r>
        <w:rPr>
          <w:rStyle w:val="ffline"/>
        </w:rPr>
        <w:t>cttacaatgt</w:t>
      </w:r>
      <w:proofErr w:type="spellEnd"/>
      <w:r>
        <w:rPr>
          <w:rStyle w:val="ffline"/>
        </w:rPr>
        <w:t xml:space="preserve"> </w:t>
      </w:r>
      <w:proofErr w:type="spellStart"/>
      <w:r>
        <w:rPr>
          <w:rStyle w:val="ffline"/>
        </w:rPr>
        <w:t>tgagttaaaa</w:t>
      </w:r>
      <w:proofErr w:type="spellEnd"/>
      <w:r>
        <w:rPr>
          <w:rStyle w:val="ffline"/>
        </w:rPr>
        <w:t xml:space="preserve"> </w:t>
      </w:r>
      <w:proofErr w:type="spellStart"/>
      <w:r>
        <w:rPr>
          <w:rStyle w:val="ffline"/>
        </w:rPr>
        <w:t>ggtgtggtag</w:t>
      </w:r>
      <w:proofErr w:type="spellEnd"/>
      <w:r>
        <w:rPr>
          <w:rStyle w:val="ffline"/>
        </w:rPr>
        <w:t xml:space="preserve"> </w:t>
      </w:r>
      <w:proofErr w:type="spellStart"/>
      <w:r>
        <w:rPr>
          <w:rStyle w:val="ffline"/>
        </w:rPr>
        <w:t>atagtttctc</w:t>
      </w:r>
      <w:proofErr w:type="spellEnd"/>
      <w:r>
        <w:rPr>
          <w:rStyle w:val="ffline"/>
        </w:rPr>
        <w:t xml:space="preserve"> </w:t>
      </w:r>
      <w:proofErr w:type="spellStart"/>
      <w:r>
        <w:rPr>
          <w:rStyle w:val="ffline"/>
        </w:rPr>
        <w:t>accatcgact</w:t>
      </w:r>
      <w:proofErr w:type="spellEnd"/>
    </w:p>
    <w:p w14:paraId="6463FCD0" w14:textId="37BA441A" w:rsidR="004803B9" w:rsidRDefault="004803B9" w:rsidP="004803B9">
      <w:pPr>
        <w:pStyle w:val="HTMLPreformatted"/>
      </w:pPr>
      <w:proofErr w:type="spellStart"/>
      <w:r>
        <w:rPr>
          <w:rStyle w:val="ffline"/>
        </w:rPr>
        <w:t>ggtgcattct</w:t>
      </w:r>
      <w:proofErr w:type="spellEnd"/>
      <w:r>
        <w:rPr>
          <w:rStyle w:val="ffline"/>
        </w:rPr>
        <w:t xml:space="preserve"> </w:t>
      </w:r>
      <w:proofErr w:type="spellStart"/>
      <w:r>
        <w:rPr>
          <w:rStyle w:val="ffline"/>
        </w:rPr>
        <w:t>tctcgccaaa</w:t>
      </w:r>
      <w:proofErr w:type="spellEnd"/>
      <w:r>
        <w:rPr>
          <w:rStyle w:val="ffline"/>
        </w:rPr>
        <w:t xml:space="preserve"> </w:t>
      </w:r>
      <w:proofErr w:type="spellStart"/>
      <w:r>
        <w:rPr>
          <w:rStyle w:val="ffline"/>
        </w:rPr>
        <w:t>tttcagcaac</w:t>
      </w:r>
      <w:proofErr w:type="spellEnd"/>
      <w:r>
        <w:rPr>
          <w:rStyle w:val="ffline"/>
        </w:rPr>
        <w:t xml:space="preserve"> </w:t>
      </w:r>
      <w:proofErr w:type="spellStart"/>
      <w:r>
        <w:rPr>
          <w:rStyle w:val="ffline"/>
        </w:rPr>
        <w:t>aaatgcgacg</w:t>
      </w:r>
      <w:proofErr w:type="spellEnd"/>
      <w:r>
        <w:rPr>
          <w:rStyle w:val="ffline"/>
        </w:rPr>
        <w:t xml:space="preserve"> </w:t>
      </w:r>
      <w:proofErr w:type="spellStart"/>
      <w:r>
        <w:rPr>
          <w:rStyle w:val="ffline"/>
        </w:rPr>
        <w:t>ggtaa</w:t>
      </w:r>
      <w:proofErr w:type="spellEnd"/>
    </w:p>
    <w:p w14:paraId="33AC10B2" w14:textId="77777777" w:rsidR="004803B9" w:rsidRDefault="004803B9" w:rsidP="004803B9"/>
    <w:p w14:paraId="550F533A" w14:textId="338FBDBA" w:rsidR="004803B9" w:rsidRDefault="004803B9" w:rsidP="004803B9"/>
    <w:p w14:paraId="58B3E349" w14:textId="12C5ABC8" w:rsidR="004803B9" w:rsidRDefault="004803B9" w:rsidP="004803B9">
      <w:pPr>
        <w:pStyle w:val="HTMLPreformatted"/>
      </w:pPr>
    </w:p>
    <w:p w14:paraId="5BB6B7F5" w14:textId="34C6F33C" w:rsidR="004803B9" w:rsidRDefault="004803B9" w:rsidP="004803B9">
      <w:pPr>
        <w:pStyle w:val="HTMLPreformatted"/>
      </w:pPr>
    </w:p>
    <w:p w14:paraId="01461338" w14:textId="77777777" w:rsidR="004803B9" w:rsidRDefault="004803B9" w:rsidP="004803B9"/>
    <w:p w14:paraId="07918F23" w14:textId="77777777" w:rsidR="00C836F0" w:rsidRPr="00734E96" w:rsidRDefault="00C836F0">
      <w:pPr>
        <w:rPr>
          <w:rFonts w:asciiTheme="majorHAnsi" w:hAnsiTheme="majorHAnsi" w:cstheme="majorHAnsi"/>
          <w:sz w:val="24"/>
          <w:szCs w:val="24"/>
        </w:rPr>
      </w:pPr>
    </w:p>
    <w:sectPr w:rsidR="00C836F0" w:rsidRPr="00734E96" w:rsidSect="003D4C64">
      <w:pgSz w:w="12240" w:h="15840" w:code="1"/>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381582" w14:textId="77777777" w:rsidR="003D4C64" w:rsidRDefault="003D4C64" w:rsidP="009A5AD2">
      <w:pPr>
        <w:spacing w:after="0" w:line="240" w:lineRule="auto"/>
      </w:pPr>
      <w:r>
        <w:separator/>
      </w:r>
    </w:p>
  </w:endnote>
  <w:endnote w:type="continuationSeparator" w:id="0">
    <w:p w14:paraId="740C63CA" w14:textId="77777777" w:rsidR="003D4C64" w:rsidRDefault="003D4C64" w:rsidP="009A5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90E51" w14:textId="544815FF" w:rsidR="000D3155" w:rsidRDefault="000D3155">
    <w:pPr>
      <w:pStyle w:val="Footer"/>
      <w:jc w:val="center"/>
    </w:pPr>
  </w:p>
  <w:p w14:paraId="6A6A43E6" w14:textId="77777777" w:rsidR="00E2512A" w:rsidRDefault="00E25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1BBED" w14:textId="4AAC0C23" w:rsidR="00E2512A" w:rsidRDefault="00E2512A">
    <w:pPr>
      <w:pStyle w:val="Footer"/>
      <w:jc w:val="center"/>
    </w:pPr>
  </w:p>
  <w:p w14:paraId="056693AA" w14:textId="77777777" w:rsidR="00E2512A" w:rsidRDefault="00E251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371487"/>
      <w:docPartObj>
        <w:docPartGallery w:val="Page Numbers (Bottom of Page)"/>
        <w:docPartUnique/>
      </w:docPartObj>
    </w:sdtPr>
    <w:sdtEndPr>
      <w:rPr>
        <w:noProof/>
      </w:rPr>
    </w:sdtEndPr>
    <w:sdtContent>
      <w:p w14:paraId="328C5601" w14:textId="77777777" w:rsidR="000D3155" w:rsidRDefault="000D31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CC2494" w14:textId="77777777" w:rsidR="000D3155" w:rsidRDefault="000D3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2973F3" w14:textId="77777777" w:rsidR="003D4C64" w:rsidRDefault="003D4C64" w:rsidP="009A5AD2">
      <w:pPr>
        <w:spacing w:after="0" w:line="240" w:lineRule="auto"/>
      </w:pPr>
      <w:r>
        <w:separator/>
      </w:r>
    </w:p>
  </w:footnote>
  <w:footnote w:type="continuationSeparator" w:id="0">
    <w:p w14:paraId="37105B11" w14:textId="77777777" w:rsidR="003D4C64" w:rsidRDefault="003D4C64" w:rsidP="009A5A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80DAD"/>
    <w:multiLevelType w:val="multilevel"/>
    <w:tmpl w:val="A2A891E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16B4D92"/>
    <w:multiLevelType w:val="hybridMultilevel"/>
    <w:tmpl w:val="D220B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AB2F72"/>
    <w:multiLevelType w:val="hybridMultilevel"/>
    <w:tmpl w:val="F1307D8E"/>
    <w:lvl w:ilvl="0" w:tplc="5204B4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13482E"/>
    <w:multiLevelType w:val="hybridMultilevel"/>
    <w:tmpl w:val="5F942A32"/>
    <w:lvl w:ilvl="0" w:tplc="F28461D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7A3FFF"/>
    <w:multiLevelType w:val="hybridMultilevel"/>
    <w:tmpl w:val="E6862312"/>
    <w:lvl w:ilvl="0" w:tplc="41E09B22">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A408A3"/>
    <w:multiLevelType w:val="multilevel"/>
    <w:tmpl w:val="FB884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6104EC8"/>
    <w:multiLevelType w:val="hybridMultilevel"/>
    <w:tmpl w:val="387A06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563B99"/>
    <w:multiLevelType w:val="hybridMultilevel"/>
    <w:tmpl w:val="31EA697A"/>
    <w:lvl w:ilvl="0" w:tplc="154EBD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73917">
    <w:abstractNumId w:val="4"/>
  </w:num>
  <w:num w:numId="2" w16cid:durableId="1773166391">
    <w:abstractNumId w:val="3"/>
  </w:num>
  <w:num w:numId="3" w16cid:durableId="689457816">
    <w:abstractNumId w:val="1"/>
  </w:num>
  <w:num w:numId="4" w16cid:durableId="1720207044">
    <w:abstractNumId w:val="6"/>
  </w:num>
  <w:num w:numId="5" w16cid:durableId="1773360093">
    <w:abstractNumId w:val="7"/>
  </w:num>
  <w:num w:numId="6" w16cid:durableId="1025212261">
    <w:abstractNumId w:val="2"/>
  </w:num>
  <w:num w:numId="7" w16cid:durableId="295793196">
    <w:abstractNumId w:val="5"/>
  </w:num>
  <w:num w:numId="8" w16cid:durableId="491874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AD2"/>
    <w:rsid w:val="00000BEC"/>
    <w:rsid w:val="00003D2E"/>
    <w:rsid w:val="00003FCE"/>
    <w:rsid w:val="00004181"/>
    <w:rsid w:val="00004581"/>
    <w:rsid w:val="00005A11"/>
    <w:rsid w:val="00007799"/>
    <w:rsid w:val="0001032E"/>
    <w:rsid w:val="0001052C"/>
    <w:rsid w:val="0001088D"/>
    <w:rsid w:val="00012213"/>
    <w:rsid w:val="00012CE6"/>
    <w:rsid w:val="0001485C"/>
    <w:rsid w:val="00015DF9"/>
    <w:rsid w:val="0002033C"/>
    <w:rsid w:val="0002102C"/>
    <w:rsid w:val="000220E2"/>
    <w:rsid w:val="00022BC5"/>
    <w:rsid w:val="00024C6B"/>
    <w:rsid w:val="000270F2"/>
    <w:rsid w:val="000302B2"/>
    <w:rsid w:val="000323D5"/>
    <w:rsid w:val="000358FD"/>
    <w:rsid w:val="00035C54"/>
    <w:rsid w:val="0003630A"/>
    <w:rsid w:val="000401B0"/>
    <w:rsid w:val="0004025C"/>
    <w:rsid w:val="00041B30"/>
    <w:rsid w:val="00041D3E"/>
    <w:rsid w:val="00041F22"/>
    <w:rsid w:val="00042322"/>
    <w:rsid w:val="00043FF9"/>
    <w:rsid w:val="0004401E"/>
    <w:rsid w:val="000450A1"/>
    <w:rsid w:val="000501F6"/>
    <w:rsid w:val="00051D14"/>
    <w:rsid w:val="000521DD"/>
    <w:rsid w:val="000525FF"/>
    <w:rsid w:val="00052B78"/>
    <w:rsid w:val="00052BBC"/>
    <w:rsid w:val="00055215"/>
    <w:rsid w:val="00060086"/>
    <w:rsid w:val="0006077F"/>
    <w:rsid w:val="00061137"/>
    <w:rsid w:val="000619F6"/>
    <w:rsid w:val="00062215"/>
    <w:rsid w:val="00063D04"/>
    <w:rsid w:val="000653FD"/>
    <w:rsid w:val="00070392"/>
    <w:rsid w:val="000716EB"/>
    <w:rsid w:val="000722D3"/>
    <w:rsid w:val="00072975"/>
    <w:rsid w:val="00072A25"/>
    <w:rsid w:val="00072D2A"/>
    <w:rsid w:val="000737DA"/>
    <w:rsid w:val="00073FE4"/>
    <w:rsid w:val="00082EEA"/>
    <w:rsid w:val="00083D9A"/>
    <w:rsid w:val="00083FF2"/>
    <w:rsid w:val="000852C4"/>
    <w:rsid w:val="00087A51"/>
    <w:rsid w:val="000905D5"/>
    <w:rsid w:val="000906E1"/>
    <w:rsid w:val="000907C1"/>
    <w:rsid w:val="00096046"/>
    <w:rsid w:val="000A0AED"/>
    <w:rsid w:val="000A1DB6"/>
    <w:rsid w:val="000A1FBA"/>
    <w:rsid w:val="000A35EA"/>
    <w:rsid w:val="000A3A31"/>
    <w:rsid w:val="000A58C7"/>
    <w:rsid w:val="000A7697"/>
    <w:rsid w:val="000A76A2"/>
    <w:rsid w:val="000A77B9"/>
    <w:rsid w:val="000B0B6E"/>
    <w:rsid w:val="000B3AAF"/>
    <w:rsid w:val="000B4FE4"/>
    <w:rsid w:val="000B519B"/>
    <w:rsid w:val="000B7DAE"/>
    <w:rsid w:val="000C0410"/>
    <w:rsid w:val="000C0416"/>
    <w:rsid w:val="000C0F84"/>
    <w:rsid w:val="000C1DE6"/>
    <w:rsid w:val="000C1FE1"/>
    <w:rsid w:val="000C2B23"/>
    <w:rsid w:val="000C6F2F"/>
    <w:rsid w:val="000C7022"/>
    <w:rsid w:val="000D09D1"/>
    <w:rsid w:val="000D2173"/>
    <w:rsid w:val="000D3155"/>
    <w:rsid w:val="000D6391"/>
    <w:rsid w:val="000D71CE"/>
    <w:rsid w:val="000E1164"/>
    <w:rsid w:val="000E1985"/>
    <w:rsid w:val="000E2CE5"/>
    <w:rsid w:val="000E2EDA"/>
    <w:rsid w:val="000E3912"/>
    <w:rsid w:val="000E57B2"/>
    <w:rsid w:val="000E6DC8"/>
    <w:rsid w:val="000F3412"/>
    <w:rsid w:val="000F556E"/>
    <w:rsid w:val="000F572C"/>
    <w:rsid w:val="000F57AD"/>
    <w:rsid w:val="000F594C"/>
    <w:rsid w:val="000F759D"/>
    <w:rsid w:val="000F7C55"/>
    <w:rsid w:val="00100ECA"/>
    <w:rsid w:val="0010112A"/>
    <w:rsid w:val="00104ED3"/>
    <w:rsid w:val="001062A6"/>
    <w:rsid w:val="001129F7"/>
    <w:rsid w:val="00112F65"/>
    <w:rsid w:val="00113083"/>
    <w:rsid w:val="00113174"/>
    <w:rsid w:val="001159F7"/>
    <w:rsid w:val="00115CF1"/>
    <w:rsid w:val="00120412"/>
    <w:rsid w:val="00120505"/>
    <w:rsid w:val="001225E5"/>
    <w:rsid w:val="00122AD5"/>
    <w:rsid w:val="001231A5"/>
    <w:rsid w:val="00125F2B"/>
    <w:rsid w:val="00127D9A"/>
    <w:rsid w:val="00130784"/>
    <w:rsid w:val="001310F5"/>
    <w:rsid w:val="00131477"/>
    <w:rsid w:val="00132A7B"/>
    <w:rsid w:val="00133322"/>
    <w:rsid w:val="00133ED7"/>
    <w:rsid w:val="00135354"/>
    <w:rsid w:val="00135D27"/>
    <w:rsid w:val="00140110"/>
    <w:rsid w:val="00141481"/>
    <w:rsid w:val="001435EB"/>
    <w:rsid w:val="00147E44"/>
    <w:rsid w:val="00151B39"/>
    <w:rsid w:val="001529E6"/>
    <w:rsid w:val="00153E00"/>
    <w:rsid w:val="00153F5E"/>
    <w:rsid w:val="0015413C"/>
    <w:rsid w:val="0015595C"/>
    <w:rsid w:val="0015659E"/>
    <w:rsid w:val="00156CBA"/>
    <w:rsid w:val="001576D3"/>
    <w:rsid w:val="00160F5C"/>
    <w:rsid w:val="00164681"/>
    <w:rsid w:val="001660AD"/>
    <w:rsid w:val="001721F5"/>
    <w:rsid w:val="00172CE8"/>
    <w:rsid w:val="00173DAA"/>
    <w:rsid w:val="001740F1"/>
    <w:rsid w:val="001744C6"/>
    <w:rsid w:val="00175F98"/>
    <w:rsid w:val="00176906"/>
    <w:rsid w:val="00181EB6"/>
    <w:rsid w:val="00185B4C"/>
    <w:rsid w:val="00185EAA"/>
    <w:rsid w:val="00186C64"/>
    <w:rsid w:val="001876C6"/>
    <w:rsid w:val="001902A3"/>
    <w:rsid w:val="00191FB5"/>
    <w:rsid w:val="0019238E"/>
    <w:rsid w:val="00193184"/>
    <w:rsid w:val="00193528"/>
    <w:rsid w:val="00194236"/>
    <w:rsid w:val="00194286"/>
    <w:rsid w:val="00194C6F"/>
    <w:rsid w:val="001A19B8"/>
    <w:rsid w:val="001A24C7"/>
    <w:rsid w:val="001A6243"/>
    <w:rsid w:val="001A7E34"/>
    <w:rsid w:val="001B00DB"/>
    <w:rsid w:val="001B0934"/>
    <w:rsid w:val="001B17E2"/>
    <w:rsid w:val="001B2C24"/>
    <w:rsid w:val="001B39B4"/>
    <w:rsid w:val="001B519A"/>
    <w:rsid w:val="001B53EF"/>
    <w:rsid w:val="001B6595"/>
    <w:rsid w:val="001B6825"/>
    <w:rsid w:val="001B7361"/>
    <w:rsid w:val="001B74E3"/>
    <w:rsid w:val="001B7EC9"/>
    <w:rsid w:val="001C0118"/>
    <w:rsid w:val="001C02A1"/>
    <w:rsid w:val="001C0B12"/>
    <w:rsid w:val="001C2959"/>
    <w:rsid w:val="001C3804"/>
    <w:rsid w:val="001C3CFC"/>
    <w:rsid w:val="001C3E63"/>
    <w:rsid w:val="001C72CC"/>
    <w:rsid w:val="001C73D1"/>
    <w:rsid w:val="001C7F10"/>
    <w:rsid w:val="001D019B"/>
    <w:rsid w:val="001D2546"/>
    <w:rsid w:val="001D2FF4"/>
    <w:rsid w:val="001D3B45"/>
    <w:rsid w:val="001D3CB3"/>
    <w:rsid w:val="001D4242"/>
    <w:rsid w:val="001D7557"/>
    <w:rsid w:val="001D769B"/>
    <w:rsid w:val="001D7962"/>
    <w:rsid w:val="001D7E59"/>
    <w:rsid w:val="001E22EB"/>
    <w:rsid w:val="001E2816"/>
    <w:rsid w:val="001E55FD"/>
    <w:rsid w:val="001E6429"/>
    <w:rsid w:val="001E7CBD"/>
    <w:rsid w:val="001F323D"/>
    <w:rsid w:val="001F5A39"/>
    <w:rsid w:val="001F7A3B"/>
    <w:rsid w:val="001F7C44"/>
    <w:rsid w:val="002003F9"/>
    <w:rsid w:val="002004B3"/>
    <w:rsid w:val="00200DA2"/>
    <w:rsid w:val="00201008"/>
    <w:rsid w:val="002039D3"/>
    <w:rsid w:val="00204DBF"/>
    <w:rsid w:val="0021013E"/>
    <w:rsid w:val="00211DF3"/>
    <w:rsid w:val="00212C95"/>
    <w:rsid w:val="00213ACA"/>
    <w:rsid w:val="00214D37"/>
    <w:rsid w:val="00215A94"/>
    <w:rsid w:val="00217523"/>
    <w:rsid w:val="00220F58"/>
    <w:rsid w:val="00221127"/>
    <w:rsid w:val="00221F11"/>
    <w:rsid w:val="002232D7"/>
    <w:rsid w:val="00224F5D"/>
    <w:rsid w:val="0022637C"/>
    <w:rsid w:val="00226F21"/>
    <w:rsid w:val="00230FA3"/>
    <w:rsid w:val="00232EFD"/>
    <w:rsid w:val="0023411E"/>
    <w:rsid w:val="002400F8"/>
    <w:rsid w:val="00240F71"/>
    <w:rsid w:val="00240FB6"/>
    <w:rsid w:val="00243FE3"/>
    <w:rsid w:val="00244406"/>
    <w:rsid w:val="0024499E"/>
    <w:rsid w:val="00244B50"/>
    <w:rsid w:val="002455C9"/>
    <w:rsid w:val="00245C41"/>
    <w:rsid w:val="002469CB"/>
    <w:rsid w:val="002477A4"/>
    <w:rsid w:val="00251E74"/>
    <w:rsid w:val="00251F44"/>
    <w:rsid w:val="0025244D"/>
    <w:rsid w:val="00252FEF"/>
    <w:rsid w:val="00254BE8"/>
    <w:rsid w:val="002550DB"/>
    <w:rsid w:val="002555D1"/>
    <w:rsid w:val="002557E0"/>
    <w:rsid w:val="00260808"/>
    <w:rsid w:val="002628DE"/>
    <w:rsid w:val="00263724"/>
    <w:rsid w:val="002637E0"/>
    <w:rsid w:val="002657E6"/>
    <w:rsid w:val="00265E3A"/>
    <w:rsid w:val="00266496"/>
    <w:rsid w:val="00266683"/>
    <w:rsid w:val="00270CCA"/>
    <w:rsid w:val="0027213C"/>
    <w:rsid w:val="002722DE"/>
    <w:rsid w:val="0027341E"/>
    <w:rsid w:val="00273AB0"/>
    <w:rsid w:val="0028076A"/>
    <w:rsid w:val="0028180A"/>
    <w:rsid w:val="00281D68"/>
    <w:rsid w:val="00282B24"/>
    <w:rsid w:val="00282BEF"/>
    <w:rsid w:val="00283F16"/>
    <w:rsid w:val="00284223"/>
    <w:rsid w:val="00285145"/>
    <w:rsid w:val="002859C6"/>
    <w:rsid w:val="0028630E"/>
    <w:rsid w:val="00294D33"/>
    <w:rsid w:val="002963C9"/>
    <w:rsid w:val="002A006D"/>
    <w:rsid w:val="002A30CC"/>
    <w:rsid w:val="002A49B8"/>
    <w:rsid w:val="002A60E4"/>
    <w:rsid w:val="002A634C"/>
    <w:rsid w:val="002A6822"/>
    <w:rsid w:val="002A7257"/>
    <w:rsid w:val="002B35DC"/>
    <w:rsid w:val="002B5999"/>
    <w:rsid w:val="002B6E5F"/>
    <w:rsid w:val="002B7908"/>
    <w:rsid w:val="002C14BC"/>
    <w:rsid w:val="002C3B0E"/>
    <w:rsid w:val="002C72AD"/>
    <w:rsid w:val="002C7B55"/>
    <w:rsid w:val="002D0EF1"/>
    <w:rsid w:val="002D217E"/>
    <w:rsid w:val="002D2281"/>
    <w:rsid w:val="002D254A"/>
    <w:rsid w:val="002D2987"/>
    <w:rsid w:val="002D50F0"/>
    <w:rsid w:val="002D540B"/>
    <w:rsid w:val="002D6333"/>
    <w:rsid w:val="002D659B"/>
    <w:rsid w:val="002D7334"/>
    <w:rsid w:val="002E057B"/>
    <w:rsid w:val="002E2D01"/>
    <w:rsid w:val="002E2E98"/>
    <w:rsid w:val="002E384B"/>
    <w:rsid w:val="002E4B38"/>
    <w:rsid w:val="002E5208"/>
    <w:rsid w:val="002E6829"/>
    <w:rsid w:val="002E6FD4"/>
    <w:rsid w:val="002E75D5"/>
    <w:rsid w:val="002F0E9A"/>
    <w:rsid w:val="002F1860"/>
    <w:rsid w:val="002F4042"/>
    <w:rsid w:val="002F6BBD"/>
    <w:rsid w:val="002F6E08"/>
    <w:rsid w:val="002F6F9F"/>
    <w:rsid w:val="002F770C"/>
    <w:rsid w:val="00301EA9"/>
    <w:rsid w:val="00303335"/>
    <w:rsid w:val="00304025"/>
    <w:rsid w:val="003070F3"/>
    <w:rsid w:val="003110C1"/>
    <w:rsid w:val="00312221"/>
    <w:rsid w:val="00314AC2"/>
    <w:rsid w:val="00316917"/>
    <w:rsid w:val="00317ABB"/>
    <w:rsid w:val="00322DAF"/>
    <w:rsid w:val="00324F42"/>
    <w:rsid w:val="00325457"/>
    <w:rsid w:val="00325A35"/>
    <w:rsid w:val="003262CA"/>
    <w:rsid w:val="0032651C"/>
    <w:rsid w:val="00326ACF"/>
    <w:rsid w:val="00326B26"/>
    <w:rsid w:val="003272C6"/>
    <w:rsid w:val="00327DDF"/>
    <w:rsid w:val="00334D5D"/>
    <w:rsid w:val="003359C0"/>
    <w:rsid w:val="003378DC"/>
    <w:rsid w:val="003409EA"/>
    <w:rsid w:val="00342053"/>
    <w:rsid w:val="003424B3"/>
    <w:rsid w:val="0034291B"/>
    <w:rsid w:val="00345364"/>
    <w:rsid w:val="00345895"/>
    <w:rsid w:val="003514B1"/>
    <w:rsid w:val="00351920"/>
    <w:rsid w:val="003527EB"/>
    <w:rsid w:val="00352D33"/>
    <w:rsid w:val="00356D8C"/>
    <w:rsid w:val="00357419"/>
    <w:rsid w:val="00357E78"/>
    <w:rsid w:val="003708C8"/>
    <w:rsid w:val="003711F6"/>
    <w:rsid w:val="00381C7B"/>
    <w:rsid w:val="003844BB"/>
    <w:rsid w:val="00384DED"/>
    <w:rsid w:val="00385F06"/>
    <w:rsid w:val="003869A5"/>
    <w:rsid w:val="00392B45"/>
    <w:rsid w:val="003934ED"/>
    <w:rsid w:val="0039406A"/>
    <w:rsid w:val="0039574C"/>
    <w:rsid w:val="003961C0"/>
    <w:rsid w:val="00396EB8"/>
    <w:rsid w:val="003976CC"/>
    <w:rsid w:val="003A0A7F"/>
    <w:rsid w:val="003A0B05"/>
    <w:rsid w:val="003A1040"/>
    <w:rsid w:val="003A2646"/>
    <w:rsid w:val="003A4EEE"/>
    <w:rsid w:val="003A5D91"/>
    <w:rsid w:val="003A5E63"/>
    <w:rsid w:val="003A7570"/>
    <w:rsid w:val="003B3AA5"/>
    <w:rsid w:val="003B40D4"/>
    <w:rsid w:val="003B412B"/>
    <w:rsid w:val="003B44FE"/>
    <w:rsid w:val="003B4D12"/>
    <w:rsid w:val="003B4F13"/>
    <w:rsid w:val="003B4FED"/>
    <w:rsid w:val="003B60F5"/>
    <w:rsid w:val="003B7992"/>
    <w:rsid w:val="003C252D"/>
    <w:rsid w:val="003C480B"/>
    <w:rsid w:val="003C4BB9"/>
    <w:rsid w:val="003C5088"/>
    <w:rsid w:val="003C60EC"/>
    <w:rsid w:val="003C6971"/>
    <w:rsid w:val="003C6BD3"/>
    <w:rsid w:val="003C6F4E"/>
    <w:rsid w:val="003D029A"/>
    <w:rsid w:val="003D02BF"/>
    <w:rsid w:val="003D0661"/>
    <w:rsid w:val="003D0C94"/>
    <w:rsid w:val="003D10EE"/>
    <w:rsid w:val="003D1D2B"/>
    <w:rsid w:val="003D2435"/>
    <w:rsid w:val="003D27F1"/>
    <w:rsid w:val="003D4C64"/>
    <w:rsid w:val="003D79A0"/>
    <w:rsid w:val="003E176A"/>
    <w:rsid w:val="003E27CF"/>
    <w:rsid w:val="003E2D3F"/>
    <w:rsid w:val="003E42C3"/>
    <w:rsid w:val="003E620E"/>
    <w:rsid w:val="003E6866"/>
    <w:rsid w:val="003E6FC5"/>
    <w:rsid w:val="003E7775"/>
    <w:rsid w:val="003F1394"/>
    <w:rsid w:val="003F165D"/>
    <w:rsid w:val="003F4DE3"/>
    <w:rsid w:val="003F63A2"/>
    <w:rsid w:val="003F7CF9"/>
    <w:rsid w:val="004001C6"/>
    <w:rsid w:val="0040074D"/>
    <w:rsid w:val="00400C83"/>
    <w:rsid w:val="0040211D"/>
    <w:rsid w:val="0040369F"/>
    <w:rsid w:val="004038F1"/>
    <w:rsid w:val="00403F65"/>
    <w:rsid w:val="00403FBC"/>
    <w:rsid w:val="00404FB7"/>
    <w:rsid w:val="004051D0"/>
    <w:rsid w:val="0040563A"/>
    <w:rsid w:val="00410DB9"/>
    <w:rsid w:val="004121A8"/>
    <w:rsid w:val="004136D1"/>
    <w:rsid w:val="00413C4A"/>
    <w:rsid w:val="0041450E"/>
    <w:rsid w:val="004158BE"/>
    <w:rsid w:val="00415A3C"/>
    <w:rsid w:val="00417ACF"/>
    <w:rsid w:val="004247D3"/>
    <w:rsid w:val="00430DF5"/>
    <w:rsid w:val="00431260"/>
    <w:rsid w:val="004343BD"/>
    <w:rsid w:val="00434B87"/>
    <w:rsid w:val="004376DA"/>
    <w:rsid w:val="00440009"/>
    <w:rsid w:val="00442016"/>
    <w:rsid w:val="00447314"/>
    <w:rsid w:val="00451C04"/>
    <w:rsid w:val="00452111"/>
    <w:rsid w:val="0045248B"/>
    <w:rsid w:val="004537E4"/>
    <w:rsid w:val="00457B1F"/>
    <w:rsid w:val="00461A6E"/>
    <w:rsid w:val="004620AF"/>
    <w:rsid w:val="004627FD"/>
    <w:rsid w:val="00465311"/>
    <w:rsid w:val="0047177C"/>
    <w:rsid w:val="0047264B"/>
    <w:rsid w:val="004735E9"/>
    <w:rsid w:val="004750E5"/>
    <w:rsid w:val="00475734"/>
    <w:rsid w:val="004778FE"/>
    <w:rsid w:val="004803B9"/>
    <w:rsid w:val="004807A4"/>
    <w:rsid w:val="00482582"/>
    <w:rsid w:val="004825E3"/>
    <w:rsid w:val="00482C66"/>
    <w:rsid w:val="00484202"/>
    <w:rsid w:val="00491A7A"/>
    <w:rsid w:val="0049510D"/>
    <w:rsid w:val="0049594E"/>
    <w:rsid w:val="004A2506"/>
    <w:rsid w:val="004A4844"/>
    <w:rsid w:val="004A52E9"/>
    <w:rsid w:val="004A5808"/>
    <w:rsid w:val="004A69A4"/>
    <w:rsid w:val="004A7526"/>
    <w:rsid w:val="004B25E9"/>
    <w:rsid w:val="004B36BF"/>
    <w:rsid w:val="004B3C80"/>
    <w:rsid w:val="004B5D13"/>
    <w:rsid w:val="004B5E50"/>
    <w:rsid w:val="004B601B"/>
    <w:rsid w:val="004C0C3D"/>
    <w:rsid w:val="004C6704"/>
    <w:rsid w:val="004C7CAB"/>
    <w:rsid w:val="004D09B5"/>
    <w:rsid w:val="004D0F77"/>
    <w:rsid w:val="004D4085"/>
    <w:rsid w:val="004D4E24"/>
    <w:rsid w:val="004E09CD"/>
    <w:rsid w:val="004E13F3"/>
    <w:rsid w:val="004E2D1D"/>
    <w:rsid w:val="004E2E10"/>
    <w:rsid w:val="004E49EF"/>
    <w:rsid w:val="004E61D5"/>
    <w:rsid w:val="004E6328"/>
    <w:rsid w:val="004E7231"/>
    <w:rsid w:val="004E7AF2"/>
    <w:rsid w:val="004E7C7B"/>
    <w:rsid w:val="004F034B"/>
    <w:rsid w:val="004F4EB4"/>
    <w:rsid w:val="004F5C1A"/>
    <w:rsid w:val="004F705E"/>
    <w:rsid w:val="00502659"/>
    <w:rsid w:val="00502723"/>
    <w:rsid w:val="005028E6"/>
    <w:rsid w:val="00507C98"/>
    <w:rsid w:val="00510EA3"/>
    <w:rsid w:val="00510FCE"/>
    <w:rsid w:val="00511F3B"/>
    <w:rsid w:val="005120A2"/>
    <w:rsid w:val="00514656"/>
    <w:rsid w:val="005157AA"/>
    <w:rsid w:val="00520290"/>
    <w:rsid w:val="00522052"/>
    <w:rsid w:val="00522724"/>
    <w:rsid w:val="00524E46"/>
    <w:rsid w:val="0052578C"/>
    <w:rsid w:val="005266C7"/>
    <w:rsid w:val="00526F50"/>
    <w:rsid w:val="00527644"/>
    <w:rsid w:val="00527841"/>
    <w:rsid w:val="00527AF4"/>
    <w:rsid w:val="00527C38"/>
    <w:rsid w:val="00530CA4"/>
    <w:rsid w:val="00531608"/>
    <w:rsid w:val="00532A6B"/>
    <w:rsid w:val="00533253"/>
    <w:rsid w:val="0053739E"/>
    <w:rsid w:val="005379D5"/>
    <w:rsid w:val="005403E4"/>
    <w:rsid w:val="005410AA"/>
    <w:rsid w:val="0054111F"/>
    <w:rsid w:val="005434A1"/>
    <w:rsid w:val="005453B3"/>
    <w:rsid w:val="0054565F"/>
    <w:rsid w:val="00545FE3"/>
    <w:rsid w:val="00550C18"/>
    <w:rsid w:val="005518A5"/>
    <w:rsid w:val="005537F0"/>
    <w:rsid w:val="00555815"/>
    <w:rsid w:val="00555D45"/>
    <w:rsid w:val="0056009F"/>
    <w:rsid w:val="00561914"/>
    <w:rsid w:val="00561B02"/>
    <w:rsid w:val="00563283"/>
    <w:rsid w:val="005637B9"/>
    <w:rsid w:val="00563F0D"/>
    <w:rsid w:val="00570E53"/>
    <w:rsid w:val="00571299"/>
    <w:rsid w:val="0057197F"/>
    <w:rsid w:val="005728BD"/>
    <w:rsid w:val="00573450"/>
    <w:rsid w:val="00573CC2"/>
    <w:rsid w:val="00574ED1"/>
    <w:rsid w:val="00575C34"/>
    <w:rsid w:val="00576C25"/>
    <w:rsid w:val="00577DEB"/>
    <w:rsid w:val="0058211F"/>
    <w:rsid w:val="00583C5A"/>
    <w:rsid w:val="0058464A"/>
    <w:rsid w:val="00584B00"/>
    <w:rsid w:val="00586D83"/>
    <w:rsid w:val="00587DE5"/>
    <w:rsid w:val="00590B25"/>
    <w:rsid w:val="00590DC9"/>
    <w:rsid w:val="00591D3A"/>
    <w:rsid w:val="00593074"/>
    <w:rsid w:val="00593EE7"/>
    <w:rsid w:val="005A0406"/>
    <w:rsid w:val="005A10AF"/>
    <w:rsid w:val="005A14A5"/>
    <w:rsid w:val="005A29E1"/>
    <w:rsid w:val="005A29EE"/>
    <w:rsid w:val="005A2C34"/>
    <w:rsid w:val="005A5736"/>
    <w:rsid w:val="005A5764"/>
    <w:rsid w:val="005A5A38"/>
    <w:rsid w:val="005B0052"/>
    <w:rsid w:val="005B0D90"/>
    <w:rsid w:val="005B0F0A"/>
    <w:rsid w:val="005B187E"/>
    <w:rsid w:val="005B1A0A"/>
    <w:rsid w:val="005B2178"/>
    <w:rsid w:val="005B4B77"/>
    <w:rsid w:val="005B5021"/>
    <w:rsid w:val="005B5AE2"/>
    <w:rsid w:val="005B6C86"/>
    <w:rsid w:val="005C7419"/>
    <w:rsid w:val="005D083E"/>
    <w:rsid w:val="005D3FE8"/>
    <w:rsid w:val="005D433D"/>
    <w:rsid w:val="005D5016"/>
    <w:rsid w:val="005D53BB"/>
    <w:rsid w:val="005D53FA"/>
    <w:rsid w:val="005D58D8"/>
    <w:rsid w:val="005D6BCD"/>
    <w:rsid w:val="005D7769"/>
    <w:rsid w:val="005E0BAA"/>
    <w:rsid w:val="005E1B02"/>
    <w:rsid w:val="005E28C7"/>
    <w:rsid w:val="005E34C2"/>
    <w:rsid w:val="005E56E3"/>
    <w:rsid w:val="005E5743"/>
    <w:rsid w:val="005F1EB0"/>
    <w:rsid w:val="005F2E99"/>
    <w:rsid w:val="005F43C9"/>
    <w:rsid w:val="005F46CB"/>
    <w:rsid w:val="005F535C"/>
    <w:rsid w:val="005F6735"/>
    <w:rsid w:val="005F7559"/>
    <w:rsid w:val="005F7A8C"/>
    <w:rsid w:val="00604980"/>
    <w:rsid w:val="00604ABE"/>
    <w:rsid w:val="00604D53"/>
    <w:rsid w:val="00605897"/>
    <w:rsid w:val="006058B2"/>
    <w:rsid w:val="0061044C"/>
    <w:rsid w:val="0061190F"/>
    <w:rsid w:val="00612721"/>
    <w:rsid w:val="00612B48"/>
    <w:rsid w:val="00614405"/>
    <w:rsid w:val="00617803"/>
    <w:rsid w:val="0061785D"/>
    <w:rsid w:val="00621811"/>
    <w:rsid w:val="0062286E"/>
    <w:rsid w:val="00623694"/>
    <w:rsid w:val="006259F9"/>
    <w:rsid w:val="00625C69"/>
    <w:rsid w:val="00625D97"/>
    <w:rsid w:val="0062666D"/>
    <w:rsid w:val="006349DC"/>
    <w:rsid w:val="00634EDD"/>
    <w:rsid w:val="0063503A"/>
    <w:rsid w:val="0063664C"/>
    <w:rsid w:val="00636E7A"/>
    <w:rsid w:val="00641177"/>
    <w:rsid w:val="00642695"/>
    <w:rsid w:val="0064279E"/>
    <w:rsid w:val="0064446E"/>
    <w:rsid w:val="00645D17"/>
    <w:rsid w:val="00646722"/>
    <w:rsid w:val="00650506"/>
    <w:rsid w:val="006510CA"/>
    <w:rsid w:val="00652721"/>
    <w:rsid w:val="00652C8A"/>
    <w:rsid w:val="00655525"/>
    <w:rsid w:val="0065685B"/>
    <w:rsid w:val="0066049D"/>
    <w:rsid w:val="00660A09"/>
    <w:rsid w:val="00660D7B"/>
    <w:rsid w:val="00661191"/>
    <w:rsid w:val="00661D94"/>
    <w:rsid w:val="00662723"/>
    <w:rsid w:val="00664018"/>
    <w:rsid w:val="006664FB"/>
    <w:rsid w:val="00666FDC"/>
    <w:rsid w:val="006671BD"/>
    <w:rsid w:val="0066782C"/>
    <w:rsid w:val="00671167"/>
    <w:rsid w:val="006715AC"/>
    <w:rsid w:val="00672BAA"/>
    <w:rsid w:val="0067403A"/>
    <w:rsid w:val="006744F7"/>
    <w:rsid w:val="00674528"/>
    <w:rsid w:val="006749C2"/>
    <w:rsid w:val="00674CB5"/>
    <w:rsid w:val="00674DFA"/>
    <w:rsid w:val="006751CC"/>
    <w:rsid w:val="00675BAA"/>
    <w:rsid w:val="00675D9B"/>
    <w:rsid w:val="00675E2C"/>
    <w:rsid w:val="00676E1A"/>
    <w:rsid w:val="006771DF"/>
    <w:rsid w:val="00680727"/>
    <w:rsid w:val="00680C9D"/>
    <w:rsid w:val="0068130D"/>
    <w:rsid w:val="0068260C"/>
    <w:rsid w:val="00683487"/>
    <w:rsid w:val="006839DD"/>
    <w:rsid w:val="0068593A"/>
    <w:rsid w:val="00685BBC"/>
    <w:rsid w:val="00686577"/>
    <w:rsid w:val="0068668F"/>
    <w:rsid w:val="00690C55"/>
    <w:rsid w:val="00691C0F"/>
    <w:rsid w:val="006937AD"/>
    <w:rsid w:val="006953D6"/>
    <w:rsid w:val="00695AAD"/>
    <w:rsid w:val="00695E42"/>
    <w:rsid w:val="00697311"/>
    <w:rsid w:val="006A020F"/>
    <w:rsid w:val="006A10ED"/>
    <w:rsid w:val="006A2A58"/>
    <w:rsid w:val="006A5154"/>
    <w:rsid w:val="006A6B69"/>
    <w:rsid w:val="006B138D"/>
    <w:rsid w:val="006B1E2F"/>
    <w:rsid w:val="006B2B47"/>
    <w:rsid w:val="006B57C5"/>
    <w:rsid w:val="006B5EC4"/>
    <w:rsid w:val="006B5F33"/>
    <w:rsid w:val="006C0774"/>
    <w:rsid w:val="006C13A1"/>
    <w:rsid w:val="006C31B8"/>
    <w:rsid w:val="006C5E6D"/>
    <w:rsid w:val="006C6BAE"/>
    <w:rsid w:val="006D285F"/>
    <w:rsid w:val="006D2C87"/>
    <w:rsid w:val="006D2F2B"/>
    <w:rsid w:val="006D3E08"/>
    <w:rsid w:val="006D4FE3"/>
    <w:rsid w:val="006D7BDE"/>
    <w:rsid w:val="006E0609"/>
    <w:rsid w:val="006E1212"/>
    <w:rsid w:val="006E266A"/>
    <w:rsid w:val="006E4793"/>
    <w:rsid w:val="006E48BF"/>
    <w:rsid w:val="006E4D11"/>
    <w:rsid w:val="006F078F"/>
    <w:rsid w:val="006F0B55"/>
    <w:rsid w:val="006F3F42"/>
    <w:rsid w:val="006F46D3"/>
    <w:rsid w:val="006F4711"/>
    <w:rsid w:val="006F5CE7"/>
    <w:rsid w:val="006F6CC4"/>
    <w:rsid w:val="00700675"/>
    <w:rsid w:val="00703A85"/>
    <w:rsid w:val="0070458F"/>
    <w:rsid w:val="00704700"/>
    <w:rsid w:val="00706BA8"/>
    <w:rsid w:val="00706E04"/>
    <w:rsid w:val="00707960"/>
    <w:rsid w:val="007079FC"/>
    <w:rsid w:val="00713408"/>
    <w:rsid w:val="00713469"/>
    <w:rsid w:val="00714842"/>
    <w:rsid w:val="0071582F"/>
    <w:rsid w:val="00716905"/>
    <w:rsid w:val="007210FB"/>
    <w:rsid w:val="007218E8"/>
    <w:rsid w:val="007219A6"/>
    <w:rsid w:val="00721DF5"/>
    <w:rsid w:val="00722597"/>
    <w:rsid w:val="007231F9"/>
    <w:rsid w:val="00723A92"/>
    <w:rsid w:val="00725720"/>
    <w:rsid w:val="0073198E"/>
    <w:rsid w:val="007339B5"/>
    <w:rsid w:val="007341CB"/>
    <w:rsid w:val="00734E96"/>
    <w:rsid w:val="007364D1"/>
    <w:rsid w:val="00737110"/>
    <w:rsid w:val="007376B5"/>
    <w:rsid w:val="0074335B"/>
    <w:rsid w:val="00743A44"/>
    <w:rsid w:val="007517CE"/>
    <w:rsid w:val="00752C27"/>
    <w:rsid w:val="00755948"/>
    <w:rsid w:val="00757B77"/>
    <w:rsid w:val="007609D0"/>
    <w:rsid w:val="0076120A"/>
    <w:rsid w:val="00761967"/>
    <w:rsid w:val="00761E39"/>
    <w:rsid w:val="00761FE8"/>
    <w:rsid w:val="007624CF"/>
    <w:rsid w:val="007641C9"/>
    <w:rsid w:val="0077004F"/>
    <w:rsid w:val="00771E88"/>
    <w:rsid w:val="00771FFB"/>
    <w:rsid w:val="0077200A"/>
    <w:rsid w:val="00774395"/>
    <w:rsid w:val="00774BFB"/>
    <w:rsid w:val="00782AC0"/>
    <w:rsid w:val="0078521B"/>
    <w:rsid w:val="007857E0"/>
    <w:rsid w:val="007913A3"/>
    <w:rsid w:val="00792B9F"/>
    <w:rsid w:val="00795E97"/>
    <w:rsid w:val="007966DD"/>
    <w:rsid w:val="007A285D"/>
    <w:rsid w:val="007A2F61"/>
    <w:rsid w:val="007A49DE"/>
    <w:rsid w:val="007A555B"/>
    <w:rsid w:val="007A6B72"/>
    <w:rsid w:val="007A7C64"/>
    <w:rsid w:val="007B1263"/>
    <w:rsid w:val="007B1E1B"/>
    <w:rsid w:val="007B2F17"/>
    <w:rsid w:val="007B5115"/>
    <w:rsid w:val="007B57E3"/>
    <w:rsid w:val="007B5A3B"/>
    <w:rsid w:val="007B5F83"/>
    <w:rsid w:val="007B7586"/>
    <w:rsid w:val="007C1346"/>
    <w:rsid w:val="007C1A9B"/>
    <w:rsid w:val="007C2076"/>
    <w:rsid w:val="007C227D"/>
    <w:rsid w:val="007C3677"/>
    <w:rsid w:val="007C3AE2"/>
    <w:rsid w:val="007C487A"/>
    <w:rsid w:val="007C5DFE"/>
    <w:rsid w:val="007C5F3E"/>
    <w:rsid w:val="007C6F48"/>
    <w:rsid w:val="007D0439"/>
    <w:rsid w:val="007D3623"/>
    <w:rsid w:val="007D61DA"/>
    <w:rsid w:val="007D74A3"/>
    <w:rsid w:val="007E0BC6"/>
    <w:rsid w:val="007E1F5E"/>
    <w:rsid w:val="007E2348"/>
    <w:rsid w:val="007E25C7"/>
    <w:rsid w:val="007E260B"/>
    <w:rsid w:val="007E478F"/>
    <w:rsid w:val="007E73D0"/>
    <w:rsid w:val="007E7969"/>
    <w:rsid w:val="007F09B8"/>
    <w:rsid w:val="007F38FB"/>
    <w:rsid w:val="007F420F"/>
    <w:rsid w:val="007F4346"/>
    <w:rsid w:val="007F5511"/>
    <w:rsid w:val="007F6438"/>
    <w:rsid w:val="007F7EE5"/>
    <w:rsid w:val="00801598"/>
    <w:rsid w:val="0080295C"/>
    <w:rsid w:val="008043B0"/>
    <w:rsid w:val="00805B3C"/>
    <w:rsid w:val="00806449"/>
    <w:rsid w:val="00806983"/>
    <w:rsid w:val="008107A8"/>
    <w:rsid w:val="00813C90"/>
    <w:rsid w:val="00813FFB"/>
    <w:rsid w:val="00817A8A"/>
    <w:rsid w:val="008223CB"/>
    <w:rsid w:val="008230F6"/>
    <w:rsid w:val="00824A43"/>
    <w:rsid w:val="00826269"/>
    <w:rsid w:val="00830952"/>
    <w:rsid w:val="008325B4"/>
    <w:rsid w:val="00832ABE"/>
    <w:rsid w:val="00832EB7"/>
    <w:rsid w:val="008338EC"/>
    <w:rsid w:val="008345F2"/>
    <w:rsid w:val="00835AF3"/>
    <w:rsid w:val="00836182"/>
    <w:rsid w:val="00836FAE"/>
    <w:rsid w:val="00836FEB"/>
    <w:rsid w:val="00840BE0"/>
    <w:rsid w:val="00841EBB"/>
    <w:rsid w:val="0084257D"/>
    <w:rsid w:val="00842D45"/>
    <w:rsid w:val="00843D9D"/>
    <w:rsid w:val="008527F4"/>
    <w:rsid w:val="00853003"/>
    <w:rsid w:val="008534C9"/>
    <w:rsid w:val="008556AB"/>
    <w:rsid w:val="00855B14"/>
    <w:rsid w:val="0085635F"/>
    <w:rsid w:val="008570FD"/>
    <w:rsid w:val="0085728D"/>
    <w:rsid w:val="00857752"/>
    <w:rsid w:val="0086162C"/>
    <w:rsid w:val="00862C7F"/>
    <w:rsid w:val="00864355"/>
    <w:rsid w:val="0086749F"/>
    <w:rsid w:val="00867752"/>
    <w:rsid w:val="00867936"/>
    <w:rsid w:val="00872330"/>
    <w:rsid w:val="0087286B"/>
    <w:rsid w:val="0087460E"/>
    <w:rsid w:val="00880E9D"/>
    <w:rsid w:val="00881A18"/>
    <w:rsid w:val="00885C03"/>
    <w:rsid w:val="0088754A"/>
    <w:rsid w:val="00892B9C"/>
    <w:rsid w:val="00893376"/>
    <w:rsid w:val="0089485F"/>
    <w:rsid w:val="00896F0D"/>
    <w:rsid w:val="008A1EF9"/>
    <w:rsid w:val="008A2706"/>
    <w:rsid w:val="008A2B9E"/>
    <w:rsid w:val="008A3E24"/>
    <w:rsid w:val="008A47A7"/>
    <w:rsid w:val="008A4AF9"/>
    <w:rsid w:val="008A5422"/>
    <w:rsid w:val="008A6357"/>
    <w:rsid w:val="008A6765"/>
    <w:rsid w:val="008A6B33"/>
    <w:rsid w:val="008B0826"/>
    <w:rsid w:val="008B090B"/>
    <w:rsid w:val="008B1A19"/>
    <w:rsid w:val="008B4A7D"/>
    <w:rsid w:val="008B7E15"/>
    <w:rsid w:val="008C01DB"/>
    <w:rsid w:val="008C2688"/>
    <w:rsid w:val="008C332D"/>
    <w:rsid w:val="008C4B67"/>
    <w:rsid w:val="008C66FA"/>
    <w:rsid w:val="008C6D93"/>
    <w:rsid w:val="008C74D5"/>
    <w:rsid w:val="008C7B83"/>
    <w:rsid w:val="008D1626"/>
    <w:rsid w:val="008D16B2"/>
    <w:rsid w:val="008D1BBD"/>
    <w:rsid w:val="008D1D55"/>
    <w:rsid w:val="008D302E"/>
    <w:rsid w:val="008D3174"/>
    <w:rsid w:val="008E087A"/>
    <w:rsid w:val="008E108D"/>
    <w:rsid w:val="008E120D"/>
    <w:rsid w:val="008E15C2"/>
    <w:rsid w:val="008E1CF9"/>
    <w:rsid w:val="008E1F50"/>
    <w:rsid w:val="008E203F"/>
    <w:rsid w:val="008E39E6"/>
    <w:rsid w:val="008E3C96"/>
    <w:rsid w:val="008E410F"/>
    <w:rsid w:val="008E6443"/>
    <w:rsid w:val="008E6DEC"/>
    <w:rsid w:val="008E7C0F"/>
    <w:rsid w:val="008F0539"/>
    <w:rsid w:val="008F0600"/>
    <w:rsid w:val="008F5641"/>
    <w:rsid w:val="008F6207"/>
    <w:rsid w:val="008F7B09"/>
    <w:rsid w:val="00904DF4"/>
    <w:rsid w:val="00906677"/>
    <w:rsid w:val="00910E2E"/>
    <w:rsid w:val="00911302"/>
    <w:rsid w:val="0091405D"/>
    <w:rsid w:val="0091565F"/>
    <w:rsid w:val="00916E43"/>
    <w:rsid w:val="00916F1D"/>
    <w:rsid w:val="00920A0F"/>
    <w:rsid w:val="009213BB"/>
    <w:rsid w:val="00922C32"/>
    <w:rsid w:val="0093017A"/>
    <w:rsid w:val="0093129D"/>
    <w:rsid w:val="0093279C"/>
    <w:rsid w:val="00932E92"/>
    <w:rsid w:val="009340C5"/>
    <w:rsid w:val="00937C1F"/>
    <w:rsid w:val="00941F02"/>
    <w:rsid w:val="009427F9"/>
    <w:rsid w:val="00945A7D"/>
    <w:rsid w:val="00951892"/>
    <w:rsid w:val="00952123"/>
    <w:rsid w:val="00952302"/>
    <w:rsid w:val="00952318"/>
    <w:rsid w:val="00954157"/>
    <w:rsid w:val="00954BAD"/>
    <w:rsid w:val="00954DD9"/>
    <w:rsid w:val="009570C4"/>
    <w:rsid w:val="009602CA"/>
    <w:rsid w:val="00960BDB"/>
    <w:rsid w:val="00960CAD"/>
    <w:rsid w:val="009612AE"/>
    <w:rsid w:val="00962FD3"/>
    <w:rsid w:val="00963B7D"/>
    <w:rsid w:val="00967D4B"/>
    <w:rsid w:val="00967FF7"/>
    <w:rsid w:val="00971A46"/>
    <w:rsid w:val="0097217C"/>
    <w:rsid w:val="00973290"/>
    <w:rsid w:val="00974ADC"/>
    <w:rsid w:val="00974E54"/>
    <w:rsid w:val="009754E4"/>
    <w:rsid w:val="00975E0F"/>
    <w:rsid w:val="00975E2D"/>
    <w:rsid w:val="00977A1E"/>
    <w:rsid w:val="00981004"/>
    <w:rsid w:val="0098139D"/>
    <w:rsid w:val="00981BC0"/>
    <w:rsid w:val="009826EC"/>
    <w:rsid w:val="00985987"/>
    <w:rsid w:val="009861A1"/>
    <w:rsid w:val="00987051"/>
    <w:rsid w:val="009875FB"/>
    <w:rsid w:val="00987EB3"/>
    <w:rsid w:val="00991E8F"/>
    <w:rsid w:val="00992689"/>
    <w:rsid w:val="00994C2D"/>
    <w:rsid w:val="0099549E"/>
    <w:rsid w:val="0099571C"/>
    <w:rsid w:val="009A13C3"/>
    <w:rsid w:val="009A29E6"/>
    <w:rsid w:val="009A2AED"/>
    <w:rsid w:val="009A40D2"/>
    <w:rsid w:val="009A41BB"/>
    <w:rsid w:val="009A49E4"/>
    <w:rsid w:val="009A5AD2"/>
    <w:rsid w:val="009A7549"/>
    <w:rsid w:val="009B0912"/>
    <w:rsid w:val="009B3D36"/>
    <w:rsid w:val="009B5E40"/>
    <w:rsid w:val="009B6B76"/>
    <w:rsid w:val="009C1934"/>
    <w:rsid w:val="009C1CE6"/>
    <w:rsid w:val="009C385D"/>
    <w:rsid w:val="009C6B9A"/>
    <w:rsid w:val="009C7984"/>
    <w:rsid w:val="009D1429"/>
    <w:rsid w:val="009D24F2"/>
    <w:rsid w:val="009D2C1A"/>
    <w:rsid w:val="009D3DAD"/>
    <w:rsid w:val="009D3DED"/>
    <w:rsid w:val="009D4397"/>
    <w:rsid w:val="009D5F95"/>
    <w:rsid w:val="009D637D"/>
    <w:rsid w:val="009D6FB6"/>
    <w:rsid w:val="009D7439"/>
    <w:rsid w:val="009D75E4"/>
    <w:rsid w:val="009D7B93"/>
    <w:rsid w:val="009E0C0A"/>
    <w:rsid w:val="009E1288"/>
    <w:rsid w:val="009E2072"/>
    <w:rsid w:val="009E238A"/>
    <w:rsid w:val="009F1717"/>
    <w:rsid w:val="009F2C7E"/>
    <w:rsid w:val="009F3A0F"/>
    <w:rsid w:val="009F4DD6"/>
    <w:rsid w:val="009F4ED6"/>
    <w:rsid w:val="009F51B2"/>
    <w:rsid w:val="009F547B"/>
    <w:rsid w:val="009F5E96"/>
    <w:rsid w:val="009F7C68"/>
    <w:rsid w:val="00A0018F"/>
    <w:rsid w:val="00A024BF"/>
    <w:rsid w:val="00A02D90"/>
    <w:rsid w:val="00A02FFB"/>
    <w:rsid w:val="00A0638D"/>
    <w:rsid w:val="00A078A3"/>
    <w:rsid w:val="00A108CE"/>
    <w:rsid w:val="00A108DE"/>
    <w:rsid w:val="00A10B11"/>
    <w:rsid w:val="00A136C6"/>
    <w:rsid w:val="00A13C5A"/>
    <w:rsid w:val="00A16F48"/>
    <w:rsid w:val="00A17C95"/>
    <w:rsid w:val="00A22BCB"/>
    <w:rsid w:val="00A230AE"/>
    <w:rsid w:val="00A239B2"/>
    <w:rsid w:val="00A23E1A"/>
    <w:rsid w:val="00A24B1D"/>
    <w:rsid w:val="00A254C7"/>
    <w:rsid w:val="00A26694"/>
    <w:rsid w:val="00A27DFD"/>
    <w:rsid w:val="00A3005C"/>
    <w:rsid w:val="00A30871"/>
    <w:rsid w:val="00A31BBC"/>
    <w:rsid w:val="00A32AC7"/>
    <w:rsid w:val="00A33962"/>
    <w:rsid w:val="00A42669"/>
    <w:rsid w:val="00A44DF5"/>
    <w:rsid w:val="00A4656F"/>
    <w:rsid w:val="00A46901"/>
    <w:rsid w:val="00A47835"/>
    <w:rsid w:val="00A50C7C"/>
    <w:rsid w:val="00A51F11"/>
    <w:rsid w:val="00A56F64"/>
    <w:rsid w:val="00A60286"/>
    <w:rsid w:val="00A61376"/>
    <w:rsid w:val="00A63E89"/>
    <w:rsid w:val="00A63F06"/>
    <w:rsid w:val="00A6519C"/>
    <w:rsid w:val="00A662D0"/>
    <w:rsid w:val="00A73513"/>
    <w:rsid w:val="00A73E67"/>
    <w:rsid w:val="00A74F2A"/>
    <w:rsid w:val="00A75576"/>
    <w:rsid w:val="00A80836"/>
    <w:rsid w:val="00A80C7D"/>
    <w:rsid w:val="00A83D7F"/>
    <w:rsid w:val="00A858FF"/>
    <w:rsid w:val="00A9314F"/>
    <w:rsid w:val="00A93B78"/>
    <w:rsid w:val="00A93D15"/>
    <w:rsid w:val="00A93D1C"/>
    <w:rsid w:val="00A9426D"/>
    <w:rsid w:val="00AA1F9F"/>
    <w:rsid w:val="00AA2C59"/>
    <w:rsid w:val="00AA2D0F"/>
    <w:rsid w:val="00AA36F1"/>
    <w:rsid w:val="00AA3780"/>
    <w:rsid w:val="00AA3E9F"/>
    <w:rsid w:val="00AA784B"/>
    <w:rsid w:val="00AB2AC2"/>
    <w:rsid w:val="00AB2D84"/>
    <w:rsid w:val="00AB4E38"/>
    <w:rsid w:val="00AB5853"/>
    <w:rsid w:val="00AB5F97"/>
    <w:rsid w:val="00AC25F7"/>
    <w:rsid w:val="00AC54FA"/>
    <w:rsid w:val="00AD111B"/>
    <w:rsid w:val="00AD1E8F"/>
    <w:rsid w:val="00AD379D"/>
    <w:rsid w:val="00AD5D70"/>
    <w:rsid w:val="00AE01EF"/>
    <w:rsid w:val="00AE1C66"/>
    <w:rsid w:val="00AE1ED4"/>
    <w:rsid w:val="00AE1F98"/>
    <w:rsid w:val="00AE2066"/>
    <w:rsid w:val="00AE451D"/>
    <w:rsid w:val="00AE5346"/>
    <w:rsid w:val="00AE6FD2"/>
    <w:rsid w:val="00AE7288"/>
    <w:rsid w:val="00AF228D"/>
    <w:rsid w:val="00AF3618"/>
    <w:rsid w:val="00AF3D2F"/>
    <w:rsid w:val="00AF3D56"/>
    <w:rsid w:val="00AF566C"/>
    <w:rsid w:val="00AF60D3"/>
    <w:rsid w:val="00AF7422"/>
    <w:rsid w:val="00B01879"/>
    <w:rsid w:val="00B03B7E"/>
    <w:rsid w:val="00B059DE"/>
    <w:rsid w:val="00B05AE6"/>
    <w:rsid w:val="00B1182C"/>
    <w:rsid w:val="00B1648B"/>
    <w:rsid w:val="00B178A5"/>
    <w:rsid w:val="00B21381"/>
    <w:rsid w:val="00B2190B"/>
    <w:rsid w:val="00B21C65"/>
    <w:rsid w:val="00B21D77"/>
    <w:rsid w:val="00B24A5C"/>
    <w:rsid w:val="00B27AAC"/>
    <w:rsid w:val="00B27B14"/>
    <w:rsid w:val="00B30067"/>
    <w:rsid w:val="00B33C32"/>
    <w:rsid w:val="00B36C5B"/>
    <w:rsid w:val="00B37D6A"/>
    <w:rsid w:val="00B40528"/>
    <w:rsid w:val="00B416FA"/>
    <w:rsid w:val="00B417FA"/>
    <w:rsid w:val="00B4379E"/>
    <w:rsid w:val="00B44373"/>
    <w:rsid w:val="00B4627D"/>
    <w:rsid w:val="00B472CF"/>
    <w:rsid w:val="00B4780E"/>
    <w:rsid w:val="00B50DEA"/>
    <w:rsid w:val="00B516AB"/>
    <w:rsid w:val="00B558FC"/>
    <w:rsid w:val="00B560D3"/>
    <w:rsid w:val="00B5654D"/>
    <w:rsid w:val="00B56D31"/>
    <w:rsid w:val="00B56D61"/>
    <w:rsid w:val="00B60BFD"/>
    <w:rsid w:val="00B6149A"/>
    <w:rsid w:val="00B61F77"/>
    <w:rsid w:val="00B61FD5"/>
    <w:rsid w:val="00B63378"/>
    <w:rsid w:val="00B63673"/>
    <w:rsid w:val="00B63A75"/>
    <w:rsid w:val="00B63CBD"/>
    <w:rsid w:val="00B646A9"/>
    <w:rsid w:val="00B6471E"/>
    <w:rsid w:val="00B66558"/>
    <w:rsid w:val="00B675DC"/>
    <w:rsid w:val="00B70295"/>
    <w:rsid w:val="00B71091"/>
    <w:rsid w:val="00B71587"/>
    <w:rsid w:val="00B717C4"/>
    <w:rsid w:val="00B71856"/>
    <w:rsid w:val="00B71D96"/>
    <w:rsid w:val="00B743BB"/>
    <w:rsid w:val="00B75A6F"/>
    <w:rsid w:val="00B75F58"/>
    <w:rsid w:val="00B76A9A"/>
    <w:rsid w:val="00B76E54"/>
    <w:rsid w:val="00B772E8"/>
    <w:rsid w:val="00B77E7D"/>
    <w:rsid w:val="00B80E19"/>
    <w:rsid w:val="00B86496"/>
    <w:rsid w:val="00B9183B"/>
    <w:rsid w:val="00B91F28"/>
    <w:rsid w:val="00B94232"/>
    <w:rsid w:val="00B94E75"/>
    <w:rsid w:val="00B955FA"/>
    <w:rsid w:val="00B95679"/>
    <w:rsid w:val="00B95ACB"/>
    <w:rsid w:val="00B96E2A"/>
    <w:rsid w:val="00BA2847"/>
    <w:rsid w:val="00BA3553"/>
    <w:rsid w:val="00BA4D8E"/>
    <w:rsid w:val="00BA5453"/>
    <w:rsid w:val="00BA5CFB"/>
    <w:rsid w:val="00BA6C52"/>
    <w:rsid w:val="00BA78CB"/>
    <w:rsid w:val="00BA7B92"/>
    <w:rsid w:val="00BB35C2"/>
    <w:rsid w:val="00BB379A"/>
    <w:rsid w:val="00BB49B2"/>
    <w:rsid w:val="00BB5370"/>
    <w:rsid w:val="00BC7E1F"/>
    <w:rsid w:val="00BC7FB8"/>
    <w:rsid w:val="00BD44BC"/>
    <w:rsid w:val="00BD6BD2"/>
    <w:rsid w:val="00BD7C0B"/>
    <w:rsid w:val="00BE1B67"/>
    <w:rsid w:val="00BE2CFA"/>
    <w:rsid w:val="00BE2F5C"/>
    <w:rsid w:val="00BE40A2"/>
    <w:rsid w:val="00BE4ADC"/>
    <w:rsid w:val="00BE7287"/>
    <w:rsid w:val="00BF2AC7"/>
    <w:rsid w:val="00BF502F"/>
    <w:rsid w:val="00BF5B99"/>
    <w:rsid w:val="00BF6A4E"/>
    <w:rsid w:val="00C0185E"/>
    <w:rsid w:val="00C01B29"/>
    <w:rsid w:val="00C05D48"/>
    <w:rsid w:val="00C0670A"/>
    <w:rsid w:val="00C07916"/>
    <w:rsid w:val="00C115A3"/>
    <w:rsid w:val="00C12F50"/>
    <w:rsid w:val="00C134D1"/>
    <w:rsid w:val="00C13A82"/>
    <w:rsid w:val="00C157AC"/>
    <w:rsid w:val="00C158D7"/>
    <w:rsid w:val="00C22C37"/>
    <w:rsid w:val="00C249A5"/>
    <w:rsid w:val="00C26070"/>
    <w:rsid w:val="00C26430"/>
    <w:rsid w:val="00C33205"/>
    <w:rsid w:val="00C333C1"/>
    <w:rsid w:val="00C351D5"/>
    <w:rsid w:val="00C352BA"/>
    <w:rsid w:val="00C3710B"/>
    <w:rsid w:val="00C40B67"/>
    <w:rsid w:val="00C41610"/>
    <w:rsid w:val="00C418C5"/>
    <w:rsid w:val="00C41F49"/>
    <w:rsid w:val="00C530C0"/>
    <w:rsid w:val="00C53D1C"/>
    <w:rsid w:val="00C53D2D"/>
    <w:rsid w:val="00C56D21"/>
    <w:rsid w:val="00C60920"/>
    <w:rsid w:val="00C60C0D"/>
    <w:rsid w:val="00C62596"/>
    <w:rsid w:val="00C632FF"/>
    <w:rsid w:val="00C63743"/>
    <w:rsid w:val="00C653CC"/>
    <w:rsid w:val="00C6598E"/>
    <w:rsid w:val="00C66962"/>
    <w:rsid w:val="00C67AF5"/>
    <w:rsid w:val="00C67B89"/>
    <w:rsid w:val="00C74D15"/>
    <w:rsid w:val="00C8004E"/>
    <w:rsid w:val="00C82F65"/>
    <w:rsid w:val="00C836F0"/>
    <w:rsid w:val="00C8515A"/>
    <w:rsid w:val="00C91156"/>
    <w:rsid w:val="00C92847"/>
    <w:rsid w:val="00C93FF8"/>
    <w:rsid w:val="00C96558"/>
    <w:rsid w:val="00CA0079"/>
    <w:rsid w:val="00CA2A91"/>
    <w:rsid w:val="00CA2E24"/>
    <w:rsid w:val="00CA379C"/>
    <w:rsid w:val="00CA4CB8"/>
    <w:rsid w:val="00CA71A2"/>
    <w:rsid w:val="00CA7E8D"/>
    <w:rsid w:val="00CB0896"/>
    <w:rsid w:val="00CB18B5"/>
    <w:rsid w:val="00CB3B7C"/>
    <w:rsid w:val="00CB433B"/>
    <w:rsid w:val="00CB46FF"/>
    <w:rsid w:val="00CB4893"/>
    <w:rsid w:val="00CB557C"/>
    <w:rsid w:val="00CB6494"/>
    <w:rsid w:val="00CB6B37"/>
    <w:rsid w:val="00CC004C"/>
    <w:rsid w:val="00CC2A7C"/>
    <w:rsid w:val="00CC4CF6"/>
    <w:rsid w:val="00CC6C40"/>
    <w:rsid w:val="00CD120F"/>
    <w:rsid w:val="00CD1258"/>
    <w:rsid w:val="00CD129F"/>
    <w:rsid w:val="00CD35DD"/>
    <w:rsid w:val="00CD37A3"/>
    <w:rsid w:val="00CD3CD3"/>
    <w:rsid w:val="00CD5863"/>
    <w:rsid w:val="00CD6302"/>
    <w:rsid w:val="00CE096B"/>
    <w:rsid w:val="00CE46EE"/>
    <w:rsid w:val="00CE5DAB"/>
    <w:rsid w:val="00CE66A4"/>
    <w:rsid w:val="00CF03F3"/>
    <w:rsid w:val="00CF1F76"/>
    <w:rsid w:val="00CF2A33"/>
    <w:rsid w:val="00CF3098"/>
    <w:rsid w:val="00CF5139"/>
    <w:rsid w:val="00CF5B3C"/>
    <w:rsid w:val="00CF5E97"/>
    <w:rsid w:val="00CF65CF"/>
    <w:rsid w:val="00D03C95"/>
    <w:rsid w:val="00D041C9"/>
    <w:rsid w:val="00D11D23"/>
    <w:rsid w:val="00D13E53"/>
    <w:rsid w:val="00D15B51"/>
    <w:rsid w:val="00D164CD"/>
    <w:rsid w:val="00D17DEC"/>
    <w:rsid w:val="00D20238"/>
    <w:rsid w:val="00D2085F"/>
    <w:rsid w:val="00D2265A"/>
    <w:rsid w:val="00D244BE"/>
    <w:rsid w:val="00D24762"/>
    <w:rsid w:val="00D26239"/>
    <w:rsid w:val="00D26E4D"/>
    <w:rsid w:val="00D2757F"/>
    <w:rsid w:val="00D27E29"/>
    <w:rsid w:val="00D312A7"/>
    <w:rsid w:val="00D31555"/>
    <w:rsid w:val="00D31774"/>
    <w:rsid w:val="00D32561"/>
    <w:rsid w:val="00D33758"/>
    <w:rsid w:val="00D33B0C"/>
    <w:rsid w:val="00D354EC"/>
    <w:rsid w:val="00D36A96"/>
    <w:rsid w:val="00D36EE3"/>
    <w:rsid w:val="00D370EA"/>
    <w:rsid w:val="00D4018C"/>
    <w:rsid w:val="00D405C5"/>
    <w:rsid w:val="00D4274E"/>
    <w:rsid w:val="00D44E6F"/>
    <w:rsid w:val="00D47974"/>
    <w:rsid w:val="00D50408"/>
    <w:rsid w:val="00D50DFF"/>
    <w:rsid w:val="00D52281"/>
    <w:rsid w:val="00D57F6C"/>
    <w:rsid w:val="00D631CE"/>
    <w:rsid w:val="00D67C02"/>
    <w:rsid w:val="00D709BE"/>
    <w:rsid w:val="00D70D87"/>
    <w:rsid w:val="00D732D5"/>
    <w:rsid w:val="00D732F8"/>
    <w:rsid w:val="00D741FF"/>
    <w:rsid w:val="00D75A6C"/>
    <w:rsid w:val="00D77752"/>
    <w:rsid w:val="00D80C85"/>
    <w:rsid w:val="00D83215"/>
    <w:rsid w:val="00D839A3"/>
    <w:rsid w:val="00D860E9"/>
    <w:rsid w:val="00D877F4"/>
    <w:rsid w:val="00D90F5E"/>
    <w:rsid w:val="00D927EB"/>
    <w:rsid w:val="00D93B01"/>
    <w:rsid w:val="00D95932"/>
    <w:rsid w:val="00D97131"/>
    <w:rsid w:val="00DA1211"/>
    <w:rsid w:val="00DA159F"/>
    <w:rsid w:val="00DA36C8"/>
    <w:rsid w:val="00DA3DEE"/>
    <w:rsid w:val="00DA5732"/>
    <w:rsid w:val="00DA63F4"/>
    <w:rsid w:val="00DA760F"/>
    <w:rsid w:val="00DA7823"/>
    <w:rsid w:val="00DB0C54"/>
    <w:rsid w:val="00DB28E3"/>
    <w:rsid w:val="00DB4FE9"/>
    <w:rsid w:val="00DB65DC"/>
    <w:rsid w:val="00DB6A75"/>
    <w:rsid w:val="00DB72F8"/>
    <w:rsid w:val="00DC1A98"/>
    <w:rsid w:val="00DC40C4"/>
    <w:rsid w:val="00DC44E9"/>
    <w:rsid w:val="00DC4A58"/>
    <w:rsid w:val="00DC5A07"/>
    <w:rsid w:val="00DC6096"/>
    <w:rsid w:val="00DC6568"/>
    <w:rsid w:val="00DC69A4"/>
    <w:rsid w:val="00DC6FB9"/>
    <w:rsid w:val="00DD1F8D"/>
    <w:rsid w:val="00DD2A13"/>
    <w:rsid w:val="00DD3247"/>
    <w:rsid w:val="00DD3936"/>
    <w:rsid w:val="00DD5351"/>
    <w:rsid w:val="00DD6640"/>
    <w:rsid w:val="00DD7C39"/>
    <w:rsid w:val="00DE068D"/>
    <w:rsid w:val="00DE189E"/>
    <w:rsid w:val="00DE2337"/>
    <w:rsid w:val="00DE4DFF"/>
    <w:rsid w:val="00DE51D7"/>
    <w:rsid w:val="00DE5416"/>
    <w:rsid w:val="00DE64AA"/>
    <w:rsid w:val="00DE6E71"/>
    <w:rsid w:val="00DF1F4F"/>
    <w:rsid w:val="00DF2F2E"/>
    <w:rsid w:val="00DF3F86"/>
    <w:rsid w:val="00DF606F"/>
    <w:rsid w:val="00E00A9B"/>
    <w:rsid w:val="00E026FE"/>
    <w:rsid w:val="00E02CF9"/>
    <w:rsid w:val="00E0329B"/>
    <w:rsid w:val="00E063A1"/>
    <w:rsid w:val="00E067AA"/>
    <w:rsid w:val="00E07550"/>
    <w:rsid w:val="00E07F34"/>
    <w:rsid w:val="00E10DEB"/>
    <w:rsid w:val="00E11CF8"/>
    <w:rsid w:val="00E126B3"/>
    <w:rsid w:val="00E1429A"/>
    <w:rsid w:val="00E161C0"/>
    <w:rsid w:val="00E2099D"/>
    <w:rsid w:val="00E21B10"/>
    <w:rsid w:val="00E24DA3"/>
    <w:rsid w:val="00E2512A"/>
    <w:rsid w:val="00E25441"/>
    <w:rsid w:val="00E3247A"/>
    <w:rsid w:val="00E331D4"/>
    <w:rsid w:val="00E34235"/>
    <w:rsid w:val="00E34956"/>
    <w:rsid w:val="00E36069"/>
    <w:rsid w:val="00E371F2"/>
    <w:rsid w:val="00E40BC1"/>
    <w:rsid w:val="00E42D9A"/>
    <w:rsid w:val="00E43CE8"/>
    <w:rsid w:val="00E44A00"/>
    <w:rsid w:val="00E44C8C"/>
    <w:rsid w:val="00E45661"/>
    <w:rsid w:val="00E46675"/>
    <w:rsid w:val="00E4786E"/>
    <w:rsid w:val="00E5040B"/>
    <w:rsid w:val="00E50A54"/>
    <w:rsid w:val="00E50A7F"/>
    <w:rsid w:val="00E54032"/>
    <w:rsid w:val="00E54286"/>
    <w:rsid w:val="00E55200"/>
    <w:rsid w:val="00E553F2"/>
    <w:rsid w:val="00E62F31"/>
    <w:rsid w:val="00E63BF7"/>
    <w:rsid w:val="00E66949"/>
    <w:rsid w:val="00E67199"/>
    <w:rsid w:val="00E708BE"/>
    <w:rsid w:val="00E73673"/>
    <w:rsid w:val="00E73E8D"/>
    <w:rsid w:val="00E742FC"/>
    <w:rsid w:val="00E7455A"/>
    <w:rsid w:val="00E7461B"/>
    <w:rsid w:val="00E74C02"/>
    <w:rsid w:val="00E81E6F"/>
    <w:rsid w:val="00E821FB"/>
    <w:rsid w:val="00E8519D"/>
    <w:rsid w:val="00E91368"/>
    <w:rsid w:val="00E9322C"/>
    <w:rsid w:val="00E93AAD"/>
    <w:rsid w:val="00E94C9B"/>
    <w:rsid w:val="00E95C69"/>
    <w:rsid w:val="00E974B2"/>
    <w:rsid w:val="00EA155A"/>
    <w:rsid w:val="00EA2729"/>
    <w:rsid w:val="00EA65CA"/>
    <w:rsid w:val="00EB0C24"/>
    <w:rsid w:val="00EB240D"/>
    <w:rsid w:val="00EB2E85"/>
    <w:rsid w:val="00EB2FCC"/>
    <w:rsid w:val="00EB581F"/>
    <w:rsid w:val="00EC3ABD"/>
    <w:rsid w:val="00EC5465"/>
    <w:rsid w:val="00EC6A98"/>
    <w:rsid w:val="00EC6C97"/>
    <w:rsid w:val="00EC7B4C"/>
    <w:rsid w:val="00ED0732"/>
    <w:rsid w:val="00ED0ACA"/>
    <w:rsid w:val="00ED2DB0"/>
    <w:rsid w:val="00ED3F7B"/>
    <w:rsid w:val="00ED42FD"/>
    <w:rsid w:val="00ED4992"/>
    <w:rsid w:val="00ED77B5"/>
    <w:rsid w:val="00EE0D20"/>
    <w:rsid w:val="00EE0DC2"/>
    <w:rsid w:val="00EE121F"/>
    <w:rsid w:val="00EE1F32"/>
    <w:rsid w:val="00EE326F"/>
    <w:rsid w:val="00EE5D89"/>
    <w:rsid w:val="00EE6B93"/>
    <w:rsid w:val="00EE6C8C"/>
    <w:rsid w:val="00EF03C5"/>
    <w:rsid w:val="00EF0DCB"/>
    <w:rsid w:val="00EF2F1E"/>
    <w:rsid w:val="00EF30E4"/>
    <w:rsid w:val="00EF501D"/>
    <w:rsid w:val="00EF68F8"/>
    <w:rsid w:val="00F01024"/>
    <w:rsid w:val="00F0186F"/>
    <w:rsid w:val="00F02A4A"/>
    <w:rsid w:val="00F03959"/>
    <w:rsid w:val="00F05451"/>
    <w:rsid w:val="00F0547C"/>
    <w:rsid w:val="00F07A88"/>
    <w:rsid w:val="00F1180A"/>
    <w:rsid w:val="00F12176"/>
    <w:rsid w:val="00F13864"/>
    <w:rsid w:val="00F1521F"/>
    <w:rsid w:val="00F1534D"/>
    <w:rsid w:val="00F1590D"/>
    <w:rsid w:val="00F159DC"/>
    <w:rsid w:val="00F15FA8"/>
    <w:rsid w:val="00F177B4"/>
    <w:rsid w:val="00F17E75"/>
    <w:rsid w:val="00F224D9"/>
    <w:rsid w:val="00F2254A"/>
    <w:rsid w:val="00F23494"/>
    <w:rsid w:val="00F2405E"/>
    <w:rsid w:val="00F27805"/>
    <w:rsid w:val="00F27944"/>
    <w:rsid w:val="00F31048"/>
    <w:rsid w:val="00F314AB"/>
    <w:rsid w:val="00F35E57"/>
    <w:rsid w:val="00F3706A"/>
    <w:rsid w:val="00F406E9"/>
    <w:rsid w:val="00F41B74"/>
    <w:rsid w:val="00F44747"/>
    <w:rsid w:val="00F451E9"/>
    <w:rsid w:val="00F52D3E"/>
    <w:rsid w:val="00F55035"/>
    <w:rsid w:val="00F55140"/>
    <w:rsid w:val="00F55DBE"/>
    <w:rsid w:val="00F5628C"/>
    <w:rsid w:val="00F570EC"/>
    <w:rsid w:val="00F61875"/>
    <w:rsid w:val="00F6410B"/>
    <w:rsid w:val="00F700DF"/>
    <w:rsid w:val="00F741FF"/>
    <w:rsid w:val="00F74BD8"/>
    <w:rsid w:val="00F7641A"/>
    <w:rsid w:val="00F76C2D"/>
    <w:rsid w:val="00F7760A"/>
    <w:rsid w:val="00F80AAD"/>
    <w:rsid w:val="00F8110E"/>
    <w:rsid w:val="00F81B96"/>
    <w:rsid w:val="00F82358"/>
    <w:rsid w:val="00F82D8A"/>
    <w:rsid w:val="00F85E56"/>
    <w:rsid w:val="00F900FF"/>
    <w:rsid w:val="00F91193"/>
    <w:rsid w:val="00F95365"/>
    <w:rsid w:val="00F97206"/>
    <w:rsid w:val="00FA13BE"/>
    <w:rsid w:val="00FA1CF5"/>
    <w:rsid w:val="00FA25CE"/>
    <w:rsid w:val="00FA2A8C"/>
    <w:rsid w:val="00FA33E4"/>
    <w:rsid w:val="00FA38AE"/>
    <w:rsid w:val="00FA3D86"/>
    <w:rsid w:val="00FA435A"/>
    <w:rsid w:val="00FA5A76"/>
    <w:rsid w:val="00FA7A0F"/>
    <w:rsid w:val="00FB22F4"/>
    <w:rsid w:val="00FB2629"/>
    <w:rsid w:val="00FB485E"/>
    <w:rsid w:val="00FB4B2C"/>
    <w:rsid w:val="00FB4BC1"/>
    <w:rsid w:val="00FB5920"/>
    <w:rsid w:val="00FB7303"/>
    <w:rsid w:val="00FB7C16"/>
    <w:rsid w:val="00FC2373"/>
    <w:rsid w:val="00FC37E5"/>
    <w:rsid w:val="00FC3CCF"/>
    <w:rsid w:val="00FC4954"/>
    <w:rsid w:val="00FC4F70"/>
    <w:rsid w:val="00FC5059"/>
    <w:rsid w:val="00FC5929"/>
    <w:rsid w:val="00FC7815"/>
    <w:rsid w:val="00FC7A06"/>
    <w:rsid w:val="00FD1D6F"/>
    <w:rsid w:val="00FD1EC5"/>
    <w:rsid w:val="00FD27D5"/>
    <w:rsid w:val="00FD2A81"/>
    <w:rsid w:val="00FD39E7"/>
    <w:rsid w:val="00FD4651"/>
    <w:rsid w:val="00FD468E"/>
    <w:rsid w:val="00FD502E"/>
    <w:rsid w:val="00FD5184"/>
    <w:rsid w:val="00FD7769"/>
    <w:rsid w:val="00FE180E"/>
    <w:rsid w:val="00FE1E2E"/>
    <w:rsid w:val="00FE3BDC"/>
    <w:rsid w:val="00FE3D17"/>
    <w:rsid w:val="00FE4A31"/>
    <w:rsid w:val="00FE5307"/>
    <w:rsid w:val="00FE551D"/>
    <w:rsid w:val="00FE5D8C"/>
    <w:rsid w:val="00FE62CD"/>
    <w:rsid w:val="00FE6F17"/>
    <w:rsid w:val="00FE7531"/>
    <w:rsid w:val="00FF2023"/>
    <w:rsid w:val="00FF251A"/>
    <w:rsid w:val="00FF27DE"/>
    <w:rsid w:val="00FF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CA339"/>
  <w15:docId w15:val="{6874BC50-05DD-43D5-9BB4-95469D02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835"/>
    <w:rPr>
      <w:kern w:val="0"/>
    </w:rPr>
  </w:style>
  <w:style w:type="paragraph" w:styleId="Heading1">
    <w:name w:val="heading 1"/>
    <w:basedOn w:val="Normal"/>
    <w:link w:val="Heading1Char"/>
    <w:uiPriority w:val="9"/>
    <w:qFormat/>
    <w:rsid w:val="00A44D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6711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F5E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AD2"/>
    <w:rPr>
      <w:kern w:val="0"/>
    </w:rPr>
  </w:style>
  <w:style w:type="paragraph" w:styleId="Footer">
    <w:name w:val="footer"/>
    <w:basedOn w:val="Normal"/>
    <w:link w:val="FooterChar"/>
    <w:uiPriority w:val="99"/>
    <w:unhideWhenUsed/>
    <w:rsid w:val="009A5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AD2"/>
    <w:rPr>
      <w:kern w:val="0"/>
    </w:rPr>
  </w:style>
  <w:style w:type="paragraph" w:styleId="ListParagraph">
    <w:name w:val="List Paragraph"/>
    <w:basedOn w:val="Normal"/>
    <w:uiPriority w:val="34"/>
    <w:qFormat/>
    <w:rsid w:val="00C836F0"/>
    <w:pPr>
      <w:ind w:left="720"/>
      <w:contextualSpacing/>
    </w:pPr>
    <w:rPr>
      <w:kern w:val="2"/>
    </w:rPr>
  </w:style>
  <w:style w:type="table" w:styleId="TableGrid">
    <w:name w:val="Table Grid"/>
    <w:basedOn w:val="TableNormal"/>
    <w:uiPriority w:val="39"/>
    <w:rsid w:val="003A1040"/>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08C8"/>
    <w:rPr>
      <w:sz w:val="16"/>
      <w:szCs w:val="16"/>
    </w:rPr>
  </w:style>
  <w:style w:type="paragraph" w:styleId="CommentText">
    <w:name w:val="annotation text"/>
    <w:basedOn w:val="Normal"/>
    <w:link w:val="CommentTextChar"/>
    <w:uiPriority w:val="99"/>
    <w:unhideWhenUsed/>
    <w:rsid w:val="003708C8"/>
    <w:pPr>
      <w:spacing w:line="240" w:lineRule="auto"/>
    </w:pPr>
    <w:rPr>
      <w:sz w:val="20"/>
      <w:szCs w:val="20"/>
    </w:rPr>
  </w:style>
  <w:style w:type="character" w:customStyle="1" w:styleId="CommentTextChar">
    <w:name w:val="Comment Text Char"/>
    <w:basedOn w:val="DefaultParagraphFont"/>
    <w:link w:val="CommentText"/>
    <w:uiPriority w:val="99"/>
    <w:rsid w:val="003708C8"/>
    <w:rPr>
      <w:kern w:val="0"/>
      <w:sz w:val="20"/>
      <w:szCs w:val="20"/>
    </w:rPr>
  </w:style>
  <w:style w:type="paragraph" w:styleId="CommentSubject">
    <w:name w:val="annotation subject"/>
    <w:basedOn w:val="CommentText"/>
    <w:next w:val="CommentText"/>
    <w:link w:val="CommentSubjectChar"/>
    <w:uiPriority w:val="99"/>
    <w:semiHidden/>
    <w:unhideWhenUsed/>
    <w:rsid w:val="003708C8"/>
    <w:rPr>
      <w:b/>
      <w:bCs/>
    </w:rPr>
  </w:style>
  <w:style w:type="character" w:customStyle="1" w:styleId="CommentSubjectChar">
    <w:name w:val="Comment Subject Char"/>
    <w:basedOn w:val="CommentTextChar"/>
    <w:link w:val="CommentSubject"/>
    <w:uiPriority w:val="99"/>
    <w:semiHidden/>
    <w:rsid w:val="003708C8"/>
    <w:rPr>
      <w:b/>
      <w:bCs/>
      <w:kern w:val="0"/>
      <w:sz w:val="20"/>
      <w:szCs w:val="20"/>
    </w:rPr>
  </w:style>
  <w:style w:type="paragraph" w:styleId="Bibliography">
    <w:name w:val="Bibliography"/>
    <w:basedOn w:val="Normal"/>
    <w:next w:val="Normal"/>
    <w:uiPriority w:val="37"/>
    <w:unhideWhenUsed/>
    <w:rsid w:val="005379D5"/>
    <w:pPr>
      <w:tabs>
        <w:tab w:val="left" w:pos="384"/>
      </w:tabs>
      <w:spacing w:after="0" w:line="240" w:lineRule="auto"/>
      <w:ind w:left="384" w:hanging="384"/>
    </w:pPr>
  </w:style>
  <w:style w:type="character" w:styleId="Emphasis">
    <w:name w:val="Emphasis"/>
    <w:basedOn w:val="DefaultParagraphFont"/>
    <w:uiPriority w:val="20"/>
    <w:qFormat/>
    <w:rsid w:val="007F4346"/>
    <w:rPr>
      <w:i/>
      <w:iCs/>
    </w:rPr>
  </w:style>
  <w:style w:type="character" w:styleId="HTMLTypewriter">
    <w:name w:val="HTML Typewriter"/>
    <w:basedOn w:val="DefaultParagraphFont"/>
    <w:uiPriority w:val="99"/>
    <w:semiHidden/>
    <w:unhideWhenUsed/>
    <w:rsid w:val="0056009F"/>
    <w:rPr>
      <w:rFonts w:ascii="Courier New" w:eastAsia="Times New Roman" w:hAnsi="Courier New" w:cs="Courier New"/>
      <w:sz w:val="20"/>
      <w:szCs w:val="20"/>
    </w:rPr>
  </w:style>
  <w:style w:type="table" w:styleId="PlainTable3">
    <w:name w:val="Plain Table 3"/>
    <w:basedOn w:val="TableNormal"/>
    <w:uiPriority w:val="43"/>
    <w:rsid w:val="00A465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8527F4"/>
    <w:pPr>
      <w:spacing w:after="0" w:line="240" w:lineRule="auto"/>
    </w:pPr>
    <w:rPr>
      <w:kern w:val="0"/>
    </w:rPr>
  </w:style>
  <w:style w:type="character" w:customStyle="1" w:styleId="Heading1Char">
    <w:name w:val="Heading 1 Char"/>
    <w:basedOn w:val="DefaultParagraphFont"/>
    <w:link w:val="Heading1"/>
    <w:uiPriority w:val="9"/>
    <w:rsid w:val="00A44DF5"/>
    <w:rPr>
      <w:rFonts w:ascii="Times New Roman" w:eastAsia="Times New Roman" w:hAnsi="Times New Roman" w:cs="Times New Roman"/>
      <w:b/>
      <w:bCs/>
      <w:kern w:val="36"/>
      <w:sz w:val="48"/>
      <w:szCs w:val="48"/>
    </w:rPr>
  </w:style>
  <w:style w:type="character" w:customStyle="1" w:styleId="html-italic">
    <w:name w:val="html-italic"/>
    <w:basedOn w:val="DefaultParagraphFont"/>
    <w:rsid w:val="000A35EA"/>
  </w:style>
  <w:style w:type="character" w:styleId="Hyperlink">
    <w:name w:val="Hyperlink"/>
    <w:basedOn w:val="DefaultParagraphFont"/>
    <w:uiPriority w:val="99"/>
    <w:semiHidden/>
    <w:unhideWhenUsed/>
    <w:rsid w:val="00E9322C"/>
    <w:rPr>
      <w:color w:val="0000FF"/>
      <w:u w:val="single"/>
    </w:rPr>
  </w:style>
  <w:style w:type="character" w:customStyle="1" w:styleId="Heading4Char">
    <w:name w:val="Heading 4 Char"/>
    <w:basedOn w:val="DefaultParagraphFont"/>
    <w:link w:val="Heading4"/>
    <w:uiPriority w:val="9"/>
    <w:semiHidden/>
    <w:rsid w:val="00CF5E97"/>
    <w:rPr>
      <w:rFonts w:asciiTheme="majorHAnsi" w:eastAsiaTheme="majorEastAsia" w:hAnsiTheme="majorHAnsi" w:cstheme="majorBidi"/>
      <w:i/>
      <w:iCs/>
      <w:color w:val="2F5496" w:themeColor="accent1" w:themeShade="BF"/>
      <w:kern w:val="0"/>
    </w:rPr>
  </w:style>
  <w:style w:type="paragraph" w:styleId="HTMLPreformatted">
    <w:name w:val="HTML Preformatted"/>
    <w:basedOn w:val="Normal"/>
    <w:link w:val="HTMLPreformattedChar"/>
    <w:uiPriority w:val="99"/>
    <w:unhideWhenUsed/>
    <w:rsid w:val="00D97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97131"/>
    <w:rPr>
      <w:rFonts w:ascii="Courier New" w:eastAsia="Times New Roman" w:hAnsi="Courier New" w:cs="Courier New"/>
      <w:kern w:val="0"/>
      <w:sz w:val="20"/>
      <w:szCs w:val="20"/>
    </w:rPr>
  </w:style>
  <w:style w:type="character" w:customStyle="1" w:styleId="ffline">
    <w:name w:val="ff_line"/>
    <w:basedOn w:val="DefaultParagraphFont"/>
    <w:rsid w:val="00D97131"/>
  </w:style>
  <w:style w:type="character" w:customStyle="1" w:styleId="Heading3Char">
    <w:name w:val="Heading 3 Char"/>
    <w:basedOn w:val="DefaultParagraphFont"/>
    <w:link w:val="Heading3"/>
    <w:uiPriority w:val="9"/>
    <w:semiHidden/>
    <w:rsid w:val="00671167"/>
    <w:rPr>
      <w:rFonts w:asciiTheme="majorHAnsi" w:eastAsiaTheme="majorEastAsia" w:hAnsiTheme="majorHAnsi" w:cstheme="majorBidi"/>
      <w:color w:val="1F3763" w:themeColor="accent1" w:themeShade="7F"/>
      <w:kern w:val="0"/>
      <w:sz w:val="24"/>
      <w:szCs w:val="24"/>
    </w:rPr>
  </w:style>
  <w:style w:type="character" w:customStyle="1" w:styleId="cf01">
    <w:name w:val="cf01"/>
    <w:basedOn w:val="DefaultParagraphFont"/>
    <w:rsid w:val="00403FBC"/>
    <w:rPr>
      <w:rFonts w:ascii="Segoe UI" w:hAnsi="Segoe UI" w:cs="Segoe UI" w:hint="default"/>
      <w:sz w:val="18"/>
      <w:szCs w:val="18"/>
    </w:rPr>
  </w:style>
  <w:style w:type="paragraph" w:customStyle="1" w:styleId="pf0">
    <w:name w:val="pf0"/>
    <w:basedOn w:val="Normal"/>
    <w:rsid w:val="003A5D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704891">
      <w:bodyDiv w:val="1"/>
      <w:marLeft w:val="0"/>
      <w:marRight w:val="0"/>
      <w:marTop w:val="0"/>
      <w:marBottom w:val="0"/>
      <w:divBdr>
        <w:top w:val="none" w:sz="0" w:space="0" w:color="auto"/>
        <w:left w:val="none" w:sz="0" w:space="0" w:color="auto"/>
        <w:bottom w:val="none" w:sz="0" w:space="0" w:color="auto"/>
        <w:right w:val="none" w:sz="0" w:space="0" w:color="auto"/>
      </w:divBdr>
    </w:div>
    <w:div w:id="298146461">
      <w:bodyDiv w:val="1"/>
      <w:marLeft w:val="0"/>
      <w:marRight w:val="0"/>
      <w:marTop w:val="0"/>
      <w:marBottom w:val="0"/>
      <w:divBdr>
        <w:top w:val="none" w:sz="0" w:space="0" w:color="auto"/>
        <w:left w:val="none" w:sz="0" w:space="0" w:color="auto"/>
        <w:bottom w:val="none" w:sz="0" w:space="0" w:color="auto"/>
        <w:right w:val="none" w:sz="0" w:space="0" w:color="auto"/>
      </w:divBdr>
      <w:divsChild>
        <w:div w:id="1567883855">
          <w:marLeft w:val="0"/>
          <w:marRight w:val="0"/>
          <w:marTop w:val="0"/>
          <w:marBottom w:val="0"/>
          <w:divBdr>
            <w:top w:val="none" w:sz="0" w:space="0" w:color="auto"/>
            <w:left w:val="none" w:sz="0" w:space="0" w:color="auto"/>
            <w:bottom w:val="none" w:sz="0" w:space="0" w:color="auto"/>
            <w:right w:val="none" w:sz="0" w:space="0" w:color="auto"/>
          </w:divBdr>
        </w:div>
        <w:div w:id="1896501403">
          <w:marLeft w:val="0"/>
          <w:marRight w:val="0"/>
          <w:marTop w:val="0"/>
          <w:marBottom w:val="0"/>
          <w:divBdr>
            <w:top w:val="none" w:sz="0" w:space="0" w:color="auto"/>
            <w:left w:val="none" w:sz="0" w:space="0" w:color="auto"/>
            <w:bottom w:val="none" w:sz="0" w:space="0" w:color="auto"/>
            <w:right w:val="none" w:sz="0" w:space="0" w:color="auto"/>
          </w:divBdr>
        </w:div>
        <w:div w:id="1928149719">
          <w:marLeft w:val="0"/>
          <w:marRight w:val="0"/>
          <w:marTop w:val="0"/>
          <w:marBottom w:val="0"/>
          <w:divBdr>
            <w:top w:val="none" w:sz="0" w:space="0" w:color="auto"/>
            <w:left w:val="none" w:sz="0" w:space="0" w:color="auto"/>
            <w:bottom w:val="none" w:sz="0" w:space="0" w:color="auto"/>
            <w:right w:val="none" w:sz="0" w:space="0" w:color="auto"/>
          </w:divBdr>
        </w:div>
      </w:divsChild>
    </w:div>
    <w:div w:id="478419338">
      <w:bodyDiv w:val="1"/>
      <w:marLeft w:val="0"/>
      <w:marRight w:val="0"/>
      <w:marTop w:val="0"/>
      <w:marBottom w:val="0"/>
      <w:divBdr>
        <w:top w:val="none" w:sz="0" w:space="0" w:color="auto"/>
        <w:left w:val="none" w:sz="0" w:space="0" w:color="auto"/>
        <w:bottom w:val="none" w:sz="0" w:space="0" w:color="auto"/>
        <w:right w:val="none" w:sz="0" w:space="0" w:color="auto"/>
      </w:divBdr>
    </w:div>
    <w:div w:id="523833503">
      <w:bodyDiv w:val="1"/>
      <w:marLeft w:val="0"/>
      <w:marRight w:val="0"/>
      <w:marTop w:val="0"/>
      <w:marBottom w:val="0"/>
      <w:divBdr>
        <w:top w:val="none" w:sz="0" w:space="0" w:color="auto"/>
        <w:left w:val="none" w:sz="0" w:space="0" w:color="auto"/>
        <w:bottom w:val="none" w:sz="0" w:space="0" w:color="auto"/>
        <w:right w:val="none" w:sz="0" w:space="0" w:color="auto"/>
      </w:divBdr>
    </w:div>
    <w:div w:id="583103219">
      <w:bodyDiv w:val="1"/>
      <w:marLeft w:val="0"/>
      <w:marRight w:val="0"/>
      <w:marTop w:val="0"/>
      <w:marBottom w:val="0"/>
      <w:divBdr>
        <w:top w:val="none" w:sz="0" w:space="0" w:color="auto"/>
        <w:left w:val="none" w:sz="0" w:space="0" w:color="auto"/>
        <w:bottom w:val="none" w:sz="0" w:space="0" w:color="auto"/>
        <w:right w:val="none" w:sz="0" w:space="0" w:color="auto"/>
      </w:divBdr>
    </w:div>
    <w:div w:id="632177207">
      <w:bodyDiv w:val="1"/>
      <w:marLeft w:val="0"/>
      <w:marRight w:val="0"/>
      <w:marTop w:val="0"/>
      <w:marBottom w:val="0"/>
      <w:divBdr>
        <w:top w:val="none" w:sz="0" w:space="0" w:color="auto"/>
        <w:left w:val="none" w:sz="0" w:space="0" w:color="auto"/>
        <w:bottom w:val="none" w:sz="0" w:space="0" w:color="auto"/>
        <w:right w:val="none" w:sz="0" w:space="0" w:color="auto"/>
      </w:divBdr>
      <w:divsChild>
        <w:div w:id="754210903">
          <w:marLeft w:val="0"/>
          <w:marRight w:val="0"/>
          <w:marTop w:val="0"/>
          <w:marBottom w:val="0"/>
          <w:divBdr>
            <w:top w:val="none" w:sz="0" w:space="0" w:color="auto"/>
            <w:left w:val="none" w:sz="0" w:space="0" w:color="auto"/>
            <w:bottom w:val="none" w:sz="0" w:space="0" w:color="auto"/>
            <w:right w:val="none" w:sz="0" w:space="0" w:color="auto"/>
          </w:divBdr>
        </w:div>
        <w:div w:id="1027949137">
          <w:marLeft w:val="0"/>
          <w:marRight w:val="0"/>
          <w:marTop w:val="0"/>
          <w:marBottom w:val="0"/>
          <w:divBdr>
            <w:top w:val="none" w:sz="0" w:space="0" w:color="auto"/>
            <w:left w:val="none" w:sz="0" w:space="0" w:color="auto"/>
            <w:bottom w:val="none" w:sz="0" w:space="0" w:color="auto"/>
            <w:right w:val="none" w:sz="0" w:space="0" w:color="auto"/>
          </w:divBdr>
        </w:div>
      </w:divsChild>
    </w:div>
    <w:div w:id="716585737">
      <w:bodyDiv w:val="1"/>
      <w:marLeft w:val="0"/>
      <w:marRight w:val="0"/>
      <w:marTop w:val="0"/>
      <w:marBottom w:val="0"/>
      <w:divBdr>
        <w:top w:val="none" w:sz="0" w:space="0" w:color="auto"/>
        <w:left w:val="none" w:sz="0" w:space="0" w:color="auto"/>
        <w:bottom w:val="none" w:sz="0" w:space="0" w:color="auto"/>
        <w:right w:val="none" w:sz="0" w:space="0" w:color="auto"/>
      </w:divBdr>
      <w:divsChild>
        <w:div w:id="222061216">
          <w:marLeft w:val="0"/>
          <w:marRight w:val="0"/>
          <w:marTop w:val="0"/>
          <w:marBottom w:val="0"/>
          <w:divBdr>
            <w:top w:val="none" w:sz="0" w:space="0" w:color="auto"/>
            <w:left w:val="none" w:sz="0" w:space="0" w:color="auto"/>
            <w:bottom w:val="none" w:sz="0" w:space="0" w:color="auto"/>
            <w:right w:val="none" w:sz="0" w:space="0" w:color="auto"/>
          </w:divBdr>
        </w:div>
        <w:div w:id="302390959">
          <w:marLeft w:val="0"/>
          <w:marRight w:val="0"/>
          <w:marTop w:val="0"/>
          <w:marBottom w:val="0"/>
          <w:divBdr>
            <w:top w:val="none" w:sz="0" w:space="0" w:color="auto"/>
            <w:left w:val="none" w:sz="0" w:space="0" w:color="auto"/>
            <w:bottom w:val="none" w:sz="0" w:space="0" w:color="auto"/>
            <w:right w:val="none" w:sz="0" w:space="0" w:color="auto"/>
          </w:divBdr>
        </w:div>
        <w:div w:id="1032417267">
          <w:marLeft w:val="0"/>
          <w:marRight w:val="0"/>
          <w:marTop w:val="0"/>
          <w:marBottom w:val="0"/>
          <w:divBdr>
            <w:top w:val="none" w:sz="0" w:space="0" w:color="auto"/>
            <w:left w:val="none" w:sz="0" w:space="0" w:color="auto"/>
            <w:bottom w:val="none" w:sz="0" w:space="0" w:color="auto"/>
            <w:right w:val="none" w:sz="0" w:space="0" w:color="auto"/>
          </w:divBdr>
        </w:div>
        <w:div w:id="1486968628">
          <w:marLeft w:val="0"/>
          <w:marRight w:val="0"/>
          <w:marTop w:val="0"/>
          <w:marBottom w:val="0"/>
          <w:divBdr>
            <w:top w:val="none" w:sz="0" w:space="0" w:color="auto"/>
            <w:left w:val="none" w:sz="0" w:space="0" w:color="auto"/>
            <w:bottom w:val="none" w:sz="0" w:space="0" w:color="auto"/>
            <w:right w:val="none" w:sz="0" w:space="0" w:color="auto"/>
          </w:divBdr>
        </w:div>
        <w:div w:id="1789885017">
          <w:marLeft w:val="0"/>
          <w:marRight w:val="0"/>
          <w:marTop w:val="0"/>
          <w:marBottom w:val="0"/>
          <w:divBdr>
            <w:top w:val="none" w:sz="0" w:space="0" w:color="auto"/>
            <w:left w:val="none" w:sz="0" w:space="0" w:color="auto"/>
            <w:bottom w:val="none" w:sz="0" w:space="0" w:color="auto"/>
            <w:right w:val="none" w:sz="0" w:space="0" w:color="auto"/>
          </w:divBdr>
        </w:div>
      </w:divsChild>
    </w:div>
    <w:div w:id="747728843">
      <w:bodyDiv w:val="1"/>
      <w:marLeft w:val="0"/>
      <w:marRight w:val="0"/>
      <w:marTop w:val="0"/>
      <w:marBottom w:val="0"/>
      <w:divBdr>
        <w:top w:val="none" w:sz="0" w:space="0" w:color="auto"/>
        <w:left w:val="none" w:sz="0" w:space="0" w:color="auto"/>
        <w:bottom w:val="none" w:sz="0" w:space="0" w:color="auto"/>
        <w:right w:val="none" w:sz="0" w:space="0" w:color="auto"/>
      </w:divBdr>
    </w:div>
    <w:div w:id="777872622">
      <w:bodyDiv w:val="1"/>
      <w:marLeft w:val="0"/>
      <w:marRight w:val="0"/>
      <w:marTop w:val="0"/>
      <w:marBottom w:val="0"/>
      <w:divBdr>
        <w:top w:val="none" w:sz="0" w:space="0" w:color="auto"/>
        <w:left w:val="none" w:sz="0" w:space="0" w:color="auto"/>
        <w:bottom w:val="none" w:sz="0" w:space="0" w:color="auto"/>
        <w:right w:val="none" w:sz="0" w:space="0" w:color="auto"/>
      </w:divBdr>
    </w:div>
    <w:div w:id="850680872">
      <w:bodyDiv w:val="1"/>
      <w:marLeft w:val="0"/>
      <w:marRight w:val="0"/>
      <w:marTop w:val="0"/>
      <w:marBottom w:val="0"/>
      <w:divBdr>
        <w:top w:val="none" w:sz="0" w:space="0" w:color="auto"/>
        <w:left w:val="none" w:sz="0" w:space="0" w:color="auto"/>
        <w:bottom w:val="none" w:sz="0" w:space="0" w:color="auto"/>
        <w:right w:val="none" w:sz="0" w:space="0" w:color="auto"/>
      </w:divBdr>
    </w:div>
    <w:div w:id="872694975">
      <w:bodyDiv w:val="1"/>
      <w:marLeft w:val="0"/>
      <w:marRight w:val="0"/>
      <w:marTop w:val="0"/>
      <w:marBottom w:val="0"/>
      <w:divBdr>
        <w:top w:val="none" w:sz="0" w:space="0" w:color="auto"/>
        <w:left w:val="none" w:sz="0" w:space="0" w:color="auto"/>
        <w:bottom w:val="none" w:sz="0" w:space="0" w:color="auto"/>
        <w:right w:val="none" w:sz="0" w:space="0" w:color="auto"/>
      </w:divBdr>
      <w:divsChild>
        <w:div w:id="464393701">
          <w:marLeft w:val="0"/>
          <w:marRight w:val="0"/>
          <w:marTop w:val="0"/>
          <w:marBottom w:val="0"/>
          <w:divBdr>
            <w:top w:val="none" w:sz="0" w:space="0" w:color="auto"/>
            <w:left w:val="none" w:sz="0" w:space="0" w:color="auto"/>
            <w:bottom w:val="none" w:sz="0" w:space="0" w:color="auto"/>
            <w:right w:val="none" w:sz="0" w:space="0" w:color="auto"/>
          </w:divBdr>
        </w:div>
        <w:div w:id="620262981">
          <w:marLeft w:val="0"/>
          <w:marRight w:val="0"/>
          <w:marTop w:val="0"/>
          <w:marBottom w:val="0"/>
          <w:divBdr>
            <w:top w:val="none" w:sz="0" w:space="0" w:color="auto"/>
            <w:left w:val="none" w:sz="0" w:space="0" w:color="auto"/>
            <w:bottom w:val="none" w:sz="0" w:space="0" w:color="auto"/>
            <w:right w:val="none" w:sz="0" w:space="0" w:color="auto"/>
          </w:divBdr>
        </w:div>
        <w:div w:id="993214848">
          <w:marLeft w:val="0"/>
          <w:marRight w:val="0"/>
          <w:marTop w:val="0"/>
          <w:marBottom w:val="0"/>
          <w:divBdr>
            <w:top w:val="none" w:sz="0" w:space="0" w:color="auto"/>
            <w:left w:val="none" w:sz="0" w:space="0" w:color="auto"/>
            <w:bottom w:val="none" w:sz="0" w:space="0" w:color="auto"/>
            <w:right w:val="none" w:sz="0" w:space="0" w:color="auto"/>
          </w:divBdr>
        </w:div>
        <w:div w:id="1357078036">
          <w:marLeft w:val="0"/>
          <w:marRight w:val="0"/>
          <w:marTop w:val="0"/>
          <w:marBottom w:val="0"/>
          <w:divBdr>
            <w:top w:val="none" w:sz="0" w:space="0" w:color="auto"/>
            <w:left w:val="none" w:sz="0" w:space="0" w:color="auto"/>
            <w:bottom w:val="none" w:sz="0" w:space="0" w:color="auto"/>
            <w:right w:val="none" w:sz="0" w:space="0" w:color="auto"/>
          </w:divBdr>
        </w:div>
        <w:div w:id="1413501486">
          <w:marLeft w:val="0"/>
          <w:marRight w:val="0"/>
          <w:marTop w:val="0"/>
          <w:marBottom w:val="0"/>
          <w:divBdr>
            <w:top w:val="none" w:sz="0" w:space="0" w:color="auto"/>
            <w:left w:val="none" w:sz="0" w:space="0" w:color="auto"/>
            <w:bottom w:val="none" w:sz="0" w:space="0" w:color="auto"/>
            <w:right w:val="none" w:sz="0" w:space="0" w:color="auto"/>
          </w:divBdr>
        </w:div>
        <w:div w:id="1626496091">
          <w:marLeft w:val="0"/>
          <w:marRight w:val="0"/>
          <w:marTop w:val="0"/>
          <w:marBottom w:val="0"/>
          <w:divBdr>
            <w:top w:val="none" w:sz="0" w:space="0" w:color="auto"/>
            <w:left w:val="none" w:sz="0" w:space="0" w:color="auto"/>
            <w:bottom w:val="none" w:sz="0" w:space="0" w:color="auto"/>
            <w:right w:val="none" w:sz="0" w:space="0" w:color="auto"/>
          </w:divBdr>
        </w:div>
        <w:div w:id="1678313821">
          <w:marLeft w:val="0"/>
          <w:marRight w:val="0"/>
          <w:marTop w:val="0"/>
          <w:marBottom w:val="0"/>
          <w:divBdr>
            <w:top w:val="none" w:sz="0" w:space="0" w:color="auto"/>
            <w:left w:val="none" w:sz="0" w:space="0" w:color="auto"/>
            <w:bottom w:val="none" w:sz="0" w:space="0" w:color="auto"/>
            <w:right w:val="none" w:sz="0" w:space="0" w:color="auto"/>
          </w:divBdr>
        </w:div>
        <w:div w:id="1926262168">
          <w:marLeft w:val="0"/>
          <w:marRight w:val="0"/>
          <w:marTop w:val="0"/>
          <w:marBottom w:val="0"/>
          <w:divBdr>
            <w:top w:val="none" w:sz="0" w:space="0" w:color="auto"/>
            <w:left w:val="none" w:sz="0" w:space="0" w:color="auto"/>
            <w:bottom w:val="none" w:sz="0" w:space="0" w:color="auto"/>
            <w:right w:val="none" w:sz="0" w:space="0" w:color="auto"/>
          </w:divBdr>
        </w:div>
        <w:div w:id="1997491824">
          <w:marLeft w:val="0"/>
          <w:marRight w:val="0"/>
          <w:marTop w:val="0"/>
          <w:marBottom w:val="0"/>
          <w:divBdr>
            <w:top w:val="none" w:sz="0" w:space="0" w:color="auto"/>
            <w:left w:val="none" w:sz="0" w:space="0" w:color="auto"/>
            <w:bottom w:val="none" w:sz="0" w:space="0" w:color="auto"/>
            <w:right w:val="none" w:sz="0" w:space="0" w:color="auto"/>
          </w:divBdr>
        </w:div>
      </w:divsChild>
    </w:div>
    <w:div w:id="882444138">
      <w:bodyDiv w:val="1"/>
      <w:marLeft w:val="0"/>
      <w:marRight w:val="0"/>
      <w:marTop w:val="0"/>
      <w:marBottom w:val="0"/>
      <w:divBdr>
        <w:top w:val="none" w:sz="0" w:space="0" w:color="auto"/>
        <w:left w:val="none" w:sz="0" w:space="0" w:color="auto"/>
        <w:bottom w:val="none" w:sz="0" w:space="0" w:color="auto"/>
        <w:right w:val="none" w:sz="0" w:space="0" w:color="auto"/>
      </w:divBdr>
    </w:div>
    <w:div w:id="933243740">
      <w:bodyDiv w:val="1"/>
      <w:marLeft w:val="0"/>
      <w:marRight w:val="0"/>
      <w:marTop w:val="0"/>
      <w:marBottom w:val="0"/>
      <w:divBdr>
        <w:top w:val="none" w:sz="0" w:space="0" w:color="auto"/>
        <w:left w:val="none" w:sz="0" w:space="0" w:color="auto"/>
        <w:bottom w:val="none" w:sz="0" w:space="0" w:color="auto"/>
        <w:right w:val="none" w:sz="0" w:space="0" w:color="auto"/>
      </w:divBdr>
      <w:divsChild>
        <w:div w:id="329068983">
          <w:marLeft w:val="0"/>
          <w:marRight w:val="0"/>
          <w:marTop w:val="0"/>
          <w:marBottom w:val="0"/>
          <w:divBdr>
            <w:top w:val="none" w:sz="0" w:space="0" w:color="auto"/>
            <w:left w:val="none" w:sz="0" w:space="0" w:color="auto"/>
            <w:bottom w:val="none" w:sz="0" w:space="0" w:color="auto"/>
            <w:right w:val="none" w:sz="0" w:space="0" w:color="auto"/>
          </w:divBdr>
        </w:div>
        <w:div w:id="1620338406">
          <w:marLeft w:val="0"/>
          <w:marRight w:val="0"/>
          <w:marTop w:val="0"/>
          <w:marBottom w:val="0"/>
          <w:divBdr>
            <w:top w:val="none" w:sz="0" w:space="0" w:color="auto"/>
            <w:left w:val="none" w:sz="0" w:space="0" w:color="auto"/>
            <w:bottom w:val="none" w:sz="0" w:space="0" w:color="auto"/>
            <w:right w:val="none" w:sz="0" w:space="0" w:color="auto"/>
          </w:divBdr>
        </w:div>
      </w:divsChild>
    </w:div>
    <w:div w:id="1077703258">
      <w:bodyDiv w:val="1"/>
      <w:marLeft w:val="0"/>
      <w:marRight w:val="0"/>
      <w:marTop w:val="0"/>
      <w:marBottom w:val="0"/>
      <w:divBdr>
        <w:top w:val="none" w:sz="0" w:space="0" w:color="auto"/>
        <w:left w:val="none" w:sz="0" w:space="0" w:color="auto"/>
        <w:bottom w:val="none" w:sz="0" w:space="0" w:color="auto"/>
        <w:right w:val="none" w:sz="0" w:space="0" w:color="auto"/>
      </w:divBdr>
    </w:div>
    <w:div w:id="1102648046">
      <w:bodyDiv w:val="1"/>
      <w:marLeft w:val="0"/>
      <w:marRight w:val="0"/>
      <w:marTop w:val="0"/>
      <w:marBottom w:val="0"/>
      <w:divBdr>
        <w:top w:val="none" w:sz="0" w:space="0" w:color="auto"/>
        <w:left w:val="none" w:sz="0" w:space="0" w:color="auto"/>
        <w:bottom w:val="none" w:sz="0" w:space="0" w:color="auto"/>
        <w:right w:val="none" w:sz="0" w:space="0" w:color="auto"/>
      </w:divBdr>
    </w:div>
    <w:div w:id="1261723265">
      <w:bodyDiv w:val="1"/>
      <w:marLeft w:val="0"/>
      <w:marRight w:val="0"/>
      <w:marTop w:val="0"/>
      <w:marBottom w:val="0"/>
      <w:divBdr>
        <w:top w:val="none" w:sz="0" w:space="0" w:color="auto"/>
        <w:left w:val="none" w:sz="0" w:space="0" w:color="auto"/>
        <w:bottom w:val="none" w:sz="0" w:space="0" w:color="auto"/>
        <w:right w:val="none" w:sz="0" w:space="0" w:color="auto"/>
      </w:divBdr>
      <w:divsChild>
        <w:div w:id="138768697">
          <w:marLeft w:val="0"/>
          <w:marRight w:val="0"/>
          <w:marTop w:val="0"/>
          <w:marBottom w:val="0"/>
          <w:divBdr>
            <w:top w:val="none" w:sz="0" w:space="0" w:color="auto"/>
            <w:left w:val="none" w:sz="0" w:space="0" w:color="auto"/>
            <w:bottom w:val="none" w:sz="0" w:space="0" w:color="auto"/>
            <w:right w:val="none" w:sz="0" w:space="0" w:color="auto"/>
          </w:divBdr>
        </w:div>
        <w:div w:id="1259602988">
          <w:marLeft w:val="0"/>
          <w:marRight w:val="0"/>
          <w:marTop w:val="0"/>
          <w:marBottom w:val="0"/>
          <w:divBdr>
            <w:top w:val="none" w:sz="0" w:space="0" w:color="auto"/>
            <w:left w:val="none" w:sz="0" w:space="0" w:color="auto"/>
            <w:bottom w:val="none" w:sz="0" w:space="0" w:color="auto"/>
            <w:right w:val="none" w:sz="0" w:space="0" w:color="auto"/>
          </w:divBdr>
        </w:div>
        <w:div w:id="1707558485">
          <w:marLeft w:val="0"/>
          <w:marRight w:val="0"/>
          <w:marTop w:val="0"/>
          <w:marBottom w:val="0"/>
          <w:divBdr>
            <w:top w:val="none" w:sz="0" w:space="0" w:color="auto"/>
            <w:left w:val="none" w:sz="0" w:space="0" w:color="auto"/>
            <w:bottom w:val="none" w:sz="0" w:space="0" w:color="auto"/>
            <w:right w:val="none" w:sz="0" w:space="0" w:color="auto"/>
          </w:divBdr>
        </w:div>
      </w:divsChild>
    </w:div>
    <w:div w:id="1342273816">
      <w:bodyDiv w:val="1"/>
      <w:marLeft w:val="0"/>
      <w:marRight w:val="0"/>
      <w:marTop w:val="0"/>
      <w:marBottom w:val="0"/>
      <w:divBdr>
        <w:top w:val="none" w:sz="0" w:space="0" w:color="auto"/>
        <w:left w:val="none" w:sz="0" w:space="0" w:color="auto"/>
        <w:bottom w:val="none" w:sz="0" w:space="0" w:color="auto"/>
        <w:right w:val="none" w:sz="0" w:space="0" w:color="auto"/>
      </w:divBdr>
    </w:div>
    <w:div w:id="1451122817">
      <w:bodyDiv w:val="1"/>
      <w:marLeft w:val="0"/>
      <w:marRight w:val="0"/>
      <w:marTop w:val="0"/>
      <w:marBottom w:val="0"/>
      <w:divBdr>
        <w:top w:val="none" w:sz="0" w:space="0" w:color="auto"/>
        <w:left w:val="none" w:sz="0" w:space="0" w:color="auto"/>
        <w:bottom w:val="none" w:sz="0" w:space="0" w:color="auto"/>
        <w:right w:val="none" w:sz="0" w:space="0" w:color="auto"/>
      </w:divBdr>
    </w:div>
    <w:div w:id="1525244244">
      <w:bodyDiv w:val="1"/>
      <w:marLeft w:val="0"/>
      <w:marRight w:val="0"/>
      <w:marTop w:val="0"/>
      <w:marBottom w:val="0"/>
      <w:divBdr>
        <w:top w:val="none" w:sz="0" w:space="0" w:color="auto"/>
        <w:left w:val="none" w:sz="0" w:space="0" w:color="auto"/>
        <w:bottom w:val="none" w:sz="0" w:space="0" w:color="auto"/>
        <w:right w:val="none" w:sz="0" w:space="0" w:color="auto"/>
      </w:divBdr>
      <w:divsChild>
        <w:div w:id="765925519">
          <w:marLeft w:val="0"/>
          <w:marRight w:val="0"/>
          <w:marTop w:val="0"/>
          <w:marBottom w:val="0"/>
          <w:divBdr>
            <w:top w:val="none" w:sz="0" w:space="0" w:color="auto"/>
            <w:left w:val="none" w:sz="0" w:space="0" w:color="auto"/>
            <w:bottom w:val="none" w:sz="0" w:space="0" w:color="auto"/>
            <w:right w:val="none" w:sz="0" w:space="0" w:color="auto"/>
          </w:divBdr>
        </w:div>
        <w:div w:id="782769366">
          <w:marLeft w:val="0"/>
          <w:marRight w:val="0"/>
          <w:marTop w:val="0"/>
          <w:marBottom w:val="0"/>
          <w:divBdr>
            <w:top w:val="none" w:sz="0" w:space="0" w:color="auto"/>
            <w:left w:val="none" w:sz="0" w:space="0" w:color="auto"/>
            <w:bottom w:val="none" w:sz="0" w:space="0" w:color="auto"/>
            <w:right w:val="none" w:sz="0" w:space="0" w:color="auto"/>
          </w:divBdr>
        </w:div>
        <w:div w:id="994064032">
          <w:marLeft w:val="0"/>
          <w:marRight w:val="0"/>
          <w:marTop w:val="0"/>
          <w:marBottom w:val="0"/>
          <w:divBdr>
            <w:top w:val="none" w:sz="0" w:space="0" w:color="auto"/>
            <w:left w:val="none" w:sz="0" w:space="0" w:color="auto"/>
            <w:bottom w:val="none" w:sz="0" w:space="0" w:color="auto"/>
            <w:right w:val="none" w:sz="0" w:space="0" w:color="auto"/>
          </w:divBdr>
        </w:div>
        <w:div w:id="1140466042">
          <w:marLeft w:val="0"/>
          <w:marRight w:val="0"/>
          <w:marTop w:val="0"/>
          <w:marBottom w:val="0"/>
          <w:divBdr>
            <w:top w:val="none" w:sz="0" w:space="0" w:color="auto"/>
            <w:left w:val="none" w:sz="0" w:space="0" w:color="auto"/>
            <w:bottom w:val="none" w:sz="0" w:space="0" w:color="auto"/>
            <w:right w:val="none" w:sz="0" w:space="0" w:color="auto"/>
          </w:divBdr>
        </w:div>
        <w:div w:id="1337153707">
          <w:marLeft w:val="0"/>
          <w:marRight w:val="0"/>
          <w:marTop w:val="0"/>
          <w:marBottom w:val="0"/>
          <w:divBdr>
            <w:top w:val="none" w:sz="0" w:space="0" w:color="auto"/>
            <w:left w:val="none" w:sz="0" w:space="0" w:color="auto"/>
            <w:bottom w:val="none" w:sz="0" w:space="0" w:color="auto"/>
            <w:right w:val="none" w:sz="0" w:space="0" w:color="auto"/>
          </w:divBdr>
        </w:div>
      </w:divsChild>
    </w:div>
    <w:div w:id="1533499466">
      <w:bodyDiv w:val="1"/>
      <w:marLeft w:val="0"/>
      <w:marRight w:val="0"/>
      <w:marTop w:val="0"/>
      <w:marBottom w:val="0"/>
      <w:divBdr>
        <w:top w:val="none" w:sz="0" w:space="0" w:color="auto"/>
        <w:left w:val="none" w:sz="0" w:space="0" w:color="auto"/>
        <w:bottom w:val="none" w:sz="0" w:space="0" w:color="auto"/>
        <w:right w:val="none" w:sz="0" w:space="0" w:color="auto"/>
      </w:divBdr>
    </w:div>
    <w:div w:id="1962953734">
      <w:bodyDiv w:val="1"/>
      <w:marLeft w:val="0"/>
      <w:marRight w:val="0"/>
      <w:marTop w:val="0"/>
      <w:marBottom w:val="0"/>
      <w:divBdr>
        <w:top w:val="none" w:sz="0" w:space="0" w:color="auto"/>
        <w:left w:val="none" w:sz="0" w:space="0" w:color="auto"/>
        <w:bottom w:val="none" w:sz="0" w:space="0" w:color="auto"/>
        <w:right w:val="none" w:sz="0" w:space="0" w:color="auto"/>
      </w:divBdr>
    </w:div>
    <w:div w:id="1981382529">
      <w:bodyDiv w:val="1"/>
      <w:marLeft w:val="0"/>
      <w:marRight w:val="0"/>
      <w:marTop w:val="0"/>
      <w:marBottom w:val="0"/>
      <w:divBdr>
        <w:top w:val="none" w:sz="0" w:space="0" w:color="auto"/>
        <w:left w:val="none" w:sz="0" w:space="0" w:color="auto"/>
        <w:bottom w:val="none" w:sz="0" w:space="0" w:color="auto"/>
        <w:right w:val="none" w:sz="0" w:space="0" w:color="auto"/>
      </w:divBdr>
    </w:div>
    <w:div w:id="2004778401">
      <w:bodyDiv w:val="1"/>
      <w:marLeft w:val="0"/>
      <w:marRight w:val="0"/>
      <w:marTop w:val="0"/>
      <w:marBottom w:val="0"/>
      <w:divBdr>
        <w:top w:val="none" w:sz="0" w:space="0" w:color="auto"/>
        <w:left w:val="none" w:sz="0" w:space="0" w:color="auto"/>
        <w:bottom w:val="none" w:sz="0" w:space="0" w:color="auto"/>
        <w:right w:val="none" w:sz="0" w:space="0" w:color="auto"/>
      </w:divBdr>
      <w:divsChild>
        <w:div w:id="585771409">
          <w:marLeft w:val="0"/>
          <w:marRight w:val="0"/>
          <w:marTop w:val="0"/>
          <w:marBottom w:val="0"/>
          <w:divBdr>
            <w:top w:val="none" w:sz="0" w:space="0" w:color="auto"/>
            <w:left w:val="none" w:sz="0" w:space="0" w:color="auto"/>
            <w:bottom w:val="none" w:sz="0" w:space="0" w:color="auto"/>
            <w:right w:val="none" w:sz="0" w:space="0" w:color="auto"/>
          </w:divBdr>
        </w:div>
        <w:div w:id="800075091">
          <w:marLeft w:val="0"/>
          <w:marRight w:val="0"/>
          <w:marTop w:val="0"/>
          <w:marBottom w:val="0"/>
          <w:divBdr>
            <w:top w:val="none" w:sz="0" w:space="0" w:color="auto"/>
            <w:left w:val="none" w:sz="0" w:space="0" w:color="auto"/>
            <w:bottom w:val="none" w:sz="0" w:space="0" w:color="auto"/>
            <w:right w:val="none" w:sz="0" w:space="0" w:color="auto"/>
          </w:divBdr>
        </w:div>
        <w:div w:id="910316135">
          <w:marLeft w:val="0"/>
          <w:marRight w:val="0"/>
          <w:marTop w:val="0"/>
          <w:marBottom w:val="0"/>
          <w:divBdr>
            <w:top w:val="none" w:sz="0" w:space="0" w:color="auto"/>
            <w:left w:val="none" w:sz="0" w:space="0" w:color="auto"/>
            <w:bottom w:val="none" w:sz="0" w:space="0" w:color="auto"/>
            <w:right w:val="none" w:sz="0" w:space="0" w:color="auto"/>
          </w:divBdr>
        </w:div>
        <w:div w:id="1256355025">
          <w:marLeft w:val="0"/>
          <w:marRight w:val="0"/>
          <w:marTop w:val="0"/>
          <w:marBottom w:val="0"/>
          <w:divBdr>
            <w:top w:val="none" w:sz="0" w:space="0" w:color="auto"/>
            <w:left w:val="none" w:sz="0" w:space="0" w:color="auto"/>
            <w:bottom w:val="none" w:sz="0" w:space="0" w:color="auto"/>
            <w:right w:val="none" w:sz="0" w:space="0" w:color="auto"/>
          </w:divBdr>
        </w:div>
        <w:div w:id="1634864192">
          <w:marLeft w:val="0"/>
          <w:marRight w:val="0"/>
          <w:marTop w:val="0"/>
          <w:marBottom w:val="0"/>
          <w:divBdr>
            <w:top w:val="none" w:sz="0" w:space="0" w:color="auto"/>
            <w:left w:val="none" w:sz="0" w:space="0" w:color="auto"/>
            <w:bottom w:val="none" w:sz="0" w:space="0" w:color="auto"/>
            <w:right w:val="none" w:sz="0" w:space="0" w:color="auto"/>
          </w:divBdr>
        </w:div>
      </w:divsChild>
    </w:div>
    <w:div w:id="2083407622">
      <w:bodyDiv w:val="1"/>
      <w:marLeft w:val="0"/>
      <w:marRight w:val="0"/>
      <w:marTop w:val="0"/>
      <w:marBottom w:val="0"/>
      <w:divBdr>
        <w:top w:val="none" w:sz="0" w:space="0" w:color="auto"/>
        <w:left w:val="none" w:sz="0" w:space="0" w:color="auto"/>
        <w:bottom w:val="none" w:sz="0" w:space="0" w:color="auto"/>
        <w:right w:val="none" w:sz="0" w:space="0" w:color="auto"/>
      </w:divBdr>
    </w:div>
    <w:div w:id="2107192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emf"/><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tiff"/><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tiff"/><Relationship Id="rId36" Type="http://schemas.openxmlformats.org/officeDocument/2006/relationships/image" Target="media/image26.tiff"/><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27E35-3DA5-4F4B-BAB0-6CA6EFEC6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136</Pages>
  <Words>139612</Words>
  <Characters>795794</Characters>
  <Application>Microsoft Office Word</Application>
  <DocSecurity>0</DocSecurity>
  <Lines>6631</Lines>
  <Paragraphs>1867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Marcee</dc:creator>
  <cp:keywords/>
  <dc:description/>
  <cp:lastModifiedBy>Marcee</cp:lastModifiedBy>
  <cp:revision>3</cp:revision>
  <dcterms:created xsi:type="dcterms:W3CDTF">2024-05-03T19:57:00Z</dcterms:created>
  <dcterms:modified xsi:type="dcterms:W3CDTF">2024-05-08T00:48:00Z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id="GNT1X9qV"/&gt;&lt;style id="http://www.zotero.org/styles/american-chemical-society" hasBibliography="1" bibliographyStyleHasBeenSet="1"/&gt;&lt;prefs&gt;&lt;pref name="fieldType" value="Field"/&gt;&lt;pref name="automat</vt:lpwstr>
  </property>
  <property fmtid="{D5CDD505-2E9C-101B-9397-08002B2CF9AE}" pid="3" name="ZOTERO_PREF_2">
    <vt:lpwstr>icJournalAbbreviations" value="true"/&gt;&lt;pref name="dontAskDelayCitationUpdates" value="true"/&gt;&lt;pref name="delayCitationUpdates" value="true"/&gt;&lt;/prefs&gt;&lt;/data&gt;</vt:lpwstr>
  </property>
</Properties>
</file>